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July 11, 2007</w:t>
      </w:r>
    </w:p>
    <w:p>
      <w:pPr>
        <w:spacing w:after="0" w:line="20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00"/>
          </w:cols>
          <w:pgMar w:left="240" w:top="530" w:right="259" w:bottom="0" w:gutter="0" w:footer="0" w:header="0"/>
        </w:sectPr>
      </w:pPr>
    </w:p>
    <w:p>
      <w:pPr>
        <w:spacing w:after="0" w:line="205" w:lineRule="exact"/>
        <w:rPr>
          <w:sz w:val="24"/>
          <w:szCs w:val="24"/>
          <w:color w:val="auto"/>
        </w:rPr>
      </w:pPr>
    </w:p>
    <w:p>
      <w:pPr>
        <w:jc w:val="center"/>
        <w:ind w:right="36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jc w:val="center"/>
        <w:ind w:right="360"/>
        <w:spacing w:after="0"/>
        <w:rPr>
          <w:sz w:val="20"/>
          <w:szCs w:val="20"/>
          <w:color w:val="auto"/>
        </w:rPr>
      </w:pPr>
      <w:r>
        <w:rPr>
          <w:rFonts w:ascii="Arial" w:cs="Arial" w:eastAsia="Arial" w:hAnsi="Arial"/>
          <w:sz w:val="16"/>
          <w:szCs w:val="16"/>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50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50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2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20"/>
        <w:spacing w:after="0"/>
        <w:rPr>
          <w:sz w:val="20"/>
          <w:szCs w:val="20"/>
          <w:color w:val="auto"/>
        </w:rPr>
      </w:pPr>
      <w:r>
        <w:rPr>
          <w:rFonts w:ascii="Arial" w:cs="Arial" w:eastAsia="Arial" w:hAnsi="Arial"/>
          <w:sz w:val="17"/>
          <w:szCs w:val="17"/>
          <w:color w:val="auto"/>
        </w:rPr>
        <w:t>Identification No.)</w:t>
      </w:r>
    </w:p>
    <w:p>
      <w:pPr>
        <w:spacing w:after="0" w:line="200" w:lineRule="exact"/>
        <w:rPr>
          <w:sz w:val="24"/>
          <w:szCs w:val="24"/>
          <w:color w:val="auto"/>
        </w:rPr>
      </w:pPr>
    </w:p>
    <w:p>
      <w:pPr>
        <w:sectPr>
          <w:pgSz w:w="11900" w:h="16838" w:orient="portrait"/>
          <w:cols w:equalWidth="0" w:num="3">
            <w:col w:w="4000" w:space="720"/>
            <w:col w:w="3500" w:space="720"/>
            <w:col w:w="2460"/>
          </w:cols>
          <w:pgMar w:left="240" w:top="530" w:right="259" w:bottom="0" w:gutter="0" w:footer="0" w:header="0"/>
          <w:type w:val="continuous"/>
        </w:sectPr>
      </w:pPr>
    </w:p>
    <w:p>
      <w:pPr>
        <w:spacing w:after="0" w:line="72"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including area code)</w:t>
      </w:r>
    </w:p>
    <w:p>
      <w:pPr>
        <w:sectPr>
          <w:pgSz w:w="11900" w:h="16838" w:orient="portrait"/>
          <w:cols w:equalWidth="0" w:num="1">
            <w:col w:w="11400"/>
          </w:cols>
          <w:pgMar w:left="240" w:top="530" w:right="259" w:bottom="0" w:gutter="0" w:footer="0" w:header="0"/>
          <w:type w:val="continuous"/>
        </w:sectPr>
      </w:pPr>
    </w:p>
    <w:p>
      <w:pPr>
        <w:spacing w:after="0" w:line="20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ind w:right="2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441325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2" w:lineRule="exact"/>
        <w:rPr>
          <w:sz w:val="24"/>
          <w:szCs w:val="24"/>
          <w:color w:val="auto"/>
        </w:rPr>
      </w:pPr>
    </w:p>
    <w:p>
      <w:pPr>
        <w:ind w:right="660"/>
        <w:spacing w:after="0" w:line="282" w:lineRule="auto"/>
        <w:rPr>
          <w:sz w:val="20"/>
          <w:szCs w:val="20"/>
          <w:color w:val="auto"/>
        </w:rPr>
      </w:pPr>
      <w:r>
        <w:rPr>
          <w:rFonts w:ascii="Arial" w:cs="Arial" w:eastAsia="Arial" w:hAnsi="Arial"/>
          <w:sz w:val="18"/>
          <w:szCs w:val="18"/>
          <w:b w:val="1"/>
          <w:bCs w:val="1"/>
          <w:color w:val="auto"/>
        </w:rPr>
        <w:t>Item 5.02 Departure of Directors or Certain Officers; Election of Directors; Appointment of Certain Officers; Compensatory Arrangements of Certain Officers.</w:t>
      </w:r>
    </w:p>
    <w:p>
      <w:pPr>
        <w:spacing w:after="0" w:line="166" w:lineRule="exact"/>
        <w:rPr>
          <w:sz w:val="24"/>
          <w:szCs w:val="24"/>
          <w:color w:val="auto"/>
        </w:rPr>
      </w:pPr>
    </w:p>
    <w:p>
      <w:pPr>
        <w:ind w:right="80" w:firstLine="648"/>
        <w:spacing w:after="0" w:line="302" w:lineRule="auto"/>
        <w:rPr>
          <w:sz w:val="20"/>
          <w:szCs w:val="20"/>
          <w:color w:val="auto"/>
        </w:rPr>
      </w:pPr>
      <w:r>
        <w:rPr>
          <w:rFonts w:ascii="Arial" w:cs="Arial" w:eastAsia="Arial" w:hAnsi="Arial"/>
          <w:sz w:val="16"/>
          <w:szCs w:val="16"/>
          <w:color w:val="auto"/>
        </w:rPr>
        <w:t>On July 11, 2007, Douglas R. King, a member of the Board of Directors (the “Board”) of Marvell Technology Group Ltd. (the “Company”) notified the Company that he would not stand for re-election at the Company’s next annual general meeting of shareholders, when his term as a member of the Board will expire. Mr. King is currently Chairman of the Audit Committee and a member of the Executive Compensation Committee and Implementation Committee of the Board. Mr. King has advised the Company that his decision not to stand for re-election was due to personal considerations.</w:t>
      </w:r>
    </w:p>
    <w:p>
      <w:pPr>
        <w:spacing w:after="0" w:line="154" w:lineRule="exact"/>
        <w:rPr>
          <w:sz w:val="24"/>
          <w:szCs w:val="24"/>
          <w:color w:val="auto"/>
        </w:rPr>
      </w:pPr>
    </w:p>
    <w:p>
      <w:pPr>
        <w:ind w:firstLine="648"/>
        <w:spacing w:after="0" w:line="255" w:lineRule="auto"/>
        <w:rPr>
          <w:sz w:val="20"/>
          <w:szCs w:val="20"/>
          <w:color w:val="auto"/>
        </w:rPr>
      </w:pPr>
      <w:r>
        <w:rPr>
          <w:rFonts w:ascii="Arial" w:cs="Arial" w:eastAsia="Arial" w:hAnsi="Arial"/>
          <w:sz w:val="18"/>
          <w:szCs w:val="18"/>
          <w:color w:val="auto"/>
        </w:rPr>
        <w:t>On July 13, 2007, the Board appointed Michael Rashkin, age 62, as Interim Chief Financial Officer of the Company. Mr. Rashkin served as the Director of Taxes and Tax Counsel of the Company’s subsidiary, Marvell Semiconductor, Inc. (“MSI”), from 1999 until 2000 and Director of Taxes and General Tax Counsel of MSI from 2000 until 2005, when he became MSI’s Vice President and General Tax Counsel. In 2007, Mr. Rashkin was appointed Special Assistant to the CEO and Vice President of Strategic Development of MSI. Mr. Rashkin holds an LL.M. from the New York University Graduate School of Law, a J.D. from St. John’s University School of Law and a B.S. from Brooklyn College, City University of New York. Mr. Rashkin is members of the California and New York bars.</w:t>
      </w:r>
    </w:p>
    <w:p>
      <w:pPr>
        <w:spacing w:after="0" w:line="193" w:lineRule="exact"/>
        <w:rPr>
          <w:sz w:val="24"/>
          <w:szCs w:val="24"/>
          <w:color w:val="auto"/>
        </w:rPr>
      </w:pPr>
    </w:p>
    <w:p>
      <w:pPr>
        <w:ind w:right="60" w:firstLine="648"/>
        <w:spacing w:after="0" w:line="277" w:lineRule="auto"/>
        <w:rPr>
          <w:sz w:val="20"/>
          <w:szCs w:val="20"/>
          <w:color w:val="auto"/>
        </w:rPr>
      </w:pPr>
      <w:r>
        <w:rPr>
          <w:rFonts w:ascii="Arial" w:cs="Arial" w:eastAsia="Arial" w:hAnsi="Arial"/>
          <w:sz w:val="18"/>
          <w:szCs w:val="18"/>
          <w:color w:val="auto"/>
        </w:rPr>
        <w:t>On July 17, 2007, the Company issued a press release announcing the appointment of Mr. Rashkin, a copy of which is furnished herewith as Exhibit 99.1 and is incorporated by reference herein.</w:t>
      </w:r>
    </w:p>
    <w:p>
      <w:pPr>
        <w:spacing w:after="0" w:line="166" w:lineRule="exact"/>
        <w:rPr>
          <w:sz w:val="24"/>
          <w:szCs w:val="24"/>
          <w:color w:val="auto"/>
        </w:rPr>
      </w:pPr>
    </w:p>
    <w:p>
      <w:pPr>
        <w:spacing w:after="0"/>
        <w:tabs>
          <w:tab w:leader="none" w:pos="12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4"/>
          <w:szCs w:val="24"/>
          <w:color w:val="auto"/>
        </w:rPr>
      </w:pPr>
    </w:p>
    <w:p>
      <w:pPr>
        <w:ind w:left="1280" w:hanging="624"/>
        <w:spacing w:after="0"/>
        <w:tabs>
          <w:tab w:leader="none" w:pos="1280" w:val="left"/>
        </w:tabs>
        <w:numPr>
          <w:ilvl w:val="0"/>
          <w:numId w:val="1"/>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99.1</w:t>
      </w:r>
      <w:r>
        <w:rPr>
          <w:rFonts w:ascii="Arial" w:cs="Arial" w:eastAsia="Arial" w:hAnsi="Arial"/>
          <w:sz w:val="15"/>
          <w:szCs w:val="15"/>
          <w:color w:val="auto"/>
        </w:rPr>
        <w:t>Press Release dated July 17, 2007.</w:t>
      </w:r>
    </w:p>
    <w:p>
      <w:pPr>
        <w:sectPr>
          <w:pgSz w:w="11900" w:h="16838" w:orient="portrait"/>
          <w:cols w:equalWidth="0" w:num="1">
            <w:col w:w="11400"/>
          </w:cols>
          <w:pgMar w:left="240" w:top="530" w:right="25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4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July 17, 2007</w:t>
      </w:r>
    </w:p>
    <w:p>
      <w:pPr>
        <w:spacing w:after="0" w:line="225"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tbl>
      <w:tblPr>
        <w:tblLayout w:type="fixed"/>
        <w:tblInd w:w="5420" w:type="dxa"/>
        <w:tblCellMar>
          <w:top w:w="0" w:type="dxa"/>
          <w:left w:w="0" w:type="dxa"/>
          <w:bottom w:w="0" w:type="dxa"/>
          <w:right w:w="0" w:type="dxa"/>
        </w:tblCellMar>
      </w:tblPr>
      <w:tr>
        <w:trPr>
          <w:trHeight w:val="230"/>
        </w:trPr>
        <w:tc>
          <w:tcPr>
            <w:tcW w:w="400" w:type="dxa"/>
            <w:vAlign w:val="bottom"/>
          </w:tcPr>
          <w:p>
            <w:pPr>
              <w:jc w:val="right"/>
              <w:ind w:right="50"/>
              <w:spacing w:after="0"/>
              <w:rPr>
                <w:sz w:val="20"/>
                <w:szCs w:val="20"/>
                <w:color w:val="auto"/>
              </w:rPr>
            </w:pPr>
            <w:r>
              <w:rPr>
                <w:rFonts w:ascii="Arial" w:cs="Arial" w:eastAsia="Arial" w:hAnsi="Arial"/>
                <w:sz w:val="18"/>
                <w:szCs w:val="18"/>
                <w:color w:val="auto"/>
                <w:w w:val="92"/>
              </w:rPr>
              <w:t>By:</w:t>
            </w:r>
          </w:p>
        </w:tc>
        <w:tc>
          <w:tcPr>
            <w:tcW w:w="5600" w:type="dxa"/>
            <w:vAlign w:val="bottom"/>
            <w:tcBorders>
              <w:bottom w:val="single" w:sz="8" w:color="auto"/>
            </w:tcBorders>
          </w:tcPr>
          <w:p>
            <w:pPr>
              <w:ind w:left="680"/>
              <w:spacing w:after="0"/>
              <w:rPr>
                <w:sz w:val="20"/>
                <w:szCs w:val="20"/>
                <w:color w:val="auto"/>
              </w:rPr>
            </w:pPr>
            <w:r>
              <w:rPr>
                <w:rFonts w:ascii="Arial" w:cs="Arial" w:eastAsia="Arial" w:hAnsi="Arial"/>
                <w:sz w:val="18"/>
                <w:szCs w:val="18"/>
                <w:color w:val="auto"/>
              </w:rPr>
              <w:t>/s/ Sehat Sutardja, Ph.D.</w:t>
            </w:r>
          </w:p>
        </w:tc>
      </w:tr>
      <w:tr>
        <w:trPr>
          <w:trHeight w:val="195"/>
        </w:trPr>
        <w:tc>
          <w:tcPr>
            <w:tcW w:w="400" w:type="dxa"/>
            <w:vAlign w:val="bottom"/>
          </w:tcPr>
          <w:p>
            <w:pPr>
              <w:spacing w:after="0"/>
              <w:rPr>
                <w:sz w:val="16"/>
                <w:szCs w:val="16"/>
                <w:color w:val="auto"/>
              </w:rPr>
            </w:pPr>
          </w:p>
        </w:tc>
        <w:tc>
          <w:tcPr>
            <w:tcW w:w="5600" w:type="dxa"/>
            <w:vAlign w:val="bottom"/>
          </w:tcPr>
          <w:p>
            <w:pPr>
              <w:ind w:left="1140"/>
              <w:spacing w:after="0" w:line="195" w:lineRule="exact"/>
              <w:rPr>
                <w:sz w:val="20"/>
                <w:szCs w:val="20"/>
                <w:color w:val="auto"/>
              </w:rPr>
            </w:pPr>
            <w:r>
              <w:rPr>
                <w:rFonts w:ascii="Arial" w:cs="Arial" w:eastAsia="Arial" w:hAnsi="Arial"/>
                <w:sz w:val="18"/>
                <w:szCs w:val="18"/>
                <w:color w:val="auto"/>
              </w:rPr>
              <w:t>Sehat Sutardja, Ph.D.</w:t>
            </w:r>
          </w:p>
        </w:tc>
      </w:tr>
      <w:tr>
        <w:trPr>
          <w:trHeight w:val="230"/>
        </w:trPr>
        <w:tc>
          <w:tcPr>
            <w:tcW w:w="400" w:type="dxa"/>
            <w:vAlign w:val="bottom"/>
          </w:tcPr>
          <w:p>
            <w:pPr>
              <w:spacing w:after="0"/>
              <w:rPr>
                <w:sz w:val="20"/>
                <w:szCs w:val="20"/>
                <w:color w:val="auto"/>
              </w:rPr>
            </w:pPr>
          </w:p>
        </w:tc>
        <w:tc>
          <w:tcPr>
            <w:tcW w:w="5600" w:type="dxa"/>
            <w:vAlign w:val="bottom"/>
          </w:tcPr>
          <w:p>
            <w:pPr>
              <w:ind w:left="1000"/>
              <w:spacing w:after="0"/>
              <w:rPr>
                <w:sz w:val="20"/>
                <w:szCs w:val="20"/>
                <w:color w:val="auto"/>
              </w:rPr>
            </w:pPr>
            <w:r>
              <w:rPr>
                <w:rFonts w:ascii="Arial" w:cs="Arial" w:eastAsia="Arial" w:hAnsi="Arial"/>
                <w:sz w:val="18"/>
                <w:szCs w:val="18"/>
                <w:color w:val="auto"/>
              </w:rPr>
              <w:t>Chief Executive Officer</w:t>
            </w:r>
          </w:p>
        </w:tc>
      </w:tr>
      <w:tr>
        <w:trPr>
          <w:trHeight w:val="702"/>
        </w:trPr>
        <w:tc>
          <w:tcPr>
            <w:tcW w:w="400" w:type="dxa"/>
            <w:vAlign w:val="bottom"/>
          </w:tcPr>
          <w:p>
            <w:pPr>
              <w:jc w:val="right"/>
              <w:spacing w:after="0"/>
              <w:rPr>
                <w:sz w:val="20"/>
                <w:szCs w:val="20"/>
                <w:color w:val="auto"/>
              </w:rPr>
            </w:pPr>
            <w:r>
              <w:rPr>
                <w:rFonts w:ascii="Arial" w:cs="Arial" w:eastAsia="Arial" w:hAnsi="Arial"/>
                <w:sz w:val="18"/>
                <w:szCs w:val="18"/>
                <w:color w:val="auto"/>
              </w:rPr>
              <w:t>3</w:t>
            </w:r>
          </w:p>
        </w:tc>
        <w:tc>
          <w:tcPr>
            <w:tcW w:w="560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EXHIBIT INDEX</w:t>
      </w:r>
    </w:p>
    <w:p>
      <w:pPr>
        <w:spacing w:after="0" w:line="207" w:lineRule="exact"/>
        <w:rPr>
          <w:sz w:val="20"/>
          <w:szCs w:val="20"/>
          <w:color w:val="auto"/>
        </w:rPr>
      </w:pPr>
    </w:p>
    <w:p>
      <w:pPr>
        <w:spacing w:after="0"/>
        <w:tabs>
          <w:tab w:leader="none" w:pos="5940" w:val="left"/>
        </w:tabs>
        <w:rPr>
          <w:sz w:val="20"/>
          <w:szCs w:val="20"/>
          <w:color w:val="auto"/>
        </w:rPr>
      </w:pPr>
      <w:r>
        <w:rPr>
          <w:rFonts w:ascii="Arial" w:cs="Arial" w:eastAsia="Arial" w:hAnsi="Arial"/>
          <w:sz w:val="14"/>
          <w:szCs w:val="14"/>
          <w:b w:val="1"/>
          <w:bCs w:val="1"/>
          <w:color w:val="auto"/>
        </w:rPr>
        <w:t>Exhibit No.</w:t>
      </w:r>
      <w:r>
        <w:rPr>
          <w:sz w:val="20"/>
          <w:szCs w:val="20"/>
          <w:color w:val="auto"/>
        </w:rPr>
        <w:tab/>
      </w:r>
      <w:r>
        <w:rPr>
          <w:rFonts w:ascii="Arial" w:cs="Arial" w:eastAsia="Arial" w:hAnsi="Arial"/>
          <w:sz w:val="12"/>
          <w:szCs w:val="12"/>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6350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6" w:lineRule="exact"/>
        <w:rPr>
          <w:sz w:val="20"/>
          <w:szCs w:val="20"/>
          <w:color w:val="auto"/>
        </w:rPr>
      </w:pPr>
    </w:p>
    <w:p>
      <w:pPr>
        <w:ind w:left="320"/>
        <w:spacing w:after="0"/>
        <w:tabs>
          <w:tab w:leader="none" w:pos="120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July 17, 2007.</w:t>
      </w:r>
    </w:p>
    <w:p>
      <w:pPr>
        <w:spacing w:after="0" w:line="200" w:lineRule="exact"/>
        <w:rPr>
          <w:sz w:val="20"/>
          <w:szCs w:val="20"/>
          <w:color w:val="auto"/>
        </w:rPr>
      </w:pPr>
    </w:p>
    <w:p>
      <w:pPr>
        <w:spacing w:after="0" w:line="29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Contacts</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Peter B. Hillan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831-252-1512</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pete.hillan@fleishman.com</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Diane Vanasse</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408-242-0027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dvanasse@marvell.com</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NAMES MICHAEL RASHKIN NEW CHIEF FINANCIAL OFFICER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Veteran technology financial strategist takes interim role</w:t>
      </w:r>
    </w:p>
    <w:p>
      <w:pPr>
        <w:spacing w:after="0" w:line="211" w:lineRule="exact"/>
        <w:rPr>
          <w:sz w:val="20"/>
          <w:szCs w:val="20"/>
          <w:color w:val="auto"/>
        </w:rPr>
      </w:pPr>
    </w:p>
    <w:p>
      <w:pPr>
        <w:ind w:right="440"/>
        <w:spacing w:after="0" w:line="259" w:lineRule="auto"/>
        <w:rPr>
          <w:sz w:val="20"/>
          <w:szCs w:val="20"/>
          <w:color w:val="auto"/>
        </w:rPr>
      </w:pPr>
      <w:r>
        <w:rPr>
          <w:rFonts w:ascii="Arial" w:cs="Arial" w:eastAsia="Arial" w:hAnsi="Arial"/>
          <w:sz w:val="18"/>
          <w:szCs w:val="18"/>
          <w:color w:val="auto"/>
        </w:rPr>
        <w:t>SANTA CLARA, CA (July 17, 2007) - Marvell Technology Group Ltd. today announced it has named Michael Rashkin chief financial officer effective immediately. Mr. Rashkin, who has been with the Company’s subsidiary, Marvell Semiconductor, Inc. (“MSI”) since 1999, has recently served as Vice President and General Tax Counsel and, in 2007, was appointed Special Assistant to the CEO and Vice President of Strategic Development of MSI. Mr. Rashkin will serve as CFO on an interim basis.</w:t>
      </w:r>
    </w:p>
    <w:p>
      <w:pPr>
        <w:spacing w:after="0" w:line="187" w:lineRule="exact"/>
        <w:rPr>
          <w:sz w:val="20"/>
          <w:szCs w:val="20"/>
          <w:color w:val="auto"/>
        </w:rPr>
      </w:pPr>
    </w:p>
    <w:p>
      <w:pPr>
        <w:jc w:val="both"/>
        <w:ind w:right="100"/>
        <w:spacing w:after="0" w:line="279" w:lineRule="auto"/>
        <w:rPr>
          <w:sz w:val="20"/>
          <w:szCs w:val="20"/>
          <w:color w:val="auto"/>
        </w:rPr>
      </w:pPr>
      <w:r>
        <w:rPr>
          <w:rFonts w:ascii="Arial" w:cs="Arial" w:eastAsia="Arial" w:hAnsi="Arial"/>
          <w:sz w:val="17"/>
          <w:szCs w:val="17"/>
          <w:color w:val="auto"/>
        </w:rPr>
        <w:t>Mr. Rashkin has worked with global technology companies for more than 30 years, establishing international tax structures and managing a wide variety of functions. Prior to joining Marvell, Mr. Rashkin spent 13 years at Apple Computer, where he held positions as General Manager of Asia and Latin America, Director of Marketing for Apple Japan, Director of International Legal, Director of International Business Development, and Director of Taxes, Customs and Export Licensing. Prior to Apple, Mr. Rashkin handled tax planning for Digital Equipment Corporation for six years.</w:t>
      </w:r>
    </w:p>
    <w:p>
      <w:pPr>
        <w:spacing w:after="0" w:line="171" w:lineRule="exact"/>
        <w:rPr>
          <w:sz w:val="20"/>
          <w:szCs w:val="20"/>
          <w:color w:val="auto"/>
        </w:rPr>
      </w:pPr>
    </w:p>
    <w:p>
      <w:pPr>
        <w:jc w:val="both"/>
        <w:ind w:right="280"/>
        <w:spacing w:after="0" w:line="264" w:lineRule="auto"/>
        <w:rPr>
          <w:sz w:val="20"/>
          <w:szCs w:val="20"/>
          <w:color w:val="auto"/>
        </w:rPr>
      </w:pPr>
      <w:r>
        <w:rPr>
          <w:rFonts w:ascii="Arial" w:cs="Arial" w:eastAsia="Arial" w:hAnsi="Arial"/>
          <w:sz w:val="18"/>
          <w:szCs w:val="18"/>
          <w:color w:val="auto"/>
        </w:rPr>
        <w:t>“Mike already is a significant contributor to the Company and has built a strong tax organization. He has an in depth expertise in finance as well as a solid familiarity with our various businesses,” said Sehat Sutardja, Marvell’s Chief Executive Officer. “He will immediately step in and help guide the company through a critical time as we continue to build a solid platform for growth.”</w:t>
      </w:r>
    </w:p>
    <w:p>
      <w:pPr>
        <w:spacing w:after="0" w:line="181" w:lineRule="exact"/>
        <w:rPr>
          <w:sz w:val="20"/>
          <w:szCs w:val="20"/>
          <w:color w:val="auto"/>
        </w:rPr>
      </w:pPr>
    </w:p>
    <w:p>
      <w:pPr>
        <w:ind w:right="220"/>
        <w:spacing w:after="0" w:line="342" w:lineRule="auto"/>
        <w:rPr>
          <w:sz w:val="20"/>
          <w:szCs w:val="20"/>
          <w:color w:val="auto"/>
        </w:rPr>
      </w:pPr>
      <w:r>
        <w:rPr>
          <w:rFonts w:ascii="Arial" w:cs="Arial" w:eastAsia="Arial" w:hAnsi="Arial"/>
          <w:sz w:val="16"/>
          <w:szCs w:val="16"/>
          <w:color w:val="auto"/>
        </w:rPr>
        <w:t>Mike holds a master’s of laws degree from New York University. He is the author of “</w:t>
      </w:r>
      <w:r>
        <w:rPr>
          <w:rFonts w:ascii="Arial" w:cs="Arial" w:eastAsia="Arial" w:hAnsi="Arial"/>
          <w:sz w:val="16"/>
          <w:szCs w:val="16"/>
          <w:i w:val="1"/>
          <w:iCs w:val="1"/>
          <w:color w:val="auto"/>
        </w:rPr>
        <w:t>Research and Development Tax Incentives</w:t>
      </w:r>
      <w:r>
        <w:rPr>
          <w:rFonts w:ascii="Arial" w:cs="Arial" w:eastAsia="Arial" w:hAnsi="Arial"/>
          <w:sz w:val="16"/>
          <w:szCs w:val="16"/>
          <w:color w:val="auto"/>
        </w:rPr>
        <w:t>,” published by Commerce Clearing House in 2003. His most recent book, “</w:t>
      </w:r>
      <w:r>
        <w:rPr>
          <w:rFonts w:ascii="Arial" w:cs="Arial" w:eastAsia="Arial" w:hAnsi="Arial"/>
          <w:sz w:val="16"/>
          <w:szCs w:val="16"/>
          <w:i w:val="1"/>
          <w:iCs w:val="1"/>
          <w:color w:val="auto"/>
        </w:rPr>
        <w:t>The Practical Guide to Research and Development Tax Incentives”</w:t>
      </w:r>
      <w:r>
        <w:rPr>
          <w:rFonts w:ascii="Arial" w:cs="Arial" w:eastAsia="Arial" w:hAnsi="Arial"/>
          <w:sz w:val="16"/>
          <w:szCs w:val="16"/>
          <w:color w:val="auto"/>
        </w:rPr>
        <w:t xml:space="preserve"> will be published this year.</w:t>
      </w:r>
    </w:p>
    <w:p>
      <w:pPr>
        <w:spacing w:after="0" w:line="124" w:lineRule="exact"/>
        <w:rPr>
          <w:sz w:val="20"/>
          <w:szCs w:val="20"/>
          <w:color w:val="auto"/>
        </w:rPr>
      </w:pPr>
    </w:p>
    <w:p>
      <w:pPr>
        <w:spacing w:after="0"/>
        <w:rPr>
          <w:sz w:val="20"/>
          <w:szCs w:val="20"/>
          <w:color w:val="auto"/>
        </w:rPr>
      </w:pPr>
      <w:r>
        <w:rPr>
          <w:rFonts w:ascii="Arial" w:cs="Arial" w:eastAsia="Arial" w:hAnsi="Arial"/>
          <w:sz w:val="18"/>
          <w:szCs w:val="18"/>
          <w:color w:val="auto"/>
        </w:rPr>
        <w:t>Marvell has retained Heidrick &amp; Struggles to find a permanent CFO.</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jc w:val="both"/>
        <w:ind w:right="480"/>
        <w:spacing w:after="0" w:line="264" w:lineRule="auto"/>
        <w:rPr>
          <w:sz w:val="20"/>
          <w:szCs w:val="20"/>
          <w:color w:val="auto"/>
        </w:rPr>
      </w:pPr>
      <w:r>
        <w:rPr>
          <w:rFonts w:ascii="Arial" w:cs="Arial" w:eastAsia="Arial" w:hAnsi="Arial"/>
          <w:sz w:val="18"/>
          <w:szCs w:val="18"/>
          <w:color w:val="auto"/>
        </w:rPr>
        <w:t>Marvell (NASDAQ: MRVL) is the leader in development of storage, communications, and consumer silicon solutions. The company’s diverse product portfolio includes switching, transceiver, communications controller, wireless and storage solutions that power the entire communications infrastructure including enterprise, metro, home and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207645</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ind w:right="40"/>
        <w:spacing w:after="0" w:line="257" w:lineRule="auto"/>
        <w:rPr>
          <w:sz w:val="20"/>
          <w:szCs w:val="20"/>
          <w:color w:val="auto"/>
        </w:rPr>
      </w:pPr>
      <w:r>
        <w:rPr>
          <w:rFonts w:ascii="Arial" w:cs="Arial" w:eastAsia="Arial" w:hAnsi="Arial"/>
          <w:sz w:val="18"/>
          <w:szCs w:val="18"/>
          <w:color w:val="auto"/>
        </w:rPr>
        <w:t>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Marvell Software Solutions Israel Ltd., and Marvell Semiconductor Germany GmbH. MSI is headquartered in Santa Clara, California and designs, develops and markets products on behalf of MIL and MAPL. MSI may be contacted at (408) 222-2500 or at www.marvell.com.</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229" w:lineRule="exact"/>
        <w:rPr>
          <w:sz w:val="20"/>
          <w:szCs w:val="20"/>
          <w:color w:val="auto"/>
        </w:rPr>
      </w:pPr>
    </w:p>
    <w:p>
      <w:pPr>
        <w:ind w:right="160"/>
        <w:spacing w:after="0" w:line="291" w:lineRule="auto"/>
        <w:rPr>
          <w:sz w:val="20"/>
          <w:szCs w:val="20"/>
          <w:color w:val="auto"/>
        </w:rPr>
      </w:pPr>
      <w:r>
        <w:rPr>
          <w:rFonts w:ascii="Arial" w:cs="Arial" w:eastAsia="Arial" w:hAnsi="Arial"/>
          <w:sz w:val="16"/>
          <w:szCs w:val="16"/>
          <w:color w:val="auto"/>
        </w:rPr>
        <w:t>This release contains forward-looking statements that are subject to risks and uncertainties. Words such as “anticipates,” “expects,” “intends,” “plans,” “believes,” “seeks,” “estimates,” “may,” “will,” “should,” and their variations identify forward-looking statements. Statements that refer to, or are based on projections, uncertain events or assumptions also identify forward-looking statements. These statements are not guarantees of results and are subject to risks and uncertainties. Some risks and uncertainties that may adversely impact the statements in this release include, but are not limited to, the outcome of the company’s search for a permanent CFO. For other factors that could cause Marvell’s results to vary from expectations, please see the risks and other factors described in Marvell’s Quarterly Reports on Form 10-Q, Annual Report on Form 10-K and Current Reports on Form 8-K as filed with the Securities and Exchange Commission from time to time. We undertake no obligation to revise or update publicly any forward-looking statements.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 is a registered trademark of Marvell or its affiliates.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lowerLetter"/>
      <w:start w:val="4"/>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2019-12-14T20:28:09Z</dcterms:created>
  <dcterms:modified xsi:type="dcterms:W3CDTF">2019-12-14T20:28:09Z</dcterms:modified>
</cp:coreProperties>
</file>