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9"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spacing w:after="0" w:line="4"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Washington, D.C. 20549</w:t>
      </w:r>
    </w:p>
    <w:p>
      <w:pPr>
        <w:spacing w:after="0" w:line="176"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28" w:lineRule="exact"/>
        <w:rPr>
          <w:sz w:val="24"/>
          <w:szCs w:val="24"/>
          <w:color w:val="auto"/>
        </w:rPr>
      </w:pPr>
    </w:p>
    <w:p>
      <w:pPr>
        <w:ind w:left="4700"/>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Times New Roman" w:cs="Times New Roman" w:eastAsia="Times New Roman" w:hAnsi="Times New Roman"/>
          <w:sz w:val="22"/>
          <w:szCs w:val="22"/>
          <w:b w:val="1"/>
          <w:bCs w:val="1"/>
          <w:color w:val="auto"/>
        </w:rPr>
        <w:t>Pursuant to Section 13 or 15(d) of the</w:t>
      </w:r>
    </w:p>
    <w:p>
      <w:pPr>
        <w:spacing w:after="0" w:line="18"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22"/>
          <w:szCs w:val="22"/>
          <w:b w:val="1"/>
          <w:bCs w:val="1"/>
          <w:color w:val="auto"/>
        </w:rPr>
        <w:t>Securities Exchange Act of 1934</w:t>
      </w:r>
    </w:p>
    <w:p>
      <w:pPr>
        <w:spacing w:after="0" w:line="187"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Date of Report (Date of earliest event reported): July 9, 2007</w:t>
      </w:r>
    </w:p>
    <w:p>
      <w:pPr>
        <w:spacing w:after="0" w:line="200"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t>MARVELL TECHNOLOGY GROUP LTD.</w:t>
      </w:r>
    </w:p>
    <w:p>
      <w:pPr>
        <w:spacing w:after="0" w:line="46"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(Exact name of registrant as specified in its charter)</w:t>
      </w:r>
    </w:p>
    <w:p>
      <w:pPr>
        <w:sectPr>
          <w:pgSz w:w="11900" w:h="16838" w:orient="portrait"/>
          <w:cols w:equalWidth="0" w:num="1">
            <w:col w:w="11380"/>
          </w:cols>
          <w:pgMar w:left="240" w:top="741" w:right="279" w:bottom="0" w:gutter="0" w:footer="0" w:header="0"/>
        </w:sectPr>
      </w:pPr>
    </w:p>
    <w:p>
      <w:pPr>
        <w:spacing w:after="0" w:line="201" w:lineRule="exact"/>
        <w:rPr>
          <w:sz w:val="24"/>
          <w:szCs w:val="24"/>
          <w:color w:val="auto"/>
        </w:rPr>
      </w:pPr>
    </w:p>
    <w:p>
      <w:pPr>
        <w:jc w:val="center"/>
        <w:ind w:right="360"/>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31" w:lineRule="exact"/>
        <w:rPr>
          <w:sz w:val="24"/>
          <w:szCs w:val="24"/>
          <w:color w:val="auto"/>
        </w:rPr>
      </w:pPr>
    </w:p>
    <w:p>
      <w:pPr>
        <w:jc w:val="center"/>
        <w:ind w:right="360"/>
        <w:spacing w:after="0"/>
        <w:rPr>
          <w:sz w:val="20"/>
          <w:szCs w:val="20"/>
          <w:color w:val="auto"/>
        </w:rPr>
      </w:pPr>
      <w:r>
        <w:rPr>
          <w:rFonts w:ascii="Times New Roman" w:cs="Times New Roman" w:eastAsia="Times New Roman" w:hAnsi="Times New Roman"/>
          <w:sz w:val="18"/>
          <w:szCs w:val="18"/>
          <w:color w:val="auto"/>
        </w:rPr>
        <w:t>(State or Other Jurisdiction of Incorporation)</w:t>
      </w:r>
    </w:p>
    <w:p>
      <w:pPr>
        <w:spacing w:after="0" w:line="20" w:lineRule="exact"/>
        <w:rPr>
          <w:sz w:val="24"/>
          <w:szCs w:val="24"/>
          <w:color w:val="auto"/>
        </w:rPr>
      </w:pPr>
      <w:r>
        <w:rPr>
          <w:sz w:val="24"/>
          <w:szCs w:val="24"/>
          <w:color w:val="auto"/>
        </w:rPr>
        <w:br w:type="column"/>
      </w:r>
    </w:p>
    <w:p>
      <w:pPr>
        <w:spacing w:after="0" w:line="181" w:lineRule="exact"/>
        <w:rPr>
          <w:sz w:val="24"/>
          <w:szCs w:val="24"/>
          <w:color w:val="auto"/>
        </w:rPr>
      </w:pPr>
    </w:p>
    <w:p>
      <w:pPr>
        <w:jc w:val="center"/>
        <w:ind w:right="1500"/>
        <w:spacing w:after="0"/>
        <w:rPr>
          <w:sz w:val="20"/>
          <w:szCs w:val="20"/>
          <w:color w:val="auto"/>
        </w:rPr>
      </w:pPr>
      <w:r>
        <w:rPr>
          <w:rFonts w:ascii="Times New Roman" w:cs="Times New Roman" w:eastAsia="Times New Roman" w:hAnsi="Times New Roman"/>
          <w:sz w:val="18"/>
          <w:szCs w:val="18"/>
          <w:b w:val="1"/>
          <w:bCs w:val="1"/>
          <w:color w:val="auto"/>
        </w:rPr>
        <w:t>0-30877</w:t>
      </w:r>
    </w:p>
    <w:p>
      <w:pPr>
        <w:spacing w:after="0" w:line="31" w:lineRule="exact"/>
        <w:rPr>
          <w:sz w:val="24"/>
          <w:szCs w:val="24"/>
          <w:color w:val="auto"/>
        </w:rPr>
      </w:pPr>
    </w:p>
    <w:p>
      <w:pPr>
        <w:jc w:val="center"/>
        <w:ind w:right="1500"/>
        <w:spacing w:after="0"/>
        <w:rPr>
          <w:sz w:val="20"/>
          <w:szCs w:val="20"/>
          <w:color w:val="auto"/>
        </w:rPr>
      </w:pPr>
      <w:r>
        <w:rPr>
          <w:rFonts w:ascii="Times New Roman" w:cs="Times New Roman" w:eastAsia="Times New Roman" w:hAnsi="Times New Roman"/>
          <w:sz w:val="18"/>
          <w:szCs w:val="18"/>
          <w:color w:val="auto"/>
        </w:rPr>
        <w:t>(Commission File Number)</w:t>
      </w:r>
    </w:p>
    <w:p>
      <w:pPr>
        <w:spacing w:after="0" w:line="20" w:lineRule="exact"/>
        <w:rPr>
          <w:sz w:val="24"/>
          <w:szCs w:val="24"/>
          <w:color w:val="auto"/>
        </w:rPr>
      </w:pPr>
      <w:r>
        <w:rPr>
          <w:sz w:val="24"/>
          <w:szCs w:val="24"/>
          <w:color w:val="auto"/>
        </w:rPr>
        <w:br w:type="column"/>
      </w:r>
    </w:p>
    <w:p>
      <w:pPr>
        <w:spacing w:after="0" w:line="181" w:lineRule="exact"/>
        <w:rPr>
          <w:sz w:val="24"/>
          <w:szCs w:val="24"/>
          <w:color w:val="auto"/>
        </w:rPr>
      </w:pPr>
    </w:p>
    <w:p>
      <w:pPr>
        <w:jc w:val="center"/>
        <w:ind w:right="1100"/>
        <w:spacing w:after="0"/>
        <w:rPr>
          <w:sz w:val="20"/>
          <w:szCs w:val="20"/>
          <w:color w:val="auto"/>
        </w:rPr>
      </w:pPr>
      <w:r>
        <w:rPr>
          <w:rFonts w:ascii="Times New Roman" w:cs="Times New Roman" w:eastAsia="Times New Roman" w:hAnsi="Times New Roman"/>
          <w:sz w:val="18"/>
          <w:szCs w:val="18"/>
          <w:b w:val="1"/>
          <w:bCs w:val="1"/>
          <w:color w:val="auto"/>
        </w:rPr>
        <w:t>77-0481679</w:t>
      </w:r>
    </w:p>
    <w:p>
      <w:pPr>
        <w:spacing w:after="0" w:line="31" w:lineRule="exact"/>
        <w:rPr>
          <w:sz w:val="24"/>
          <w:szCs w:val="24"/>
          <w:color w:val="auto"/>
        </w:rPr>
      </w:pPr>
    </w:p>
    <w:p>
      <w:pPr>
        <w:jc w:val="center"/>
        <w:ind w:right="1100"/>
        <w:spacing w:after="0"/>
        <w:rPr>
          <w:sz w:val="20"/>
          <w:szCs w:val="20"/>
          <w:color w:val="auto"/>
        </w:rPr>
      </w:pPr>
      <w:r>
        <w:rPr>
          <w:rFonts w:ascii="Times New Roman" w:cs="Times New Roman" w:eastAsia="Times New Roman" w:hAnsi="Times New Roman"/>
          <w:sz w:val="18"/>
          <w:szCs w:val="18"/>
          <w:color w:val="auto"/>
        </w:rPr>
        <w:t>(I.R.S. Employer</w:t>
      </w:r>
    </w:p>
    <w:p>
      <w:pPr>
        <w:spacing w:after="0" w:line="9" w:lineRule="exact"/>
        <w:rPr>
          <w:sz w:val="24"/>
          <w:szCs w:val="24"/>
          <w:color w:val="auto"/>
        </w:rPr>
      </w:pPr>
    </w:p>
    <w:p>
      <w:pPr>
        <w:jc w:val="center"/>
        <w:ind w:right="1100"/>
        <w:spacing w:after="0"/>
        <w:rPr>
          <w:sz w:val="20"/>
          <w:szCs w:val="20"/>
          <w:color w:val="auto"/>
        </w:rPr>
      </w:pPr>
      <w:r>
        <w:rPr>
          <w:rFonts w:ascii="Times New Roman" w:cs="Times New Roman" w:eastAsia="Times New Roman" w:hAnsi="Times New Roman"/>
          <w:sz w:val="17"/>
          <w:szCs w:val="17"/>
          <w:color w:val="auto"/>
        </w:rPr>
        <w:t>Identification No.)</w:t>
      </w:r>
    </w:p>
    <w:p>
      <w:pPr>
        <w:spacing w:after="0" w:line="200" w:lineRule="exact"/>
        <w:rPr>
          <w:sz w:val="24"/>
          <w:szCs w:val="24"/>
          <w:color w:val="auto"/>
        </w:rPr>
      </w:pPr>
    </w:p>
    <w:p>
      <w:pPr>
        <w:sectPr>
          <w:pgSz w:w="11900" w:h="16838" w:orient="portrait"/>
          <w:cols w:equalWidth="0" w:num="3">
            <w:col w:w="4000" w:space="720"/>
            <w:col w:w="3500" w:space="720"/>
            <w:col w:w="2440"/>
          </w:cols>
          <w:pgMar w:left="240" w:top="741" w:right="279" w:bottom="0" w:gutter="0" w:footer="0" w:header="0"/>
          <w:type w:val="continuous"/>
        </w:sectPr>
      </w:pPr>
    </w:p>
    <w:p>
      <w:pPr>
        <w:spacing w:after="0" w:line="68"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Canon’s Court</w:t>
      </w:r>
    </w:p>
    <w:p>
      <w:pPr>
        <w:spacing w:after="0" w:line="31"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22 Victoria Street</w:t>
      </w:r>
    </w:p>
    <w:p>
      <w:pPr>
        <w:spacing w:after="0" w:line="9"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Hamilton HM 12</w:t>
      </w:r>
    </w:p>
    <w:p>
      <w:pPr>
        <w:spacing w:after="0" w:line="9"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9"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(Address of principal executive offices)</w:t>
      </w:r>
    </w:p>
    <w:p>
      <w:pPr>
        <w:spacing w:after="0" w:line="203"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(441) 296-6395</w:t>
      </w:r>
    </w:p>
    <w:p>
      <w:pPr>
        <w:spacing w:after="0" w:line="31"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(Registrant’s telephone number,</w:t>
      </w:r>
    </w:p>
    <w:p>
      <w:pPr>
        <w:spacing w:after="0" w:line="9"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including area code)</w:t>
      </w:r>
    </w:p>
    <w:p>
      <w:pPr>
        <w:sectPr>
          <w:pgSz w:w="11900" w:h="16838" w:orient="portrait"/>
          <w:cols w:equalWidth="0" w:num="1">
            <w:col w:w="11380"/>
          </w:cols>
          <w:pgMar w:left="240" w:top="741" w:right="279" w:bottom="0" w:gutter="0" w:footer="0" w:header="0"/>
          <w:type w:val="continuous"/>
        </w:sectPr>
      </w:pPr>
    </w:p>
    <w:p>
      <w:pPr>
        <w:spacing w:after="0" w:line="203"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N/A</w:t>
      </w:r>
    </w:p>
    <w:p>
      <w:pPr>
        <w:spacing w:after="0" w:line="31"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(Former name or former address, if changed since last report.)</w:t>
      </w:r>
    </w:p>
    <w:p>
      <w:pPr>
        <w:spacing w:after="0" w:line="207" w:lineRule="exact"/>
        <w:rPr>
          <w:sz w:val="24"/>
          <w:szCs w:val="24"/>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62"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292100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334645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581660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68"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2.02 Results of Operations and Financial Condition</w:t>
      </w:r>
    </w:p>
    <w:p>
      <w:pPr>
        <w:spacing w:after="0" w:line="229" w:lineRule="exact"/>
        <w:rPr>
          <w:sz w:val="24"/>
          <w:szCs w:val="24"/>
          <w:color w:val="auto"/>
        </w:rPr>
      </w:pPr>
    </w:p>
    <w:p>
      <w:pPr>
        <w:ind w:right="40" w:firstLine="648"/>
        <w:spacing w:after="0" w:line="261" w:lineRule="auto"/>
        <w:rPr>
          <w:sz w:val="20"/>
          <w:szCs w:val="20"/>
          <w:color w:val="auto"/>
        </w:rPr>
      </w:pPr>
      <w:r>
        <w:rPr>
          <w:rFonts w:ascii="Times New Roman" w:cs="Times New Roman" w:eastAsia="Times New Roman" w:hAnsi="Times New Roman"/>
          <w:sz w:val="18"/>
          <w:szCs w:val="18"/>
          <w:color w:val="auto"/>
        </w:rPr>
        <w:t>The information in this Current Report, including the accompanying exhibit, is being furnished and shall not be deemed “filed” for the purposes of Section 18 of the Securities Exchange Act of 1934, as amended (the “Exchange Act”), or otherwise subject to the liabilities of Section 18. The information in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80" w:lineRule="exact"/>
        <w:rPr>
          <w:sz w:val="24"/>
          <w:szCs w:val="24"/>
          <w:color w:val="auto"/>
        </w:rPr>
      </w:pPr>
    </w:p>
    <w:p>
      <w:pPr>
        <w:ind w:right="20" w:firstLine="648"/>
        <w:spacing w:after="0" w:line="256" w:lineRule="auto"/>
        <w:rPr>
          <w:sz w:val="20"/>
          <w:szCs w:val="20"/>
          <w:color w:val="auto"/>
        </w:rPr>
      </w:pPr>
      <w:r>
        <w:rPr>
          <w:rFonts w:ascii="Times New Roman" w:cs="Times New Roman" w:eastAsia="Times New Roman" w:hAnsi="Times New Roman"/>
          <w:sz w:val="18"/>
          <w:szCs w:val="18"/>
          <w:color w:val="auto"/>
        </w:rPr>
        <w:t>On July 10, 2007, Marvell Technology Group Ltd. (“Marvell”) issued a press release announcing the filing of its Quarterly Report on Form 10-Q for the fiscal quarter ended April 28, 2007, which had been delayed as a result of our internal stock option review. Together with our filing of an Annual Report on Form 10-K for the fiscal year ended January 27, 2007, an amended Quarterly Report on Form 10-Q/A for the fiscal quarter ended April 29, 2006, and Quarterly Reports on Form 10-Q for the fiscal quarters ended July 29, 2006 and October 28, 2006 on July 2, 2007, Marvell has on file all previously delinquent financial reports with the Securities and Exchange Commission. A copy of the press release is furnished herewith as Exhibit 99.1 and is incorporated by reference herein.</w:t>
      </w:r>
    </w:p>
    <w:p>
      <w:pPr>
        <w:spacing w:after="0" w:line="188" w:lineRule="exact"/>
        <w:rPr>
          <w:sz w:val="24"/>
          <w:szCs w:val="24"/>
          <w:color w:val="auto"/>
        </w:rPr>
      </w:pPr>
    </w:p>
    <w:p>
      <w:pPr>
        <w:ind w:right="420" w:firstLine="648"/>
        <w:spacing w:after="0" w:line="282" w:lineRule="auto"/>
        <w:rPr>
          <w:sz w:val="20"/>
          <w:szCs w:val="20"/>
          <w:color w:val="auto"/>
        </w:rPr>
      </w:pPr>
      <w:r>
        <w:rPr>
          <w:rFonts w:ascii="Times New Roman" w:cs="Times New Roman" w:eastAsia="Times New Roman" w:hAnsi="Times New Roman"/>
          <w:sz w:val="18"/>
          <w:szCs w:val="18"/>
          <w:color w:val="auto"/>
        </w:rPr>
        <w:t>Marvell has included financial information for the four quarters in the years ended January 27, 2007 and January 28, 2006, and the first quarter ended April 28, 2007, which are furnished herewith as Exhibit 99.2 and are incorporated by reference herein.</w:t>
      </w:r>
    </w:p>
    <w:p>
      <w:pPr>
        <w:spacing w:after="0" w:line="158"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Discussion of Non-GAAP Financial Measures</w:t>
      </w:r>
    </w:p>
    <w:p>
      <w:pPr>
        <w:spacing w:after="0" w:line="31" w:lineRule="exact"/>
        <w:rPr>
          <w:sz w:val="24"/>
          <w:szCs w:val="24"/>
          <w:color w:val="auto"/>
        </w:rPr>
      </w:pPr>
    </w:p>
    <w:p>
      <w:pPr>
        <w:ind w:right="180" w:firstLine="648"/>
        <w:spacing w:after="0" w:line="261" w:lineRule="auto"/>
        <w:rPr>
          <w:sz w:val="20"/>
          <w:szCs w:val="20"/>
          <w:color w:val="auto"/>
        </w:rPr>
      </w:pPr>
      <w:r>
        <w:rPr>
          <w:rFonts w:ascii="Times New Roman" w:cs="Times New Roman" w:eastAsia="Times New Roman" w:hAnsi="Times New Roman"/>
          <w:sz w:val="18"/>
          <w:szCs w:val="18"/>
          <w:color w:val="auto"/>
        </w:rPr>
        <w:t>In addition to disclosing financial results calculated in accordance with GAAP, Marvell also reports adjusted net income and net income per share, referred to respectively as "non-GAAP net income" and "non-GAAP net income per share." Non-GAAP measures exclude the effect of stock-based</w:t>
      </w:r>
    </w:p>
    <w:p>
      <w:pPr>
        <w:sectPr>
          <w:pgSz w:w="11900" w:h="16838" w:orient="portrait"/>
          <w:cols w:equalWidth="0" w:num="1">
            <w:col w:w="11380"/>
          </w:cols>
          <w:pgMar w:left="240" w:top="741" w:right="279" w:bottom="0" w:gutter="0" w:footer="0" w:header="0"/>
          <w:type w:val="continuous"/>
        </w:sectPr>
      </w:pPr>
    </w:p>
    <w:bookmarkStart w:id="1" w:name="page2"/>
    <w:bookmarkEnd w:id="1"/>
    <w:p>
      <w:pPr>
        <w:spacing w:after="0" w:line="36" w:lineRule="exact"/>
        <w:rPr>
          <w:sz w:val="20"/>
          <w:szCs w:val="20"/>
          <w:color w:val="auto"/>
        </w:rPr>
      </w:pPr>
    </w:p>
    <w:p>
      <w:pPr>
        <w:ind w:right="580"/>
        <w:spacing w:after="0" w:line="282" w:lineRule="auto"/>
        <w:rPr>
          <w:sz w:val="20"/>
          <w:szCs w:val="20"/>
          <w:color w:val="auto"/>
        </w:rPr>
      </w:pPr>
      <w:r>
        <w:rPr>
          <w:rFonts w:ascii="Times New Roman" w:cs="Times New Roman" w:eastAsia="Times New Roman" w:hAnsi="Times New Roman"/>
          <w:sz w:val="18"/>
          <w:szCs w:val="18"/>
          <w:color w:val="auto"/>
        </w:rPr>
        <w:t>compensation, in-process research and development charges, amortization of acquired intangible assets and cumulative effect of change in accounting principle.</w:t>
      </w:r>
    </w:p>
    <w:p>
      <w:pPr>
        <w:spacing w:after="0" w:line="162" w:lineRule="exact"/>
        <w:rPr>
          <w:sz w:val="20"/>
          <w:szCs w:val="20"/>
          <w:color w:val="auto"/>
        </w:rPr>
      </w:pPr>
    </w:p>
    <w:p>
      <w:pPr>
        <w:ind w:firstLine="648"/>
        <w:spacing w:after="0" w:line="261" w:lineRule="auto"/>
        <w:rPr>
          <w:sz w:val="20"/>
          <w:szCs w:val="20"/>
          <w:color w:val="auto"/>
        </w:rPr>
      </w:pPr>
      <w:r>
        <w:rPr>
          <w:rFonts w:ascii="Times New Roman" w:cs="Times New Roman" w:eastAsia="Times New Roman" w:hAnsi="Times New Roman"/>
          <w:sz w:val="18"/>
          <w:szCs w:val="18"/>
          <w:color w:val="auto"/>
        </w:rPr>
        <w:t>Non-GAAP net income per share is calculated by dividing non-GAAP net income by non-GAAP weighted average shares - diluted. For purposes of calculating non-GAAP net income per share, the GAAP diluted weighted average shares outstanding is adjusted to exclude the benefits of FASB Statement of Financial Accounting Standards No. 123 (revised 2004), “Share Based Payments” (“SFAS 123R”) compensation costs attributable to future services and not yet recognized in the financial statements that are treated as proceeds assumed to be used to repurchased shares under the GAAP treasury stock method.</w:t>
      </w:r>
    </w:p>
    <w:p>
      <w:pPr>
        <w:spacing w:after="0" w:line="180" w:lineRule="exact"/>
        <w:rPr>
          <w:sz w:val="20"/>
          <w:szCs w:val="20"/>
          <w:color w:val="auto"/>
        </w:rPr>
      </w:pPr>
    </w:p>
    <w:p>
      <w:pPr>
        <w:ind w:right="20" w:firstLine="648"/>
        <w:spacing w:after="0" w:line="258" w:lineRule="auto"/>
        <w:rPr>
          <w:sz w:val="20"/>
          <w:szCs w:val="20"/>
          <w:color w:val="auto"/>
        </w:rPr>
      </w:pPr>
      <w:r>
        <w:rPr>
          <w:rFonts w:ascii="Times New Roman" w:cs="Times New Roman" w:eastAsia="Times New Roman" w:hAnsi="Times New Roman"/>
          <w:sz w:val="18"/>
          <w:szCs w:val="18"/>
          <w:color w:val="auto"/>
        </w:rPr>
        <w:t>These non-GAAP measures should be considered in addition to, and not as a substitute for, the results prepared in accordance with GAAP. Marvell's management believes the non-GAAP information is useful because it can enhance the understanding of the company's ongoing economic performance and Marvell therefore uses non-GAAP reporting internally to evaluate and manage its operations. Marvell has chosen to provide this information to investors to enable them to perform comparisons of operating results in a manner similar to how Marvell analyzes its operating results internally. Management also believes that these non-GAAP financial measures may be used to facilitate comparisons of our results with that of other companies in our industry.</w:t>
      </w:r>
    </w:p>
    <w:p>
      <w:pPr>
        <w:spacing w:after="0" w:line="184" w:lineRule="exact"/>
        <w:rPr>
          <w:sz w:val="20"/>
          <w:szCs w:val="20"/>
          <w:color w:val="auto"/>
        </w:rPr>
      </w:pPr>
    </w:p>
    <w:p>
      <w:pPr>
        <w:jc w:val="both"/>
        <w:ind w:right="200" w:firstLine="648"/>
        <w:spacing w:after="0" w:line="313" w:lineRule="auto"/>
        <w:rPr>
          <w:sz w:val="20"/>
          <w:szCs w:val="20"/>
          <w:color w:val="auto"/>
        </w:rPr>
      </w:pPr>
      <w:r>
        <w:rPr>
          <w:rFonts w:ascii="Times New Roman" w:cs="Times New Roman" w:eastAsia="Times New Roman" w:hAnsi="Times New Roman"/>
          <w:sz w:val="17"/>
          <w:szCs w:val="17"/>
          <w:color w:val="auto"/>
        </w:rPr>
        <w:t>Externally, we believe that investors may find our non-GAAP net income information useful in their assessment of our operating performance and the valuation of our company. Internally, our non-GAAP net income and non-GAAP net income per share are used by management in the following areas:</w:t>
      </w:r>
    </w:p>
    <w:p>
      <w:pPr>
        <w:spacing w:after="0" w:line="138" w:lineRule="exact"/>
        <w:rPr>
          <w:sz w:val="20"/>
          <w:szCs w:val="20"/>
          <w:color w:val="auto"/>
        </w:rPr>
      </w:pPr>
    </w:p>
    <w:p>
      <w:pPr>
        <w:ind w:left="640" w:hanging="308"/>
        <w:spacing w:after="0"/>
        <w:tabs>
          <w:tab w:leader="none" w:pos="64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determination of Pro Forma EPS target-based stock-based bonus compensation for our executive officers;</w:t>
      </w:r>
    </w:p>
    <w:p>
      <w:pPr>
        <w:spacing w:after="0" w:line="225" w:lineRule="exact"/>
        <w:rPr>
          <w:rFonts w:ascii="Times New Roman" w:cs="Times New Roman" w:eastAsia="Times New Roman" w:hAnsi="Times New Roman"/>
          <w:sz w:val="18"/>
          <w:szCs w:val="18"/>
          <w:color w:val="auto"/>
        </w:rPr>
      </w:pPr>
    </w:p>
    <w:p>
      <w:pPr>
        <w:ind w:left="640" w:hanging="308"/>
        <w:spacing w:after="0"/>
        <w:tabs>
          <w:tab w:leader="none" w:pos="64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evaluation of Marvell’s operating performance;</w:t>
      </w:r>
    </w:p>
    <w:p>
      <w:pPr>
        <w:spacing w:after="0" w:line="225" w:lineRule="exact"/>
        <w:rPr>
          <w:rFonts w:ascii="Times New Roman" w:cs="Times New Roman" w:eastAsia="Times New Roman" w:hAnsi="Times New Roman"/>
          <w:sz w:val="18"/>
          <w:szCs w:val="18"/>
          <w:color w:val="auto"/>
        </w:rPr>
      </w:pPr>
    </w:p>
    <w:p>
      <w:pPr>
        <w:ind w:left="640" w:hanging="308"/>
        <w:spacing w:after="0"/>
        <w:tabs>
          <w:tab w:leader="none" w:pos="64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establishment of internal operating budgets; and</w:t>
      </w:r>
    </w:p>
    <w:p>
      <w:pPr>
        <w:spacing w:after="0" w:line="225" w:lineRule="exact"/>
        <w:rPr>
          <w:rFonts w:ascii="Times New Roman" w:cs="Times New Roman" w:eastAsia="Times New Roman" w:hAnsi="Times New Roman"/>
          <w:sz w:val="18"/>
          <w:szCs w:val="18"/>
          <w:color w:val="auto"/>
        </w:rPr>
      </w:pPr>
    </w:p>
    <w:p>
      <w:pPr>
        <w:ind w:left="640" w:hanging="308"/>
        <w:spacing w:after="0"/>
        <w:tabs>
          <w:tab w:leader="none" w:pos="64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performance comparisons with internal forecasts and targeted business models.</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Non-GAAP net income reflects net income adjusted for the following items:</w:t>
      </w:r>
    </w:p>
    <w:p>
      <w:pPr>
        <w:spacing w:after="0" w:line="223" w:lineRule="exact"/>
        <w:rPr>
          <w:sz w:val="20"/>
          <w:szCs w:val="20"/>
          <w:color w:val="auto"/>
        </w:rPr>
      </w:pPr>
    </w:p>
    <w:p>
      <w:pPr>
        <w:ind w:left="660" w:right="220" w:hanging="328"/>
        <w:spacing w:after="0" w:line="261" w:lineRule="auto"/>
        <w:tabs>
          <w:tab w:leader="none" w:pos="651"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Stock-based compensation</w:t>
      </w:r>
      <w:r>
        <w:rPr>
          <w:rFonts w:ascii="Times New Roman" w:cs="Times New Roman" w:eastAsia="Times New Roman" w:hAnsi="Times New Roman"/>
          <w:sz w:val="18"/>
          <w:szCs w:val="18"/>
          <w:color w:val="auto"/>
        </w:rPr>
        <w:t>. Stock-based compensation relates primarily to employee stock options and restricted stock units issued. Stock-based</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compensation expense is a non-cash expense that is difficult to predict as its valuation is affected by changes in market forces, such as the price of our common stock, which is not within the control of management. Accordingly, we exclude this item from its internal operating forecasts and models.</w:t>
      </w:r>
    </w:p>
    <w:p>
      <w:pPr>
        <w:spacing w:after="0" w:line="180" w:lineRule="exact"/>
        <w:rPr>
          <w:rFonts w:ascii="Times New Roman" w:cs="Times New Roman" w:eastAsia="Times New Roman" w:hAnsi="Times New Roman"/>
          <w:sz w:val="18"/>
          <w:szCs w:val="18"/>
          <w:color w:val="auto"/>
        </w:rPr>
      </w:pPr>
    </w:p>
    <w:p>
      <w:pPr>
        <w:ind w:left="660" w:right="220" w:hanging="328"/>
        <w:spacing w:after="0" w:line="267" w:lineRule="auto"/>
        <w:tabs>
          <w:tab w:leader="none" w:pos="651"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In-process research and development charges</w:t>
      </w:r>
      <w:r>
        <w:rPr>
          <w:rFonts w:ascii="Times New Roman" w:cs="Times New Roman" w:eastAsia="Times New Roman" w:hAnsi="Times New Roman"/>
          <w:sz w:val="18"/>
          <w:szCs w:val="18"/>
          <w:color w:val="auto"/>
        </w:rPr>
        <w:t>. In-process research and development charges relate to product development projects of acquired</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businesses that have not reached technological feasibility at the time of acquisition. We consider these charges non-cash in nature and unrelated to our core operating performance.</w:t>
      </w:r>
    </w:p>
    <w:p>
      <w:pPr>
        <w:spacing w:after="0" w:line="173" w:lineRule="exact"/>
        <w:rPr>
          <w:rFonts w:ascii="Times New Roman" w:cs="Times New Roman" w:eastAsia="Times New Roman" w:hAnsi="Times New Roman"/>
          <w:sz w:val="18"/>
          <w:szCs w:val="18"/>
          <w:color w:val="auto"/>
        </w:rPr>
      </w:pPr>
    </w:p>
    <w:p>
      <w:pPr>
        <w:ind w:left="660" w:right="160" w:hanging="328"/>
        <w:spacing w:after="0" w:line="284" w:lineRule="auto"/>
        <w:tabs>
          <w:tab w:leader="none" w:pos="651"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Amortization of acquired intangible assets</w:t>
      </w:r>
      <w:r>
        <w:rPr>
          <w:rFonts w:ascii="Times New Roman" w:cs="Times New Roman" w:eastAsia="Times New Roman" w:hAnsi="Times New Roman"/>
          <w:sz w:val="18"/>
          <w:szCs w:val="18"/>
          <w:color w:val="auto"/>
        </w:rPr>
        <w:t>. Purchased intangible assets relate primarily to existing and core technology, and customer relationships</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of acquired businesses. We consider these charges non-cash in nature and unrelated to our core operating performance.</w:t>
      </w:r>
    </w:p>
    <w:p>
      <w:pPr>
        <w:spacing w:after="0" w:line="158" w:lineRule="exact"/>
        <w:rPr>
          <w:rFonts w:ascii="Times New Roman" w:cs="Times New Roman" w:eastAsia="Times New Roman" w:hAnsi="Times New Roman"/>
          <w:sz w:val="18"/>
          <w:szCs w:val="18"/>
          <w:color w:val="auto"/>
        </w:rPr>
      </w:pPr>
    </w:p>
    <w:p>
      <w:pPr>
        <w:ind w:left="660" w:right="140" w:hanging="328"/>
        <w:spacing w:after="0" w:line="284" w:lineRule="auto"/>
        <w:tabs>
          <w:tab w:leader="none" w:pos="651"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Cumulative effect of change in accounting principle</w:t>
      </w:r>
      <w:r>
        <w:rPr>
          <w:rFonts w:ascii="Times New Roman" w:cs="Times New Roman" w:eastAsia="Times New Roman" w:hAnsi="Times New Roman"/>
          <w:sz w:val="18"/>
          <w:szCs w:val="18"/>
          <w:color w:val="auto"/>
        </w:rPr>
        <w:t>. The cumulative effect of a change in accounting principle, mandated by our adoption of SFAS</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123R to account for forfeitures is a non-cash item which management believes, is unrelated to our core operating performance.</w:t>
      </w:r>
    </w:p>
    <w:p>
      <w:pPr>
        <w:spacing w:after="0" w:line="376"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The calculation of non-GAAP net income per share is adjusted for the following item:</w:t>
      </w:r>
    </w:p>
    <w:p>
      <w:pPr>
        <w:spacing w:after="0" w:line="225" w:lineRule="exact"/>
        <w:rPr>
          <w:sz w:val="20"/>
          <w:szCs w:val="20"/>
          <w:color w:val="auto"/>
        </w:rPr>
      </w:pPr>
    </w:p>
    <w:p>
      <w:pPr>
        <w:ind w:left="660" w:right="40" w:hanging="328"/>
        <w:spacing w:after="0" w:line="256" w:lineRule="auto"/>
        <w:tabs>
          <w:tab w:leader="none" w:pos="651"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Non-GAAP net income per share is calculated by dividing non-GAAP net income by non-GAAP weighted average shares - diluted. For purposes of calculating non-GAAP net income per share, the GAAP diluted weighted average shares outstanding is adjusted to exclude the benefits of SFAS 123R compensation costs attributable to future services and not yet recognized in the financial statements that are treated as proceeds assumed to be used to repurchased shares under the GAAP treasury stock method. Since our non-GAAP net income does not reflect the effects of these compensation costs, management believes these amounts should not be applied to the repurchase of shares in calculating non-GAAP net income per share.</w:t>
      </w:r>
    </w:p>
    <w:p>
      <w:pPr>
        <w:spacing w:after="0" w:line="188" w:lineRule="exact"/>
        <w:rPr>
          <w:sz w:val="20"/>
          <w:szCs w:val="20"/>
          <w:color w:val="auto"/>
        </w:rPr>
      </w:pPr>
    </w:p>
    <w:p>
      <w:pPr>
        <w:ind w:right="120"/>
        <w:spacing w:after="0" w:line="256" w:lineRule="auto"/>
        <w:rPr>
          <w:sz w:val="20"/>
          <w:szCs w:val="20"/>
          <w:color w:val="auto"/>
        </w:rPr>
      </w:pPr>
      <w:r>
        <w:rPr>
          <w:rFonts w:ascii="Times New Roman" w:cs="Times New Roman" w:eastAsia="Times New Roman" w:hAnsi="Times New Roman"/>
          <w:sz w:val="18"/>
          <w:szCs w:val="18"/>
          <w:color w:val="auto"/>
        </w:rPr>
        <w:t>Non-GAAP net income and non-GAAP net income per share should be considered supplemental to, and not as a substitute for, or superior to, financial measures calculated in accordance with GAAP. Non-GAAP financial measures have limitations in that they do not reflect all of the costs associated with the operations of our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our non-GAAP net income should not be construed as an inference that these costs are unusual, infrequent or non-recurring. Some of the limitations in relying on non-GAAP net income and non-GAAP net income per share are:</w:t>
      </w:r>
    </w:p>
    <w:p>
      <w:pPr>
        <w:spacing w:after="0" w:line="188" w:lineRule="exact"/>
        <w:rPr>
          <w:sz w:val="20"/>
          <w:szCs w:val="20"/>
          <w:color w:val="auto"/>
        </w:rPr>
      </w:pPr>
    </w:p>
    <w:p>
      <w:pPr>
        <w:ind w:left="660" w:right="320" w:hanging="328"/>
        <w:spacing w:after="0" w:line="261" w:lineRule="auto"/>
        <w:tabs>
          <w:tab w:leader="none" w:pos="651"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Non-GAAP net income does not account for stock compensation expense related to equity awards granted to our employees. Our stock incentive plans are important components of our employee incentive compensation arrangements and are reflected as expenses in our GAAP results under SFAS 123R, effective as of January 29, 2006. Prior to the adoption of SFAS 123R, our GAAP results reflect stock compensation expense under Accounting Principles Board Opinion No. 25, “Accounting for Stock Issued to Employees” and related guidance.</w:t>
      </w:r>
    </w:p>
    <w:p>
      <w:pPr>
        <w:spacing w:after="0" w:line="180" w:lineRule="exact"/>
        <w:rPr>
          <w:rFonts w:ascii="Times New Roman" w:cs="Times New Roman" w:eastAsia="Times New Roman" w:hAnsi="Times New Roman"/>
          <w:sz w:val="18"/>
          <w:szCs w:val="18"/>
          <w:color w:val="auto"/>
        </w:rPr>
      </w:pPr>
    </w:p>
    <w:p>
      <w:pPr>
        <w:ind w:left="660" w:right="20" w:hanging="328"/>
        <w:spacing w:after="0" w:line="266" w:lineRule="auto"/>
        <w:tabs>
          <w:tab w:leader="none" w:pos="651"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In-process research and development is excluded from the non-GAAP net income presentation, and therefore non-GAAP net income does not reflect the costs of these projects that supplement our research and development efforts and compress the length of our development before bringing new products to market.</w:t>
      </w:r>
    </w:p>
    <w:p>
      <w:pPr>
        <w:spacing w:after="0" w:line="176" w:lineRule="exact"/>
        <w:rPr>
          <w:rFonts w:ascii="Times New Roman" w:cs="Times New Roman" w:eastAsia="Times New Roman" w:hAnsi="Times New Roman"/>
          <w:sz w:val="18"/>
          <w:szCs w:val="18"/>
          <w:color w:val="auto"/>
        </w:rPr>
      </w:pPr>
    </w:p>
    <w:p>
      <w:pPr>
        <w:ind w:left="660" w:right="20" w:hanging="328"/>
        <w:spacing w:after="0" w:line="261" w:lineRule="auto"/>
        <w:tabs>
          <w:tab w:leader="none" w:pos="651"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While amortization of purchased intangible assets does not directly affect our current cash position, such expense represents the declining value of the technology and other intangible assets that we have acquired over their respective expected economic lives. The expense associated with this decline in value is excluded from the non-GAAP net income presentation, and therefore non-GAAP net income does not reflect the costs of acquired intangible assets that supplement our research and development efforts.</w:t>
      </w:r>
    </w:p>
    <w:p>
      <w:pPr>
        <w:sectPr>
          <w:pgSz w:w="11900" w:h="16875" w:orient="portrait"/>
          <w:cols w:equalWidth="0" w:num="1">
            <w:col w:w="11400"/>
          </w:cols>
          <w:pgMar w:left="240" w:top="121" w:right="259" w:bottom="0" w:gutter="0" w:footer="0" w:header="0"/>
        </w:sectPr>
      </w:pPr>
    </w:p>
    <w:bookmarkStart w:id="2" w:name="page3"/>
    <w:bookmarkEnd w:id="2"/>
    <w:p>
      <w:pPr>
        <w:spacing w:after="0"/>
        <w:tabs>
          <w:tab w:leader="none" w:pos="1380" w:val="left"/>
        </w:tabs>
        <w:rPr>
          <w:sz w:val="20"/>
          <w:szCs w:val="20"/>
          <w:color w:val="auto"/>
        </w:rPr>
      </w:pPr>
      <w:r>
        <w:rPr>
          <w:rFonts w:ascii="Times New Roman" w:cs="Times New Roman" w:eastAsia="Times New Roman" w:hAnsi="Times New Roman"/>
          <w:sz w:val="18"/>
          <w:szCs w:val="18"/>
          <w:b w:val="1"/>
          <w:bCs w:val="1"/>
          <w:color w:val="auto"/>
        </w:rPr>
        <w:t>Item 9.01</w:t>
      </w:r>
      <w:r>
        <w:rPr>
          <w:sz w:val="20"/>
          <w:szCs w:val="20"/>
          <w:color w:val="auto"/>
        </w:rPr>
        <w:tab/>
      </w:r>
      <w:r>
        <w:rPr>
          <w:rFonts w:ascii="Times New Roman" w:cs="Times New Roman" w:eastAsia="Times New Roman" w:hAnsi="Times New Roman"/>
          <w:sz w:val="17"/>
          <w:szCs w:val="17"/>
          <w:b w:val="1"/>
          <w:bCs w:val="1"/>
          <w:color w:val="auto"/>
        </w:rPr>
        <w:t>Financial Statements and Exhibits.</w:t>
      </w:r>
    </w:p>
    <w:p>
      <w:pPr>
        <w:spacing w:after="0" w:line="229" w:lineRule="exact"/>
        <w:rPr>
          <w:sz w:val="20"/>
          <w:szCs w:val="20"/>
          <w:color w:val="auto"/>
        </w:rPr>
      </w:pPr>
    </w:p>
    <w:p>
      <w:pPr>
        <w:ind w:left="1360" w:hanging="704"/>
        <w:spacing w:after="0"/>
        <w:tabs>
          <w:tab w:leader="none" w:pos="136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Exhibits.</w:t>
      </w:r>
    </w:p>
    <w:p>
      <w:pPr>
        <w:spacing w:after="0" w:line="225" w:lineRule="exact"/>
        <w:rPr>
          <w:sz w:val="20"/>
          <w:szCs w:val="20"/>
          <w:color w:val="auto"/>
        </w:rPr>
      </w:pPr>
    </w:p>
    <w:p>
      <w:pPr>
        <w:ind w:left="1300"/>
        <w:spacing w:after="0"/>
        <w:tabs>
          <w:tab w:leader="none" w:pos="2000" w:val="left"/>
        </w:tabs>
        <w:rPr>
          <w:sz w:val="20"/>
          <w:szCs w:val="20"/>
          <w:color w:val="auto"/>
        </w:rPr>
      </w:pPr>
      <w:r>
        <w:rPr>
          <w:rFonts w:ascii="Times New Roman" w:cs="Times New Roman" w:eastAsia="Times New Roman" w:hAnsi="Times New Roman"/>
          <w:sz w:val="18"/>
          <w:szCs w:val="18"/>
          <w:color w:val="auto"/>
        </w:rPr>
        <w:t>99.1</w:t>
      </w:r>
      <w:r>
        <w:rPr>
          <w:sz w:val="20"/>
          <w:szCs w:val="20"/>
          <w:color w:val="auto"/>
        </w:rPr>
        <w:tab/>
      </w:r>
      <w:r>
        <w:rPr>
          <w:rFonts w:ascii="Times New Roman" w:cs="Times New Roman" w:eastAsia="Times New Roman" w:hAnsi="Times New Roman"/>
          <w:sz w:val="18"/>
          <w:szCs w:val="18"/>
          <w:color w:val="auto"/>
        </w:rPr>
        <w:t>Press Release dated July 9, 2007.</w:t>
      </w:r>
    </w:p>
    <w:p>
      <w:pPr>
        <w:spacing w:after="0" w:line="225" w:lineRule="exact"/>
        <w:rPr>
          <w:sz w:val="20"/>
          <w:szCs w:val="20"/>
          <w:color w:val="auto"/>
        </w:rPr>
      </w:pPr>
    </w:p>
    <w:p>
      <w:pPr>
        <w:ind w:left="1960" w:right="520" w:hanging="647"/>
        <w:spacing w:after="0" w:line="282" w:lineRule="auto"/>
        <w:tabs>
          <w:tab w:leader="none" w:pos="1940" w:val="left"/>
        </w:tabs>
        <w:rPr>
          <w:sz w:val="20"/>
          <w:szCs w:val="20"/>
          <w:color w:val="auto"/>
        </w:rPr>
      </w:pPr>
      <w:r>
        <w:rPr>
          <w:rFonts w:ascii="Times New Roman" w:cs="Times New Roman" w:eastAsia="Times New Roman" w:hAnsi="Times New Roman"/>
          <w:sz w:val="18"/>
          <w:szCs w:val="18"/>
          <w:color w:val="auto"/>
        </w:rPr>
        <w:t>99.2</w:t>
      </w:r>
      <w:r>
        <w:rPr>
          <w:sz w:val="20"/>
          <w:szCs w:val="20"/>
          <w:color w:val="auto"/>
        </w:rPr>
        <w:tab/>
      </w:r>
      <w:r>
        <w:rPr>
          <w:rFonts w:ascii="Times New Roman" w:cs="Times New Roman" w:eastAsia="Times New Roman" w:hAnsi="Times New Roman"/>
          <w:sz w:val="18"/>
          <w:szCs w:val="18"/>
          <w:color w:val="auto"/>
        </w:rPr>
        <w:t>Financial results for the four quarters of the years ended January 27, 2007 and January 28, 2006, and the first quarter ended April 28, 2007.</w:t>
      </w:r>
    </w:p>
    <w:p>
      <w:pPr>
        <w:spacing w:after="0" w:line="378"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SIGNATURE</w:t>
      </w:r>
    </w:p>
    <w:p>
      <w:pPr>
        <w:spacing w:after="0" w:line="229" w:lineRule="exact"/>
        <w:rPr>
          <w:sz w:val="20"/>
          <w:szCs w:val="20"/>
          <w:color w:val="auto"/>
        </w:rPr>
      </w:pPr>
    </w:p>
    <w:p>
      <w:pPr>
        <w:ind w:firstLine="648"/>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62"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 xml:space="preserve">Dated: </w:t>
      </w:r>
      <w:r>
        <w:rPr>
          <w:rFonts w:ascii="Times New Roman" w:cs="Times New Roman" w:eastAsia="Times New Roman" w:hAnsi="Times New Roman"/>
          <w:sz w:val="17"/>
          <w:szCs w:val="17"/>
          <w:color w:val="auto"/>
        </w:rPr>
        <w:t>July 9</w:t>
      </w:r>
      <w:r>
        <w:rPr>
          <w:rFonts w:ascii="Times New Roman" w:cs="Times New Roman" w:eastAsia="Times New Roman" w:hAnsi="Times New Roman"/>
          <w:sz w:val="18"/>
          <w:szCs w:val="18"/>
          <w:color w:val="auto"/>
        </w:rPr>
        <w:t>, 2007</w:t>
      </w:r>
    </w:p>
    <w:p>
      <w:pPr>
        <w:spacing w:after="0" w:line="225" w:lineRule="exact"/>
        <w:rPr>
          <w:sz w:val="20"/>
          <w:szCs w:val="20"/>
          <w:color w:val="auto"/>
        </w:rPr>
      </w:pPr>
    </w:p>
    <w:p>
      <w:pPr>
        <w:ind w:left="572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tbl>
      <w:tblPr>
        <w:tblLayout w:type="fixed"/>
        <w:tblInd w:w="5800" w:type="dxa"/>
        <w:tblCellMar>
          <w:top w:w="0" w:type="dxa"/>
          <w:left w:w="0" w:type="dxa"/>
          <w:bottom w:w="0" w:type="dxa"/>
          <w:right w:w="0" w:type="dxa"/>
        </w:tblCellMar>
      </w:tblPr>
      <w:tr>
        <w:trPr>
          <w:trHeight w:val="234"/>
        </w:trPr>
        <w:tc>
          <w:tcPr>
            <w:tcW w:w="340" w:type="dxa"/>
            <w:vAlign w:val="bottom"/>
          </w:tcPr>
          <w:p>
            <w:pPr>
              <w:spacing w:after="0"/>
              <w:rPr>
                <w:sz w:val="20"/>
                <w:szCs w:val="20"/>
                <w:color w:val="auto"/>
              </w:rPr>
            </w:pPr>
            <w:r>
              <w:rPr>
                <w:rFonts w:ascii="Times New Roman" w:cs="Times New Roman" w:eastAsia="Times New Roman" w:hAnsi="Times New Roman"/>
                <w:sz w:val="18"/>
                <w:szCs w:val="18"/>
                <w:color w:val="auto"/>
              </w:rPr>
              <w:t>By:</w:t>
            </w:r>
          </w:p>
        </w:tc>
        <w:tc>
          <w:tcPr>
            <w:tcW w:w="488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7"/>
              </w:rPr>
              <w:t>/s/ Michael Tate</w:t>
            </w:r>
          </w:p>
        </w:tc>
      </w:tr>
      <w:tr>
        <w:trPr>
          <w:trHeight w:val="178"/>
        </w:trPr>
        <w:tc>
          <w:tcPr>
            <w:tcW w:w="340" w:type="dxa"/>
            <w:vAlign w:val="bottom"/>
          </w:tcPr>
          <w:p>
            <w:pPr>
              <w:spacing w:after="0"/>
              <w:rPr>
                <w:sz w:val="15"/>
                <w:szCs w:val="15"/>
                <w:color w:val="auto"/>
              </w:rPr>
            </w:pPr>
          </w:p>
        </w:tc>
        <w:tc>
          <w:tcPr>
            <w:tcW w:w="4880" w:type="dxa"/>
            <w:vAlign w:val="bottom"/>
          </w:tcPr>
          <w:p>
            <w:pPr>
              <w:jc w:val="center"/>
              <w:spacing w:after="0" w:line="178" w:lineRule="exact"/>
              <w:rPr>
                <w:sz w:val="20"/>
                <w:szCs w:val="20"/>
                <w:color w:val="auto"/>
              </w:rPr>
            </w:pPr>
            <w:r>
              <w:rPr>
                <w:rFonts w:ascii="Times New Roman" w:cs="Times New Roman" w:eastAsia="Times New Roman" w:hAnsi="Times New Roman"/>
                <w:sz w:val="18"/>
                <w:szCs w:val="18"/>
                <w:color w:val="auto"/>
                <w:w w:val="98"/>
              </w:rPr>
              <w:t>Michael Tate</w:t>
            </w:r>
          </w:p>
        </w:tc>
      </w:tr>
      <w:tr>
        <w:trPr>
          <w:trHeight w:val="216"/>
        </w:trPr>
        <w:tc>
          <w:tcPr>
            <w:tcW w:w="340" w:type="dxa"/>
            <w:vAlign w:val="bottom"/>
          </w:tcPr>
          <w:p>
            <w:pPr>
              <w:spacing w:after="0"/>
              <w:rPr>
                <w:sz w:val="18"/>
                <w:szCs w:val="18"/>
                <w:color w:val="auto"/>
              </w:rPr>
            </w:pPr>
          </w:p>
        </w:tc>
        <w:tc>
          <w:tcPr>
            <w:tcW w:w="488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Vice President, Corporate Controller and Treasurer and</w:t>
            </w:r>
          </w:p>
        </w:tc>
      </w:tr>
      <w:tr>
        <w:trPr>
          <w:trHeight w:val="234"/>
        </w:trPr>
        <w:tc>
          <w:tcPr>
            <w:tcW w:w="340" w:type="dxa"/>
            <w:vAlign w:val="bottom"/>
          </w:tcPr>
          <w:p>
            <w:pPr>
              <w:spacing w:after="0"/>
              <w:rPr>
                <w:sz w:val="20"/>
                <w:szCs w:val="20"/>
                <w:color w:val="auto"/>
              </w:rPr>
            </w:pPr>
          </w:p>
        </w:tc>
        <w:tc>
          <w:tcPr>
            <w:tcW w:w="488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Interim Chief Financial Officer</w:t>
            </w:r>
          </w:p>
        </w:tc>
      </w:tr>
    </w:tbl>
    <w:p>
      <w:pPr>
        <w:spacing w:after="0" w:line="200" w:lineRule="exact"/>
        <w:rPr>
          <w:sz w:val="20"/>
          <w:szCs w:val="20"/>
          <w:color w:val="auto"/>
        </w:rPr>
      </w:pPr>
    </w:p>
    <w:p>
      <w:pPr>
        <w:spacing w:after="0" w:line="200" w:lineRule="exact"/>
        <w:rPr>
          <w:sz w:val="20"/>
          <w:szCs w:val="20"/>
          <w:color w:val="auto"/>
        </w:rPr>
      </w:pPr>
    </w:p>
    <w:p>
      <w:pPr>
        <w:spacing w:after="0" w:line="230"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EXHIBIT INDEX</w:t>
      </w:r>
    </w:p>
    <w:p>
      <w:pPr>
        <w:spacing w:after="0" w:line="200" w:lineRule="exact"/>
        <w:rPr>
          <w:sz w:val="20"/>
          <w:szCs w:val="20"/>
          <w:color w:val="auto"/>
        </w:rPr>
      </w:pPr>
    </w:p>
    <w:p>
      <w:pPr>
        <w:spacing w:after="0" w:line="225" w:lineRule="exact"/>
        <w:rPr>
          <w:sz w:val="20"/>
          <w:szCs w:val="20"/>
          <w:color w:val="auto"/>
        </w:rPr>
      </w:pPr>
    </w:p>
    <w:p>
      <w:pPr>
        <w:ind w:left="80"/>
        <w:spacing w:after="0"/>
        <w:tabs>
          <w:tab w:leader="none" w:pos="5880" w:val="left"/>
        </w:tabs>
        <w:rPr>
          <w:sz w:val="20"/>
          <w:szCs w:val="20"/>
          <w:color w:val="auto"/>
        </w:rPr>
      </w:pPr>
      <w:r>
        <w:rPr>
          <w:rFonts w:ascii="Times New Roman" w:cs="Times New Roman" w:eastAsia="Times New Roman" w:hAnsi="Times New Roman"/>
          <w:sz w:val="14"/>
          <w:szCs w:val="14"/>
          <w:b w:val="1"/>
          <w:bCs w:val="1"/>
          <w:color w:val="auto"/>
        </w:rPr>
        <w:t>Exhibit No.</w:t>
      </w:r>
      <w:r>
        <w:rPr>
          <w:sz w:val="20"/>
          <w:szCs w:val="20"/>
          <w:color w:val="auto"/>
        </w:rPr>
        <w:tab/>
      </w:r>
      <w:r>
        <w:rPr>
          <w:rFonts w:ascii="Times New Roman" w:cs="Times New Roman" w:eastAsia="Times New Roman" w:hAnsi="Times New Roman"/>
          <w:sz w:val="14"/>
          <w:szCs w:val="14"/>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7620</wp:posOffset>
            </wp:positionV>
            <wp:extent cx="720344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03440" cy="8890"/>
                    </a:xfrm>
                    <a:prstGeom prst="rect">
                      <a:avLst/>
                    </a:prstGeom>
                    <a:noFill/>
                  </pic:spPr>
                </pic:pic>
              </a:graphicData>
            </a:graphic>
          </wp:anchor>
        </w:drawing>
      </w:r>
    </w:p>
    <w:p>
      <w:pPr>
        <w:spacing w:after="0" w:line="204" w:lineRule="exact"/>
        <w:rPr>
          <w:sz w:val="20"/>
          <w:szCs w:val="20"/>
          <w:color w:val="auto"/>
        </w:rPr>
      </w:pPr>
    </w:p>
    <w:p>
      <w:pPr>
        <w:ind w:left="280"/>
        <w:spacing w:after="0"/>
        <w:tabs>
          <w:tab w:leader="none" w:pos="1140" w:val="left"/>
        </w:tabs>
        <w:rPr>
          <w:sz w:val="20"/>
          <w:szCs w:val="20"/>
          <w:color w:val="auto"/>
        </w:rPr>
      </w:pPr>
      <w:r>
        <w:rPr>
          <w:rFonts w:ascii="Times New Roman" w:cs="Times New Roman" w:eastAsia="Times New Roman" w:hAnsi="Times New Roman"/>
          <w:sz w:val="18"/>
          <w:szCs w:val="18"/>
          <w:color w:val="auto"/>
        </w:rPr>
        <w:t>99.1</w:t>
      </w:r>
      <w:r>
        <w:rPr>
          <w:sz w:val="20"/>
          <w:szCs w:val="20"/>
          <w:color w:val="auto"/>
        </w:rPr>
        <w:tab/>
      </w:r>
      <w:r>
        <w:rPr>
          <w:rFonts w:ascii="Times New Roman" w:cs="Times New Roman" w:eastAsia="Times New Roman" w:hAnsi="Times New Roman"/>
          <w:sz w:val="18"/>
          <w:szCs w:val="18"/>
          <w:color w:val="auto"/>
        </w:rPr>
        <w:t>Press Release dated July 9, 2007.</w:t>
      </w:r>
    </w:p>
    <w:p>
      <w:pPr>
        <w:spacing w:after="0" w:line="225" w:lineRule="exact"/>
        <w:rPr>
          <w:sz w:val="20"/>
          <w:szCs w:val="20"/>
          <w:color w:val="auto"/>
        </w:rPr>
      </w:pPr>
    </w:p>
    <w:p>
      <w:pPr>
        <w:ind w:left="1160" w:right="2380" w:hanging="872"/>
        <w:spacing w:after="0" w:line="282" w:lineRule="auto"/>
        <w:tabs>
          <w:tab w:leader="none" w:pos="1140" w:val="left"/>
        </w:tabs>
        <w:rPr>
          <w:sz w:val="20"/>
          <w:szCs w:val="20"/>
          <w:color w:val="auto"/>
        </w:rPr>
      </w:pPr>
      <w:r>
        <w:rPr>
          <w:rFonts w:ascii="Times New Roman" w:cs="Times New Roman" w:eastAsia="Times New Roman" w:hAnsi="Times New Roman"/>
          <w:sz w:val="18"/>
          <w:szCs w:val="18"/>
          <w:color w:val="auto"/>
        </w:rPr>
        <w:t>99.2</w:t>
      </w:r>
      <w:r>
        <w:rPr>
          <w:sz w:val="20"/>
          <w:szCs w:val="20"/>
          <w:color w:val="auto"/>
        </w:rPr>
        <w:tab/>
      </w:r>
      <w:r>
        <w:rPr>
          <w:rFonts w:ascii="Times New Roman" w:cs="Times New Roman" w:eastAsia="Times New Roman" w:hAnsi="Times New Roman"/>
          <w:sz w:val="18"/>
          <w:szCs w:val="18"/>
          <w:color w:val="auto"/>
        </w:rPr>
        <w:t>Financial results for the four quarters of the years ended January 27, 2007 and January 28, 2006, and the first quarter ended April 28, 2007.</w:t>
      </w:r>
    </w:p>
    <w:p>
      <w:pPr>
        <w:spacing w:after="0" w:line="200" w:lineRule="exact"/>
        <w:rPr>
          <w:sz w:val="20"/>
          <w:szCs w:val="20"/>
          <w:color w:val="auto"/>
        </w:rPr>
      </w:pPr>
    </w:p>
    <w:p>
      <w:pPr>
        <w:spacing w:after="0" w:line="232"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380"/>
          </w:cols>
          <w:pgMar w:left="240" w:top="333" w:right="279" w:bottom="1440" w:gutter="0" w:footer="0" w:header="0"/>
        </w:sectPr>
      </w:pPr>
    </w:p>
    <w:bookmarkStart w:id="3" w:name="page4"/>
    <w:bookmarkEnd w:id="3"/>
    <w:p>
      <w:pPr>
        <w:jc w:val="right"/>
        <w:spacing w:after="0"/>
        <w:rPr>
          <w:sz w:val="20"/>
          <w:szCs w:val="20"/>
          <w:color w:val="auto"/>
        </w:rPr>
      </w:pPr>
      <w:r>
        <w:rPr>
          <w:rFonts w:ascii="Times New Roman" w:cs="Times New Roman" w:eastAsia="Times New Roman" w:hAnsi="Times New Roman"/>
          <w:sz w:val="18"/>
          <w:szCs w:val="18"/>
          <w:b w:val="1"/>
          <w:bCs w:val="1"/>
          <w:color w:val="auto"/>
        </w:rPr>
        <w:t>Exhibit 99.1</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 Files Financial Report for Q1 Fiscal 2008</w:t>
      </w:r>
    </w:p>
    <w:p>
      <w:pPr>
        <w:spacing w:after="0" w:line="225" w:lineRule="exact"/>
        <w:rPr>
          <w:sz w:val="20"/>
          <w:szCs w:val="20"/>
          <w:color w:val="auto"/>
        </w:rPr>
      </w:pPr>
    </w:p>
    <w:p>
      <w:pPr>
        <w:ind w:right="100"/>
        <w:spacing w:after="0" w:line="262" w:lineRule="auto"/>
        <w:rPr>
          <w:sz w:val="20"/>
          <w:szCs w:val="20"/>
          <w:color w:val="auto"/>
        </w:rPr>
      </w:pPr>
      <w:r>
        <w:rPr>
          <w:rFonts w:ascii="Times New Roman" w:cs="Times New Roman" w:eastAsia="Times New Roman" w:hAnsi="Times New Roman"/>
          <w:sz w:val="18"/>
          <w:szCs w:val="18"/>
          <w:b w:val="1"/>
          <w:bCs w:val="1"/>
          <w:color w:val="auto"/>
        </w:rPr>
        <w:t xml:space="preserve">Santa Clara, California (July 9, 2007) </w:t>
      </w:r>
      <w:r>
        <w:rPr>
          <w:rFonts w:ascii="Times New Roman" w:cs="Times New Roman" w:eastAsia="Times New Roman" w:hAnsi="Times New Roman"/>
          <w:sz w:val="18"/>
          <w:szCs w:val="18"/>
          <w:color w:val="auto"/>
        </w:rPr>
        <w:t>— Marvell Technology Group Ltd. (NASDAQ: MRVL) today announced that it has completed and filed with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SEC its previously delayed Quarterly Report on Form 10-Q for the quarter ended April 28, 2007. As previously disclosed, the Company's filing was delayed as a result of an internal review conducted by a special committee of the Company’s Board of Directors relating to the Company’s historical stock option practices and related accounting matters.</w:t>
      </w:r>
    </w:p>
    <w:p>
      <w:pPr>
        <w:spacing w:after="0" w:line="18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Additional Information</w:t>
      </w:r>
    </w:p>
    <w:p>
      <w:pPr>
        <w:spacing w:after="0" w:line="225" w:lineRule="exact"/>
        <w:rPr>
          <w:sz w:val="20"/>
          <w:szCs w:val="20"/>
          <w:color w:val="auto"/>
        </w:rPr>
      </w:pPr>
    </w:p>
    <w:p>
      <w:pPr>
        <w:ind w:right="260"/>
        <w:spacing w:after="0" w:line="254" w:lineRule="auto"/>
        <w:rPr>
          <w:sz w:val="20"/>
          <w:szCs w:val="20"/>
          <w:color w:val="auto"/>
        </w:rPr>
      </w:pPr>
      <w:r>
        <w:rPr>
          <w:rFonts w:ascii="Times New Roman" w:cs="Times New Roman" w:eastAsia="Times New Roman" w:hAnsi="Times New Roman"/>
          <w:sz w:val="18"/>
          <w:szCs w:val="18"/>
          <w:color w:val="auto"/>
        </w:rPr>
        <w:t>Marvell today filed a Current Report on Form 8-K that incorporates this press release and also provides, in addition to the Company's quarterly financial results for each of the quarters of Fiscal 2007 and 2006 and the first quarter of Fiscal 2008, under generally accepted accounting principles (GAAP), reconciliations of GAAP net income and net income per share to non-GAAP net income and net income per share for each of those quarters. Marvell management believes the non-GAAP information is useful because it can enhance the understanding of its ongoing economic performance and Marvell therefore uses non-GAAP reporting internally to evaluate and manage its operations. Marvell has chosen to provide this information to investors to enable them to perform comparisons of operating results in a manner similar to how the Company analyzes its operating results internally. Management also believes that these non-GAAP financial measures may be used to facilitate comparisons of our results with that of other companies in our industry. Please refer to the Form 8-K filed today, which is available on the SEC’s website at www.sec.gov or on the Investors section of Marvell’s website at www.marvell.com.</w:t>
      </w:r>
    </w:p>
    <w:p>
      <w:pPr>
        <w:spacing w:after="0" w:line="18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About Marvell</w:t>
      </w:r>
    </w:p>
    <w:p>
      <w:pPr>
        <w:spacing w:after="0" w:line="229" w:lineRule="exact"/>
        <w:rPr>
          <w:sz w:val="20"/>
          <w:szCs w:val="20"/>
          <w:color w:val="auto"/>
        </w:rPr>
      </w:pPr>
    </w:p>
    <w:p>
      <w:pPr>
        <w:ind w:right="100"/>
        <w:spacing w:after="0" w:line="255" w:lineRule="auto"/>
        <w:rPr>
          <w:sz w:val="20"/>
          <w:szCs w:val="20"/>
          <w:color w:val="auto"/>
        </w:rPr>
      </w:pPr>
      <w:r>
        <w:rPr>
          <w:rFonts w:ascii="Times New Roman" w:cs="Times New Roman" w:eastAsia="Times New Roman" w:hAnsi="Times New Roman"/>
          <w:sz w:val="18"/>
          <w:szCs w:val="18"/>
          <w:color w:val="auto"/>
        </w:rPr>
        <w:t>Marvell (NASDAQ: MRVL) is a leader in storage, communications and consumer silicon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Marvell Software Solutions Israel Ltd., and Marvell Semiconductor Germany GmbH. MSI is headquartered in Santa Clara, Calif., and designs, develops and markets products on behalf of MIL and MAPL. MSI may be contacted at (408) 222-2500 or at www.marvell.com.</w:t>
      </w:r>
    </w:p>
    <w:p>
      <w:pPr>
        <w:spacing w:after="0" w:line="18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Marvell</w:t>
      </w:r>
      <w:r>
        <w:rPr>
          <w:rFonts w:ascii="Times New Roman" w:cs="Times New Roman" w:eastAsia="Times New Roman" w:hAnsi="Times New Roman"/>
          <w:sz w:val="23"/>
          <w:szCs w:val="23"/>
          <w:i w:val="1"/>
          <w:iCs w:val="1"/>
          <w:color w:val="auto"/>
          <w:vertAlign w:val="superscript"/>
        </w:rPr>
        <w:t>®</w:t>
      </w:r>
      <w:r>
        <w:rPr>
          <w:rFonts w:ascii="Times New Roman" w:cs="Times New Roman" w:eastAsia="Times New Roman" w:hAnsi="Times New Roman"/>
          <w:sz w:val="18"/>
          <w:szCs w:val="18"/>
          <w:i w:val="1"/>
          <w:iCs w:val="1"/>
          <w:color w:val="auto"/>
        </w:rPr>
        <w:t xml:space="preserve"> and the Marvell logo are trademarks of 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340360</wp:posOffset>
            </wp:positionV>
            <wp:extent cx="7267575"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17" w:right="239" w:bottom="1440" w:gutter="0" w:footer="0" w:header="0"/>
        </w:sectPr>
      </w:pPr>
    </w:p>
    <w:bookmarkStart w:id="4" w:name="page5"/>
    <w:bookmarkEnd w:id="4"/>
    <w:p>
      <w:pPr>
        <w:ind w:left="10480"/>
        <w:spacing w:after="0"/>
        <w:rPr>
          <w:sz w:val="20"/>
          <w:szCs w:val="20"/>
          <w:color w:val="auto"/>
        </w:rPr>
      </w:pPr>
      <w:r>
        <w:rPr>
          <w:rFonts w:ascii="Times New Roman" w:cs="Times New Roman" w:eastAsia="Times New Roman" w:hAnsi="Times New Roman"/>
          <w:sz w:val="18"/>
          <w:szCs w:val="18"/>
          <w:b w:val="1"/>
          <w:bCs w:val="1"/>
          <w:color w:val="auto"/>
        </w:rPr>
        <w:t>Exhibit 99.2</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Unaudited GAAP Consolidated Statements of Operations</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thousands, except per share amounts)</w:t>
      </w:r>
    </w:p>
    <w:p>
      <w:pPr>
        <w:spacing w:after="0" w:line="187" w:lineRule="exact"/>
        <w:rPr>
          <w:sz w:val="20"/>
          <w:szCs w:val="20"/>
          <w:color w:val="auto"/>
        </w:rPr>
      </w:pPr>
    </w:p>
    <w:tbl>
      <w:tblPr>
        <w:tblLayout w:type="fixed"/>
        <w:tblInd w:w="0" w:type="dxa"/>
        <w:tblCellMar>
          <w:top w:w="0" w:type="dxa"/>
          <w:left w:w="0" w:type="dxa"/>
          <w:bottom w:w="0" w:type="dxa"/>
          <w:right w:w="0" w:type="dxa"/>
        </w:tblCellMar>
      </w:tblPr>
      <w:tr>
        <w:trPr>
          <w:trHeight w:val="173"/>
        </w:trPr>
        <w:tc>
          <w:tcPr>
            <w:tcW w:w="20" w:type="dxa"/>
            <w:vAlign w:val="bottom"/>
          </w:tcPr>
          <w:p>
            <w:pPr>
              <w:spacing w:after="0"/>
              <w:rPr>
                <w:sz w:val="15"/>
                <w:szCs w:val="15"/>
                <w:color w:val="auto"/>
              </w:rPr>
            </w:pPr>
          </w:p>
        </w:tc>
        <w:tc>
          <w:tcPr>
            <w:tcW w:w="33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80" w:type="dxa"/>
            <w:vAlign w:val="bottom"/>
          </w:tcPr>
          <w:p>
            <w:pPr>
              <w:jc w:val="right"/>
              <w:ind w:right="128"/>
              <w:spacing w:after="0"/>
              <w:rPr>
                <w:sz w:val="20"/>
                <w:szCs w:val="20"/>
                <w:color w:val="auto"/>
              </w:rPr>
            </w:pPr>
            <w:r>
              <w:rPr>
                <w:rFonts w:ascii="Times New Roman" w:cs="Times New Roman" w:eastAsia="Times New Roman" w:hAnsi="Times New Roman"/>
                <w:sz w:val="14"/>
                <w:szCs w:val="14"/>
                <w:b w:val="1"/>
                <w:bCs w:val="1"/>
                <w:color w:val="auto"/>
              </w:rPr>
              <w:t>Q1’06</w:t>
            </w:r>
          </w:p>
        </w:tc>
        <w:tc>
          <w:tcPr>
            <w:tcW w:w="1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80" w:type="dxa"/>
            <w:vAlign w:val="bottom"/>
          </w:tcPr>
          <w:p>
            <w:pPr>
              <w:jc w:val="right"/>
              <w:ind w:right="128"/>
              <w:spacing w:after="0"/>
              <w:rPr>
                <w:sz w:val="20"/>
                <w:szCs w:val="20"/>
                <w:color w:val="auto"/>
              </w:rPr>
            </w:pPr>
            <w:r>
              <w:rPr>
                <w:rFonts w:ascii="Times New Roman" w:cs="Times New Roman" w:eastAsia="Times New Roman" w:hAnsi="Times New Roman"/>
                <w:sz w:val="14"/>
                <w:szCs w:val="14"/>
                <w:b w:val="1"/>
                <w:bCs w:val="1"/>
                <w:color w:val="auto"/>
              </w:rPr>
              <w:t>Q2’06</w:t>
            </w:r>
          </w:p>
        </w:tc>
        <w:tc>
          <w:tcPr>
            <w:tcW w:w="1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80" w:type="dxa"/>
            <w:vAlign w:val="bottom"/>
          </w:tcPr>
          <w:p>
            <w:pPr>
              <w:jc w:val="right"/>
              <w:ind w:right="128"/>
              <w:spacing w:after="0"/>
              <w:rPr>
                <w:sz w:val="20"/>
                <w:szCs w:val="20"/>
                <w:color w:val="auto"/>
              </w:rPr>
            </w:pPr>
            <w:r>
              <w:rPr>
                <w:rFonts w:ascii="Times New Roman" w:cs="Times New Roman" w:eastAsia="Times New Roman" w:hAnsi="Times New Roman"/>
                <w:sz w:val="14"/>
                <w:szCs w:val="14"/>
                <w:b w:val="1"/>
                <w:bCs w:val="1"/>
                <w:color w:val="auto"/>
              </w:rPr>
              <w:t>Q3’06</w:t>
            </w:r>
          </w:p>
        </w:tc>
        <w:tc>
          <w:tcPr>
            <w:tcW w:w="1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40" w:type="dxa"/>
            <w:vAlign w:val="bottom"/>
            <w:gridSpan w:val="2"/>
          </w:tcPr>
          <w:p>
            <w:pPr>
              <w:jc w:val="center"/>
              <w:ind w:right="260"/>
              <w:spacing w:after="0"/>
              <w:rPr>
                <w:sz w:val="20"/>
                <w:szCs w:val="20"/>
                <w:color w:val="auto"/>
              </w:rPr>
            </w:pPr>
            <w:r>
              <w:rPr>
                <w:rFonts w:ascii="Times New Roman" w:cs="Times New Roman" w:eastAsia="Times New Roman" w:hAnsi="Times New Roman"/>
                <w:sz w:val="14"/>
                <w:szCs w:val="14"/>
                <w:b w:val="1"/>
                <w:bCs w:val="1"/>
                <w:color w:val="auto"/>
              </w:rPr>
              <w:t>Q4’06</w:t>
            </w:r>
          </w:p>
        </w:tc>
        <w:tc>
          <w:tcPr>
            <w:tcW w:w="60" w:type="dxa"/>
            <w:vAlign w:val="bottom"/>
          </w:tcPr>
          <w:p>
            <w:pPr>
              <w:spacing w:after="0"/>
              <w:rPr>
                <w:sz w:val="15"/>
                <w:szCs w:val="15"/>
                <w:color w:val="auto"/>
              </w:rPr>
            </w:pPr>
          </w:p>
        </w:tc>
        <w:tc>
          <w:tcPr>
            <w:tcW w:w="840" w:type="dxa"/>
            <w:vAlign w:val="bottom"/>
            <w:gridSpan w:val="2"/>
          </w:tcPr>
          <w:p>
            <w:pPr>
              <w:jc w:val="center"/>
              <w:ind w:right="220"/>
              <w:spacing w:after="0"/>
              <w:rPr>
                <w:sz w:val="20"/>
                <w:szCs w:val="20"/>
                <w:color w:val="auto"/>
              </w:rPr>
            </w:pPr>
            <w:r>
              <w:rPr>
                <w:rFonts w:ascii="Times New Roman" w:cs="Times New Roman" w:eastAsia="Times New Roman" w:hAnsi="Times New Roman"/>
                <w:sz w:val="14"/>
                <w:szCs w:val="14"/>
                <w:b w:val="1"/>
                <w:bCs w:val="1"/>
                <w:color w:val="auto"/>
              </w:rPr>
              <w:t>Q1’07</w:t>
            </w:r>
          </w:p>
        </w:tc>
        <w:tc>
          <w:tcPr>
            <w:tcW w:w="140" w:type="dxa"/>
            <w:vAlign w:val="bottom"/>
          </w:tcPr>
          <w:p>
            <w:pPr>
              <w:spacing w:after="0"/>
              <w:rPr>
                <w:sz w:val="15"/>
                <w:szCs w:val="15"/>
                <w:color w:val="auto"/>
              </w:rPr>
            </w:pPr>
          </w:p>
        </w:tc>
        <w:tc>
          <w:tcPr>
            <w:tcW w:w="740" w:type="dxa"/>
            <w:vAlign w:val="bottom"/>
            <w:gridSpan w:val="2"/>
          </w:tcPr>
          <w:p>
            <w:pPr>
              <w:ind w:left="40"/>
              <w:spacing w:after="0"/>
              <w:rPr>
                <w:sz w:val="20"/>
                <w:szCs w:val="20"/>
                <w:color w:val="auto"/>
              </w:rPr>
            </w:pPr>
            <w:r>
              <w:rPr>
                <w:rFonts w:ascii="Times New Roman" w:cs="Times New Roman" w:eastAsia="Times New Roman" w:hAnsi="Times New Roman"/>
                <w:sz w:val="14"/>
                <w:szCs w:val="14"/>
                <w:b w:val="1"/>
                <w:bCs w:val="1"/>
                <w:color w:val="auto"/>
              </w:rPr>
              <w:t>Q2’07</w:t>
            </w:r>
          </w:p>
        </w:tc>
        <w:tc>
          <w:tcPr>
            <w:tcW w:w="140" w:type="dxa"/>
            <w:vAlign w:val="bottom"/>
          </w:tcPr>
          <w:p>
            <w:pPr>
              <w:spacing w:after="0"/>
              <w:rPr>
                <w:sz w:val="15"/>
                <w:szCs w:val="15"/>
                <w:color w:val="auto"/>
              </w:rPr>
            </w:pPr>
          </w:p>
        </w:tc>
        <w:tc>
          <w:tcPr>
            <w:tcW w:w="740" w:type="dxa"/>
            <w:vAlign w:val="bottom"/>
            <w:gridSpan w:val="2"/>
          </w:tcPr>
          <w:p>
            <w:pPr>
              <w:ind w:left="40"/>
              <w:spacing w:after="0"/>
              <w:rPr>
                <w:sz w:val="20"/>
                <w:szCs w:val="20"/>
                <w:color w:val="auto"/>
              </w:rPr>
            </w:pPr>
            <w:r>
              <w:rPr>
                <w:rFonts w:ascii="Times New Roman" w:cs="Times New Roman" w:eastAsia="Times New Roman" w:hAnsi="Times New Roman"/>
                <w:sz w:val="14"/>
                <w:szCs w:val="14"/>
                <w:b w:val="1"/>
                <w:bCs w:val="1"/>
                <w:color w:val="auto"/>
              </w:rPr>
              <w:t>Q3’07</w:t>
            </w:r>
          </w:p>
        </w:tc>
        <w:tc>
          <w:tcPr>
            <w:tcW w:w="140" w:type="dxa"/>
            <w:vAlign w:val="bottom"/>
          </w:tcPr>
          <w:p>
            <w:pPr>
              <w:spacing w:after="0"/>
              <w:rPr>
                <w:sz w:val="15"/>
                <w:szCs w:val="15"/>
                <w:color w:val="auto"/>
              </w:rPr>
            </w:pPr>
          </w:p>
        </w:tc>
        <w:tc>
          <w:tcPr>
            <w:tcW w:w="760" w:type="dxa"/>
            <w:vAlign w:val="bottom"/>
            <w:gridSpan w:val="2"/>
          </w:tcPr>
          <w:p>
            <w:pPr>
              <w:jc w:val="right"/>
              <w:ind w:right="299"/>
              <w:spacing w:after="0"/>
              <w:rPr>
                <w:sz w:val="20"/>
                <w:szCs w:val="20"/>
                <w:color w:val="auto"/>
              </w:rPr>
            </w:pPr>
            <w:r>
              <w:rPr>
                <w:rFonts w:ascii="Times New Roman" w:cs="Times New Roman" w:eastAsia="Times New Roman" w:hAnsi="Times New Roman"/>
                <w:sz w:val="14"/>
                <w:szCs w:val="14"/>
                <w:b w:val="1"/>
                <w:bCs w:val="1"/>
                <w:color w:val="auto"/>
              </w:rPr>
              <w:t>Q4’07</w:t>
            </w:r>
          </w:p>
        </w:tc>
        <w:tc>
          <w:tcPr>
            <w:tcW w:w="120" w:type="dxa"/>
            <w:vAlign w:val="bottom"/>
          </w:tcPr>
          <w:p>
            <w:pPr>
              <w:spacing w:after="0"/>
              <w:rPr>
                <w:sz w:val="15"/>
                <w:szCs w:val="15"/>
                <w:color w:val="auto"/>
              </w:rPr>
            </w:pPr>
          </w:p>
        </w:tc>
        <w:tc>
          <w:tcPr>
            <w:tcW w:w="700" w:type="dxa"/>
            <w:vAlign w:val="bottom"/>
            <w:gridSpan w:val="2"/>
          </w:tcPr>
          <w:p>
            <w:pPr>
              <w:jc w:val="right"/>
              <w:ind w:right="239"/>
              <w:spacing w:after="0"/>
              <w:rPr>
                <w:sz w:val="20"/>
                <w:szCs w:val="20"/>
                <w:color w:val="auto"/>
              </w:rPr>
            </w:pPr>
            <w:r>
              <w:rPr>
                <w:rFonts w:ascii="Times New Roman" w:cs="Times New Roman" w:eastAsia="Times New Roman" w:hAnsi="Times New Roman"/>
                <w:sz w:val="14"/>
                <w:szCs w:val="14"/>
                <w:b w:val="1"/>
                <w:bCs w:val="1"/>
                <w:color w:val="auto"/>
              </w:rPr>
              <w:t>Q1’08</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34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ind w:right="8"/>
              <w:spacing w:after="0" w:line="129" w:lineRule="exact"/>
              <w:rPr>
                <w:sz w:val="20"/>
                <w:szCs w:val="20"/>
                <w:color w:val="auto"/>
              </w:rPr>
            </w:pPr>
            <w:r>
              <w:rPr>
                <w:rFonts w:ascii="Times New Roman" w:cs="Times New Roman" w:eastAsia="Times New Roman" w:hAnsi="Times New Roman"/>
                <w:sz w:val="14"/>
                <w:szCs w:val="14"/>
                <w:b w:val="1"/>
                <w:bCs w:val="1"/>
                <w:color w:val="auto"/>
              </w:rPr>
              <w:t>(restated)</w:t>
            </w:r>
          </w:p>
        </w:tc>
        <w:tc>
          <w:tcPr>
            <w:tcW w:w="16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ind w:right="28"/>
              <w:spacing w:after="0" w:line="129" w:lineRule="exact"/>
              <w:rPr>
                <w:sz w:val="20"/>
                <w:szCs w:val="20"/>
                <w:color w:val="auto"/>
              </w:rPr>
            </w:pPr>
            <w:r>
              <w:rPr>
                <w:rFonts w:ascii="Times New Roman" w:cs="Times New Roman" w:eastAsia="Times New Roman" w:hAnsi="Times New Roman"/>
                <w:sz w:val="14"/>
                <w:szCs w:val="14"/>
                <w:b w:val="1"/>
                <w:bCs w:val="1"/>
                <w:color w:val="auto"/>
                <w:w w:val="97"/>
              </w:rPr>
              <w:t>(restated)</w:t>
            </w:r>
          </w:p>
        </w:tc>
        <w:tc>
          <w:tcPr>
            <w:tcW w:w="16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ind w:right="28"/>
              <w:spacing w:after="0" w:line="129" w:lineRule="exact"/>
              <w:rPr>
                <w:sz w:val="20"/>
                <w:szCs w:val="20"/>
                <w:color w:val="auto"/>
              </w:rPr>
            </w:pPr>
            <w:r>
              <w:rPr>
                <w:rFonts w:ascii="Times New Roman" w:cs="Times New Roman" w:eastAsia="Times New Roman" w:hAnsi="Times New Roman"/>
                <w:sz w:val="14"/>
                <w:szCs w:val="14"/>
                <w:b w:val="1"/>
                <w:bCs w:val="1"/>
                <w:color w:val="auto"/>
                <w:w w:val="97"/>
              </w:rPr>
              <w:t>(restated)</w:t>
            </w:r>
          </w:p>
        </w:tc>
        <w:tc>
          <w:tcPr>
            <w:tcW w:w="16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center"/>
              <w:ind w:right="28"/>
              <w:spacing w:after="0" w:line="129" w:lineRule="exact"/>
              <w:rPr>
                <w:sz w:val="20"/>
                <w:szCs w:val="20"/>
                <w:color w:val="auto"/>
              </w:rPr>
            </w:pPr>
            <w:r>
              <w:rPr>
                <w:rFonts w:ascii="Times New Roman" w:cs="Times New Roman" w:eastAsia="Times New Roman" w:hAnsi="Times New Roman"/>
                <w:sz w:val="14"/>
                <w:szCs w:val="14"/>
                <w:b w:val="1"/>
                <w:bCs w:val="1"/>
                <w:color w:val="auto"/>
              </w:rPr>
              <w:t>(restated)</w:t>
            </w:r>
          </w:p>
        </w:tc>
        <w:tc>
          <w:tcPr>
            <w:tcW w:w="160" w:type="dxa"/>
            <w:vAlign w:val="bottom"/>
          </w:tcPr>
          <w:p>
            <w:pPr>
              <w:spacing w:after="0"/>
              <w:rPr>
                <w:sz w:val="11"/>
                <w:szCs w:val="11"/>
                <w:color w:val="auto"/>
              </w:rPr>
            </w:pPr>
          </w:p>
        </w:tc>
        <w:tc>
          <w:tcPr>
            <w:tcW w:w="6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center"/>
              <w:ind w:right="8"/>
              <w:spacing w:after="0" w:line="129" w:lineRule="exact"/>
              <w:rPr>
                <w:sz w:val="20"/>
                <w:szCs w:val="20"/>
                <w:color w:val="auto"/>
              </w:rPr>
            </w:pPr>
            <w:r>
              <w:rPr>
                <w:rFonts w:ascii="Times New Roman" w:cs="Times New Roman" w:eastAsia="Times New Roman" w:hAnsi="Times New Roman"/>
                <w:sz w:val="14"/>
                <w:szCs w:val="14"/>
                <w:b w:val="1"/>
                <w:bCs w:val="1"/>
                <w:color w:val="auto"/>
              </w:rPr>
              <w:t>(restated)</w:t>
            </w:r>
          </w:p>
        </w:tc>
        <w:tc>
          <w:tcPr>
            <w:tcW w:w="140" w:type="dxa"/>
            <w:vAlign w:val="bottom"/>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120" w:type="dxa"/>
            <w:vAlign w:val="bottom"/>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600" w:type="dxa"/>
            <w:vAlign w:val="bottom"/>
            <w:tcBorders>
              <w:top w:val="single" w:sz="8" w:color="auto"/>
            </w:tcBorders>
          </w:tcPr>
          <w:p>
            <w:pPr>
              <w:spacing w:after="0"/>
              <w:rPr>
                <w:sz w:val="11"/>
                <w:szCs w:val="11"/>
                <w:color w:val="auto"/>
              </w:rPr>
            </w:pPr>
          </w:p>
        </w:tc>
        <w:tc>
          <w:tcPr>
            <w:tcW w:w="140" w:type="dxa"/>
            <w:vAlign w:val="bottom"/>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14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4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Net revenue</w:t>
            </w:r>
          </w:p>
        </w:tc>
        <w:tc>
          <w:tcPr>
            <w:tcW w:w="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364,770</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390,454</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426,026</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489,016</w:t>
            </w:r>
          </w:p>
        </w:tc>
        <w:tc>
          <w:tcPr>
            <w:tcW w:w="160" w:type="dxa"/>
            <w:vAlign w:val="bottom"/>
            <w:shd w:val="clear" w:color="auto" w:fill="CCEEFF"/>
          </w:tcPr>
          <w:p>
            <w:pPr>
              <w:spacing w:after="0"/>
              <w:rPr>
                <w:sz w:val="12"/>
                <w:szCs w:val="12"/>
                <w:color w:val="auto"/>
              </w:rPr>
            </w:pPr>
          </w:p>
        </w:tc>
        <w:tc>
          <w:tcPr>
            <w:tcW w:w="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7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521,196</w:t>
            </w:r>
          </w:p>
        </w:tc>
        <w:tc>
          <w:tcPr>
            <w:tcW w:w="140" w:type="dxa"/>
            <w:vAlign w:val="bottom"/>
            <w:shd w:val="clear" w:color="auto" w:fill="CCEEFF"/>
          </w:tcPr>
          <w:p>
            <w:pPr>
              <w:spacing w:after="0"/>
              <w:rPr>
                <w:sz w:val="12"/>
                <w:szCs w:val="12"/>
                <w:color w:val="auto"/>
              </w:rPr>
            </w:pPr>
          </w:p>
        </w:tc>
        <w:tc>
          <w:tcPr>
            <w:tcW w:w="14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62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573,985</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6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520,398</w:t>
            </w:r>
          </w:p>
        </w:tc>
        <w:tc>
          <w:tcPr>
            <w:tcW w:w="140" w:type="dxa"/>
            <w:vAlign w:val="bottom"/>
            <w:shd w:val="clear" w:color="auto" w:fill="CCEEFF"/>
          </w:tcPr>
          <w:p>
            <w:pPr>
              <w:spacing w:after="0"/>
              <w:rPr>
                <w:sz w:val="12"/>
                <w:szCs w:val="12"/>
                <w:color w:val="auto"/>
              </w:rPr>
            </w:pPr>
          </w:p>
        </w:tc>
        <w:tc>
          <w:tcPr>
            <w:tcW w:w="14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62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621,974</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jc w:val="right"/>
              <w:ind w:right="3"/>
              <w:spacing w:after="0"/>
              <w:rPr>
                <w:sz w:val="20"/>
                <w:szCs w:val="20"/>
                <w:color w:val="auto"/>
              </w:rPr>
            </w:pPr>
            <w:r>
              <w:rPr>
                <w:rFonts w:ascii="Times New Roman" w:cs="Times New Roman" w:eastAsia="Times New Roman" w:hAnsi="Times New Roman"/>
                <w:sz w:val="11"/>
                <w:szCs w:val="11"/>
                <w:color w:val="auto"/>
                <w:w w:val="71"/>
              </w:rPr>
              <w:t>$</w:t>
            </w:r>
          </w:p>
        </w:tc>
        <w:tc>
          <w:tcPr>
            <w:tcW w:w="62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635,050</w:t>
            </w:r>
          </w:p>
        </w:tc>
        <w:tc>
          <w:tcPr>
            <w:tcW w:w="8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4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Operating costs and expenses:</w:t>
            </w: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40" w:type="dxa"/>
            <w:vAlign w:val="bottom"/>
            <w:shd w:val="clear" w:color="auto" w:fill="CCEEFF"/>
          </w:tcPr>
          <w:p>
            <w:pPr>
              <w:ind w:left="140"/>
              <w:spacing w:after="0" w:line="149" w:lineRule="exact"/>
              <w:rPr>
                <w:sz w:val="20"/>
                <w:szCs w:val="20"/>
                <w:color w:val="auto"/>
              </w:rPr>
            </w:pPr>
            <w:r>
              <w:rPr>
                <w:rFonts w:ascii="Times New Roman" w:cs="Times New Roman" w:eastAsia="Times New Roman" w:hAnsi="Times New Roman"/>
                <w:sz w:val="14"/>
                <w:szCs w:val="14"/>
                <w:color w:val="auto"/>
              </w:rPr>
              <w:t>Cost of goods sold</w:t>
            </w:r>
          </w:p>
        </w:tc>
        <w:tc>
          <w:tcPr>
            <w:tcW w:w="80" w:type="dxa"/>
            <w:vAlign w:val="bottom"/>
            <w:shd w:val="clear" w:color="auto" w:fill="CCEEFF"/>
          </w:tcPr>
          <w:p>
            <w:pPr>
              <w:spacing w:after="0"/>
              <w:rPr>
                <w:sz w:val="12"/>
                <w:szCs w:val="12"/>
                <w:color w:val="auto"/>
              </w:rPr>
            </w:pP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175,785</w:t>
            </w:r>
          </w:p>
        </w:tc>
        <w:tc>
          <w:tcPr>
            <w:tcW w:w="1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185,451</w:t>
            </w:r>
          </w:p>
        </w:tc>
        <w:tc>
          <w:tcPr>
            <w:tcW w:w="1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197,580</w:t>
            </w:r>
          </w:p>
        </w:tc>
        <w:tc>
          <w:tcPr>
            <w:tcW w:w="1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224,428</w:t>
            </w:r>
          </w:p>
        </w:tc>
        <w:tc>
          <w:tcPr>
            <w:tcW w:w="16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240,233</w:t>
            </w:r>
          </w:p>
        </w:tc>
        <w:tc>
          <w:tcPr>
            <w:tcW w:w="14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279,075</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256,090</w:t>
            </w:r>
          </w:p>
        </w:tc>
        <w:tc>
          <w:tcPr>
            <w:tcW w:w="14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324,843</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327,417</w:t>
            </w:r>
          </w:p>
        </w:tc>
        <w:tc>
          <w:tcPr>
            <w:tcW w:w="8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40" w:type="dxa"/>
            <w:vAlign w:val="bottom"/>
          </w:tcPr>
          <w:p>
            <w:pPr>
              <w:ind w:left="140"/>
              <w:spacing w:after="0" w:line="149" w:lineRule="exact"/>
              <w:rPr>
                <w:sz w:val="20"/>
                <w:szCs w:val="20"/>
                <w:color w:val="auto"/>
              </w:rPr>
            </w:pPr>
            <w:r>
              <w:rPr>
                <w:rFonts w:ascii="Times New Roman" w:cs="Times New Roman" w:eastAsia="Times New Roman" w:hAnsi="Times New Roman"/>
                <w:sz w:val="14"/>
                <w:szCs w:val="14"/>
                <w:color w:val="auto"/>
              </w:rPr>
              <w:t>Research and development and other</w:t>
            </w:r>
          </w:p>
        </w:tc>
        <w:tc>
          <w:tcPr>
            <w:tcW w:w="8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77,950</w:t>
            </w: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88,105</w:t>
            </w: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83,043</w:t>
            </w: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117,642</w:t>
            </w:r>
          </w:p>
        </w:tc>
        <w:tc>
          <w:tcPr>
            <w:tcW w:w="1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129,228</w:t>
            </w:r>
          </w:p>
        </w:tc>
        <w:tc>
          <w:tcPr>
            <w:tcW w:w="1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152,645</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152,939</w:t>
            </w:r>
          </w:p>
        </w:tc>
        <w:tc>
          <w:tcPr>
            <w:tcW w:w="1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223,399</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234,133</w:t>
            </w: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40" w:type="dxa"/>
            <w:vAlign w:val="bottom"/>
            <w:shd w:val="clear" w:color="auto" w:fill="CCEEFF"/>
          </w:tcPr>
          <w:p>
            <w:pPr>
              <w:ind w:left="140"/>
              <w:spacing w:after="0" w:line="149" w:lineRule="exact"/>
              <w:rPr>
                <w:sz w:val="20"/>
                <w:szCs w:val="20"/>
                <w:color w:val="auto"/>
              </w:rPr>
            </w:pPr>
            <w:r>
              <w:rPr>
                <w:rFonts w:ascii="Times New Roman" w:cs="Times New Roman" w:eastAsia="Times New Roman" w:hAnsi="Times New Roman"/>
                <w:sz w:val="14"/>
                <w:szCs w:val="14"/>
                <w:color w:val="auto"/>
              </w:rPr>
              <w:t>Selling and marketing</w:t>
            </w:r>
          </w:p>
        </w:tc>
        <w:tc>
          <w:tcPr>
            <w:tcW w:w="80" w:type="dxa"/>
            <w:vAlign w:val="bottom"/>
            <w:shd w:val="clear" w:color="auto" w:fill="CCEEFF"/>
          </w:tcPr>
          <w:p>
            <w:pPr>
              <w:spacing w:after="0"/>
              <w:rPr>
                <w:sz w:val="12"/>
                <w:szCs w:val="12"/>
                <w:color w:val="auto"/>
              </w:rPr>
            </w:pP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22,022</w:t>
            </w:r>
          </w:p>
        </w:tc>
        <w:tc>
          <w:tcPr>
            <w:tcW w:w="1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26,139</w:t>
            </w:r>
          </w:p>
        </w:tc>
        <w:tc>
          <w:tcPr>
            <w:tcW w:w="1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23,129</w:t>
            </w:r>
          </w:p>
        </w:tc>
        <w:tc>
          <w:tcPr>
            <w:tcW w:w="1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33,428</w:t>
            </w:r>
          </w:p>
        </w:tc>
        <w:tc>
          <w:tcPr>
            <w:tcW w:w="16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38,862</w:t>
            </w:r>
          </w:p>
        </w:tc>
        <w:tc>
          <w:tcPr>
            <w:tcW w:w="14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39,267</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37,875</w:t>
            </w:r>
          </w:p>
        </w:tc>
        <w:tc>
          <w:tcPr>
            <w:tcW w:w="14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60,099</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50,392</w:t>
            </w:r>
          </w:p>
        </w:tc>
        <w:tc>
          <w:tcPr>
            <w:tcW w:w="8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40" w:type="dxa"/>
            <w:vAlign w:val="bottom"/>
          </w:tcPr>
          <w:p>
            <w:pPr>
              <w:ind w:left="140"/>
              <w:spacing w:after="0" w:line="149" w:lineRule="exact"/>
              <w:rPr>
                <w:sz w:val="20"/>
                <w:szCs w:val="20"/>
                <w:color w:val="auto"/>
              </w:rPr>
            </w:pPr>
            <w:r>
              <w:rPr>
                <w:rFonts w:ascii="Times New Roman" w:cs="Times New Roman" w:eastAsia="Times New Roman" w:hAnsi="Times New Roman"/>
                <w:sz w:val="14"/>
                <w:szCs w:val="14"/>
                <w:color w:val="auto"/>
              </w:rPr>
              <w:t>General and administrative</w:t>
            </w:r>
          </w:p>
        </w:tc>
        <w:tc>
          <w:tcPr>
            <w:tcW w:w="8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9,568</w:t>
            </w: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17,450</w:t>
            </w: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11,833</w:t>
            </w: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24,193</w:t>
            </w:r>
          </w:p>
        </w:tc>
        <w:tc>
          <w:tcPr>
            <w:tcW w:w="1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18,558</w:t>
            </w:r>
          </w:p>
        </w:tc>
        <w:tc>
          <w:tcPr>
            <w:tcW w:w="1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19,689</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40,427</w:t>
            </w:r>
          </w:p>
        </w:tc>
        <w:tc>
          <w:tcPr>
            <w:tcW w:w="1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35,480</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23,988</w:t>
            </w: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40" w:type="dxa"/>
            <w:vAlign w:val="bottom"/>
            <w:shd w:val="clear" w:color="auto" w:fill="CCEEFF"/>
          </w:tcPr>
          <w:p>
            <w:pPr>
              <w:ind w:left="140"/>
              <w:spacing w:after="0" w:line="149" w:lineRule="exact"/>
              <w:rPr>
                <w:sz w:val="20"/>
                <w:szCs w:val="20"/>
                <w:color w:val="auto"/>
              </w:rPr>
            </w:pPr>
            <w:r>
              <w:rPr>
                <w:rFonts w:ascii="Times New Roman" w:cs="Times New Roman" w:eastAsia="Times New Roman" w:hAnsi="Times New Roman"/>
                <w:sz w:val="14"/>
                <w:szCs w:val="14"/>
                <w:color w:val="auto"/>
              </w:rPr>
              <w:t>Amortization of acquired intangible assets</w:t>
            </w:r>
          </w:p>
        </w:tc>
        <w:tc>
          <w:tcPr>
            <w:tcW w:w="80" w:type="dxa"/>
            <w:vAlign w:val="bottom"/>
            <w:shd w:val="clear" w:color="auto" w:fill="CCEEFF"/>
          </w:tcPr>
          <w:p>
            <w:pPr>
              <w:spacing w:after="0"/>
              <w:rPr>
                <w:sz w:val="12"/>
                <w:szCs w:val="12"/>
                <w:color w:val="auto"/>
              </w:rPr>
            </w:pP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19,759</w:t>
            </w:r>
          </w:p>
        </w:tc>
        <w:tc>
          <w:tcPr>
            <w:tcW w:w="1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19,753</w:t>
            </w:r>
          </w:p>
        </w:tc>
        <w:tc>
          <w:tcPr>
            <w:tcW w:w="1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19,746</w:t>
            </w:r>
          </w:p>
        </w:tc>
        <w:tc>
          <w:tcPr>
            <w:tcW w:w="1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32,480</w:t>
            </w:r>
          </w:p>
        </w:tc>
        <w:tc>
          <w:tcPr>
            <w:tcW w:w="16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17,351</w:t>
            </w:r>
          </w:p>
        </w:tc>
        <w:tc>
          <w:tcPr>
            <w:tcW w:w="14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27,405</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27,405</w:t>
            </w:r>
          </w:p>
        </w:tc>
        <w:tc>
          <w:tcPr>
            <w:tcW w:w="14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37,826</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37,320</w:t>
            </w:r>
          </w:p>
        </w:tc>
        <w:tc>
          <w:tcPr>
            <w:tcW w:w="8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40" w:type="dxa"/>
            <w:vAlign w:val="bottom"/>
          </w:tcPr>
          <w:p>
            <w:pPr>
              <w:ind w:left="140"/>
              <w:spacing w:after="0" w:line="149" w:lineRule="exact"/>
              <w:rPr>
                <w:sz w:val="20"/>
                <w:szCs w:val="20"/>
                <w:color w:val="auto"/>
              </w:rPr>
            </w:pPr>
            <w:r>
              <w:rPr>
                <w:rFonts w:ascii="Times New Roman" w:cs="Times New Roman" w:eastAsia="Times New Roman" w:hAnsi="Times New Roman"/>
                <w:sz w:val="14"/>
                <w:szCs w:val="14"/>
                <w:color w:val="auto"/>
              </w:rPr>
              <w:t>Acquired in-process research and development</w:t>
            </w:r>
          </w:p>
        </w:tc>
        <w:tc>
          <w:tcPr>
            <w:tcW w:w="8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4,300</w:t>
            </w:r>
          </w:p>
        </w:tc>
        <w:tc>
          <w:tcPr>
            <w:tcW w:w="1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40" w:type="dxa"/>
            <w:vAlign w:val="bottom"/>
            <w:gridSpan w:val="2"/>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40" w:type="dxa"/>
            <w:vAlign w:val="bottom"/>
          </w:tcPr>
          <w:p>
            <w:pPr>
              <w:spacing w:after="0"/>
              <w:rPr>
                <w:sz w:val="12"/>
                <w:szCs w:val="12"/>
                <w:color w:val="auto"/>
              </w:rPr>
            </w:pPr>
          </w:p>
        </w:tc>
        <w:tc>
          <w:tcPr>
            <w:tcW w:w="74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40" w:type="dxa"/>
            <w:vAlign w:val="bottom"/>
          </w:tcPr>
          <w:p>
            <w:pPr>
              <w:spacing w:after="0"/>
              <w:rPr>
                <w:sz w:val="12"/>
                <w:szCs w:val="12"/>
                <w:color w:val="auto"/>
              </w:rPr>
            </w:pPr>
          </w:p>
        </w:tc>
        <w:tc>
          <w:tcPr>
            <w:tcW w:w="74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4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77,800</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340" w:type="dxa"/>
            <w:vAlign w:val="bottom"/>
            <w:tcBorders>
              <w:top w:val="single" w:sz="8" w:color="CCEEFF"/>
            </w:tcBorders>
            <w:shd w:val="clear" w:color="auto" w:fill="CCEEFF"/>
          </w:tcPr>
          <w:p>
            <w:pPr>
              <w:ind w:left="280"/>
              <w:spacing w:after="0" w:line="142" w:lineRule="exact"/>
              <w:rPr>
                <w:sz w:val="20"/>
                <w:szCs w:val="20"/>
                <w:color w:val="auto"/>
              </w:rPr>
            </w:pPr>
            <w:r>
              <w:rPr>
                <w:rFonts w:ascii="Times New Roman" w:cs="Times New Roman" w:eastAsia="Times New Roman" w:hAnsi="Times New Roman"/>
                <w:sz w:val="14"/>
                <w:szCs w:val="14"/>
                <w:color w:val="auto"/>
              </w:rPr>
              <w:t>Total operating costs and expenses</w:t>
            </w:r>
          </w:p>
        </w:tc>
        <w:tc>
          <w:tcPr>
            <w:tcW w:w="80" w:type="dxa"/>
            <w:vAlign w:val="bottom"/>
            <w:tcBorders>
              <w:top w:val="single" w:sz="8" w:color="auto"/>
              <w:bottom w:val="single" w:sz="8" w:color="auto"/>
            </w:tcBorders>
            <w:shd w:val="clear" w:color="auto" w:fill="CCEEFF"/>
          </w:tcPr>
          <w:p>
            <w:pPr>
              <w:spacing w:after="0"/>
              <w:rPr>
                <w:sz w:val="12"/>
                <w:szCs w:val="12"/>
                <w:color w:val="auto"/>
              </w:rPr>
            </w:pPr>
          </w:p>
        </w:tc>
        <w:tc>
          <w:tcPr>
            <w:tcW w:w="68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305,084</w:t>
            </w:r>
          </w:p>
        </w:tc>
        <w:tc>
          <w:tcPr>
            <w:tcW w:w="16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bottom w:val="single" w:sz="8" w:color="auto"/>
            </w:tcBorders>
            <w:shd w:val="clear" w:color="auto" w:fill="CCEEFF"/>
          </w:tcPr>
          <w:p>
            <w:pPr>
              <w:spacing w:after="0"/>
              <w:rPr>
                <w:sz w:val="12"/>
                <w:szCs w:val="12"/>
                <w:color w:val="auto"/>
              </w:rPr>
            </w:pPr>
          </w:p>
        </w:tc>
        <w:tc>
          <w:tcPr>
            <w:tcW w:w="68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336,898</w:t>
            </w:r>
          </w:p>
        </w:tc>
        <w:tc>
          <w:tcPr>
            <w:tcW w:w="16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bottom w:val="single" w:sz="8" w:color="auto"/>
            </w:tcBorders>
            <w:shd w:val="clear" w:color="auto" w:fill="CCEEFF"/>
          </w:tcPr>
          <w:p>
            <w:pPr>
              <w:spacing w:after="0"/>
              <w:rPr>
                <w:sz w:val="12"/>
                <w:szCs w:val="12"/>
                <w:color w:val="auto"/>
              </w:rPr>
            </w:pPr>
          </w:p>
        </w:tc>
        <w:tc>
          <w:tcPr>
            <w:tcW w:w="68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335,331</w:t>
            </w:r>
          </w:p>
        </w:tc>
        <w:tc>
          <w:tcPr>
            <w:tcW w:w="16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bottom w:val="single" w:sz="8" w:color="auto"/>
            </w:tcBorders>
            <w:shd w:val="clear" w:color="auto" w:fill="CCEEFF"/>
          </w:tcPr>
          <w:p>
            <w:pPr>
              <w:spacing w:after="0"/>
              <w:rPr>
                <w:sz w:val="12"/>
                <w:szCs w:val="12"/>
                <w:color w:val="auto"/>
              </w:rPr>
            </w:pPr>
          </w:p>
        </w:tc>
        <w:tc>
          <w:tcPr>
            <w:tcW w:w="68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436,471</w:t>
            </w:r>
          </w:p>
        </w:tc>
        <w:tc>
          <w:tcPr>
            <w:tcW w:w="160" w:type="dxa"/>
            <w:vAlign w:val="bottom"/>
            <w:tcBorders>
              <w:top w:val="single" w:sz="8" w:color="CCEEFF"/>
            </w:tcBorders>
            <w:shd w:val="clear" w:color="auto" w:fill="CCEEFF"/>
          </w:tcPr>
          <w:p>
            <w:pPr>
              <w:spacing w:after="0"/>
              <w:rPr>
                <w:sz w:val="12"/>
                <w:szCs w:val="12"/>
                <w:color w:val="auto"/>
              </w:rPr>
            </w:pPr>
          </w:p>
        </w:tc>
        <w:tc>
          <w:tcPr>
            <w:tcW w:w="60" w:type="dxa"/>
            <w:vAlign w:val="bottom"/>
            <w:tcBorders>
              <w:top w:val="single" w:sz="8" w:color="auto"/>
              <w:bottom w:val="single" w:sz="8" w:color="auto"/>
            </w:tcBorders>
            <w:shd w:val="clear" w:color="auto" w:fill="CCEEFF"/>
          </w:tcPr>
          <w:p>
            <w:pPr>
              <w:spacing w:after="0"/>
              <w:rPr>
                <w:sz w:val="12"/>
                <w:szCs w:val="12"/>
                <w:color w:val="auto"/>
              </w:rPr>
            </w:pPr>
          </w:p>
        </w:tc>
        <w:tc>
          <w:tcPr>
            <w:tcW w:w="70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444,232</w:t>
            </w:r>
          </w:p>
        </w:tc>
        <w:tc>
          <w:tcPr>
            <w:tcW w:w="140" w:type="dxa"/>
            <w:vAlign w:val="bottom"/>
            <w:tcBorders>
              <w:top w:val="single" w:sz="8" w:color="CCEEFF"/>
            </w:tcBorders>
            <w:shd w:val="clear" w:color="auto" w:fill="CCEEFF"/>
          </w:tcPr>
          <w:p>
            <w:pPr>
              <w:spacing w:after="0"/>
              <w:rPr>
                <w:sz w:val="12"/>
                <w:szCs w:val="12"/>
                <w:color w:val="auto"/>
              </w:rPr>
            </w:pPr>
          </w:p>
        </w:tc>
        <w:tc>
          <w:tcPr>
            <w:tcW w:w="140" w:type="dxa"/>
            <w:vAlign w:val="bottom"/>
            <w:tcBorders>
              <w:top w:val="single" w:sz="8" w:color="auto"/>
              <w:bottom w:val="single" w:sz="8" w:color="auto"/>
            </w:tcBorders>
            <w:shd w:val="clear" w:color="auto" w:fill="CCEEFF"/>
          </w:tcPr>
          <w:p>
            <w:pPr>
              <w:spacing w:after="0"/>
              <w:rPr>
                <w:sz w:val="12"/>
                <w:szCs w:val="12"/>
                <w:color w:val="auto"/>
              </w:rPr>
            </w:pPr>
          </w:p>
        </w:tc>
        <w:tc>
          <w:tcPr>
            <w:tcW w:w="62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518,081</w:t>
            </w:r>
          </w:p>
        </w:tc>
        <w:tc>
          <w:tcPr>
            <w:tcW w:w="120" w:type="dxa"/>
            <w:vAlign w:val="bottom"/>
            <w:tcBorders>
              <w:top w:val="single" w:sz="8" w:color="CCEEFF"/>
            </w:tcBorders>
            <w:shd w:val="clear" w:color="auto" w:fill="CCEEFF"/>
          </w:tcPr>
          <w:p>
            <w:pPr>
              <w:spacing w:after="0"/>
              <w:rPr>
                <w:sz w:val="12"/>
                <w:szCs w:val="12"/>
                <w:color w:val="auto"/>
              </w:rPr>
            </w:pPr>
          </w:p>
        </w:tc>
        <w:tc>
          <w:tcPr>
            <w:tcW w:w="140" w:type="dxa"/>
            <w:vAlign w:val="bottom"/>
            <w:tcBorders>
              <w:top w:val="single" w:sz="8" w:color="auto"/>
              <w:bottom w:val="single" w:sz="8" w:color="auto"/>
            </w:tcBorders>
            <w:shd w:val="clear" w:color="auto" w:fill="CCEEFF"/>
          </w:tcPr>
          <w:p>
            <w:pPr>
              <w:spacing w:after="0"/>
              <w:rPr>
                <w:sz w:val="12"/>
                <w:szCs w:val="12"/>
                <w:color w:val="auto"/>
              </w:rPr>
            </w:pPr>
          </w:p>
        </w:tc>
        <w:tc>
          <w:tcPr>
            <w:tcW w:w="60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514,736</w:t>
            </w:r>
          </w:p>
        </w:tc>
        <w:tc>
          <w:tcPr>
            <w:tcW w:w="140" w:type="dxa"/>
            <w:vAlign w:val="bottom"/>
            <w:tcBorders>
              <w:top w:val="single" w:sz="8" w:color="CCEEFF"/>
            </w:tcBorders>
            <w:shd w:val="clear" w:color="auto" w:fill="CCEEFF"/>
          </w:tcPr>
          <w:p>
            <w:pPr>
              <w:spacing w:after="0"/>
              <w:rPr>
                <w:sz w:val="12"/>
                <w:szCs w:val="12"/>
                <w:color w:val="auto"/>
              </w:rPr>
            </w:pPr>
          </w:p>
        </w:tc>
        <w:tc>
          <w:tcPr>
            <w:tcW w:w="140" w:type="dxa"/>
            <w:vAlign w:val="bottom"/>
            <w:tcBorders>
              <w:top w:val="single" w:sz="8" w:color="auto"/>
              <w:bottom w:val="single" w:sz="8" w:color="auto"/>
            </w:tcBorders>
            <w:shd w:val="clear" w:color="auto" w:fill="CCEEFF"/>
          </w:tcPr>
          <w:p>
            <w:pPr>
              <w:spacing w:after="0"/>
              <w:rPr>
                <w:sz w:val="12"/>
                <w:szCs w:val="12"/>
                <w:color w:val="auto"/>
              </w:rPr>
            </w:pPr>
          </w:p>
        </w:tc>
        <w:tc>
          <w:tcPr>
            <w:tcW w:w="62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759,447</w:t>
            </w:r>
          </w:p>
        </w:tc>
        <w:tc>
          <w:tcPr>
            <w:tcW w:w="140" w:type="dxa"/>
            <w:vAlign w:val="bottom"/>
            <w:tcBorders>
              <w:top w:val="single" w:sz="8" w:color="CCEEFF"/>
            </w:tcBorders>
            <w:shd w:val="clear" w:color="auto" w:fill="CCEEFF"/>
          </w:tcPr>
          <w:p>
            <w:pPr>
              <w:spacing w:after="0"/>
              <w:rPr>
                <w:sz w:val="12"/>
                <w:szCs w:val="12"/>
                <w:color w:val="auto"/>
              </w:rPr>
            </w:pPr>
          </w:p>
        </w:tc>
        <w:tc>
          <w:tcPr>
            <w:tcW w:w="120" w:type="dxa"/>
            <w:vAlign w:val="bottom"/>
            <w:tcBorders>
              <w:top w:val="single" w:sz="8" w:color="auto"/>
              <w:bottom w:val="single" w:sz="8" w:color="auto"/>
            </w:tcBorders>
            <w:shd w:val="clear" w:color="auto" w:fill="CCEEFF"/>
          </w:tcPr>
          <w:p>
            <w:pPr>
              <w:spacing w:after="0"/>
              <w:rPr>
                <w:sz w:val="12"/>
                <w:szCs w:val="12"/>
                <w:color w:val="auto"/>
              </w:rPr>
            </w:pPr>
          </w:p>
        </w:tc>
        <w:tc>
          <w:tcPr>
            <w:tcW w:w="62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673,250</w:t>
            </w:r>
          </w:p>
        </w:tc>
        <w:tc>
          <w:tcPr>
            <w:tcW w:w="80" w:type="dxa"/>
            <w:vAlign w:val="bottom"/>
            <w:tcBorders>
              <w:top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340" w:type="dxa"/>
            <w:vAlign w:val="bottom"/>
          </w:tcPr>
          <w:p>
            <w:pPr>
              <w:spacing w:after="0" w:line="142" w:lineRule="exact"/>
              <w:rPr>
                <w:sz w:val="20"/>
                <w:szCs w:val="20"/>
                <w:color w:val="auto"/>
              </w:rPr>
            </w:pPr>
            <w:r>
              <w:rPr>
                <w:rFonts w:ascii="Times New Roman" w:cs="Times New Roman" w:eastAsia="Times New Roman" w:hAnsi="Times New Roman"/>
                <w:sz w:val="14"/>
                <w:szCs w:val="14"/>
                <w:color w:val="auto"/>
              </w:rPr>
              <w:t>Operating income (loss)</w:t>
            </w:r>
          </w:p>
        </w:tc>
        <w:tc>
          <w:tcPr>
            <w:tcW w:w="80" w:type="dxa"/>
            <w:vAlign w:val="bottom"/>
          </w:tcPr>
          <w:p>
            <w:pPr>
              <w:spacing w:after="0"/>
              <w:rPr>
                <w:sz w:val="12"/>
                <w:szCs w:val="12"/>
                <w:color w:val="auto"/>
              </w:rPr>
            </w:pPr>
          </w:p>
        </w:tc>
        <w:tc>
          <w:tcPr>
            <w:tcW w:w="680" w:type="dxa"/>
            <w:vAlign w:val="bottom"/>
          </w:tcPr>
          <w:p>
            <w:pPr>
              <w:jc w:val="right"/>
              <w:spacing w:after="0" w:line="142" w:lineRule="exact"/>
              <w:rPr>
                <w:sz w:val="20"/>
                <w:szCs w:val="20"/>
                <w:color w:val="auto"/>
              </w:rPr>
            </w:pPr>
            <w:r>
              <w:rPr>
                <w:rFonts w:ascii="Times New Roman" w:cs="Times New Roman" w:eastAsia="Times New Roman" w:hAnsi="Times New Roman"/>
                <w:sz w:val="14"/>
                <w:szCs w:val="14"/>
                <w:color w:val="auto"/>
              </w:rPr>
              <w:t>59,686</w:t>
            </w: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jc w:val="right"/>
              <w:spacing w:after="0" w:line="142" w:lineRule="exact"/>
              <w:rPr>
                <w:sz w:val="20"/>
                <w:szCs w:val="20"/>
                <w:color w:val="auto"/>
              </w:rPr>
            </w:pPr>
            <w:r>
              <w:rPr>
                <w:rFonts w:ascii="Times New Roman" w:cs="Times New Roman" w:eastAsia="Times New Roman" w:hAnsi="Times New Roman"/>
                <w:sz w:val="14"/>
                <w:szCs w:val="14"/>
                <w:color w:val="auto"/>
              </w:rPr>
              <w:t>53,556</w:t>
            </w: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jc w:val="right"/>
              <w:spacing w:after="0" w:line="142" w:lineRule="exact"/>
              <w:rPr>
                <w:sz w:val="20"/>
                <w:szCs w:val="20"/>
                <w:color w:val="auto"/>
              </w:rPr>
            </w:pPr>
            <w:r>
              <w:rPr>
                <w:rFonts w:ascii="Times New Roman" w:cs="Times New Roman" w:eastAsia="Times New Roman" w:hAnsi="Times New Roman"/>
                <w:sz w:val="14"/>
                <w:szCs w:val="14"/>
                <w:color w:val="auto"/>
              </w:rPr>
              <w:t>90,695</w:t>
            </w: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jc w:val="right"/>
              <w:spacing w:after="0" w:line="142" w:lineRule="exact"/>
              <w:rPr>
                <w:sz w:val="20"/>
                <w:szCs w:val="20"/>
                <w:color w:val="auto"/>
              </w:rPr>
            </w:pPr>
            <w:r>
              <w:rPr>
                <w:rFonts w:ascii="Times New Roman" w:cs="Times New Roman" w:eastAsia="Times New Roman" w:hAnsi="Times New Roman"/>
                <w:sz w:val="14"/>
                <w:szCs w:val="14"/>
                <w:color w:val="auto"/>
              </w:rPr>
              <w:t>52,545</w:t>
            </w:r>
          </w:p>
        </w:tc>
        <w:tc>
          <w:tcPr>
            <w:tcW w:w="1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00" w:type="dxa"/>
            <w:vAlign w:val="bottom"/>
          </w:tcPr>
          <w:p>
            <w:pPr>
              <w:jc w:val="right"/>
              <w:spacing w:after="0" w:line="142" w:lineRule="exact"/>
              <w:rPr>
                <w:sz w:val="20"/>
                <w:szCs w:val="20"/>
                <w:color w:val="auto"/>
              </w:rPr>
            </w:pPr>
            <w:r>
              <w:rPr>
                <w:rFonts w:ascii="Times New Roman" w:cs="Times New Roman" w:eastAsia="Times New Roman" w:hAnsi="Times New Roman"/>
                <w:sz w:val="14"/>
                <w:szCs w:val="14"/>
                <w:color w:val="auto"/>
              </w:rPr>
              <w:t>76,964</w:t>
            </w:r>
          </w:p>
        </w:tc>
        <w:tc>
          <w:tcPr>
            <w:tcW w:w="1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jc w:val="right"/>
              <w:spacing w:after="0" w:line="142" w:lineRule="exact"/>
              <w:rPr>
                <w:sz w:val="20"/>
                <w:szCs w:val="20"/>
                <w:color w:val="auto"/>
              </w:rPr>
            </w:pPr>
            <w:r>
              <w:rPr>
                <w:rFonts w:ascii="Times New Roman" w:cs="Times New Roman" w:eastAsia="Times New Roman" w:hAnsi="Times New Roman"/>
                <w:sz w:val="14"/>
                <w:szCs w:val="14"/>
                <w:color w:val="auto"/>
              </w:rPr>
              <w:t>55,904</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0" w:type="dxa"/>
            <w:vAlign w:val="bottom"/>
          </w:tcPr>
          <w:p>
            <w:pPr>
              <w:jc w:val="right"/>
              <w:spacing w:after="0" w:line="142" w:lineRule="exact"/>
              <w:rPr>
                <w:sz w:val="20"/>
                <w:szCs w:val="20"/>
                <w:color w:val="auto"/>
              </w:rPr>
            </w:pPr>
            <w:r>
              <w:rPr>
                <w:rFonts w:ascii="Times New Roman" w:cs="Times New Roman" w:eastAsia="Times New Roman" w:hAnsi="Times New Roman"/>
                <w:sz w:val="14"/>
                <w:szCs w:val="14"/>
                <w:color w:val="auto"/>
              </w:rPr>
              <w:t>5,662</w:t>
            </w:r>
          </w:p>
        </w:tc>
        <w:tc>
          <w:tcPr>
            <w:tcW w:w="1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jc w:val="right"/>
              <w:spacing w:after="0" w:line="142" w:lineRule="exact"/>
              <w:rPr>
                <w:sz w:val="20"/>
                <w:szCs w:val="20"/>
                <w:color w:val="auto"/>
              </w:rPr>
            </w:pPr>
            <w:r>
              <w:rPr>
                <w:rFonts w:ascii="Times New Roman" w:cs="Times New Roman" w:eastAsia="Times New Roman" w:hAnsi="Times New Roman"/>
                <w:sz w:val="14"/>
                <w:szCs w:val="14"/>
                <w:color w:val="auto"/>
              </w:rPr>
              <w:t>(137,473)</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20" w:type="dxa"/>
            <w:vAlign w:val="bottom"/>
          </w:tcPr>
          <w:p>
            <w:pPr>
              <w:jc w:val="right"/>
              <w:spacing w:after="0" w:line="142" w:lineRule="exact"/>
              <w:rPr>
                <w:sz w:val="20"/>
                <w:szCs w:val="20"/>
                <w:color w:val="auto"/>
              </w:rPr>
            </w:pPr>
            <w:r>
              <w:rPr>
                <w:rFonts w:ascii="Times New Roman" w:cs="Times New Roman" w:eastAsia="Times New Roman" w:hAnsi="Times New Roman"/>
                <w:sz w:val="14"/>
                <w:szCs w:val="14"/>
                <w:color w:val="auto"/>
              </w:rPr>
              <w:t>(38,200)</w:t>
            </w: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4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Interest and other income (expense), net</w:t>
            </w:r>
          </w:p>
        </w:tc>
        <w:tc>
          <w:tcPr>
            <w:tcW w:w="80" w:type="dxa"/>
            <w:vAlign w:val="bottom"/>
            <w:shd w:val="clear" w:color="auto" w:fill="CCEEFF"/>
          </w:tcPr>
          <w:p>
            <w:pPr>
              <w:spacing w:after="0"/>
              <w:rPr>
                <w:sz w:val="12"/>
                <w:szCs w:val="12"/>
                <w:color w:val="auto"/>
              </w:rPr>
            </w:pP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3,612</w:t>
            </w:r>
          </w:p>
        </w:tc>
        <w:tc>
          <w:tcPr>
            <w:tcW w:w="1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4,384</w:t>
            </w:r>
          </w:p>
        </w:tc>
        <w:tc>
          <w:tcPr>
            <w:tcW w:w="1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5,244</w:t>
            </w:r>
          </w:p>
        </w:tc>
        <w:tc>
          <w:tcPr>
            <w:tcW w:w="1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6,129</w:t>
            </w:r>
          </w:p>
        </w:tc>
        <w:tc>
          <w:tcPr>
            <w:tcW w:w="16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7,616</w:t>
            </w:r>
          </w:p>
        </w:tc>
        <w:tc>
          <w:tcPr>
            <w:tcW w:w="14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1,091</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6,845</w:t>
            </w:r>
          </w:p>
        </w:tc>
        <w:tc>
          <w:tcPr>
            <w:tcW w:w="14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59"/>
              <w:spacing w:after="0" w:line="149" w:lineRule="exact"/>
              <w:rPr>
                <w:sz w:val="20"/>
                <w:szCs w:val="20"/>
                <w:color w:val="auto"/>
              </w:rPr>
            </w:pPr>
            <w:r>
              <w:rPr>
                <w:rFonts w:ascii="Times New Roman" w:cs="Times New Roman" w:eastAsia="Times New Roman" w:hAnsi="Times New Roman"/>
                <w:sz w:val="14"/>
                <w:szCs w:val="14"/>
                <w:color w:val="auto"/>
              </w:rPr>
              <w:t>(2,003)</w:t>
            </w:r>
          </w:p>
        </w:tc>
        <w:tc>
          <w:tcPr>
            <w:tcW w:w="12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(8,656)</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340" w:type="dxa"/>
            <w:vAlign w:val="bottom"/>
          </w:tcPr>
          <w:p>
            <w:pPr>
              <w:spacing w:after="0" w:line="142" w:lineRule="exact"/>
              <w:rPr>
                <w:sz w:val="20"/>
                <w:szCs w:val="20"/>
                <w:color w:val="auto"/>
              </w:rPr>
            </w:pPr>
            <w:r>
              <w:rPr>
                <w:rFonts w:ascii="Times New Roman" w:cs="Times New Roman" w:eastAsia="Times New Roman" w:hAnsi="Times New Roman"/>
                <w:sz w:val="14"/>
                <w:szCs w:val="14"/>
                <w:color w:val="auto"/>
              </w:rPr>
              <w:t>Income (loss) before income taxes</w:t>
            </w:r>
          </w:p>
        </w:tc>
        <w:tc>
          <w:tcPr>
            <w:tcW w:w="80" w:type="dxa"/>
            <w:vAlign w:val="bottom"/>
            <w:tcBorders>
              <w:top w:val="single" w:sz="8" w:color="auto"/>
            </w:tcBorders>
          </w:tcPr>
          <w:p>
            <w:pPr>
              <w:spacing w:after="0"/>
              <w:rPr>
                <w:sz w:val="12"/>
                <w:szCs w:val="12"/>
                <w:color w:val="auto"/>
              </w:rPr>
            </w:pPr>
          </w:p>
        </w:tc>
        <w:tc>
          <w:tcPr>
            <w:tcW w:w="680" w:type="dxa"/>
            <w:vAlign w:val="bottom"/>
            <w:tcBorders>
              <w:top w:val="single" w:sz="8" w:color="auto"/>
            </w:tcBorders>
          </w:tcPr>
          <w:p>
            <w:pPr>
              <w:jc w:val="right"/>
              <w:spacing w:after="0" w:line="142" w:lineRule="exact"/>
              <w:rPr>
                <w:sz w:val="20"/>
                <w:szCs w:val="20"/>
                <w:color w:val="auto"/>
              </w:rPr>
            </w:pPr>
            <w:r>
              <w:rPr>
                <w:rFonts w:ascii="Times New Roman" w:cs="Times New Roman" w:eastAsia="Times New Roman" w:hAnsi="Times New Roman"/>
                <w:sz w:val="14"/>
                <w:szCs w:val="14"/>
                <w:color w:val="auto"/>
              </w:rPr>
              <w:t>63,298</w:t>
            </w:r>
          </w:p>
        </w:tc>
        <w:tc>
          <w:tcPr>
            <w:tcW w:w="16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680" w:type="dxa"/>
            <w:vAlign w:val="bottom"/>
            <w:tcBorders>
              <w:top w:val="single" w:sz="8" w:color="auto"/>
            </w:tcBorders>
          </w:tcPr>
          <w:p>
            <w:pPr>
              <w:jc w:val="right"/>
              <w:spacing w:after="0" w:line="142" w:lineRule="exact"/>
              <w:rPr>
                <w:sz w:val="20"/>
                <w:szCs w:val="20"/>
                <w:color w:val="auto"/>
              </w:rPr>
            </w:pPr>
            <w:r>
              <w:rPr>
                <w:rFonts w:ascii="Times New Roman" w:cs="Times New Roman" w:eastAsia="Times New Roman" w:hAnsi="Times New Roman"/>
                <w:sz w:val="14"/>
                <w:szCs w:val="14"/>
                <w:color w:val="auto"/>
              </w:rPr>
              <w:t>57,940</w:t>
            </w:r>
          </w:p>
        </w:tc>
        <w:tc>
          <w:tcPr>
            <w:tcW w:w="16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680" w:type="dxa"/>
            <w:vAlign w:val="bottom"/>
            <w:tcBorders>
              <w:top w:val="single" w:sz="8" w:color="auto"/>
            </w:tcBorders>
          </w:tcPr>
          <w:p>
            <w:pPr>
              <w:jc w:val="right"/>
              <w:spacing w:after="0" w:line="142" w:lineRule="exact"/>
              <w:rPr>
                <w:sz w:val="20"/>
                <w:szCs w:val="20"/>
                <w:color w:val="auto"/>
              </w:rPr>
            </w:pPr>
            <w:r>
              <w:rPr>
                <w:rFonts w:ascii="Times New Roman" w:cs="Times New Roman" w:eastAsia="Times New Roman" w:hAnsi="Times New Roman"/>
                <w:sz w:val="14"/>
                <w:szCs w:val="14"/>
                <w:color w:val="auto"/>
              </w:rPr>
              <w:t>95,939</w:t>
            </w:r>
          </w:p>
        </w:tc>
        <w:tc>
          <w:tcPr>
            <w:tcW w:w="16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680" w:type="dxa"/>
            <w:vAlign w:val="bottom"/>
            <w:tcBorders>
              <w:top w:val="single" w:sz="8" w:color="auto"/>
            </w:tcBorders>
          </w:tcPr>
          <w:p>
            <w:pPr>
              <w:jc w:val="right"/>
              <w:spacing w:after="0" w:line="142" w:lineRule="exact"/>
              <w:rPr>
                <w:sz w:val="20"/>
                <w:szCs w:val="20"/>
                <w:color w:val="auto"/>
              </w:rPr>
            </w:pPr>
            <w:r>
              <w:rPr>
                <w:rFonts w:ascii="Times New Roman" w:cs="Times New Roman" w:eastAsia="Times New Roman" w:hAnsi="Times New Roman"/>
                <w:sz w:val="14"/>
                <w:szCs w:val="14"/>
                <w:color w:val="auto"/>
              </w:rPr>
              <w:t>58,674</w:t>
            </w:r>
          </w:p>
        </w:tc>
        <w:tc>
          <w:tcPr>
            <w:tcW w:w="160" w:type="dxa"/>
            <w:vAlign w:val="bottom"/>
          </w:tcPr>
          <w:p>
            <w:pPr>
              <w:spacing w:after="0"/>
              <w:rPr>
                <w:sz w:val="12"/>
                <w:szCs w:val="12"/>
                <w:color w:val="auto"/>
              </w:rPr>
            </w:pPr>
          </w:p>
        </w:tc>
        <w:tc>
          <w:tcPr>
            <w:tcW w:w="60" w:type="dxa"/>
            <w:vAlign w:val="bottom"/>
            <w:tcBorders>
              <w:top w:val="single" w:sz="8" w:color="auto"/>
            </w:tcBorders>
          </w:tcPr>
          <w:p>
            <w:pPr>
              <w:spacing w:after="0"/>
              <w:rPr>
                <w:sz w:val="12"/>
                <w:szCs w:val="12"/>
                <w:color w:val="auto"/>
              </w:rPr>
            </w:pPr>
          </w:p>
        </w:tc>
        <w:tc>
          <w:tcPr>
            <w:tcW w:w="700" w:type="dxa"/>
            <w:vAlign w:val="bottom"/>
            <w:tcBorders>
              <w:top w:val="single" w:sz="8" w:color="auto"/>
            </w:tcBorders>
          </w:tcPr>
          <w:p>
            <w:pPr>
              <w:jc w:val="right"/>
              <w:spacing w:after="0" w:line="142" w:lineRule="exact"/>
              <w:rPr>
                <w:sz w:val="20"/>
                <w:szCs w:val="20"/>
                <w:color w:val="auto"/>
              </w:rPr>
            </w:pPr>
            <w:r>
              <w:rPr>
                <w:rFonts w:ascii="Times New Roman" w:cs="Times New Roman" w:eastAsia="Times New Roman" w:hAnsi="Times New Roman"/>
                <w:sz w:val="14"/>
                <w:szCs w:val="14"/>
                <w:color w:val="auto"/>
              </w:rPr>
              <w:t>84,580</w:t>
            </w:r>
          </w:p>
        </w:tc>
        <w:tc>
          <w:tcPr>
            <w:tcW w:w="140" w:type="dxa"/>
            <w:vAlign w:val="bottom"/>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620" w:type="dxa"/>
            <w:vAlign w:val="bottom"/>
            <w:tcBorders>
              <w:top w:val="single" w:sz="8" w:color="auto"/>
            </w:tcBorders>
          </w:tcPr>
          <w:p>
            <w:pPr>
              <w:jc w:val="right"/>
              <w:spacing w:after="0" w:line="142" w:lineRule="exact"/>
              <w:rPr>
                <w:sz w:val="20"/>
                <w:szCs w:val="20"/>
                <w:color w:val="auto"/>
              </w:rPr>
            </w:pPr>
            <w:r>
              <w:rPr>
                <w:rFonts w:ascii="Times New Roman" w:cs="Times New Roman" w:eastAsia="Times New Roman" w:hAnsi="Times New Roman"/>
                <w:sz w:val="14"/>
                <w:szCs w:val="14"/>
                <w:color w:val="auto"/>
              </w:rPr>
              <w:t>56,995</w:t>
            </w:r>
          </w:p>
        </w:tc>
        <w:tc>
          <w:tcPr>
            <w:tcW w:w="120" w:type="dxa"/>
            <w:vAlign w:val="bottom"/>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jc w:val="right"/>
              <w:spacing w:after="0" w:line="142" w:lineRule="exact"/>
              <w:rPr>
                <w:sz w:val="20"/>
                <w:szCs w:val="20"/>
                <w:color w:val="auto"/>
              </w:rPr>
            </w:pPr>
            <w:r>
              <w:rPr>
                <w:rFonts w:ascii="Times New Roman" w:cs="Times New Roman" w:eastAsia="Times New Roman" w:hAnsi="Times New Roman"/>
                <w:sz w:val="14"/>
                <w:szCs w:val="14"/>
                <w:color w:val="auto"/>
              </w:rPr>
              <w:t>12,507</w:t>
            </w:r>
          </w:p>
        </w:tc>
        <w:tc>
          <w:tcPr>
            <w:tcW w:w="140" w:type="dxa"/>
            <w:vAlign w:val="bottom"/>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620" w:type="dxa"/>
            <w:vAlign w:val="bottom"/>
            <w:tcBorders>
              <w:top w:val="single" w:sz="8" w:color="auto"/>
            </w:tcBorders>
          </w:tcPr>
          <w:p>
            <w:pPr>
              <w:jc w:val="right"/>
              <w:spacing w:after="0" w:line="142" w:lineRule="exact"/>
              <w:rPr>
                <w:sz w:val="20"/>
                <w:szCs w:val="20"/>
                <w:color w:val="auto"/>
              </w:rPr>
            </w:pPr>
            <w:r>
              <w:rPr>
                <w:rFonts w:ascii="Times New Roman" w:cs="Times New Roman" w:eastAsia="Times New Roman" w:hAnsi="Times New Roman"/>
                <w:sz w:val="14"/>
                <w:szCs w:val="14"/>
                <w:color w:val="auto"/>
              </w:rPr>
              <w:t>(139,476)</w:t>
            </w:r>
          </w:p>
        </w:tc>
        <w:tc>
          <w:tcPr>
            <w:tcW w:w="140" w:type="dxa"/>
            <w:vAlign w:val="bottom"/>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620" w:type="dxa"/>
            <w:vAlign w:val="bottom"/>
            <w:tcBorders>
              <w:top w:val="single" w:sz="8" w:color="auto"/>
            </w:tcBorders>
          </w:tcPr>
          <w:p>
            <w:pPr>
              <w:jc w:val="right"/>
              <w:spacing w:after="0" w:line="142" w:lineRule="exact"/>
              <w:rPr>
                <w:sz w:val="20"/>
                <w:szCs w:val="20"/>
                <w:color w:val="auto"/>
              </w:rPr>
            </w:pPr>
            <w:r>
              <w:rPr>
                <w:rFonts w:ascii="Times New Roman" w:cs="Times New Roman" w:eastAsia="Times New Roman" w:hAnsi="Times New Roman"/>
                <w:sz w:val="14"/>
                <w:szCs w:val="14"/>
                <w:color w:val="auto"/>
              </w:rPr>
              <w:t>(46,856)</w:t>
            </w: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40" w:type="dxa"/>
            <w:vAlign w:val="bottom"/>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Provision for income taxes</w:t>
            </w:r>
          </w:p>
        </w:tc>
        <w:tc>
          <w:tcPr>
            <w:tcW w:w="80" w:type="dxa"/>
            <w:vAlign w:val="bottom"/>
            <w:tcBorders>
              <w:bottom w:val="single" w:sz="8" w:color="auto"/>
            </w:tcBorders>
            <w:shd w:val="clear" w:color="auto" w:fill="CCEEFF"/>
          </w:tcPr>
          <w:p>
            <w:pPr>
              <w:spacing w:after="0"/>
              <w:rPr>
                <w:sz w:val="12"/>
                <w:szCs w:val="12"/>
                <w:color w:val="auto"/>
              </w:rPr>
            </w:pPr>
          </w:p>
        </w:tc>
        <w:tc>
          <w:tcPr>
            <w:tcW w:w="680" w:type="dxa"/>
            <w:vAlign w:val="bottom"/>
            <w:tcBorders>
              <w:bottom w:val="single" w:sz="8" w:color="auto"/>
            </w:tcBorders>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9,351</w:t>
            </w:r>
          </w:p>
        </w:tc>
        <w:tc>
          <w:tcPr>
            <w:tcW w:w="160" w:type="dxa"/>
            <w:vAlign w:val="bottom"/>
            <w:shd w:val="clear" w:color="auto" w:fill="CCEEFF"/>
          </w:tcPr>
          <w:p>
            <w:pPr>
              <w:spacing w:after="0"/>
              <w:rPr>
                <w:sz w:val="12"/>
                <w:szCs w:val="12"/>
                <w:color w:val="auto"/>
              </w:rPr>
            </w:pPr>
          </w:p>
        </w:tc>
        <w:tc>
          <w:tcPr>
            <w:tcW w:w="80" w:type="dxa"/>
            <w:vAlign w:val="bottom"/>
            <w:tcBorders>
              <w:bottom w:val="single" w:sz="8" w:color="auto"/>
            </w:tcBorders>
            <w:shd w:val="clear" w:color="auto" w:fill="CCEEFF"/>
          </w:tcPr>
          <w:p>
            <w:pPr>
              <w:spacing w:after="0"/>
              <w:rPr>
                <w:sz w:val="12"/>
                <w:szCs w:val="12"/>
                <w:color w:val="auto"/>
              </w:rPr>
            </w:pPr>
          </w:p>
        </w:tc>
        <w:tc>
          <w:tcPr>
            <w:tcW w:w="680" w:type="dxa"/>
            <w:vAlign w:val="bottom"/>
            <w:tcBorders>
              <w:bottom w:val="single" w:sz="8" w:color="auto"/>
            </w:tcBorders>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10,841</w:t>
            </w:r>
          </w:p>
        </w:tc>
        <w:tc>
          <w:tcPr>
            <w:tcW w:w="160" w:type="dxa"/>
            <w:vAlign w:val="bottom"/>
            <w:shd w:val="clear" w:color="auto" w:fill="CCEEFF"/>
          </w:tcPr>
          <w:p>
            <w:pPr>
              <w:spacing w:after="0"/>
              <w:rPr>
                <w:sz w:val="12"/>
                <w:szCs w:val="12"/>
                <w:color w:val="auto"/>
              </w:rPr>
            </w:pPr>
          </w:p>
        </w:tc>
        <w:tc>
          <w:tcPr>
            <w:tcW w:w="80" w:type="dxa"/>
            <w:vAlign w:val="bottom"/>
            <w:tcBorders>
              <w:bottom w:val="single" w:sz="8" w:color="auto"/>
            </w:tcBorders>
            <w:shd w:val="clear" w:color="auto" w:fill="CCEEFF"/>
          </w:tcPr>
          <w:p>
            <w:pPr>
              <w:spacing w:after="0"/>
              <w:rPr>
                <w:sz w:val="12"/>
                <w:szCs w:val="12"/>
                <w:color w:val="auto"/>
              </w:rPr>
            </w:pPr>
          </w:p>
        </w:tc>
        <w:tc>
          <w:tcPr>
            <w:tcW w:w="680" w:type="dxa"/>
            <w:vAlign w:val="bottom"/>
            <w:tcBorders>
              <w:bottom w:val="single" w:sz="8" w:color="auto"/>
            </w:tcBorders>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12,584</w:t>
            </w:r>
          </w:p>
        </w:tc>
        <w:tc>
          <w:tcPr>
            <w:tcW w:w="160" w:type="dxa"/>
            <w:vAlign w:val="bottom"/>
            <w:shd w:val="clear" w:color="auto" w:fill="CCEEFF"/>
          </w:tcPr>
          <w:p>
            <w:pPr>
              <w:spacing w:after="0"/>
              <w:rPr>
                <w:sz w:val="12"/>
                <w:szCs w:val="12"/>
                <w:color w:val="auto"/>
              </w:rPr>
            </w:pPr>
          </w:p>
        </w:tc>
        <w:tc>
          <w:tcPr>
            <w:tcW w:w="80" w:type="dxa"/>
            <w:vAlign w:val="bottom"/>
            <w:tcBorders>
              <w:bottom w:val="single" w:sz="8" w:color="auto"/>
            </w:tcBorders>
            <w:shd w:val="clear" w:color="auto" w:fill="CCEEFF"/>
          </w:tcPr>
          <w:p>
            <w:pPr>
              <w:spacing w:after="0"/>
              <w:rPr>
                <w:sz w:val="12"/>
                <w:szCs w:val="12"/>
                <w:color w:val="auto"/>
              </w:rPr>
            </w:pPr>
          </w:p>
        </w:tc>
        <w:tc>
          <w:tcPr>
            <w:tcW w:w="680" w:type="dxa"/>
            <w:vAlign w:val="bottom"/>
            <w:tcBorders>
              <w:bottom w:val="single" w:sz="8" w:color="auto"/>
            </w:tcBorders>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43,585</w:t>
            </w:r>
          </w:p>
        </w:tc>
        <w:tc>
          <w:tcPr>
            <w:tcW w:w="160" w:type="dxa"/>
            <w:vAlign w:val="bottom"/>
            <w:shd w:val="clear" w:color="auto" w:fill="CCEEFF"/>
          </w:tcPr>
          <w:p>
            <w:pPr>
              <w:spacing w:after="0"/>
              <w:rPr>
                <w:sz w:val="12"/>
                <w:szCs w:val="12"/>
                <w:color w:val="auto"/>
              </w:rPr>
            </w:pPr>
          </w:p>
        </w:tc>
        <w:tc>
          <w:tcPr>
            <w:tcW w:w="60" w:type="dxa"/>
            <w:vAlign w:val="bottom"/>
            <w:tcBorders>
              <w:bottom w:val="single" w:sz="8" w:color="auto"/>
            </w:tcBorders>
            <w:shd w:val="clear" w:color="auto" w:fill="CCEEFF"/>
          </w:tcPr>
          <w:p>
            <w:pPr>
              <w:spacing w:after="0"/>
              <w:rPr>
                <w:sz w:val="12"/>
                <w:szCs w:val="12"/>
                <w:color w:val="auto"/>
              </w:rPr>
            </w:pPr>
          </w:p>
        </w:tc>
        <w:tc>
          <w:tcPr>
            <w:tcW w:w="700" w:type="dxa"/>
            <w:vAlign w:val="bottom"/>
            <w:tcBorders>
              <w:bottom w:val="single" w:sz="8" w:color="auto"/>
            </w:tcBorders>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15,863</w:t>
            </w:r>
          </w:p>
        </w:tc>
        <w:tc>
          <w:tcPr>
            <w:tcW w:w="140" w:type="dxa"/>
            <w:vAlign w:val="bottom"/>
            <w:shd w:val="clear" w:color="auto" w:fill="CCEEFF"/>
          </w:tcPr>
          <w:p>
            <w:pPr>
              <w:spacing w:after="0"/>
              <w:rPr>
                <w:sz w:val="12"/>
                <w:szCs w:val="12"/>
                <w:color w:val="auto"/>
              </w:rPr>
            </w:pPr>
          </w:p>
        </w:tc>
        <w:tc>
          <w:tcPr>
            <w:tcW w:w="140" w:type="dxa"/>
            <w:vAlign w:val="bottom"/>
            <w:tcBorders>
              <w:bottom w:val="single" w:sz="8" w:color="auto"/>
            </w:tcBorders>
            <w:shd w:val="clear" w:color="auto" w:fill="CCEEFF"/>
          </w:tcPr>
          <w:p>
            <w:pPr>
              <w:spacing w:after="0"/>
              <w:rPr>
                <w:sz w:val="12"/>
                <w:szCs w:val="12"/>
                <w:color w:val="auto"/>
              </w:rPr>
            </w:pPr>
          </w:p>
        </w:tc>
        <w:tc>
          <w:tcPr>
            <w:tcW w:w="620" w:type="dxa"/>
            <w:vAlign w:val="bottom"/>
            <w:tcBorders>
              <w:bottom w:val="single" w:sz="8" w:color="auto"/>
            </w:tcBorders>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12,114</w:t>
            </w:r>
          </w:p>
        </w:tc>
        <w:tc>
          <w:tcPr>
            <w:tcW w:w="120" w:type="dxa"/>
            <w:vAlign w:val="bottom"/>
            <w:shd w:val="clear" w:color="auto" w:fill="CCEEFF"/>
          </w:tcPr>
          <w:p>
            <w:pPr>
              <w:spacing w:after="0"/>
              <w:rPr>
                <w:sz w:val="12"/>
                <w:szCs w:val="12"/>
                <w:color w:val="auto"/>
              </w:rPr>
            </w:pPr>
          </w:p>
        </w:tc>
        <w:tc>
          <w:tcPr>
            <w:tcW w:w="140" w:type="dxa"/>
            <w:vAlign w:val="bottom"/>
            <w:tcBorders>
              <w:bottom w:val="single" w:sz="8" w:color="auto"/>
            </w:tcBorders>
            <w:shd w:val="clear" w:color="auto" w:fill="CCEEFF"/>
          </w:tcPr>
          <w:p>
            <w:pPr>
              <w:spacing w:after="0"/>
              <w:rPr>
                <w:sz w:val="12"/>
                <w:szCs w:val="12"/>
                <w:color w:val="auto"/>
              </w:rPr>
            </w:pPr>
          </w:p>
        </w:tc>
        <w:tc>
          <w:tcPr>
            <w:tcW w:w="600" w:type="dxa"/>
            <w:vAlign w:val="bottom"/>
            <w:tcBorders>
              <w:bottom w:val="single" w:sz="8" w:color="auto"/>
            </w:tcBorders>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6,461</w:t>
            </w:r>
          </w:p>
        </w:tc>
        <w:tc>
          <w:tcPr>
            <w:tcW w:w="140" w:type="dxa"/>
            <w:vAlign w:val="bottom"/>
            <w:shd w:val="clear" w:color="auto" w:fill="CCEEFF"/>
          </w:tcPr>
          <w:p>
            <w:pPr>
              <w:spacing w:after="0"/>
              <w:rPr>
                <w:sz w:val="12"/>
                <w:szCs w:val="12"/>
                <w:color w:val="auto"/>
              </w:rPr>
            </w:pPr>
          </w:p>
        </w:tc>
        <w:tc>
          <w:tcPr>
            <w:tcW w:w="140" w:type="dxa"/>
            <w:vAlign w:val="bottom"/>
            <w:tcBorders>
              <w:bottom w:val="single" w:sz="8" w:color="auto"/>
            </w:tcBorders>
            <w:shd w:val="clear" w:color="auto" w:fill="CCEEFF"/>
          </w:tcPr>
          <w:p>
            <w:pPr>
              <w:spacing w:after="0"/>
              <w:rPr>
                <w:sz w:val="12"/>
                <w:szCs w:val="12"/>
                <w:color w:val="auto"/>
              </w:rPr>
            </w:pPr>
          </w:p>
        </w:tc>
        <w:tc>
          <w:tcPr>
            <w:tcW w:w="620" w:type="dxa"/>
            <w:vAlign w:val="bottom"/>
            <w:tcBorders>
              <w:bottom w:val="single" w:sz="8" w:color="auto"/>
            </w:tcBorders>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1,109</w:t>
            </w:r>
          </w:p>
        </w:tc>
        <w:tc>
          <w:tcPr>
            <w:tcW w:w="140" w:type="dxa"/>
            <w:vAlign w:val="bottom"/>
            <w:shd w:val="clear" w:color="auto" w:fill="CCEEFF"/>
          </w:tcPr>
          <w:p>
            <w:pPr>
              <w:spacing w:after="0"/>
              <w:rPr>
                <w:sz w:val="12"/>
                <w:szCs w:val="12"/>
                <w:color w:val="auto"/>
              </w:rPr>
            </w:pPr>
          </w:p>
        </w:tc>
        <w:tc>
          <w:tcPr>
            <w:tcW w:w="120" w:type="dxa"/>
            <w:vAlign w:val="bottom"/>
            <w:tcBorders>
              <w:bottom w:val="single" w:sz="8" w:color="auto"/>
            </w:tcBorders>
            <w:shd w:val="clear" w:color="auto" w:fill="CCEEFF"/>
          </w:tcPr>
          <w:p>
            <w:pPr>
              <w:spacing w:after="0"/>
              <w:rPr>
                <w:sz w:val="12"/>
                <w:szCs w:val="12"/>
                <w:color w:val="auto"/>
              </w:rPr>
            </w:pPr>
          </w:p>
        </w:tc>
        <w:tc>
          <w:tcPr>
            <w:tcW w:w="620" w:type="dxa"/>
            <w:vAlign w:val="bottom"/>
            <w:tcBorders>
              <w:bottom w:val="single" w:sz="8" w:color="auto"/>
            </w:tcBorders>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5,972</w:t>
            </w:r>
          </w:p>
        </w:tc>
        <w:tc>
          <w:tcPr>
            <w:tcW w:w="8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340" w:type="dxa"/>
            <w:vAlign w:val="bottom"/>
          </w:tcPr>
          <w:p>
            <w:pPr>
              <w:spacing w:after="0" w:line="142" w:lineRule="exact"/>
              <w:rPr>
                <w:sz w:val="20"/>
                <w:szCs w:val="20"/>
                <w:color w:val="auto"/>
              </w:rPr>
            </w:pPr>
            <w:r>
              <w:rPr>
                <w:rFonts w:ascii="Times New Roman" w:cs="Times New Roman" w:eastAsia="Times New Roman" w:hAnsi="Times New Roman"/>
                <w:sz w:val="14"/>
                <w:szCs w:val="14"/>
                <w:color w:val="auto"/>
              </w:rPr>
              <w:t>Income (loss) before change in accounting principle</w:t>
            </w:r>
          </w:p>
        </w:tc>
        <w:tc>
          <w:tcPr>
            <w:tcW w:w="80" w:type="dxa"/>
            <w:vAlign w:val="bottom"/>
          </w:tcPr>
          <w:p>
            <w:pPr>
              <w:spacing w:after="0"/>
              <w:rPr>
                <w:sz w:val="12"/>
                <w:szCs w:val="12"/>
                <w:color w:val="auto"/>
              </w:rPr>
            </w:pPr>
          </w:p>
        </w:tc>
        <w:tc>
          <w:tcPr>
            <w:tcW w:w="680" w:type="dxa"/>
            <w:vAlign w:val="bottom"/>
          </w:tcPr>
          <w:p>
            <w:pPr>
              <w:jc w:val="right"/>
              <w:spacing w:after="0" w:line="142" w:lineRule="exact"/>
              <w:rPr>
                <w:sz w:val="20"/>
                <w:szCs w:val="20"/>
                <w:color w:val="auto"/>
              </w:rPr>
            </w:pPr>
            <w:r>
              <w:rPr>
                <w:rFonts w:ascii="Times New Roman" w:cs="Times New Roman" w:eastAsia="Times New Roman" w:hAnsi="Times New Roman"/>
                <w:sz w:val="14"/>
                <w:szCs w:val="14"/>
                <w:color w:val="auto"/>
              </w:rPr>
              <w:t>53,947</w:t>
            </w: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jc w:val="right"/>
              <w:spacing w:after="0" w:line="142" w:lineRule="exact"/>
              <w:rPr>
                <w:sz w:val="20"/>
                <w:szCs w:val="20"/>
                <w:color w:val="auto"/>
              </w:rPr>
            </w:pPr>
            <w:r>
              <w:rPr>
                <w:rFonts w:ascii="Times New Roman" w:cs="Times New Roman" w:eastAsia="Times New Roman" w:hAnsi="Times New Roman"/>
                <w:sz w:val="14"/>
                <w:szCs w:val="14"/>
                <w:color w:val="auto"/>
              </w:rPr>
              <w:t>47,099</w:t>
            </w: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jc w:val="right"/>
              <w:spacing w:after="0" w:line="142" w:lineRule="exact"/>
              <w:rPr>
                <w:sz w:val="20"/>
                <w:szCs w:val="20"/>
                <w:color w:val="auto"/>
              </w:rPr>
            </w:pPr>
            <w:r>
              <w:rPr>
                <w:rFonts w:ascii="Times New Roman" w:cs="Times New Roman" w:eastAsia="Times New Roman" w:hAnsi="Times New Roman"/>
                <w:sz w:val="14"/>
                <w:szCs w:val="14"/>
                <w:color w:val="auto"/>
              </w:rPr>
              <w:t>83,355</w:t>
            </w: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jc w:val="right"/>
              <w:spacing w:after="0" w:line="142" w:lineRule="exact"/>
              <w:rPr>
                <w:sz w:val="20"/>
                <w:szCs w:val="20"/>
                <w:color w:val="auto"/>
              </w:rPr>
            </w:pPr>
            <w:r>
              <w:rPr>
                <w:rFonts w:ascii="Times New Roman" w:cs="Times New Roman" w:eastAsia="Times New Roman" w:hAnsi="Times New Roman"/>
                <w:sz w:val="14"/>
                <w:szCs w:val="14"/>
                <w:color w:val="auto"/>
              </w:rPr>
              <w:t>15,089</w:t>
            </w:r>
          </w:p>
        </w:tc>
        <w:tc>
          <w:tcPr>
            <w:tcW w:w="1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00" w:type="dxa"/>
            <w:vAlign w:val="bottom"/>
          </w:tcPr>
          <w:p>
            <w:pPr>
              <w:jc w:val="right"/>
              <w:spacing w:after="0" w:line="142" w:lineRule="exact"/>
              <w:rPr>
                <w:sz w:val="20"/>
                <w:szCs w:val="20"/>
                <w:color w:val="auto"/>
              </w:rPr>
            </w:pPr>
            <w:r>
              <w:rPr>
                <w:rFonts w:ascii="Times New Roman" w:cs="Times New Roman" w:eastAsia="Times New Roman" w:hAnsi="Times New Roman"/>
                <w:sz w:val="14"/>
                <w:szCs w:val="14"/>
                <w:color w:val="auto"/>
              </w:rPr>
              <w:t>68,717</w:t>
            </w:r>
          </w:p>
        </w:tc>
        <w:tc>
          <w:tcPr>
            <w:tcW w:w="1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jc w:val="right"/>
              <w:spacing w:after="0" w:line="142" w:lineRule="exact"/>
              <w:rPr>
                <w:sz w:val="20"/>
                <w:szCs w:val="20"/>
                <w:color w:val="auto"/>
              </w:rPr>
            </w:pPr>
            <w:r>
              <w:rPr>
                <w:rFonts w:ascii="Times New Roman" w:cs="Times New Roman" w:eastAsia="Times New Roman" w:hAnsi="Times New Roman"/>
                <w:sz w:val="14"/>
                <w:szCs w:val="14"/>
                <w:color w:val="auto"/>
              </w:rPr>
              <w:t>44,881</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0" w:type="dxa"/>
            <w:vAlign w:val="bottom"/>
          </w:tcPr>
          <w:p>
            <w:pPr>
              <w:jc w:val="right"/>
              <w:spacing w:after="0" w:line="142" w:lineRule="exact"/>
              <w:rPr>
                <w:sz w:val="20"/>
                <w:szCs w:val="20"/>
                <w:color w:val="auto"/>
              </w:rPr>
            </w:pPr>
            <w:r>
              <w:rPr>
                <w:rFonts w:ascii="Times New Roman" w:cs="Times New Roman" w:eastAsia="Times New Roman" w:hAnsi="Times New Roman"/>
                <w:sz w:val="14"/>
                <w:szCs w:val="14"/>
                <w:color w:val="auto"/>
              </w:rPr>
              <w:t>6,046</w:t>
            </w:r>
          </w:p>
        </w:tc>
        <w:tc>
          <w:tcPr>
            <w:tcW w:w="1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jc w:val="right"/>
              <w:spacing w:after="0" w:line="142" w:lineRule="exact"/>
              <w:rPr>
                <w:sz w:val="20"/>
                <w:szCs w:val="20"/>
                <w:color w:val="auto"/>
              </w:rPr>
            </w:pPr>
            <w:r>
              <w:rPr>
                <w:rFonts w:ascii="Times New Roman" w:cs="Times New Roman" w:eastAsia="Times New Roman" w:hAnsi="Times New Roman"/>
                <w:sz w:val="14"/>
                <w:szCs w:val="14"/>
                <w:color w:val="auto"/>
              </w:rPr>
              <w:t>(140,585)</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20" w:type="dxa"/>
            <w:vAlign w:val="bottom"/>
          </w:tcPr>
          <w:p>
            <w:pPr>
              <w:jc w:val="right"/>
              <w:spacing w:after="0" w:line="142" w:lineRule="exact"/>
              <w:rPr>
                <w:sz w:val="20"/>
                <w:szCs w:val="20"/>
                <w:color w:val="auto"/>
              </w:rPr>
            </w:pPr>
            <w:r>
              <w:rPr>
                <w:rFonts w:ascii="Times New Roman" w:cs="Times New Roman" w:eastAsia="Times New Roman" w:hAnsi="Times New Roman"/>
                <w:sz w:val="14"/>
                <w:szCs w:val="14"/>
                <w:color w:val="auto"/>
              </w:rPr>
              <w:t>(52,828)</w:t>
            </w: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3340" w:type="dxa"/>
            <w:vAlign w:val="bottom"/>
            <w:shd w:val="clear" w:color="auto" w:fill="CCEEFF"/>
          </w:tcPr>
          <w:p>
            <w:pPr>
              <w:spacing w:after="0" w:line="126" w:lineRule="exact"/>
              <w:rPr>
                <w:sz w:val="20"/>
                <w:szCs w:val="20"/>
                <w:color w:val="auto"/>
              </w:rPr>
            </w:pPr>
            <w:r>
              <w:rPr>
                <w:rFonts w:ascii="Times New Roman" w:cs="Times New Roman" w:eastAsia="Times New Roman" w:hAnsi="Times New Roman"/>
                <w:sz w:val="14"/>
                <w:szCs w:val="14"/>
                <w:color w:val="auto"/>
              </w:rPr>
              <w:t>Cumulative effect of change in accounting principle,</w:t>
            </w:r>
          </w:p>
        </w:tc>
        <w:tc>
          <w:tcPr>
            <w:tcW w:w="80" w:type="dxa"/>
            <w:vAlign w:val="bottom"/>
            <w:shd w:val="clear" w:color="auto" w:fill="CCEEFF"/>
          </w:tcPr>
          <w:p>
            <w:pPr>
              <w:spacing w:after="0"/>
              <w:rPr>
                <w:sz w:val="10"/>
                <w:szCs w:val="10"/>
                <w:color w:val="auto"/>
              </w:rPr>
            </w:pPr>
          </w:p>
        </w:tc>
        <w:tc>
          <w:tcPr>
            <w:tcW w:w="68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w:t>
            </w:r>
          </w:p>
        </w:tc>
        <w:tc>
          <w:tcPr>
            <w:tcW w:w="16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68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w:t>
            </w:r>
          </w:p>
        </w:tc>
        <w:tc>
          <w:tcPr>
            <w:tcW w:w="16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68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w:t>
            </w:r>
          </w:p>
        </w:tc>
        <w:tc>
          <w:tcPr>
            <w:tcW w:w="16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840" w:type="dxa"/>
            <w:vAlign w:val="bottom"/>
            <w:gridSpan w:val="2"/>
            <w:vMerge w:val="restart"/>
            <w:shd w:val="clear" w:color="auto" w:fill="CCEEFF"/>
          </w:tcPr>
          <w:p>
            <w:pPr>
              <w:jc w:val="right"/>
              <w:ind w:right="180"/>
              <w:spacing w:after="0"/>
              <w:rPr>
                <w:sz w:val="20"/>
                <w:szCs w:val="20"/>
                <w:color w:val="auto"/>
              </w:rPr>
            </w:pPr>
            <w:r>
              <w:rPr>
                <w:rFonts w:ascii="Times New Roman" w:cs="Times New Roman" w:eastAsia="Times New Roman" w:hAnsi="Times New Roman"/>
                <w:sz w:val="14"/>
                <w:szCs w:val="14"/>
                <w:color w:val="auto"/>
              </w:rPr>
              <w:t>—</w:t>
            </w:r>
          </w:p>
        </w:tc>
        <w:tc>
          <w:tcPr>
            <w:tcW w:w="60" w:type="dxa"/>
            <w:vAlign w:val="bottom"/>
            <w:shd w:val="clear" w:color="auto" w:fill="CCEEFF"/>
          </w:tcPr>
          <w:p>
            <w:pPr>
              <w:spacing w:after="0"/>
              <w:rPr>
                <w:sz w:val="10"/>
                <w:szCs w:val="10"/>
                <w:color w:val="auto"/>
              </w:rPr>
            </w:pPr>
          </w:p>
        </w:tc>
        <w:tc>
          <w:tcPr>
            <w:tcW w:w="700" w:type="dxa"/>
            <w:vAlign w:val="bottom"/>
            <w:vMerge w:val="restart"/>
            <w:shd w:val="clear" w:color="auto" w:fill="CCEEFF"/>
          </w:tcPr>
          <w:p>
            <w:pPr>
              <w:jc w:val="right"/>
              <w:spacing w:after="0"/>
              <w:rPr>
                <w:sz w:val="20"/>
                <w:szCs w:val="20"/>
                <w:color w:val="auto"/>
              </w:rPr>
            </w:pPr>
            <w:r>
              <w:rPr>
                <w:rFonts w:ascii="Times New Roman" w:cs="Times New Roman" w:eastAsia="Times New Roman" w:hAnsi="Times New Roman"/>
                <w:sz w:val="14"/>
                <w:szCs w:val="14"/>
                <w:color w:val="auto"/>
              </w:rPr>
              <w:t>8,846</w:t>
            </w:r>
          </w:p>
        </w:tc>
        <w:tc>
          <w:tcPr>
            <w:tcW w:w="140" w:type="dxa"/>
            <w:vAlign w:val="bottom"/>
            <w:shd w:val="clear" w:color="auto" w:fill="CCEEFF"/>
          </w:tcPr>
          <w:p>
            <w:pPr>
              <w:spacing w:after="0"/>
              <w:rPr>
                <w:sz w:val="10"/>
                <w:szCs w:val="10"/>
                <w:color w:val="auto"/>
              </w:rPr>
            </w:pPr>
          </w:p>
        </w:tc>
        <w:tc>
          <w:tcPr>
            <w:tcW w:w="140" w:type="dxa"/>
            <w:vAlign w:val="bottom"/>
            <w:shd w:val="clear" w:color="auto" w:fill="CCEEFF"/>
          </w:tcPr>
          <w:p>
            <w:pPr>
              <w:spacing w:after="0"/>
              <w:rPr>
                <w:sz w:val="10"/>
                <w:szCs w:val="10"/>
                <w:color w:val="auto"/>
              </w:rPr>
            </w:pPr>
          </w:p>
        </w:tc>
        <w:tc>
          <w:tcPr>
            <w:tcW w:w="740" w:type="dxa"/>
            <w:vAlign w:val="bottom"/>
            <w:gridSpan w:val="2"/>
            <w:vMerge w:val="restart"/>
            <w:shd w:val="clear" w:color="auto" w:fill="CCEEFF"/>
          </w:tcPr>
          <w:p>
            <w:pPr>
              <w:jc w:val="right"/>
              <w:ind w:right="140"/>
              <w:spacing w:after="0"/>
              <w:rPr>
                <w:sz w:val="20"/>
                <w:szCs w:val="20"/>
                <w:color w:val="auto"/>
              </w:rPr>
            </w:pPr>
            <w:r>
              <w:rPr>
                <w:rFonts w:ascii="Times New Roman" w:cs="Times New Roman" w:eastAsia="Times New Roman" w:hAnsi="Times New Roman"/>
                <w:sz w:val="14"/>
                <w:szCs w:val="14"/>
                <w:color w:val="auto"/>
              </w:rPr>
              <w:t>—</w:t>
            </w:r>
          </w:p>
        </w:tc>
        <w:tc>
          <w:tcPr>
            <w:tcW w:w="140" w:type="dxa"/>
            <w:vAlign w:val="bottom"/>
            <w:shd w:val="clear" w:color="auto" w:fill="CCEEFF"/>
          </w:tcPr>
          <w:p>
            <w:pPr>
              <w:spacing w:after="0"/>
              <w:rPr>
                <w:sz w:val="10"/>
                <w:szCs w:val="10"/>
                <w:color w:val="auto"/>
              </w:rPr>
            </w:pPr>
          </w:p>
        </w:tc>
        <w:tc>
          <w:tcPr>
            <w:tcW w:w="740" w:type="dxa"/>
            <w:vAlign w:val="bottom"/>
            <w:gridSpan w:val="2"/>
            <w:vMerge w:val="restart"/>
            <w:shd w:val="clear" w:color="auto" w:fill="CCEEFF"/>
          </w:tcPr>
          <w:p>
            <w:pPr>
              <w:jc w:val="right"/>
              <w:ind w:right="140"/>
              <w:spacing w:after="0"/>
              <w:rPr>
                <w:sz w:val="20"/>
                <w:szCs w:val="20"/>
                <w:color w:val="auto"/>
              </w:rPr>
            </w:pPr>
            <w:r>
              <w:rPr>
                <w:rFonts w:ascii="Times New Roman" w:cs="Times New Roman" w:eastAsia="Times New Roman" w:hAnsi="Times New Roman"/>
                <w:sz w:val="14"/>
                <w:szCs w:val="14"/>
                <w:color w:val="auto"/>
              </w:rPr>
              <w:t>—</w:t>
            </w:r>
          </w:p>
        </w:tc>
        <w:tc>
          <w:tcPr>
            <w:tcW w:w="140" w:type="dxa"/>
            <w:vAlign w:val="bottom"/>
            <w:shd w:val="clear" w:color="auto" w:fill="CCEEFF"/>
          </w:tcPr>
          <w:p>
            <w:pPr>
              <w:spacing w:after="0"/>
              <w:rPr>
                <w:sz w:val="10"/>
                <w:szCs w:val="10"/>
                <w:color w:val="auto"/>
              </w:rPr>
            </w:pPr>
          </w:p>
        </w:tc>
        <w:tc>
          <w:tcPr>
            <w:tcW w:w="760" w:type="dxa"/>
            <w:vAlign w:val="bottom"/>
            <w:gridSpan w:val="2"/>
            <w:vMerge w:val="restart"/>
            <w:shd w:val="clear" w:color="auto" w:fill="CCEEFF"/>
          </w:tcPr>
          <w:p>
            <w:pPr>
              <w:jc w:val="right"/>
              <w:ind w:right="119"/>
              <w:spacing w:after="0"/>
              <w:rPr>
                <w:sz w:val="20"/>
                <w:szCs w:val="20"/>
                <w:color w:val="auto"/>
              </w:rPr>
            </w:pPr>
            <w:r>
              <w:rPr>
                <w:rFonts w:ascii="Times New Roman" w:cs="Times New Roman" w:eastAsia="Times New Roman" w:hAnsi="Times New Roman"/>
                <w:sz w:val="14"/>
                <w:szCs w:val="14"/>
                <w:color w:val="auto"/>
              </w:rPr>
              <w:t>—</w:t>
            </w:r>
          </w:p>
        </w:tc>
        <w:tc>
          <w:tcPr>
            <w:tcW w:w="120" w:type="dxa"/>
            <w:vAlign w:val="bottom"/>
            <w:shd w:val="clear" w:color="auto" w:fill="CCEEFF"/>
          </w:tcPr>
          <w:p>
            <w:pPr>
              <w:spacing w:after="0"/>
              <w:rPr>
                <w:sz w:val="10"/>
                <w:szCs w:val="10"/>
                <w:color w:val="auto"/>
              </w:rPr>
            </w:pPr>
          </w:p>
        </w:tc>
        <w:tc>
          <w:tcPr>
            <w:tcW w:w="700" w:type="dxa"/>
            <w:vAlign w:val="bottom"/>
            <w:gridSpan w:val="2"/>
            <w:vMerge w:val="restart"/>
            <w:shd w:val="clear" w:color="auto" w:fill="CCEEFF"/>
          </w:tcPr>
          <w:p>
            <w:pPr>
              <w:jc w:val="right"/>
              <w:ind w:right="59"/>
              <w:spacing w:after="0"/>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340" w:type="dxa"/>
            <w:vAlign w:val="bottom"/>
            <w:shd w:val="clear" w:color="auto" w:fill="CCEEFF"/>
          </w:tcPr>
          <w:p>
            <w:pPr>
              <w:ind w:left="160"/>
              <w:spacing w:after="0"/>
              <w:rPr>
                <w:sz w:val="20"/>
                <w:szCs w:val="20"/>
                <w:color w:val="auto"/>
              </w:rPr>
            </w:pPr>
            <w:r>
              <w:rPr>
                <w:rFonts w:ascii="Times New Roman" w:cs="Times New Roman" w:eastAsia="Times New Roman" w:hAnsi="Times New Roman"/>
                <w:sz w:val="14"/>
                <w:szCs w:val="14"/>
                <w:color w:val="auto"/>
              </w:rPr>
              <w:t>net of tax effect</w:t>
            </w:r>
          </w:p>
        </w:tc>
        <w:tc>
          <w:tcPr>
            <w:tcW w:w="80" w:type="dxa"/>
            <w:vAlign w:val="bottom"/>
            <w:shd w:val="clear" w:color="auto" w:fill="CCEEFF"/>
          </w:tcPr>
          <w:p>
            <w:pPr>
              <w:spacing w:after="0"/>
              <w:rPr>
                <w:sz w:val="14"/>
                <w:szCs w:val="14"/>
                <w:color w:val="auto"/>
              </w:rPr>
            </w:pPr>
          </w:p>
        </w:tc>
        <w:tc>
          <w:tcPr>
            <w:tcW w:w="680" w:type="dxa"/>
            <w:vAlign w:val="bottom"/>
            <w:vMerge w:val="continue"/>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80" w:type="dxa"/>
            <w:vAlign w:val="bottom"/>
            <w:vMerge w:val="continue"/>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80" w:type="dxa"/>
            <w:vAlign w:val="bottom"/>
            <w:vMerge w:val="continue"/>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840" w:type="dxa"/>
            <w:vAlign w:val="bottom"/>
            <w:gridSpan w:val="2"/>
            <w:vMerge w:val="continue"/>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700" w:type="dxa"/>
            <w:vAlign w:val="bottom"/>
            <w:vMerge w:val="continue"/>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740" w:type="dxa"/>
            <w:vAlign w:val="bottom"/>
            <w:gridSpan w:val="2"/>
            <w:vMerge w:val="continue"/>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740" w:type="dxa"/>
            <w:vAlign w:val="bottom"/>
            <w:gridSpan w:val="2"/>
            <w:vMerge w:val="continue"/>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760" w:type="dxa"/>
            <w:vAlign w:val="bottom"/>
            <w:gridSpan w:val="2"/>
            <w:vMerge w:val="continue"/>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00" w:type="dxa"/>
            <w:vAlign w:val="bottom"/>
            <w:gridSpan w:val="2"/>
            <w:vMerge w:val="continue"/>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3340" w:type="dxa"/>
            <w:vAlign w:val="bottom"/>
            <w:tcBorders>
              <w:bottom w:val="single" w:sz="8" w:color="CCEEFF"/>
            </w:tcBorders>
          </w:tcPr>
          <w:p>
            <w:pPr>
              <w:spacing w:after="0" w:line="142" w:lineRule="exact"/>
              <w:rPr>
                <w:sz w:val="20"/>
                <w:szCs w:val="20"/>
                <w:color w:val="auto"/>
              </w:rPr>
            </w:pPr>
            <w:r>
              <w:rPr>
                <w:rFonts w:ascii="Times New Roman" w:cs="Times New Roman" w:eastAsia="Times New Roman" w:hAnsi="Times New Roman"/>
                <w:sz w:val="14"/>
                <w:szCs w:val="14"/>
                <w:color w:val="auto"/>
              </w:rPr>
              <w:t>Net income (loss)</w:t>
            </w:r>
          </w:p>
        </w:tc>
        <w:tc>
          <w:tcPr>
            <w:tcW w:w="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680" w:type="dxa"/>
            <w:vAlign w:val="bottom"/>
            <w:tcBorders>
              <w:top w:val="single" w:sz="8" w:color="auto"/>
              <w:bottom w:val="single" w:sz="8" w:color="auto"/>
            </w:tcBorders>
          </w:tcPr>
          <w:p>
            <w:pPr>
              <w:jc w:val="right"/>
              <w:spacing w:after="0" w:line="142" w:lineRule="exact"/>
              <w:rPr>
                <w:sz w:val="20"/>
                <w:szCs w:val="20"/>
                <w:color w:val="auto"/>
              </w:rPr>
            </w:pPr>
            <w:r>
              <w:rPr>
                <w:rFonts w:ascii="Times New Roman" w:cs="Times New Roman" w:eastAsia="Times New Roman" w:hAnsi="Times New Roman"/>
                <w:sz w:val="14"/>
                <w:szCs w:val="14"/>
                <w:color w:val="auto"/>
              </w:rPr>
              <w:t>53,947</w:t>
            </w:r>
          </w:p>
        </w:tc>
        <w:tc>
          <w:tcPr>
            <w:tcW w:w="160" w:type="dxa"/>
            <w:vAlign w:val="bottom"/>
            <w:tcBorders>
              <w:bottom w:val="single" w:sz="8" w:color="CCEEFF"/>
            </w:tcBorders>
          </w:tcPr>
          <w:p>
            <w:pPr>
              <w:spacing w:after="0"/>
              <w:rPr>
                <w:sz w:val="15"/>
                <w:szCs w:val="15"/>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680" w:type="dxa"/>
            <w:vAlign w:val="bottom"/>
            <w:tcBorders>
              <w:top w:val="single" w:sz="8" w:color="auto"/>
              <w:bottom w:val="single" w:sz="8" w:color="auto"/>
            </w:tcBorders>
          </w:tcPr>
          <w:p>
            <w:pPr>
              <w:jc w:val="right"/>
              <w:spacing w:after="0" w:line="142" w:lineRule="exact"/>
              <w:rPr>
                <w:sz w:val="20"/>
                <w:szCs w:val="20"/>
                <w:color w:val="auto"/>
              </w:rPr>
            </w:pPr>
            <w:r>
              <w:rPr>
                <w:rFonts w:ascii="Times New Roman" w:cs="Times New Roman" w:eastAsia="Times New Roman" w:hAnsi="Times New Roman"/>
                <w:sz w:val="14"/>
                <w:szCs w:val="14"/>
                <w:color w:val="auto"/>
              </w:rPr>
              <w:t>47,099</w:t>
            </w:r>
          </w:p>
        </w:tc>
        <w:tc>
          <w:tcPr>
            <w:tcW w:w="160" w:type="dxa"/>
            <w:vAlign w:val="bottom"/>
            <w:tcBorders>
              <w:bottom w:val="single" w:sz="8" w:color="CCEEFF"/>
            </w:tcBorders>
          </w:tcPr>
          <w:p>
            <w:pPr>
              <w:spacing w:after="0"/>
              <w:rPr>
                <w:sz w:val="15"/>
                <w:szCs w:val="15"/>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680" w:type="dxa"/>
            <w:vAlign w:val="bottom"/>
            <w:tcBorders>
              <w:top w:val="single" w:sz="8" w:color="auto"/>
              <w:bottom w:val="single" w:sz="8" w:color="auto"/>
            </w:tcBorders>
          </w:tcPr>
          <w:p>
            <w:pPr>
              <w:jc w:val="right"/>
              <w:spacing w:after="0" w:line="142" w:lineRule="exact"/>
              <w:rPr>
                <w:sz w:val="20"/>
                <w:szCs w:val="20"/>
                <w:color w:val="auto"/>
              </w:rPr>
            </w:pPr>
            <w:r>
              <w:rPr>
                <w:rFonts w:ascii="Times New Roman" w:cs="Times New Roman" w:eastAsia="Times New Roman" w:hAnsi="Times New Roman"/>
                <w:sz w:val="14"/>
                <w:szCs w:val="14"/>
                <w:color w:val="auto"/>
              </w:rPr>
              <w:t>83,355</w:t>
            </w:r>
          </w:p>
        </w:tc>
        <w:tc>
          <w:tcPr>
            <w:tcW w:w="160" w:type="dxa"/>
            <w:vAlign w:val="bottom"/>
            <w:tcBorders>
              <w:bottom w:val="single" w:sz="8" w:color="CCEEFF"/>
            </w:tcBorders>
          </w:tcPr>
          <w:p>
            <w:pPr>
              <w:spacing w:after="0"/>
              <w:rPr>
                <w:sz w:val="15"/>
                <w:szCs w:val="15"/>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680" w:type="dxa"/>
            <w:vAlign w:val="bottom"/>
            <w:tcBorders>
              <w:top w:val="single" w:sz="8" w:color="auto"/>
              <w:bottom w:val="single" w:sz="8" w:color="auto"/>
            </w:tcBorders>
          </w:tcPr>
          <w:p>
            <w:pPr>
              <w:jc w:val="right"/>
              <w:spacing w:after="0" w:line="142" w:lineRule="exact"/>
              <w:rPr>
                <w:sz w:val="20"/>
                <w:szCs w:val="20"/>
                <w:color w:val="auto"/>
              </w:rPr>
            </w:pPr>
            <w:r>
              <w:rPr>
                <w:rFonts w:ascii="Times New Roman" w:cs="Times New Roman" w:eastAsia="Times New Roman" w:hAnsi="Times New Roman"/>
                <w:sz w:val="14"/>
                <w:szCs w:val="14"/>
                <w:color w:val="auto"/>
              </w:rPr>
              <w:t>15,089</w:t>
            </w:r>
          </w:p>
        </w:tc>
        <w:tc>
          <w:tcPr>
            <w:tcW w:w="160" w:type="dxa"/>
            <w:vAlign w:val="bottom"/>
            <w:tcBorders>
              <w:bottom w:val="single" w:sz="8" w:color="CCEEFF"/>
            </w:tcBorders>
          </w:tcPr>
          <w:p>
            <w:pPr>
              <w:spacing w:after="0"/>
              <w:rPr>
                <w:sz w:val="15"/>
                <w:szCs w:val="15"/>
                <w:color w:val="auto"/>
              </w:rPr>
            </w:pPr>
          </w:p>
        </w:tc>
        <w:tc>
          <w:tcPr>
            <w:tcW w:w="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700" w:type="dxa"/>
            <w:vAlign w:val="bottom"/>
            <w:tcBorders>
              <w:top w:val="single" w:sz="8" w:color="auto"/>
              <w:bottom w:val="single" w:sz="8" w:color="auto"/>
            </w:tcBorders>
          </w:tcPr>
          <w:p>
            <w:pPr>
              <w:jc w:val="right"/>
              <w:spacing w:after="0" w:line="142" w:lineRule="exact"/>
              <w:rPr>
                <w:sz w:val="20"/>
                <w:szCs w:val="20"/>
                <w:color w:val="auto"/>
              </w:rPr>
            </w:pPr>
            <w:r>
              <w:rPr>
                <w:rFonts w:ascii="Times New Roman" w:cs="Times New Roman" w:eastAsia="Times New Roman" w:hAnsi="Times New Roman"/>
                <w:sz w:val="14"/>
                <w:szCs w:val="14"/>
                <w:color w:val="auto"/>
              </w:rPr>
              <w:t>77,563</w:t>
            </w:r>
          </w:p>
        </w:tc>
        <w:tc>
          <w:tcPr>
            <w:tcW w:w="140" w:type="dxa"/>
            <w:vAlign w:val="bottom"/>
            <w:tcBorders>
              <w:bottom w:val="single" w:sz="8" w:color="CCEEFF"/>
            </w:tcBorders>
          </w:tcPr>
          <w:p>
            <w:pPr>
              <w:spacing w:after="0"/>
              <w:rPr>
                <w:sz w:val="15"/>
                <w:szCs w:val="15"/>
                <w:color w:val="auto"/>
              </w:rPr>
            </w:pPr>
          </w:p>
        </w:tc>
        <w:tc>
          <w:tcPr>
            <w:tcW w:w="140" w:type="dxa"/>
            <w:vAlign w:val="bottom"/>
            <w:tcBorders>
              <w:top w:val="single" w:sz="8" w:color="auto"/>
              <w:bottom w:val="single" w:sz="8" w:color="auto"/>
            </w:tcBorders>
          </w:tcPr>
          <w:p>
            <w:pPr>
              <w:jc w:val="right"/>
              <w:spacing w:after="0" w:line="142" w:lineRule="exact"/>
              <w:rPr>
                <w:sz w:val="20"/>
                <w:szCs w:val="20"/>
                <w:color w:val="auto"/>
              </w:rPr>
            </w:pPr>
            <w:r>
              <w:rPr>
                <w:rFonts w:ascii="Times New Roman" w:cs="Times New Roman" w:eastAsia="Times New Roman" w:hAnsi="Times New Roman"/>
                <w:sz w:val="14"/>
                <w:szCs w:val="14"/>
                <w:color w:val="auto"/>
                <w:w w:val="85"/>
              </w:rPr>
              <w:t>$</w:t>
            </w:r>
          </w:p>
        </w:tc>
        <w:tc>
          <w:tcPr>
            <w:tcW w:w="620" w:type="dxa"/>
            <w:vAlign w:val="bottom"/>
            <w:tcBorders>
              <w:top w:val="single" w:sz="8" w:color="auto"/>
              <w:bottom w:val="single" w:sz="8" w:color="auto"/>
            </w:tcBorders>
          </w:tcPr>
          <w:p>
            <w:pPr>
              <w:jc w:val="right"/>
              <w:spacing w:after="0" w:line="142" w:lineRule="exact"/>
              <w:rPr>
                <w:sz w:val="20"/>
                <w:szCs w:val="20"/>
                <w:color w:val="auto"/>
              </w:rPr>
            </w:pPr>
            <w:r>
              <w:rPr>
                <w:rFonts w:ascii="Times New Roman" w:cs="Times New Roman" w:eastAsia="Times New Roman" w:hAnsi="Times New Roman"/>
                <w:sz w:val="14"/>
                <w:szCs w:val="14"/>
                <w:color w:val="auto"/>
              </w:rPr>
              <w:t>44,881</w:t>
            </w:r>
          </w:p>
        </w:tc>
        <w:tc>
          <w:tcPr>
            <w:tcW w:w="120" w:type="dxa"/>
            <w:vAlign w:val="bottom"/>
            <w:tcBorders>
              <w:bottom w:val="single" w:sz="8" w:color="CCEEFF"/>
            </w:tcBorders>
          </w:tcPr>
          <w:p>
            <w:pPr>
              <w:spacing w:after="0"/>
              <w:rPr>
                <w:sz w:val="15"/>
                <w:szCs w:val="15"/>
                <w:color w:val="auto"/>
              </w:rPr>
            </w:pPr>
          </w:p>
        </w:tc>
        <w:tc>
          <w:tcPr>
            <w:tcW w:w="140" w:type="dxa"/>
            <w:vAlign w:val="bottom"/>
            <w:tcBorders>
              <w:top w:val="single" w:sz="8" w:color="auto"/>
              <w:bottom w:val="single" w:sz="8" w:color="auto"/>
            </w:tcBorders>
          </w:tcPr>
          <w:p>
            <w:pPr>
              <w:jc w:val="right"/>
              <w:spacing w:after="0" w:line="142" w:lineRule="exact"/>
              <w:rPr>
                <w:sz w:val="20"/>
                <w:szCs w:val="20"/>
                <w:color w:val="auto"/>
              </w:rPr>
            </w:pPr>
            <w:r>
              <w:rPr>
                <w:rFonts w:ascii="Times New Roman" w:cs="Times New Roman" w:eastAsia="Times New Roman" w:hAnsi="Times New Roman"/>
                <w:sz w:val="14"/>
                <w:szCs w:val="14"/>
                <w:color w:val="auto"/>
                <w:w w:val="85"/>
              </w:rPr>
              <w:t>$</w:t>
            </w:r>
          </w:p>
        </w:tc>
        <w:tc>
          <w:tcPr>
            <w:tcW w:w="600" w:type="dxa"/>
            <w:vAlign w:val="bottom"/>
            <w:tcBorders>
              <w:top w:val="single" w:sz="8" w:color="auto"/>
              <w:bottom w:val="single" w:sz="8" w:color="auto"/>
            </w:tcBorders>
          </w:tcPr>
          <w:p>
            <w:pPr>
              <w:jc w:val="right"/>
              <w:spacing w:after="0" w:line="142" w:lineRule="exact"/>
              <w:rPr>
                <w:sz w:val="20"/>
                <w:szCs w:val="20"/>
                <w:color w:val="auto"/>
              </w:rPr>
            </w:pPr>
            <w:r>
              <w:rPr>
                <w:rFonts w:ascii="Times New Roman" w:cs="Times New Roman" w:eastAsia="Times New Roman" w:hAnsi="Times New Roman"/>
                <w:sz w:val="14"/>
                <w:szCs w:val="14"/>
                <w:color w:val="auto"/>
              </w:rPr>
              <w:t>6,046</w:t>
            </w:r>
          </w:p>
        </w:tc>
        <w:tc>
          <w:tcPr>
            <w:tcW w:w="140" w:type="dxa"/>
            <w:vAlign w:val="bottom"/>
            <w:tcBorders>
              <w:bottom w:val="single" w:sz="8" w:color="CCEEFF"/>
            </w:tcBorders>
          </w:tcPr>
          <w:p>
            <w:pPr>
              <w:spacing w:after="0"/>
              <w:rPr>
                <w:sz w:val="15"/>
                <w:szCs w:val="15"/>
                <w:color w:val="auto"/>
              </w:rPr>
            </w:pPr>
          </w:p>
        </w:tc>
        <w:tc>
          <w:tcPr>
            <w:tcW w:w="140" w:type="dxa"/>
            <w:vAlign w:val="bottom"/>
            <w:tcBorders>
              <w:top w:val="single" w:sz="8" w:color="auto"/>
              <w:bottom w:val="single" w:sz="8" w:color="auto"/>
            </w:tcBorders>
          </w:tcPr>
          <w:p>
            <w:pPr>
              <w:jc w:val="right"/>
              <w:spacing w:after="0" w:line="142" w:lineRule="exact"/>
              <w:rPr>
                <w:sz w:val="20"/>
                <w:szCs w:val="20"/>
                <w:color w:val="auto"/>
              </w:rPr>
            </w:pPr>
            <w:r>
              <w:rPr>
                <w:rFonts w:ascii="Times New Roman" w:cs="Times New Roman" w:eastAsia="Times New Roman" w:hAnsi="Times New Roman"/>
                <w:sz w:val="14"/>
                <w:szCs w:val="14"/>
                <w:color w:val="auto"/>
                <w:w w:val="85"/>
              </w:rPr>
              <w:t>$</w:t>
            </w:r>
          </w:p>
        </w:tc>
        <w:tc>
          <w:tcPr>
            <w:tcW w:w="620" w:type="dxa"/>
            <w:vAlign w:val="bottom"/>
            <w:tcBorders>
              <w:top w:val="single" w:sz="8" w:color="auto"/>
              <w:bottom w:val="single" w:sz="8" w:color="auto"/>
            </w:tcBorders>
          </w:tcPr>
          <w:p>
            <w:pPr>
              <w:jc w:val="right"/>
              <w:spacing w:after="0" w:line="142" w:lineRule="exact"/>
              <w:rPr>
                <w:sz w:val="20"/>
                <w:szCs w:val="20"/>
                <w:color w:val="auto"/>
              </w:rPr>
            </w:pPr>
            <w:r>
              <w:rPr>
                <w:rFonts w:ascii="Times New Roman" w:cs="Times New Roman" w:eastAsia="Times New Roman" w:hAnsi="Times New Roman"/>
                <w:sz w:val="14"/>
                <w:szCs w:val="14"/>
                <w:color w:val="auto"/>
              </w:rPr>
              <w:t>(140,585</w:t>
            </w:r>
          </w:p>
        </w:tc>
        <w:tc>
          <w:tcPr>
            <w:tcW w:w="140" w:type="dxa"/>
            <w:vAlign w:val="bottom"/>
            <w:tcBorders>
              <w:bottom w:val="single" w:sz="8" w:color="CCEEFF"/>
            </w:tcBorders>
          </w:tcPr>
          <w:p>
            <w:pPr>
              <w:jc w:val="right"/>
              <w:ind w:right="59"/>
              <w:spacing w:after="0"/>
              <w:rPr>
                <w:sz w:val="20"/>
                <w:szCs w:val="20"/>
                <w:color w:val="auto"/>
              </w:rPr>
            </w:pPr>
            <w:r>
              <w:rPr>
                <w:rFonts w:ascii="Times New Roman" w:cs="Times New Roman" w:eastAsia="Times New Roman" w:hAnsi="Times New Roman"/>
                <w:sz w:val="8"/>
                <w:szCs w:val="8"/>
                <w:color w:val="auto"/>
                <w:w w:val="73"/>
              </w:rPr>
              <w:t>)</w:t>
            </w:r>
          </w:p>
        </w:tc>
        <w:tc>
          <w:tcPr>
            <w:tcW w:w="120" w:type="dxa"/>
            <w:vAlign w:val="bottom"/>
            <w:tcBorders>
              <w:top w:val="single" w:sz="8" w:color="auto"/>
              <w:bottom w:val="single" w:sz="8" w:color="auto"/>
            </w:tcBorders>
          </w:tcPr>
          <w:p>
            <w:pPr>
              <w:jc w:val="right"/>
              <w:ind w:right="3"/>
              <w:spacing w:after="0"/>
              <w:rPr>
                <w:sz w:val="20"/>
                <w:szCs w:val="20"/>
                <w:color w:val="auto"/>
              </w:rPr>
            </w:pPr>
            <w:r>
              <w:rPr>
                <w:rFonts w:ascii="Times New Roman" w:cs="Times New Roman" w:eastAsia="Times New Roman" w:hAnsi="Times New Roman"/>
                <w:sz w:val="11"/>
                <w:szCs w:val="11"/>
                <w:color w:val="auto"/>
                <w:w w:val="71"/>
              </w:rPr>
              <w:t>$</w:t>
            </w:r>
          </w:p>
        </w:tc>
        <w:tc>
          <w:tcPr>
            <w:tcW w:w="620" w:type="dxa"/>
            <w:vAlign w:val="bottom"/>
            <w:tcBorders>
              <w:top w:val="single" w:sz="8" w:color="auto"/>
              <w:bottom w:val="single" w:sz="8" w:color="auto"/>
            </w:tcBorders>
          </w:tcPr>
          <w:p>
            <w:pPr>
              <w:jc w:val="right"/>
              <w:spacing w:after="0" w:line="142" w:lineRule="exact"/>
              <w:rPr>
                <w:sz w:val="20"/>
                <w:szCs w:val="20"/>
                <w:color w:val="auto"/>
              </w:rPr>
            </w:pPr>
            <w:r>
              <w:rPr>
                <w:rFonts w:ascii="Times New Roman" w:cs="Times New Roman" w:eastAsia="Times New Roman" w:hAnsi="Times New Roman"/>
                <w:sz w:val="14"/>
                <w:szCs w:val="14"/>
                <w:color w:val="auto"/>
              </w:rPr>
              <w:t>(52,828</w:t>
            </w:r>
          </w:p>
        </w:tc>
        <w:tc>
          <w:tcPr>
            <w:tcW w:w="80" w:type="dxa"/>
            <w:vAlign w:val="bottom"/>
            <w:tcBorders>
              <w:bottom w:val="single" w:sz="8" w:color="CCEEFF"/>
            </w:tcBorders>
          </w:tcPr>
          <w:p>
            <w:pPr>
              <w:jc w:val="right"/>
              <w:spacing w:after="0"/>
              <w:rPr>
                <w:sz w:val="20"/>
                <w:szCs w:val="20"/>
                <w:color w:val="auto"/>
              </w:rPr>
            </w:pPr>
            <w:r>
              <w:rPr>
                <w:rFonts w:ascii="Times New Roman" w:cs="Times New Roman" w:eastAsia="Times New Roman" w:hAnsi="Times New Roman"/>
                <w:sz w:val="8"/>
                <w:szCs w:val="8"/>
                <w:color w:val="auto"/>
                <w:w w:val="73"/>
              </w:rPr>
              <w:t>)</w:t>
            </w:r>
          </w:p>
        </w:tc>
        <w:tc>
          <w:tcPr>
            <w:tcW w:w="0" w:type="dxa"/>
            <w:vAlign w:val="bottom"/>
          </w:tcPr>
          <w:p>
            <w:pPr>
              <w:spacing w:after="0"/>
              <w:rPr>
                <w:sz w:val="1"/>
                <w:szCs w:val="1"/>
                <w:color w:val="auto"/>
              </w:rPr>
            </w:pPr>
          </w:p>
        </w:tc>
      </w:tr>
      <w:tr>
        <w:trPr>
          <w:trHeight w:val="129"/>
        </w:trPr>
        <w:tc>
          <w:tcPr>
            <w:tcW w:w="20" w:type="dxa"/>
            <w:vAlign w:val="bottom"/>
            <w:vMerge w:val="restart"/>
          </w:tcPr>
          <w:p>
            <w:pPr>
              <w:spacing w:after="0"/>
              <w:rPr>
                <w:sz w:val="11"/>
                <w:szCs w:val="11"/>
                <w:color w:val="auto"/>
              </w:rPr>
            </w:pPr>
          </w:p>
        </w:tc>
        <w:tc>
          <w:tcPr>
            <w:tcW w:w="334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7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62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6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62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334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Basic income (loss) per share:</w:t>
            </w: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40" w:type="dxa"/>
            <w:vAlign w:val="bottom"/>
            <w:shd w:val="clear" w:color="auto" w:fill="CCEEFF"/>
          </w:tcPr>
          <w:p>
            <w:pPr>
              <w:ind w:left="140"/>
              <w:spacing w:after="0" w:line="149" w:lineRule="exact"/>
              <w:rPr>
                <w:sz w:val="20"/>
                <w:szCs w:val="20"/>
                <w:color w:val="auto"/>
              </w:rPr>
            </w:pPr>
            <w:r>
              <w:rPr>
                <w:rFonts w:ascii="Times New Roman" w:cs="Times New Roman" w:eastAsia="Times New Roman" w:hAnsi="Times New Roman"/>
                <w:sz w:val="14"/>
                <w:szCs w:val="14"/>
                <w:color w:val="auto"/>
              </w:rPr>
              <w:t>Income (loss) before change in accounting principle</w:t>
            </w:r>
          </w:p>
        </w:tc>
        <w:tc>
          <w:tcPr>
            <w:tcW w:w="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0.10</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0.08</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0.15</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0.03</w:t>
            </w:r>
          </w:p>
        </w:tc>
        <w:tc>
          <w:tcPr>
            <w:tcW w:w="160" w:type="dxa"/>
            <w:vAlign w:val="bottom"/>
            <w:shd w:val="clear" w:color="auto" w:fill="CCEEFF"/>
          </w:tcPr>
          <w:p>
            <w:pPr>
              <w:spacing w:after="0"/>
              <w:rPr>
                <w:sz w:val="12"/>
                <w:szCs w:val="12"/>
                <w:color w:val="auto"/>
              </w:rPr>
            </w:pPr>
          </w:p>
        </w:tc>
        <w:tc>
          <w:tcPr>
            <w:tcW w:w="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7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0.12</w:t>
            </w:r>
          </w:p>
        </w:tc>
        <w:tc>
          <w:tcPr>
            <w:tcW w:w="140" w:type="dxa"/>
            <w:vAlign w:val="bottom"/>
            <w:shd w:val="clear" w:color="auto" w:fill="CCEEFF"/>
          </w:tcPr>
          <w:p>
            <w:pPr>
              <w:spacing w:after="0"/>
              <w:rPr>
                <w:sz w:val="12"/>
                <w:szCs w:val="12"/>
                <w:color w:val="auto"/>
              </w:rPr>
            </w:pPr>
          </w:p>
        </w:tc>
        <w:tc>
          <w:tcPr>
            <w:tcW w:w="14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62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0.08</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6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0.01</w:t>
            </w:r>
          </w:p>
        </w:tc>
        <w:tc>
          <w:tcPr>
            <w:tcW w:w="140" w:type="dxa"/>
            <w:vAlign w:val="bottom"/>
            <w:shd w:val="clear" w:color="auto" w:fill="CCEEFF"/>
          </w:tcPr>
          <w:p>
            <w:pPr>
              <w:spacing w:after="0"/>
              <w:rPr>
                <w:sz w:val="12"/>
                <w:szCs w:val="12"/>
                <w:color w:val="auto"/>
              </w:rPr>
            </w:pPr>
          </w:p>
        </w:tc>
        <w:tc>
          <w:tcPr>
            <w:tcW w:w="14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760" w:type="dxa"/>
            <w:vAlign w:val="bottom"/>
            <w:gridSpan w:val="2"/>
            <w:shd w:val="clear" w:color="auto" w:fill="CCEEFF"/>
          </w:tcPr>
          <w:p>
            <w:pPr>
              <w:jc w:val="right"/>
              <w:ind w:right="59"/>
              <w:spacing w:after="0" w:line="149" w:lineRule="exact"/>
              <w:rPr>
                <w:sz w:val="20"/>
                <w:szCs w:val="20"/>
                <w:color w:val="auto"/>
              </w:rPr>
            </w:pPr>
            <w:r>
              <w:rPr>
                <w:rFonts w:ascii="Times New Roman" w:cs="Times New Roman" w:eastAsia="Times New Roman" w:hAnsi="Times New Roman"/>
                <w:sz w:val="14"/>
                <w:szCs w:val="14"/>
                <w:color w:val="auto"/>
              </w:rPr>
              <w:t>(0.24)</w:t>
            </w:r>
          </w:p>
        </w:tc>
        <w:tc>
          <w:tcPr>
            <w:tcW w:w="120" w:type="dxa"/>
            <w:vAlign w:val="bottom"/>
            <w:shd w:val="clear" w:color="auto" w:fill="CCEEFF"/>
          </w:tcPr>
          <w:p>
            <w:pPr>
              <w:jc w:val="right"/>
              <w:ind w:right="3"/>
              <w:spacing w:after="0"/>
              <w:rPr>
                <w:sz w:val="20"/>
                <w:szCs w:val="20"/>
                <w:color w:val="auto"/>
              </w:rPr>
            </w:pPr>
            <w:r>
              <w:rPr>
                <w:rFonts w:ascii="Times New Roman" w:cs="Times New Roman" w:eastAsia="Times New Roman" w:hAnsi="Times New Roman"/>
                <w:sz w:val="11"/>
                <w:szCs w:val="11"/>
                <w:color w:val="auto"/>
                <w:w w:val="71"/>
              </w:rPr>
              <w:t>$</w:t>
            </w:r>
          </w:p>
        </w:tc>
        <w:tc>
          <w:tcPr>
            <w:tcW w:w="70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(0.09)</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40" w:type="dxa"/>
            <w:vAlign w:val="bottom"/>
          </w:tcPr>
          <w:p>
            <w:pPr>
              <w:ind w:left="140"/>
              <w:spacing w:after="0" w:line="149" w:lineRule="exact"/>
              <w:rPr>
                <w:sz w:val="20"/>
                <w:szCs w:val="20"/>
                <w:color w:val="auto"/>
              </w:rPr>
            </w:pPr>
            <w:r>
              <w:rPr>
                <w:rFonts w:ascii="Times New Roman" w:cs="Times New Roman" w:eastAsia="Times New Roman" w:hAnsi="Times New Roman"/>
                <w:sz w:val="14"/>
                <w:szCs w:val="14"/>
                <w:color w:val="auto"/>
              </w:rPr>
              <w:t>Cumulative effect of change in accounting principle</w:t>
            </w:r>
          </w:p>
        </w:tc>
        <w:tc>
          <w:tcPr>
            <w:tcW w:w="8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4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0.01</w:t>
            </w:r>
          </w:p>
        </w:tc>
        <w:tc>
          <w:tcPr>
            <w:tcW w:w="1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4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40" w:type="dxa"/>
            <w:vAlign w:val="bottom"/>
          </w:tcPr>
          <w:p>
            <w:pPr>
              <w:spacing w:after="0"/>
              <w:rPr>
                <w:sz w:val="12"/>
                <w:szCs w:val="12"/>
                <w:color w:val="auto"/>
              </w:rPr>
            </w:pPr>
          </w:p>
        </w:tc>
        <w:tc>
          <w:tcPr>
            <w:tcW w:w="74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40" w:type="dxa"/>
            <w:vAlign w:val="bottom"/>
          </w:tcPr>
          <w:p>
            <w:pPr>
              <w:spacing w:after="0"/>
              <w:rPr>
                <w:sz w:val="12"/>
                <w:szCs w:val="12"/>
                <w:color w:val="auto"/>
              </w:rPr>
            </w:pPr>
          </w:p>
        </w:tc>
        <w:tc>
          <w:tcPr>
            <w:tcW w:w="760" w:type="dxa"/>
            <w:vAlign w:val="bottom"/>
            <w:gridSpan w:val="2"/>
          </w:tcPr>
          <w:p>
            <w:pPr>
              <w:jc w:val="right"/>
              <w:ind w:right="119"/>
              <w:spacing w:after="0" w:line="149" w:lineRule="exact"/>
              <w:rPr>
                <w:sz w:val="20"/>
                <w:szCs w:val="20"/>
                <w:color w:val="auto"/>
              </w:rPr>
            </w:pPr>
            <w:r>
              <w:rPr>
                <w:rFonts w:ascii="Times New Roman" w:cs="Times New Roman" w:eastAsia="Times New Roman" w:hAnsi="Times New Roman"/>
                <w:sz w:val="14"/>
                <w:szCs w:val="14"/>
                <w:color w:val="auto"/>
              </w:rPr>
              <w:t>—</w:t>
            </w:r>
          </w:p>
        </w:tc>
        <w:tc>
          <w:tcPr>
            <w:tcW w:w="120" w:type="dxa"/>
            <w:vAlign w:val="bottom"/>
          </w:tcPr>
          <w:p>
            <w:pPr>
              <w:spacing w:after="0"/>
              <w:rPr>
                <w:sz w:val="12"/>
                <w:szCs w:val="12"/>
                <w:color w:val="auto"/>
              </w:rPr>
            </w:pPr>
          </w:p>
        </w:tc>
        <w:tc>
          <w:tcPr>
            <w:tcW w:w="700" w:type="dxa"/>
            <w:vAlign w:val="bottom"/>
            <w:gridSpan w:val="2"/>
          </w:tcPr>
          <w:p>
            <w:pPr>
              <w:jc w:val="right"/>
              <w:ind w:right="59"/>
              <w:spacing w:after="0" w:line="149" w:lineRule="exact"/>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340" w:type="dxa"/>
            <w:vAlign w:val="bottom"/>
            <w:tcBorders>
              <w:top w:val="single" w:sz="8" w:color="CCEEFF"/>
              <w:bottom w:val="single" w:sz="8" w:color="CCEEFF"/>
            </w:tcBorders>
            <w:shd w:val="clear" w:color="auto" w:fill="CCEEFF"/>
          </w:tcPr>
          <w:p>
            <w:pPr>
              <w:spacing w:after="0" w:line="142" w:lineRule="exact"/>
              <w:rPr>
                <w:sz w:val="20"/>
                <w:szCs w:val="20"/>
                <w:color w:val="auto"/>
              </w:rPr>
            </w:pPr>
            <w:r>
              <w:rPr>
                <w:rFonts w:ascii="Times New Roman" w:cs="Times New Roman" w:eastAsia="Times New Roman" w:hAnsi="Times New Roman"/>
                <w:sz w:val="14"/>
                <w:szCs w:val="14"/>
                <w:color w:val="auto"/>
              </w:rPr>
              <w:t>Basic net income (loss) per share</w:t>
            </w:r>
          </w:p>
        </w:tc>
        <w:tc>
          <w:tcPr>
            <w:tcW w:w="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68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0.10</w:t>
            </w:r>
          </w:p>
        </w:tc>
        <w:tc>
          <w:tcPr>
            <w:tcW w:w="160" w:type="dxa"/>
            <w:vAlign w:val="bottom"/>
            <w:tcBorders>
              <w:top w:val="single" w:sz="8" w:color="CCEEFF"/>
              <w:bottom w:val="single" w:sz="8" w:color="CCEEFF"/>
            </w:tcBorders>
            <w:shd w:val="clear" w:color="auto" w:fill="CCEEFF"/>
          </w:tcPr>
          <w:p>
            <w:pPr>
              <w:spacing w:after="0"/>
              <w:rPr>
                <w:sz w:val="12"/>
                <w:szCs w:val="12"/>
                <w:color w:val="auto"/>
              </w:rPr>
            </w:pPr>
          </w:p>
        </w:tc>
        <w:tc>
          <w:tcPr>
            <w:tcW w:w="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68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0.08</w:t>
            </w:r>
          </w:p>
        </w:tc>
        <w:tc>
          <w:tcPr>
            <w:tcW w:w="160" w:type="dxa"/>
            <w:vAlign w:val="bottom"/>
            <w:tcBorders>
              <w:top w:val="single" w:sz="8" w:color="CCEEFF"/>
              <w:bottom w:val="single" w:sz="8" w:color="CCEEFF"/>
            </w:tcBorders>
            <w:shd w:val="clear" w:color="auto" w:fill="CCEEFF"/>
          </w:tcPr>
          <w:p>
            <w:pPr>
              <w:spacing w:after="0"/>
              <w:rPr>
                <w:sz w:val="12"/>
                <w:szCs w:val="12"/>
                <w:color w:val="auto"/>
              </w:rPr>
            </w:pPr>
          </w:p>
        </w:tc>
        <w:tc>
          <w:tcPr>
            <w:tcW w:w="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68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0.15</w:t>
            </w:r>
          </w:p>
        </w:tc>
        <w:tc>
          <w:tcPr>
            <w:tcW w:w="160" w:type="dxa"/>
            <w:vAlign w:val="bottom"/>
            <w:tcBorders>
              <w:top w:val="single" w:sz="8" w:color="CCEEFF"/>
              <w:bottom w:val="single" w:sz="8" w:color="CCEEFF"/>
            </w:tcBorders>
            <w:shd w:val="clear" w:color="auto" w:fill="CCEEFF"/>
          </w:tcPr>
          <w:p>
            <w:pPr>
              <w:spacing w:after="0"/>
              <w:rPr>
                <w:sz w:val="12"/>
                <w:szCs w:val="12"/>
                <w:color w:val="auto"/>
              </w:rPr>
            </w:pPr>
          </w:p>
        </w:tc>
        <w:tc>
          <w:tcPr>
            <w:tcW w:w="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68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0.03</w:t>
            </w:r>
          </w:p>
        </w:tc>
        <w:tc>
          <w:tcPr>
            <w:tcW w:w="160" w:type="dxa"/>
            <w:vAlign w:val="bottom"/>
            <w:tcBorders>
              <w:top w:val="single" w:sz="8" w:color="CCEEFF"/>
              <w:bottom w:val="single" w:sz="8" w:color="CCEEFF"/>
            </w:tcBorders>
            <w:shd w:val="clear" w:color="auto" w:fill="CCEEFF"/>
          </w:tcPr>
          <w:p>
            <w:pPr>
              <w:spacing w:after="0"/>
              <w:rPr>
                <w:sz w:val="12"/>
                <w:szCs w:val="12"/>
                <w:color w:val="auto"/>
              </w:rPr>
            </w:pPr>
          </w:p>
        </w:tc>
        <w:tc>
          <w:tcPr>
            <w:tcW w:w="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70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0.13</w:t>
            </w:r>
          </w:p>
        </w:tc>
        <w:tc>
          <w:tcPr>
            <w:tcW w:w="140" w:type="dxa"/>
            <w:vAlign w:val="bottom"/>
            <w:tcBorders>
              <w:top w:val="single" w:sz="8" w:color="CCEEFF"/>
              <w:bottom w:val="single" w:sz="8" w:color="CCEEFF"/>
            </w:tcBorders>
            <w:shd w:val="clear" w:color="auto" w:fill="CCEEFF"/>
          </w:tcPr>
          <w:p>
            <w:pPr>
              <w:spacing w:after="0"/>
              <w:rPr>
                <w:sz w:val="12"/>
                <w:szCs w:val="12"/>
                <w:color w:val="auto"/>
              </w:rPr>
            </w:pPr>
          </w:p>
        </w:tc>
        <w:tc>
          <w:tcPr>
            <w:tcW w:w="14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w w:val="85"/>
              </w:rPr>
              <w:t>$</w:t>
            </w:r>
          </w:p>
        </w:tc>
        <w:tc>
          <w:tcPr>
            <w:tcW w:w="62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0.08</w:t>
            </w:r>
          </w:p>
        </w:tc>
        <w:tc>
          <w:tcPr>
            <w:tcW w:w="120" w:type="dxa"/>
            <w:vAlign w:val="bottom"/>
            <w:tcBorders>
              <w:top w:val="single" w:sz="8" w:color="CCEEFF"/>
              <w:bottom w:val="single" w:sz="8" w:color="CCEEFF"/>
            </w:tcBorders>
            <w:shd w:val="clear" w:color="auto" w:fill="CCEEFF"/>
          </w:tcPr>
          <w:p>
            <w:pPr>
              <w:spacing w:after="0"/>
              <w:rPr>
                <w:sz w:val="12"/>
                <w:szCs w:val="12"/>
                <w:color w:val="auto"/>
              </w:rPr>
            </w:pPr>
          </w:p>
        </w:tc>
        <w:tc>
          <w:tcPr>
            <w:tcW w:w="14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w w:val="85"/>
              </w:rPr>
              <w:t>$</w:t>
            </w:r>
          </w:p>
        </w:tc>
        <w:tc>
          <w:tcPr>
            <w:tcW w:w="60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0.01</w:t>
            </w:r>
          </w:p>
        </w:tc>
        <w:tc>
          <w:tcPr>
            <w:tcW w:w="140" w:type="dxa"/>
            <w:vAlign w:val="bottom"/>
            <w:tcBorders>
              <w:top w:val="single" w:sz="8" w:color="CCEEFF"/>
              <w:bottom w:val="single" w:sz="8" w:color="CCEEFF"/>
            </w:tcBorders>
            <w:shd w:val="clear" w:color="auto" w:fill="CCEEFF"/>
          </w:tcPr>
          <w:p>
            <w:pPr>
              <w:spacing w:after="0"/>
              <w:rPr>
                <w:sz w:val="12"/>
                <w:szCs w:val="12"/>
                <w:color w:val="auto"/>
              </w:rPr>
            </w:pPr>
          </w:p>
        </w:tc>
        <w:tc>
          <w:tcPr>
            <w:tcW w:w="14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w w:val="85"/>
              </w:rPr>
              <w:t>$</w:t>
            </w:r>
          </w:p>
        </w:tc>
        <w:tc>
          <w:tcPr>
            <w:tcW w:w="62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(0.24)</w:t>
            </w:r>
          </w:p>
        </w:tc>
        <w:tc>
          <w:tcPr>
            <w:tcW w:w="140" w:type="dxa"/>
            <w:vAlign w:val="bottom"/>
            <w:tcBorders>
              <w:top w:val="single" w:sz="8" w:color="CCEEFF"/>
              <w:bottom w:val="single" w:sz="8" w:color="CCEEFF"/>
            </w:tcBorders>
            <w:shd w:val="clear" w:color="auto" w:fill="CCEEFF"/>
          </w:tcPr>
          <w:p>
            <w:pPr>
              <w:spacing w:after="0"/>
              <w:rPr>
                <w:sz w:val="12"/>
                <w:szCs w:val="12"/>
                <w:color w:val="auto"/>
              </w:rPr>
            </w:pPr>
          </w:p>
        </w:tc>
        <w:tc>
          <w:tcPr>
            <w:tcW w:w="120" w:type="dxa"/>
            <w:vAlign w:val="bottom"/>
            <w:tcBorders>
              <w:top w:val="single" w:sz="8" w:color="auto"/>
              <w:bottom w:val="single" w:sz="8" w:color="auto"/>
            </w:tcBorders>
            <w:shd w:val="clear" w:color="auto" w:fill="CCEEFF"/>
          </w:tcPr>
          <w:p>
            <w:pPr>
              <w:jc w:val="right"/>
              <w:ind w:right="3"/>
              <w:spacing w:after="0"/>
              <w:rPr>
                <w:sz w:val="20"/>
                <w:szCs w:val="20"/>
                <w:color w:val="auto"/>
              </w:rPr>
            </w:pPr>
            <w:r>
              <w:rPr>
                <w:rFonts w:ascii="Times New Roman" w:cs="Times New Roman" w:eastAsia="Times New Roman" w:hAnsi="Times New Roman"/>
                <w:sz w:val="11"/>
                <w:szCs w:val="11"/>
                <w:color w:val="auto"/>
                <w:w w:val="71"/>
              </w:rPr>
              <w:t>$</w:t>
            </w:r>
          </w:p>
        </w:tc>
        <w:tc>
          <w:tcPr>
            <w:tcW w:w="62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(0.09)</w:t>
            </w:r>
          </w:p>
        </w:tc>
        <w:tc>
          <w:tcPr>
            <w:tcW w:w="80" w:type="dxa"/>
            <w:vAlign w:val="bottom"/>
            <w:tcBorders>
              <w:top w:val="single" w:sz="8" w:color="CCEEFF"/>
              <w:bottom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340" w:type="dxa"/>
            <w:vAlign w:val="bottom"/>
            <w:vMerge w:val="restart"/>
          </w:tcPr>
          <w:p>
            <w:pPr>
              <w:spacing w:after="0"/>
              <w:rPr>
                <w:sz w:val="20"/>
                <w:szCs w:val="20"/>
                <w:color w:val="auto"/>
              </w:rPr>
            </w:pPr>
            <w:r>
              <w:rPr>
                <w:rFonts w:ascii="Times New Roman" w:cs="Times New Roman" w:eastAsia="Times New Roman" w:hAnsi="Times New Roman"/>
                <w:sz w:val="14"/>
                <w:szCs w:val="14"/>
                <w:color w:val="auto"/>
              </w:rPr>
              <w:t>Weighted average shares — basic</w:t>
            </w:r>
          </w:p>
        </w:tc>
        <w:tc>
          <w:tcPr>
            <w:tcW w:w="8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69"/>
        </w:trPr>
        <w:tc>
          <w:tcPr>
            <w:tcW w:w="20" w:type="dxa"/>
            <w:vAlign w:val="bottom"/>
          </w:tcPr>
          <w:p>
            <w:pPr>
              <w:spacing w:after="0"/>
              <w:rPr>
                <w:sz w:val="14"/>
                <w:szCs w:val="14"/>
                <w:color w:val="auto"/>
              </w:rPr>
            </w:pPr>
          </w:p>
        </w:tc>
        <w:tc>
          <w:tcPr>
            <w:tcW w:w="3340" w:type="dxa"/>
            <w:vAlign w:val="bottom"/>
            <w:tcBorders>
              <w:bottom w:val="single" w:sz="8" w:color="CCEEFF"/>
            </w:tcBorders>
            <w:vMerge w:val="continue"/>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right"/>
              <w:spacing w:after="0" w:line="129" w:lineRule="exact"/>
              <w:rPr>
                <w:sz w:val="20"/>
                <w:szCs w:val="20"/>
                <w:color w:val="auto"/>
              </w:rPr>
            </w:pPr>
            <w:r>
              <w:rPr>
                <w:rFonts w:ascii="Times New Roman" w:cs="Times New Roman" w:eastAsia="Times New Roman" w:hAnsi="Times New Roman"/>
                <w:sz w:val="14"/>
                <w:szCs w:val="14"/>
                <w:color w:val="auto"/>
              </w:rPr>
              <w:t>557,586</w:t>
            </w:r>
          </w:p>
        </w:tc>
        <w:tc>
          <w:tcPr>
            <w:tcW w:w="16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right"/>
              <w:spacing w:after="0" w:line="129" w:lineRule="exact"/>
              <w:rPr>
                <w:sz w:val="20"/>
                <w:szCs w:val="20"/>
                <w:color w:val="auto"/>
              </w:rPr>
            </w:pPr>
            <w:r>
              <w:rPr>
                <w:rFonts w:ascii="Times New Roman" w:cs="Times New Roman" w:eastAsia="Times New Roman" w:hAnsi="Times New Roman"/>
                <w:sz w:val="14"/>
                <w:szCs w:val="14"/>
                <w:color w:val="auto"/>
              </w:rPr>
              <w:t>561,832</w:t>
            </w:r>
          </w:p>
        </w:tc>
        <w:tc>
          <w:tcPr>
            <w:tcW w:w="16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right"/>
              <w:spacing w:after="0" w:line="129" w:lineRule="exact"/>
              <w:rPr>
                <w:sz w:val="20"/>
                <w:szCs w:val="20"/>
                <w:color w:val="auto"/>
              </w:rPr>
            </w:pPr>
            <w:r>
              <w:rPr>
                <w:rFonts w:ascii="Times New Roman" w:cs="Times New Roman" w:eastAsia="Times New Roman" w:hAnsi="Times New Roman"/>
                <w:sz w:val="14"/>
                <w:szCs w:val="14"/>
                <w:color w:val="auto"/>
              </w:rPr>
              <w:t>567,310</w:t>
            </w:r>
          </w:p>
        </w:tc>
        <w:tc>
          <w:tcPr>
            <w:tcW w:w="16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right"/>
              <w:spacing w:after="0" w:line="129" w:lineRule="exact"/>
              <w:rPr>
                <w:sz w:val="20"/>
                <w:szCs w:val="20"/>
                <w:color w:val="auto"/>
              </w:rPr>
            </w:pPr>
            <w:r>
              <w:rPr>
                <w:rFonts w:ascii="Times New Roman" w:cs="Times New Roman" w:eastAsia="Times New Roman" w:hAnsi="Times New Roman"/>
                <w:sz w:val="14"/>
                <w:szCs w:val="14"/>
                <w:color w:val="auto"/>
              </w:rPr>
              <w:t>576,752</w:t>
            </w:r>
          </w:p>
        </w:tc>
        <w:tc>
          <w:tcPr>
            <w:tcW w:w="160" w:type="dxa"/>
            <w:vAlign w:val="bottom"/>
            <w:tcBorders>
              <w:bottom w:val="single" w:sz="8" w:color="CCEEFF"/>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spacing w:after="0" w:line="129" w:lineRule="exact"/>
              <w:rPr>
                <w:sz w:val="20"/>
                <w:szCs w:val="20"/>
                <w:color w:val="auto"/>
              </w:rPr>
            </w:pPr>
            <w:r>
              <w:rPr>
                <w:rFonts w:ascii="Times New Roman" w:cs="Times New Roman" w:eastAsia="Times New Roman" w:hAnsi="Times New Roman"/>
                <w:sz w:val="14"/>
                <w:szCs w:val="14"/>
                <w:color w:val="auto"/>
              </w:rPr>
              <w:t>583,702</w:t>
            </w:r>
          </w:p>
        </w:tc>
        <w:tc>
          <w:tcPr>
            <w:tcW w:w="1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spacing w:after="0" w:line="129" w:lineRule="exact"/>
              <w:rPr>
                <w:sz w:val="20"/>
                <w:szCs w:val="20"/>
                <w:color w:val="auto"/>
              </w:rPr>
            </w:pPr>
            <w:r>
              <w:rPr>
                <w:rFonts w:ascii="Times New Roman" w:cs="Times New Roman" w:eastAsia="Times New Roman" w:hAnsi="Times New Roman"/>
                <w:sz w:val="14"/>
                <w:szCs w:val="14"/>
                <w:color w:val="auto"/>
              </w:rPr>
              <w:t>586,133</w:t>
            </w:r>
          </w:p>
        </w:tc>
        <w:tc>
          <w:tcPr>
            <w:tcW w:w="1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spacing w:after="0" w:line="129" w:lineRule="exact"/>
              <w:rPr>
                <w:sz w:val="20"/>
                <w:szCs w:val="20"/>
                <w:color w:val="auto"/>
              </w:rPr>
            </w:pPr>
            <w:r>
              <w:rPr>
                <w:rFonts w:ascii="Times New Roman" w:cs="Times New Roman" w:eastAsia="Times New Roman" w:hAnsi="Times New Roman"/>
                <w:sz w:val="14"/>
                <w:szCs w:val="14"/>
                <w:color w:val="auto"/>
              </w:rPr>
              <w:t>587,348</w:t>
            </w:r>
          </w:p>
        </w:tc>
        <w:tc>
          <w:tcPr>
            <w:tcW w:w="1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spacing w:after="0" w:line="129" w:lineRule="exact"/>
              <w:rPr>
                <w:sz w:val="20"/>
                <w:szCs w:val="20"/>
                <w:color w:val="auto"/>
              </w:rPr>
            </w:pPr>
            <w:r>
              <w:rPr>
                <w:rFonts w:ascii="Times New Roman" w:cs="Times New Roman" w:eastAsia="Times New Roman" w:hAnsi="Times New Roman"/>
                <w:sz w:val="14"/>
                <w:szCs w:val="14"/>
                <w:color w:val="auto"/>
              </w:rPr>
              <w:t>587,424</w:t>
            </w:r>
          </w:p>
        </w:tc>
        <w:tc>
          <w:tcPr>
            <w:tcW w:w="14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spacing w:after="0" w:line="129" w:lineRule="exact"/>
              <w:rPr>
                <w:sz w:val="20"/>
                <w:szCs w:val="20"/>
                <w:color w:val="auto"/>
              </w:rPr>
            </w:pPr>
            <w:r>
              <w:rPr>
                <w:rFonts w:ascii="Times New Roman" w:cs="Times New Roman" w:eastAsia="Times New Roman" w:hAnsi="Times New Roman"/>
                <w:sz w:val="14"/>
                <w:szCs w:val="14"/>
                <w:color w:val="auto"/>
              </w:rPr>
              <w:t>587,426</w:t>
            </w:r>
          </w:p>
        </w:tc>
        <w:tc>
          <w:tcPr>
            <w:tcW w:w="8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vMerge w:val="restart"/>
          </w:tcPr>
          <w:p>
            <w:pPr>
              <w:spacing w:after="0"/>
              <w:rPr>
                <w:sz w:val="11"/>
                <w:szCs w:val="11"/>
                <w:color w:val="auto"/>
              </w:rPr>
            </w:pPr>
          </w:p>
        </w:tc>
        <w:tc>
          <w:tcPr>
            <w:tcW w:w="334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7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62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6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62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334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Diluted income (loss) per share:</w:t>
            </w: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40" w:type="dxa"/>
            <w:vAlign w:val="bottom"/>
            <w:shd w:val="clear" w:color="auto" w:fill="CCEEFF"/>
          </w:tcPr>
          <w:p>
            <w:pPr>
              <w:ind w:left="140"/>
              <w:spacing w:after="0" w:line="149" w:lineRule="exact"/>
              <w:rPr>
                <w:sz w:val="20"/>
                <w:szCs w:val="20"/>
                <w:color w:val="auto"/>
              </w:rPr>
            </w:pPr>
            <w:r>
              <w:rPr>
                <w:rFonts w:ascii="Times New Roman" w:cs="Times New Roman" w:eastAsia="Times New Roman" w:hAnsi="Times New Roman"/>
                <w:sz w:val="14"/>
                <w:szCs w:val="14"/>
                <w:color w:val="auto"/>
              </w:rPr>
              <w:t>Income (loss) before change in accounting principle</w:t>
            </w:r>
          </w:p>
        </w:tc>
        <w:tc>
          <w:tcPr>
            <w:tcW w:w="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0.09</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0.08</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0.13</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0.02</w:t>
            </w:r>
          </w:p>
        </w:tc>
        <w:tc>
          <w:tcPr>
            <w:tcW w:w="160" w:type="dxa"/>
            <w:vAlign w:val="bottom"/>
            <w:shd w:val="clear" w:color="auto" w:fill="CCEEFF"/>
          </w:tcPr>
          <w:p>
            <w:pPr>
              <w:spacing w:after="0"/>
              <w:rPr>
                <w:sz w:val="12"/>
                <w:szCs w:val="12"/>
                <w:color w:val="auto"/>
              </w:rPr>
            </w:pPr>
          </w:p>
        </w:tc>
        <w:tc>
          <w:tcPr>
            <w:tcW w:w="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7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0.11</w:t>
            </w:r>
          </w:p>
        </w:tc>
        <w:tc>
          <w:tcPr>
            <w:tcW w:w="140" w:type="dxa"/>
            <w:vAlign w:val="bottom"/>
            <w:shd w:val="clear" w:color="auto" w:fill="CCEEFF"/>
          </w:tcPr>
          <w:p>
            <w:pPr>
              <w:spacing w:after="0"/>
              <w:rPr>
                <w:sz w:val="12"/>
                <w:szCs w:val="12"/>
                <w:color w:val="auto"/>
              </w:rPr>
            </w:pPr>
          </w:p>
        </w:tc>
        <w:tc>
          <w:tcPr>
            <w:tcW w:w="14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62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0.07</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6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0.01</w:t>
            </w:r>
          </w:p>
        </w:tc>
        <w:tc>
          <w:tcPr>
            <w:tcW w:w="140" w:type="dxa"/>
            <w:vAlign w:val="bottom"/>
            <w:shd w:val="clear" w:color="auto" w:fill="CCEEFF"/>
          </w:tcPr>
          <w:p>
            <w:pPr>
              <w:spacing w:after="0"/>
              <w:rPr>
                <w:sz w:val="12"/>
                <w:szCs w:val="12"/>
                <w:color w:val="auto"/>
              </w:rPr>
            </w:pPr>
          </w:p>
        </w:tc>
        <w:tc>
          <w:tcPr>
            <w:tcW w:w="14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760" w:type="dxa"/>
            <w:vAlign w:val="bottom"/>
            <w:gridSpan w:val="2"/>
            <w:shd w:val="clear" w:color="auto" w:fill="CCEEFF"/>
          </w:tcPr>
          <w:p>
            <w:pPr>
              <w:jc w:val="right"/>
              <w:ind w:right="59"/>
              <w:spacing w:after="0" w:line="149" w:lineRule="exact"/>
              <w:rPr>
                <w:sz w:val="20"/>
                <w:szCs w:val="20"/>
                <w:color w:val="auto"/>
              </w:rPr>
            </w:pPr>
            <w:r>
              <w:rPr>
                <w:rFonts w:ascii="Times New Roman" w:cs="Times New Roman" w:eastAsia="Times New Roman" w:hAnsi="Times New Roman"/>
                <w:sz w:val="14"/>
                <w:szCs w:val="14"/>
                <w:color w:val="auto"/>
              </w:rPr>
              <w:t>(0.24)</w:t>
            </w:r>
          </w:p>
        </w:tc>
        <w:tc>
          <w:tcPr>
            <w:tcW w:w="120" w:type="dxa"/>
            <w:vAlign w:val="bottom"/>
            <w:shd w:val="clear" w:color="auto" w:fill="CCEEFF"/>
          </w:tcPr>
          <w:p>
            <w:pPr>
              <w:jc w:val="right"/>
              <w:ind w:right="3"/>
              <w:spacing w:after="0"/>
              <w:rPr>
                <w:sz w:val="20"/>
                <w:szCs w:val="20"/>
                <w:color w:val="auto"/>
              </w:rPr>
            </w:pPr>
            <w:r>
              <w:rPr>
                <w:rFonts w:ascii="Times New Roman" w:cs="Times New Roman" w:eastAsia="Times New Roman" w:hAnsi="Times New Roman"/>
                <w:sz w:val="11"/>
                <w:szCs w:val="11"/>
                <w:color w:val="auto"/>
                <w:w w:val="71"/>
              </w:rPr>
              <w:t>$</w:t>
            </w:r>
          </w:p>
        </w:tc>
        <w:tc>
          <w:tcPr>
            <w:tcW w:w="70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(0.09)</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40" w:type="dxa"/>
            <w:vAlign w:val="bottom"/>
          </w:tcPr>
          <w:p>
            <w:pPr>
              <w:ind w:left="140"/>
              <w:spacing w:after="0" w:line="149" w:lineRule="exact"/>
              <w:rPr>
                <w:sz w:val="20"/>
                <w:szCs w:val="20"/>
                <w:color w:val="auto"/>
              </w:rPr>
            </w:pPr>
            <w:r>
              <w:rPr>
                <w:rFonts w:ascii="Times New Roman" w:cs="Times New Roman" w:eastAsia="Times New Roman" w:hAnsi="Times New Roman"/>
                <w:sz w:val="14"/>
                <w:szCs w:val="14"/>
                <w:color w:val="auto"/>
              </w:rPr>
              <w:t>Cumulative effect of change in accounting principle</w:t>
            </w:r>
          </w:p>
        </w:tc>
        <w:tc>
          <w:tcPr>
            <w:tcW w:w="8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40" w:type="dxa"/>
            <w:vAlign w:val="bottom"/>
            <w:gridSpan w:val="2"/>
          </w:tcPr>
          <w:p>
            <w:pPr>
              <w:jc w:val="right"/>
              <w:ind w:right="180"/>
              <w:spacing w:after="0" w:line="149" w:lineRule="exact"/>
              <w:rPr>
                <w:sz w:val="20"/>
                <w:szCs w:val="20"/>
                <w:color w:val="auto"/>
              </w:rPr>
            </w:pPr>
            <w:r>
              <w:rPr>
                <w:rFonts w:ascii="Times New Roman" w:cs="Times New Roman" w:eastAsia="Times New Roman" w:hAnsi="Times New Roman"/>
                <w:sz w:val="14"/>
                <w:szCs w:val="14"/>
                <w:color w:val="auto"/>
              </w:rPr>
              <w:t>—</w:t>
            </w:r>
          </w:p>
        </w:tc>
        <w:tc>
          <w:tcPr>
            <w:tcW w:w="6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0.01</w:t>
            </w:r>
          </w:p>
        </w:tc>
        <w:tc>
          <w:tcPr>
            <w:tcW w:w="1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4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40" w:type="dxa"/>
            <w:vAlign w:val="bottom"/>
          </w:tcPr>
          <w:p>
            <w:pPr>
              <w:spacing w:after="0"/>
              <w:rPr>
                <w:sz w:val="12"/>
                <w:szCs w:val="12"/>
                <w:color w:val="auto"/>
              </w:rPr>
            </w:pPr>
          </w:p>
        </w:tc>
        <w:tc>
          <w:tcPr>
            <w:tcW w:w="74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40" w:type="dxa"/>
            <w:vAlign w:val="bottom"/>
          </w:tcPr>
          <w:p>
            <w:pPr>
              <w:spacing w:after="0"/>
              <w:rPr>
                <w:sz w:val="12"/>
                <w:szCs w:val="12"/>
                <w:color w:val="auto"/>
              </w:rPr>
            </w:pPr>
          </w:p>
        </w:tc>
        <w:tc>
          <w:tcPr>
            <w:tcW w:w="760" w:type="dxa"/>
            <w:vAlign w:val="bottom"/>
            <w:gridSpan w:val="2"/>
          </w:tcPr>
          <w:p>
            <w:pPr>
              <w:jc w:val="right"/>
              <w:ind w:right="119"/>
              <w:spacing w:after="0" w:line="149" w:lineRule="exact"/>
              <w:rPr>
                <w:sz w:val="20"/>
                <w:szCs w:val="20"/>
                <w:color w:val="auto"/>
              </w:rPr>
            </w:pPr>
            <w:r>
              <w:rPr>
                <w:rFonts w:ascii="Times New Roman" w:cs="Times New Roman" w:eastAsia="Times New Roman" w:hAnsi="Times New Roman"/>
                <w:sz w:val="14"/>
                <w:szCs w:val="14"/>
                <w:color w:val="auto"/>
              </w:rPr>
              <w:t>—</w:t>
            </w:r>
          </w:p>
        </w:tc>
        <w:tc>
          <w:tcPr>
            <w:tcW w:w="120" w:type="dxa"/>
            <w:vAlign w:val="bottom"/>
          </w:tcPr>
          <w:p>
            <w:pPr>
              <w:spacing w:after="0"/>
              <w:rPr>
                <w:sz w:val="12"/>
                <w:szCs w:val="12"/>
                <w:color w:val="auto"/>
              </w:rPr>
            </w:pPr>
          </w:p>
        </w:tc>
        <w:tc>
          <w:tcPr>
            <w:tcW w:w="700" w:type="dxa"/>
            <w:vAlign w:val="bottom"/>
            <w:gridSpan w:val="2"/>
          </w:tcPr>
          <w:p>
            <w:pPr>
              <w:jc w:val="right"/>
              <w:ind w:right="59"/>
              <w:spacing w:after="0" w:line="149" w:lineRule="exact"/>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340" w:type="dxa"/>
            <w:vAlign w:val="bottom"/>
            <w:tcBorders>
              <w:top w:val="single" w:sz="8" w:color="CCEEFF"/>
              <w:bottom w:val="single" w:sz="8" w:color="CCEEFF"/>
            </w:tcBorders>
            <w:shd w:val="clear" w:color="auto" w:fill="CCEEFF"/>
          </w:tcPr>
          <w:p>
            <w:pPr>
              <w:spacing w:after="0" w:line="142" w:lineRule="exact"/>
              <w:rPr>
                <w:sz w:val="20"/>
                <w:szCs w:val="20"/>
                <w:color w:val="auto"/>
              </w:rPr>
            </w:pPr>
            <w:r>
              <w:rPr>
                <w:rFonts w:ascii="Times New Roman" w:cs="Times New Roman" w:eastAsia="Times New Roman" w:hAnsi="Times New Roman"/>
                <w:sz w:val="14"/>
                <w:szCs w:val="14"/>
                <w:color w:val="auto"/>
              </w:rPr>
              <w:t>Diluted net income (loss) per share</w:t>
            </w:r>
          </w:p>
        </w:tc>
        <w:tc>
          <w:tcPr>
            <w:tcW w:w="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68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0.09</w:t>
            </w:r>
          </w:p>
        </w:tc>
        <w:tc>
          <w:tcPr>
            <w:tcW w:w="160" w:type="dxa"/>
            <w:vAlign w:val="bottom"/>
            <w:tcBorders>
              <w:top w:val="single" w:sz="8" w:color="CCEEFF"/>
              <w:bottom w:val="single" w:sz="8" w:color="CCEEFF"/>
            </w:tcBorders>
            <w:shd w:val="clear" w:color="auto" w:fill="CCEEFF"/>
          </w:tcPr>
          <w:p>
            <w:pPr>
              <w:spacing w:after="0"/>
              <w:rPr>
                <w:sz w:val="12"/>
                <w:szCs w:val="12"/>
                <w:color w:val="auto"/>
              </w:rPr>
            </w:pPr>
          </w:p>
        </w:tc>
        <w:tc>
          <w:tcPr>
            <w:tcW w:w="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68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0.08</w:t>
            </w:r>
          </w:p>
        </w:tc>
        <w:tc>
          <w:tcPr>
            <w:tcW w:w="160" w:type="dxa"/>
            <w:vAlign w:val="bottom"/>
            <w:tcBorders>
              <w:top w:val="single" w:sz="8" w:color="CCEEFF"/>
              <w:bottom w:val="single" w:sz="8" w:color="CCEEFF"/>
            </w:tcBorders>
            <w:shd w:val="clear" w:color="auto" w:fill="CCEEFF"/>
          </w:tcPr>
          <w:p>
            <w:pPr>
              <w:spacing w:after="0"/>
              <w:rPr>
                <w:sz w:val="12"/>
                <w:szCs w:val="12"/>
                <w:color w:val="auto"/>
              </w:rPr>
            </w:pPr>
          </w:p>
        </w:tc>
        <w:tc>
          <w:tcPr>
            <w:tcW w:w="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68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0.13</w:t>
            </w:r>
          </w:p>
        </w:tc>
        <w:tc>
          <w:tcPr>
            <w:tcW w:w="160" w:type="dxa"/>
            <w:vAlign w:val="bottom"/>
            <w:tcBorders>
              <w:top w:val="single" w:sz="8" w:color="CCEEFF"/>
              <w:bottom w:val="single" w:sz="8" w:color="CCEEFF"/>
            </w:tcBorders>
            <w:shd w:val="clear" w:color="auto" w:fill="CCEEFF"/>
          </w:tcPr>
          <w:p>
            <w:pPr>
              <w:spacing w:after="0"/>
              <w:rPr>
                <w:sz w:val="12"/>
                <w:szCs w:val="12"/>
                <w:color w:val="auto"/>
              </w:rPr>
            </w:pPr>
          </w:p>
        </w:tc>
        <w:tc>
          <w:tcPr>
            <w:tcW w:w="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68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0.02</w:t>
            </w:r>
          </w:p>
        </w:tc>
        <w:tc>
          <w:tcPr>
            <w:tcW w:w="160" w:type="dxa"/>
            <w:vAlign w:val="bottom"/>
            <w:tcBorders>
              <w:top w:val="single" w:sz="8" w:color="CCEEFF"/>
              <w:bottom w:val="single" w:sz="8" w:color="CCEEFF"/>
            </w:tcBorders>
            <w:shd w:val="clear" w:color="auto" w:fill="CCEEFF"/>
          </w:tcPr>
          <w:p>
            <w:pPr>
              <w:spacing w:after="0"/>
              <w:rPr>
                <w:sz w:val="12"/>
                <w:szCs w:val="12"/>
                <w:color w:val="auto"/>
              </w:rPr>
            </w:pPr>
          </w:p>
        </w:tc>
        <w:tc>
          <w:tcPr>
            <w:tcW w:w="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70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0.12</w:t>
            </w:r>
          </w:p>
        </w:tc>
        <w:tc>
          <w:tcPr>
            <w:tcW w:w="140" w:type="dxa"/>
            <w:vAlign w:val="bottom"/>
            <w:tcBorders>
              <w:top w:val="single" w:sz="8" w:color="CCEEFF"/>
              <w:bottom w:val="single" w:sz="8" w:color="CCEEFF"/>
            </w:tcBorders>
            <w:shd w:val="clear" w:color="auto" w:fill="CCEEFF"/>
          </w:tcPr>
          <w:p>
            <w:pPr>
              <w:spacing w:after="0"/>
              <w:rPr>
                <w:sz w:val="12"/>
                <w:szCs w:val="12"/>
                <w:color w:val="auto"/>
              </w:rPr>
            </w:pPr>
          </w:p>
        </w:tc>
        <w:tc>
          <w:tcPr>
            <w:tcW w:w="14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w w:val="85"/>
              </w:rPr>
              <w:t>$</w:t>
            </w:r>
          </w:p>
        </w:tc>
        <w:tc>
          <w:tcPr>
            <w:tcW w:w="62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0.07</w:t>
            </w:r>
          </w:p>
        </w:tc>
        <w:tc>
          <w:tcPr>
            <w:tcW w:w="120" w:type="dxa"/>
            <w:vAlign w:val="bottom"/>
            <w:tcBorders>
              <w:top w:val="single" w:sz="8" w:color="CCEEFF"/>
              <w:bottom w:val="single" w:sz="8" w:color="CCEEFF"/>
            </w:tcBorders>
            <w:shd w:val="clear" w:color="auto" w:fill="CCEEFF"/>
          </w:tcPr>
          <w:p>
            <w:pPr>
              <w:spacing w:after="0"/>
              <w:rPr>
                <w:sz w:val="12"/>
                <w:szCs w:val="12"/>
                <w:color w:val="auto"/>
              </w:rPr>
            </w:pPr>
          </w:p>
        </w:tc>
        <w:tc>
          <w:tcPr>
            <w:tcW w:w="14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w w:val="85"/>
              </w:rPr>
              <w:t>$</w:t>
            </w:r>
          </w:p>
        </w:tc>
        <w:tc>
          <w:tcPr>
            <w:tcW w:w="60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0.01</w:t>
            </w:r>
          </w:p>
        </w:tc>
        <w:tc>
          <w:tcPr>
            <w:tcW w:w="140" w:type="dxa"/>
            <w:vAlign w:val="bottom"/>
            <w:tcBorders>
              <w:top w:val="single" w:sz="8" w:color="CCEEFF"/>
              <w:bottom w:val="single" w:sz="8" w:color="CCEEFF"/>
            </w:tcBorders>
            <w:shd w:val="clear" w:color="auto" w:fill="CCEEFF"/>
          </w:tcPr>
          <w:p>
            <w:pPr>
              <w:spacing w:after="0"/>
              <w:rPr>
                <w:sz w:val="12"/>
                <w:szCs w:val="12"/>
                <w:color w:val="auto"/>
              </w:rPr>
            </w:pPr>
          </w:p>
        </w:tc>
        <w:tc>
          <w:tcPr>
            <w:tcW w:w="14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w w:val="85"/>
              </w:rPr>
              <w:t>$</w:t>
            </w:r>
          </w:p>
        </w:tc>
        <w:tc>
          <w:tcPr>
            <w:tcW w:w="62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(0.24)</w:t>
            </w:r>
          </w:p>
        </w:tc>
        <w:tc>
          <w:tcPr>
            <w:tcW w:w="140" w:type="dxa"/>
            <w:vAlign w:val="bottom"/>
            <w:tcBorders>
              <w:top w:val="single" w:sz="8" w:color="CCEEFF"/>
              <w:bottom w:val="single" w:sz="8" w:color="CCEEFF"/>
            </w:tcBorders>
            <w:shd w:val="clear" w:color="auto" w:fill="CCEEFF"/>
          </w:tcPr>
          <w:p>
            <w:pPr>
              <w:spacing w:after="0"/>
              <w:rPr>
                <w:sz w:val="12"/>
                <w:szCs w:val="12"/>
                <w:color w:val="auto"/>
              </w:rPr>
            </w:pPr>
          </w:p>
        </w:tc>
        <w:tc>
          <w:tcPr>
            <w:tcW w:w="120" w:type="dxa"/>
            <w:vAlign w:val="bottom"/>
            <w:tcBorders>
              <w:top w:val="single" w:sz="8" w:color="auto"/>
              <w:bottom w:val="single" w:sz="8" w:color="auto"/>
            </w:tcBorders>
            <w:shd w:val="clear" w:color="auto" w:fill="CCEEFF"/>
          </w:tcPr>
          <w:p>
            <w:pPr>
              <w:jc w:val="right"/>
              <w:ind w:right="3"/>
              <w:spacing w:after="0"/>
              <w:rPr>
                <w:sz w:val="20"/>
                <w:szCs w:val="20"/>
                <w:color w:val="auto"/>
              </w:rPr>
            </w:pPr>
            <w:r>
              <w:rPr>
                <w:rFonts w:ascii="Times New Roman" w:cs="Times New Roman" w:eastAsia="Times New Roman" w:hAnsi="Times New Roman"/>
                <w:sz w:val="11"/>
                <w:szCs w:val="11"/>
                <w:color w:val="auto"/>
                <w:w w:val="71"/>
              </w:rPr>
              <w:t>$</w:t>
            </w:r>
          </w:p>
        </w:tc>
        <w:tc>
          <w:tcPr>
            <w:tcW w:w="62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(0.09)</w:t>
            </w:r>
          </w:p>
        </w:tc>
        <w:tc>
          <w:tcPr>
            <w:tcW w:w="80" w:type="dxa"/>
            <w:vAlign w:val="bottom"/>
            <w:tcBorders>
              <w:top w:val="single" w:sz="8" w:color="CCEEFF"/>
              <w:bottom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340" w:type="dxa"/>
            <w:vAlign w:val="bottom"/>
            <w:vMerge w:val="restart"/>
          </w:tcPr>
          <w:p>
            <w:pPr>
              <w:spacing w:after="0"/>
              <w:rPr>
                <w:sz w:val="20"/>
                <w:szCs w:val="20"/>
                <w:color w:val="auto"/>
              </w:rPr>
            </w:pPr>
            <w:r>
              <w:rPr>
                <w:rFonts w:ascii="Times New Roman" w:cs="Times New Roman" w:eastAsia="Times New Roman" w:hAnsi="Times New Roman"/>
                <w:sz w:val="14"/>
                <w:szCs w:val="14"/>
                <w:color w:val="auto"/>
              </w:rPr>
              <w:t>Weighted average shares — diluted</w:t>
            </w:r>
          </w:p>
        </w:tc>
        <w:tc>
          <w:tcPr>
            <w:tcW w:w="8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29"/>
        </w:trPr>
        <w:tc>
          <w:tcPr>
            <w:tcW w:w="20" w:type="dxa"/>
            <w:vAlign w:val="bottom"/>
          </w:tcPr>
          <w:p>
            <w:pPr>
              <w:spacing w:after="0"/>
              <w:rPr>
                <w:sz w:val="11"/>
                <w:szCs w:val="11"/>
                <w:color w:val="auto"/>
              </w:rPr>
            </w:pPr>
          </w:p>
        </w:tc>
        <w:tc>
          <w:tcPr>
            <w:tcW w:w="3340" w:type="dxa"/>
            <w:vAlign w:val="bottom"/>
            <w:vMerge w:val="continue"/>
          </w:tcPr>
          <w:p>
            <w:pPr>
              <w:spacing w:after="0"/>
              <w:rPr>
                <w:sz w:val="11"/>
                <w:szCs w:val="11"/>
                <w:color w:val="auto"/>
              </w:rPr>
            </w:pPr>
          </w:p>
        </w:tc>
        <w:tc>
          <w:tcPr>
            <w:tcW w:w="80" w:type="dxa"/>
            <w:vAlign w:val="bottom"/>
            <w:tcBorders>
              <w:bottom w:val="single" w:sz="8" w:color="auto"/>
            </w:tcBorders>
          </w:tcPr>
          <w:p>
            <w:pPr>
              <w:spacing w:after="0"/>
              <w:rPr>
                <w:sz w:val="11"/>
                <w:szCs w:val="11"/>
                <w:color w:val="auto"/>
              </w:rPr>
            </w:pPr>
          </w:p>
        </w:tc>
        <w:tc>
          <w:tcPr>
            <w:tcW w:w="680" w:type="dxa"/>
            <w:vAlign w:val="bottom"/>
            <w:tcBorders>
              <w:bottom w:val="single" w:sz="8" w:color="auto"/>
            </w:tcBorders>
          </w:tcPr>
          <w:p>
            <w:pPr>
              <w:jc w:val="right"/>
              <w:spacing w:after="0" w:line="129" w:lineRule="exact"/>
              <w:rPr>
                <w:sz w:val="20"/>
                <w:szCs w:val="20"/>
                <w:color w:val="auto"/>
              </w:rPr>
            </w:pPr>
            <w:r>
              <w:rPr>
                <w:rFonts w:ascii="Times New Roman" w:cs="Times New Roman" w:eastAsia="Times New Roman" w:hAnsi="Times New Roman"/>
                <w:sz w:val="14"/>
                <w:szCs w:val="14"/>
                <w:color w:val="auto"/>
              </w:rPr>
              <w:t>621,472</w:t>
            </w:r>
          </w:p>
        </w:tc>
        <w:tc>
          <w:tcPr>
            <w:tcW w:w="160" w:type="dxa"/>
            <w:vAlign w:val="bottom"/>
          </w:tcPr>
          <w:p>
            <w:pPr>
              <w:spacing w:after="0"/>
              <w:rPr>
                <w:sz w:val="11"/>
                <w:szCs w:val="11"/>
                <w:color w:val="auto"/>
              </w:rPr>
            </w:pPr>
          </w:p>
        </w:tc>
        <w:tc>
          <w:tcPr>
            <w:tcW w:w="80" w:type="dxa"/>
            <w:vAlign w:val="bottom"/>
            <w:tcBorders>
              <w:bottom w:val="single" w:sz="8" w:color="auto"/>
            </w:tcBorders>
          </w:tcPr>
          <w:p>
            <w:pPr>
              <w:spacing w:after="0"/>
              <w:rPr>
                <w:sz w:val="11"/>
                <w:szCs w:val="11"/>
                <w:color w:val="auto"/>
              </w:rPr>
            </w:pPr>
          </w:p>
        </w:tc>
        <w:tc>
          <w:tcPr>
            <w:tcW w:w="680" w:type="dxa"/>
            <w:vAlign w:val="bottom"/>
            <w:tcBorders>
              <w:bottom w:val="single" w:sz="8" w:color="auto"/>
            </w:tcBorders>
          </w:tcPr>
          <w:p>
            <w:pPr>
              <w:jc w:val="right"/>
              <w:spacing w:after="0" w:line="129" w:lineRule="exact"/>
              <w:rPr>
                <w:sz w:val="20"/>
                <w:szCs w:val="20"/>
                <w:color w:val="auto"/>
              </w:rPr>
            </w:pPr>
            <w:r>
              <w:rPr>
                <w:rFonts w:ascii="Times New Roman" w:cs="Times New Roman" w:eastAsia="Times New Roman" w:hAnsi="Times New Roman"/>
                <w:sz w:val="14"/>
                <w:szCs w:val="14"/>
                <w:color w:val="auto"/>
              </w:rPr>
              <w:t>626,205</w:t>
            </w:r>
          </w:p>
        </w:tc>
        <w:tc>
          <w:tcPr>
            <w:tcW w:w="160" w:type="dxa"/>
            <w:vAlign w:val="bottom"/>
          </w:tcPr>
          <w:p>
            <w:pPr>
              <w:spacing w:after="0"/>
              <w:rPr>
                <w:sz w:val="11"/>
                <w:szCs w:val="11"/>
                <w:color w:val="auto"/>
              </w:rPr>
            </w:pPr>
          </w:p>
        </w:tc>
        <w:tc>
          <w:tcPr>
            <w:tcW w:w="80" w:type="dxa"/>
            <w:vAlign w:val="bottom"/>
            <w:tcBorders>
              <w:bottom w:val="single" w:sz="8" w:color="auto"/>
            </w:tcBorders>
          </w:tcPr>
          <w:p>
            <w:pPr>
              <w:spacing w:after="0"/>
              <w:rPr>
                <w:sz w:val="11"/>
                <w:szCs w:val="11"/>
                <w:color w:val="auto"/>
              </w:rPr>
            </w:pPr>
          </w:p>
        </w:tc>
        <w:tc>
          <w:tcPr>
            <w:tcW w:w="680" w:type="dxa"/>
            <w:vAlign w:val="bottom"/>
            <w:tcBorders>
              <w:bottom w:val="single" w:sz="8" w:color="auto"/>
            </w:tcBorders>
          </w:tcPr>
          <w:p>
            <w:pPr>
              <w:jc w:val="right"/>
              <w:spacing w:after="0" w:line="129" w:lineRule="exact"/>
              <w:rPr>
                <w:sz w:val="20"/>
                <w:szCs w:val="20"/>
                <w:color w:val="auto"/>
              </w:rPr>
            </w:pPr>
            <w:r>
              <w:rPr>
                <w:rFonts w:ascii="Times New Roman" w:cs="Times New Roman" w:eastAsia="Times New Roman" w:hAnsi="Times New Roman"/>
                <w:sz w:val="14"/>
                <w:szCs w:val="14"/>
                <w:color w:val="auto"/>
              </w:rPr>
              <w:t>632,424</w:t>
            </w:r>
          </w:p>
        </w:tc>
        <w:tc>
          <w:tcPr>
            <w:tcW w:w="160" w:type="dxa"/>
            <w:vAlign w:val="bottom"/>
          </w:tcPr>
          <w:p>
            <w:pPr>
              <w:spacing w:after="0"/>
              <w:rPr>
                <w:sz w:val="11"/>
                <w:szCs w:val="11"/>
                <w:color w:val="auto"/>
              </w:rPr>
            </w:pPr>
          </w:p>
        </w:tc>
        <w:tc>
          <w:tcPr>
            <w:tcW w:w="80" w:type="dxa"/>
            <w:vAlign w:val="bottom"/>
            <w:tcBorders>
              <w:bottom w:val="single" w:sz="8" w:color="auto"/>
            </w:tcBorders>
          </w:tcPr>
          <w:p>
            <w:pPr>
              <w:spacing w:after="0"/>
              <w:rPr>
                <w:sz w:val="11"/>
                <w:szCs w:val="11"/>
                <w:color w:val="auto"/>
              </w:rPr>
            </w:pPr>
          </w:p>
        </w:tc>
        <w:tc>
          <w:tcPr>
            <w:tcW w:w="680" w:type="dxa"/>
            <w:vAlign w:val="bottom"/>
            <w:tcBorders>
              <w:bottom w:val="single" w:sz="8" w:color="auto"/>
            </w:tcBorders>
          </w:tcPr>
          <w:p>
            <w:pPr>
              <w:jc w:val="right"/>
              <w:spacing w:after="0" w:line="129" w:lineRule="exact"/>
              <w:rPr>
                <w:sz w:val="20"/>
                <w:szCs w:val="20"/>
                <w:color w:val="auto"/>
              </w:rPr>
            </w:pPr>
            <w:r>
              <w:rPr>
                <w:rFonts w:ascii="Times New Roman" w:cs="Times New Roman" w:eastAsia="Times New Roman" w:hAnsi="Times New Roman"/>
                <w:sz w:val="14"/>
                <w:szCs w:val="14"/>
                <w:color w:val="auto"/>
              </w:rPr>
              <w:t>645,137</w:t>
            </w:r>
          </w:p>
        </w:tc>
        <w:tc>
          <w:tcPr>
            <w:tcW w:w="160" w:type="dxa"/>
            <w:vAlign w:val="bottom"/>
          </w:tcPr>
          <w:p>
            <w:pPr>
              <w:spacing w:after="0"/>
              <w:rPr>
                <w:sz w:val="11"/>
                <w:szCs w:val="11"/>
                <w:color w:val="auto"/>
              </w:rPr>
            </w:pPr>
          </w:p>
        </w:tc>
        <w:tc>
          <w:tcPr>
            <w:tcW w:w="60" w:type="dxa"/>
            <w:vAlign w:val="bottom"/>
            <w:tcBorders>
              <w:bottom w:val="single" w:sz="8" w:color="auto"/>
            </w:tcBorders>
          </w:tcPr>
          <w:p>
            <w:pPr>
              <w:spacing w:after="0"/>
              <w:rPr>
                <w:sz w:val="11"/>
                <w:szCs w:val="11"/>
                <w:color w:val="auto"/>
              </w:rPr>
            </w:pPr>
          </w:p>
        </w:tc>
        <w:tc>
          <w:tcPr>
            <w:tcW w:w="700" w:type="dxa"/>
            <w:vAlign w:val="bottom"/>
            <w:tcBorders>
              <w:bottom w:val="single" w:sz="8" w:color="auto"/>
            </w:tcBorders>
          </w:tcPr>
          <w:p>
            <w:pPr>
              <w:jc w:val="right"/>
              <w:spacing w:after="0" w:line="129" w:lineRule="exact"/>
              <w:rPr>
                <w:sz w:val="20"/>
                <w:szCs w:val="20"/>
                <w:color w:val="auto"/>
              </w:rPr>
            </w:pPr>
            <w:r>
              <w:rPr>
                <w:rFonts w:ascii="Times New Roman" w:cs="Times New Roman" w:eastAsia="Times New Roman" w:hAnsi="Times New Roman"/>
                <w:sz w:val="14"/>
                <w:szCs w:val="14"/>
                <w:color w:val="auto"/>
              </w:rPr>
              <w:t>639,516</w:t>
            </w:r>
          </w:p>
        </w:tc>
        <w:tc>
          <w:tcPr>
            <w:tcW w:w="140" w:type="dxa"/>
            <w:vAlign w:val="bottom"/>
          </w:tcPr>
          <w:p>
            <w:pPr>
              <w:spacing w:after="0"/>
              <w:rPr>
                <w:sz w:val="11"/>
                <w:szCs w:val="11"/>
                <w:color w:val="auto"/>
              </w:rPr>
            </w:pPr>
          </w:p>
        </w:tc>
        <w:tc>
          <w:tcPr>
            <w:tcW w:w="140" w:type="dxa"/>
            <w:vAlign w:val="bottom"/>
            <w:tcBorders>
              <w:bottom w:val="single" w:sz="8" w:color="auto"/>
            </w:tcBorders>
          </w:tcPr>
          <w:p>
            <w:pPr>
              <w:spacing w:after="0"/>
              <w:rPr>
                <w:sz w:val="11"/>
                <w:szCs w:val="11"/>
                <w:color w:val="auto"/>
              </w:rPr>
            </w:pPr>
          </w:p>
        </w:tc>
        <w:tc>
          <w:tcPr>
            <w:tcW w:w="620" w:type="dxa"/>
            <w:vAlign w:val="bottom"/>
            <w:tcBorders>
              <w:bottom w:val="single" w:sz="8" w:color="auto"/>
            </w:tcBorders>
          </w:tcPr>
          <w:p>
            <w:pPr>
              <w:jc w:val="right"/>
              <w:spacing w:after="0" w:line="129" w:lineRule="exact"/>
              <w:rPr>
                <w:sz w:val="20"/>
                <w:szCs w:val="20"/>
                <w:color w:val="auto"/>
              </w:rPr>
            </w:pPr>
            <w:r>
              <w:rPr>
                <w:rFonts w:ascii="Times New Roman" w:cs="Times New Roman" w:eastAsia="Times New Roman" w:hAnsi="Times New Roman"/>
                <w:sz w:val="14"/>
                <w:szCs w:val="14"/>
                <w:color w:val="auto"/>
              </w:rPr>
              <w:t>633,533</w:t>
            </w:r>
          </w:p>
        </w:tc>
        <w:tc>
          <w:tcPr>
            <w:tcW w:w="120" w:type="dxa"/>
            <w:vAlign w:val="bottom"/>
          </w:tcPr>
          <w:p>
            <w:pPr>
              <w:spacing w:after="0"/>
              <w:rPr>
                <w:sz w:val="11"/>
                <w:szCs w:val="11"/>
                <w:color w:val="auto"/>
              </w:rPr>
            </w:pPr>
          </w:p>
        </w:tc>
        <w:tc>
          <w:tcPr>
            <w:tcW w:w="140" w:type="dxa"/>
            <w:vAlign w:val="bottom"/>
            <w:tcBorders>
              <w:bottom w:val="single" w:sz="8" w:color="auto"/>
            </w:tcBorders>
          </w:tcPr>
          <w:p>
            <w:pPr>
              <w:spacing w:after="0"/>
              <w:rPr>
                <w:sz w:val="11"/>
                <w:szCs w:val="11"/>
                <w:color w:val="auto"/>
              </w:rPr>
            </w:pPr>
          </w:p>
        </w:tc>
        <w:tc>
          <w:tcPr>
            <w:tcW w:w="600" w:type="dxa"/>
            <w:vAlign w:val="bottom"/>
            <w:tcBorders>
              <w:bottom w:val="single" w:sz="8" w:color="auto"/>
            </w:tcBorders>
          </w:tcPr>
          <w:p>
            <w:pPr>
              <w:jc w:val="right"/>
              <w:spacing w:after="0" w:line="129" w:lineRule="exact"/>
              <w:rPr>
                <w:sz w:val="20"/>
                <w:szCs w:val="20"/>
                <w:color w:val="auto"/>
              </w:rPr>
            </w:pPr>
            <w:r>
              <w:rPr>
                <w:rFonts w:ascii="Times New Roman" w:cs="Times New Roman" w:eastAsia="Times New Roman" w:hAnsi="Times New Roman"/>
                <w:sz w:val="14"/>
                <w:szCs w:val="14"/>
                <w:color w:val="auto"/>
              </w:rPr>
              <w:t>628,104</w:t>
            </w:r>
          </w:p>
        </w:tc>
        <w:tc>
          <w:tcPr>
            <w:tcW w:w="140" w:type="dxa"/>
            <w:vAlign w:val="bottom"/>
          </w:tcPr>
          <w:p>
            <w:pPr>
              <w:spacing w:after="0"/>
              <w:rPr>
                <w:sz w:val="11"/>
                <w:szCs w:val="11"/>
                <w:color w:val="auto"/>
              </w:rPr>
            </w:pPr>
          </w:p>
        </w:tc>
        <w:tc>
          <w:tcPr>
            <w:tcW w:w="140" w:type="dxa"/>
            <w:vAlign w:val="bottom"/>
            <w:tcBorders>
              <w:bottom w:val="single" w:sz="8" w:color="auto"/>
            </w:tcBorders>
          </w:tcPr>
          <w:p>
            <w:pPr>
              <w:spacing w:after="0"/>
              <w:rPr>
                <w:sz w:val="11"/>
                <w:szCs w:val="11"/>
                <w:color w:val="auto"/>
              </w:rPr>
            </w:pPr>
          </w:p>
        </w:tc>
        <w:tc>
          <w:tcPr>
            <w:tcW w:w="620" w:type="dxa"/>
            <w:vAlign w:val="bottom"/>
            <w:tcBorders>
              <w:bottom w:val="single" w:sz="8" w:color="auto"/>
            </w:tcBorders>
          </w:tcPr>
          <w:p>
            <w:pPr>
              <w:jc w:val="right"/>
              <w:spacing w:after="0" w:line="129" w:lineRule="exact"/>
              <w:rPr>
                <w:sz w:val="20"/>
                <w:szCs w:val="20"/>
                <w:color w:val="auto"/>
              </w:rPr>
            </w:pPr>
            <w:r>
              <w:rPr>
                <w:rFonts w:ascii="Times New Roman" w:cs="Times New Roman" w:eastAsia="Times New Roman" w:hAnsi="Times New Roman"/>
                <w:sz w:val="14"/>
                <w:szCs w:val="14"/>
                <w:color w:val="auto"/>
              </w:rPr>
              <w:t>587,424</w:t>
            </w:r>
          </w:p>
        </w:tc>
        <w:tc>
          <w:tcPr>
            <w:tcW w:w="140" w:type="dxa"/>
            <w:vAlign w:val="bottom"/>
          </w:tcPr>
          <w:p>
            <w:pPr>
              <w:spacing w:after="0"/>
              <w:rPr>
                <w:sz w:val="11"/>
                <w:szCs w:val="11"/>
                <w:color w:val="auto"/>
              </w:rPr>
            </w:pPr>
          </w:p>
        </w:tc>
        <w:tc>
          <w:tcPr>
            <w:tcW w:w="120" w:type="dxa"/>
            <w:vAlign w:val="bottom"/>
            <w:tcBorders>
              <w:bottom w:val="single" w:sz="8" w:color="auto"/>
            </w:tcBorders>
          </w:tcPr>
          <w:p>
            <w:pPr>
              <w:spacing w:after="0"/>
              <w:rPr>
                <w:sz w:val="11"/>
                <w:szCs w:val="11"/>
                <w:color w:val="auto"/>
              </w:rPr>
            </w:pPr>
          </w:p>
        </w:tc>
        <w:tc>
          <w:tcPr>
            <w:tcW w:w="620" w:type="dxa"/>
            <w:vAlign w:val="bottom"/>
            <w:tcBorders>
              <w:bottom w:val="single" w:sz="8" w:color="auto"/>
            </w:tcBorders>
          </w:tcPr>
          <w:p>
            <w:pPr>
              <w:jc w:val="right"/>
              <w:spacing w:after="0" w:line="129" w:lineRule="exact"/>
              <w:rPr>
                <w:sz w:val="20"/>
                <w:szCs w:val="20"/>
                <w:color w:val="auto"/>
              </w:rPr>
            </w:pPr>
            <w:r>
              <w:rPr>
                <w:rFonts w:ascii="Times New Roman" w:cs="Times New Roman" w:eastAsia="Times New Roman" w:hAnsi="Times New Roman"/>
                <w:sz w:val="14"/>
                <w:szCs w:val="14"/>
                <w:color w:val="auto"/>
              </w:rPr>
              <w:t>587,426</w:t>
            </w: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3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7" w:lineRule="exact"/>
        <w:rPr>
          <w:sz w:val="20"/>
          <w:szCs w:val="20"/>
          <w:color w:val="auto"/>
        </w:rPr>
      </w:pPr>
    </w:p>
    <w:p>
      <w:pPr>
        <w:spacing w:after="0"/>
        <w:rPr>
          <w:sz w:val="20"/>
          <w:szCs w:val="20"/>
          <w:color w:val="auto"/>
        </w:rPr>
      </w:pPr>
      <w:r>
        <w:rPr>
          <w:rFonts w:ascii="Times New Roman" w:cs="Times New Roman" w:eastAsia="Times New Roman" w:hAnsi="Times New Roman"/>
          <w:sz w:val="14"/>
          <w:szCs w:val="14"/>
          <w:color w:val="auto"/>
        </w:rPr>
        <w:t>Certain prior period adjustments have been reclassified to conform to the current period adjustments.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364490</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Unaudited Reconciliation of Non-GAAP Adjustments</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thousands, except per share amounts)</w:t>
      </w:r>
    </w:p>
    <w:p>
      <w:pPr>
        <w:spacing w:after="0" w:line="187" w:lineRule="exact"/>
        <w:rPr>
          <w:sz w:val="20"/>
          <w:szCs w:val="20"/>
          <w:color w:val="auto"/>
        </w:rPr>
      </w:pPr>
    </w:p>
    <w:tbl>
      <w:tblPr>
        <w:tblLayout w:type="fixed"/>
        <w:tblInd w:w="0" w:type="dxa"/>
        <w:tblCellMar>
          <w:top w:w="0" w:type="dxa"/>
          <w:left w:w="0" w:type="dxa"/>
          <w:bottom w:w="0" w:type="dxa"/>
          <w:right w:w="0" w:type="dxa"/>
        </w:tblCellMar>
      </w:tblPr>
      <w:tr>
        <w:trPr>
          <w:trHeight w:val="173"/>
        </w:trPr>
        <w:tc>
          <w:tcPr>
            <w:tcW w:w="20" w:type="dxa"/>
            <w:vAlign w:val="bottom"/>
          </w:tcPr>
          <w:p>
            <w:pPr>
              <w:spacing w:after="0"/>
              <w:rPr>
                <w:sz w:val="15"/>
                <w:szCs w:val="15"/>
                <w:color w:val="auto"/>
              </w:rPr>
            </w:pPr>
          </w:p>
        </w:tc>
        <w:tc>
          <w:tcPr>
            <w:tcW w:w="218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00" w:type="dxa"/>
            <w:vAlign w:val="bottom"/>
          </w:tcPr>
          <w:p>
            <w:pPr>
              <w:jc w:val="right"/>
              <w:ind w:right="128"/>
              <w:spacing w:after="0"/>
              <w:rPr>
                <w:sz w:val="20"/>
                <w:szCs w:val="20"/>
                <w:color w:val="auto"/>
              </w:rPr>
            </w:pPr>
            <w:r>
              <w:rPr>
                <w:rFonts w:ascii="Times New Roman" w:cs="Times New Roman" w:eastAsia="Times New Roman" w:hAnsi="Times New Roman"/>
                <w:sz w:val="14"/>
                <w:szCs w:val="14"/>
                <w:b w:val="1"/>
                <w:bCs w:val="1"/>
                <w:color w:val="auto"/>
              </w:rPr>
              <w:t>Q1’06</w:t>
            </w:r>
          </w:p>
        </w:tc>
        <w:tc>
          <w:tcPr>
            <w:tcW w:w="1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40" w:type="dxa"/>
            <w:vAlign w:val="bottom"/>
            <w:gridSpan w:val="2"/>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w w:val="98"/>
              </w:rPr>
              <w:t>Q2’06</w:t>
            </w:r>
          </w:p>
        </w:tc>
        <w:tc>
          <w:tcPr>
            <w:tcW w:w="80" w:type="dxa"/>
            <w:vAlign w:val="bottom"/>
          </w:tcPr>
          <w:p>
            <w:pPr>
              <w:spacing w:after="0"/>
              <w:rPr>
                <w:sz w:val="15"/>
                <w:szCs w:val="15"/>
                <w:color w:val="auto"/>
              </w:rPr>
            </w:pPr>
          </w:p>
        </w:tc>
        <w:tc>
          <w:tcPr>
            <w:tcW w:w="700" w:type="dxa"/>
            <w:vAlign w:val="bottom"/>
          </w:tcPr>
          <w:p>
            <w:pPr>
              <w:jc w:val="right"/>
              <w:ind w:right="128"/>
              <w:spacing w:after="0"/>
              <w:rPr>
                <w:sz w:val="20"/>
                <w:szCs w:val="20"/>
                <w:color w:val="auto"/>
              </w:rPr>
            </w:pPr>
            <w:r>
              <w:rPr>
                <w:rFonts w:ascii="Times New Roman" w:cs="Times New Roman" w:eastAsia="Times New Roman" w:hAnsi="Times New Roman"/>
                <w:sz w:val="14"/>
                <w:szCs w:val="14"/>
                <w:b w:val="1"/>
                <w:bCs w:val="1"/>
                <w:color w:val="auto"/>
              </w:rPr>
              <w:t>Q3’06</w:t>
            </w:r>
          </w:p>
        </w:tc>
        <w:tc>
          <w:tcPr>
            <w:tcW w:w="1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820" w:type="dxa"/>
            <w:vAlign w:val="bottom"/>
            <w:gridSpan w:val="2"/>
          </w:tcPr>
          <w:p>
            <w:pPr>
              <w:jc w:val="center"/>
              <w:ind w:right="200"/>
              <w:spacing w:after="0"/>
              <w:rPr>
                <w:sz w:val="20"/>
                <w:szCs w:val="20"/>
                <w:color w:val="auto"/>
              </w:rPr>
            </w:pPr>
            <w:r>
              <w:rPr>
                <w:rFonts w:ascii="Times New Roman" w:cs="Times New Roman" w:eastAsia="Times New Roman" w:hAnsi="Times New Roman"/>
                <w:sz w:val="14"/>
                <w:szCs w:val="14"/>
                <w:b w:val="1"/>
                <w:bCs w:val="1"/>
                <w:color w:val="auto"/>
              </w:rPr>
              <w:t>Q4’06</w:t>
            </w:r>
          </w:p>
        </w:tc>
        <w:tc>
          <w:tcPr>
            <w:tcW w:w="80" w:type="dxa"/>
            <w:vAlign w:val="bottom"/>
          </w:tcPr>
          <w:p>
            <w:pPr>
              <w:spacing w:after="0"/>
              <w:rPr>
                <w:sz w:val="15"/>
                <w:szCs w:val="15"/>
                <w:color w:val="auto"/>
              </w:rPr>
            </w:pPr>
          </w:p>
        </w:tc>
        <w:tc>
          <w:tcPr>
            <w:tcW w:w="780" w:type="dxa"/>
            <w:vAlign w:val="bottom"/>
            <w:gridSpan w:val="2"/>
          </w:tcPr>
          <w:p>
            <w:pPr>
              <w:jc w:val="right"/>
              <w:ind w:right="300"/>
              <w:spacing w:after="0"/>
              <w:rPr>
                <w:sz w:val="20"/>
                <w:szCs w:val="20"/>
                <w:color w:val="auto"/>
              </w:rPr>
            </w:pPr>
            <w:r>
              <w:rPr>
                <w:rFonts w:ascii="Times New Roman" w:cs="Times New Roman" w:eastAsia="Times New Roman" w:hAnsi="Times New Roman"/>
                <w:sz w:val="14"/>
                <w:szCs w:val="14"/>
                <w:b w:val="1"/>
                <w:bCs w:val="1"/>
                <w:color w:val="auto"/>
              </w:rPr>
              <w:t>Q1’07</w:t>
            </w:r>
          </w:p>
        </w:tc>
        <w:tc>
          <w:tcPr>
            <w:tcW w:w="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40" w:type="dxa"/>
            <w:vAlign w:val="bottom"/>
          </w:tcPr>
          <w:p>
            <w:pPr>
              <w:jc w:val="right"/>
              <w:ind w:right="128"/>
              <w:spacing w:after="0"/>
              <w:rPr>
                <w:sz w:val="20"/>
                <w:szCs w:val="20"/>
                <w:color w:val="auto"/>
              </w:rPr>
            </w:pPr>
            <w:r>
              <w:rPr>
                <w:rFonts w:ascii="Times New Roman" w:cs="Times New Roman" w:eastAsia="Times New Roman" w:hAnsi="Times New Roman"/>
                <w:sz w:val="14"/>
                <w:szCs w:val="14"/>
                <w:b w:val="1"/>
                <w:bCs w:val="1"/>
                <w:color w:val="auto"/>
              </w:rPr>
              <w:t>Q2’07</w:t>
            </w:r>
          </w:p>
        </w:tc>
        <w:tc>
          <w:tcPr>
            <w:tcW w:w="1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760" w:type="dxa"/>
            <w:vAlign w:val="bottom"/>
            <w:gridSpan w:val="2"/>
          </w:tcPr>
          <w:p>
            <w:pPr>
              <w:ind w:left="60"/>
              <w:spacing w:after="0"/>
              <w:rPr>
                <w:sz w:val="20"/>
                <w:szCs w:val="20"/>
                <w:color w:val="auto"/>
              </w:rPr>
            </w:pPr>
            <w:r>
              <w:rPr>
                <w:rFonts w:ascii="Times New Roman" w:cs="Times New Roman" w:eastAsia="Times New Roman" w:hAnsi="Times New Roman"/>
                <w:sz w:val="14"/>
                <w:szCs w:val="14"/>
                <w:b w:val="1"/>
                <w:bCs w:val="1"/>
                <w:color w:val="auto"/>
              </w:rPr>
              <w:t>Q3’07</w:t>
            </w:r>
          </w:p>
        </w:tc>
        <w:tc>
          <w:tcPr>
            <w:tcW w:w="120" w:type="dxa"/>
            <w:vAlign w:val="bottom"/>
          </w:tcPr>
          <w:p>
            <w:pPr>
              <w:spacing w:after="0"/>
              <w:rPr>
                <w:sz w:val="15"/>
                <w:szCs w:val="15"/>
                <w:color w:val="auto"/>
              </w:rPr>
            </w:pPr>
          </w:p>
        </w:tc>
        <w:tc>
          <w:tcPr>
            <w:tcW w:w="740" w:type="dxa"/>
            <w:vAlign w:val="bottom"/>
            <w:gridSpan w:val="2"/>
          </w:tcPr>
          <w:p>
            <w:pPr>
              <w:jc w:val="right"/>
              <w:ind w:right="300"/>
              <w:spacing w:after="0"/>
              <w:rPr>
                <w:sz w:val="20"/>
                <w:szCs w:val="20"/>
                <w:color w:val="auto"/>
              </w:rPr>
            </w:pPr>
            <w:r>
              <w:rPr>
                <w:rFonts w:ascii="Times New Roman" w:cs="Times New Roman" w:eastAsia="Times New Roman" w:hAnsi="Times New Roman"/>
                <w:sz w:val="14"/>
                <w:szCs w:val="14"/>
                <w:b w:val="1"/>
                <w:bCs w:val="1"/>
                <w:color w:val="auto"/>
              </w:rPr>
              <w:t>Q4’07</w:t>
            </w:r>
          </w:p>
        </w:tc>
        <w:tc>
          <w:tcPr>
            <w:tcW w:w="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700" w:type="dxa"/>
            <w:vAlign w:val="bottom"/>
            <w:gridSpan w:val="2"/>
          </w:tcPr>
          <w:p>
            <w:pPr>
              <w:jc w:val="right"/>
              <w:ind w:right="280"/>
              <w:spacing w:after="0"/>
              <w:rPr>
                <w:sz w:val="20"/>
                <w:szCs w:val="20"/>
                <w:color w:val="auto"/>
              </w:rPr>
            </w:pPr>
            <w:r>
              <w:rPr>
                <w:rFonts w:ascii="Times New Roman" w:cs="Times New Roman" w:eastAsia="Times New Roman" w:hAnsi="Times New Roman"/>
                <w:sz w:val="14"/>
                <w:szCs w:val="14"/>
                <w:b w:val="1"/>
                <w:bCs w:val="1"/>
                <w:color w:val="auto"/>
              </w:rPr>
              <w:t>Q1’08</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21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28"/>
              <w:spacing w:after="0" w:line="129" w:lineRule="exact"/>
              <w:rPr>
                <w:sz w:val="20"/>
                <w:szCs w:val="20"/>
                <w:color w:val="auto"/>
              </w:rPr>
            </w:pPr>
            <w:r>
              <w:rPr>
                <w:rFonts w:ascii="Times New Roman" w:cs="Times New Roman" w:eastAsia="Times New Roman" w:hAnsi="Times New Roman"/>
                <w:sz w:val="14"/>
                <w:szCs w:val="14"/>
                <w:b w:val="1"/>
                <w:bCs w:val="1"/>
                <w:color w:val="auto"/>
              </w:rPr>
              <w:t>(restated)</w:t>
            </w:r>
          </w:p>
        </w:tc>
        <w:tc>
          <w:tcPr>
            <w:tcW w:w="16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center"/>
              <w:ind w:right="28"/>
              <w:spacing w:after="0" w:line="129" w:lineRule="exact"/>
              <w:rPr>
                <w:sz w:val="20"/>
                <w:szCs w:val="20"/>
                <w:color w:val="auto"/>
              </w:rPr>
            </w:pPr>
            <w:r>
              <w:rPr>
                <w:rFonts w:ascii="Times New Roman" w:cs="Times New Roman" w:eastAsia="Times New Roman" w:hAnsi="Times New Roman"/>
                <w:sz w:val="14"/>
                <w:szCs w:val="14"/>
                <w:b w:val="1"/>
                <w:bCs w:val="1"/>
                <w:color w:val="auto"/>
              </w:rPr>
              <w:t>(restated)</w:t>
            </w:r>
          </w:p>
        </w:tc>
        <w:tc>
          <w:tcPr>
            <w:tcW w:w="14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28"/>
              <w:spacing w:after="0" w:line="129" w:lineRule="exact"/>
              <w:rPr>
                <w:sz w:val="20"/>
                <w:szCs w:val="20"/>
                <w:color w:val="auto"/>
              </w:rPr>
            </w:pPr>
            <w:r>
              <w:rPr>
                <w:rFonts w:ascii="Times New Roman" w:cs="Times New Roman" w:eastAsia="Times New Roman" w:hAnsi="Times New Roman"/>
                <w:sz w:val="14"/>
                <w:szCs w:val="14"/>
                <w:b w:val="1"/>
                <w:bCs w:val="1"/>
                <w:color w:val="auto"/>
              </w:rPr>
              <w:t>(restated)</w:t>
            </w:r>
          </w:p>
        </w:tc>
        <w:tc>
          <w:tcPr>
            <w:tcW w:w="140" w:type="dxa"/>
            <w:vAlign w:val="bottom"/>
          </w:tcPr>
          <w:p>
            <w:pPr>
              <w:spacing w:after="0"/>
              <w:rPr>
                <w:sz w:val="11"/>
                <w:szCs w:val="11"/>
                <w:color w:val="auto"/>
              </w:rPr>
            </w:pPr>
          </w:p>
        </w:tc>
        <w:tc>
          <w:tcPr>
            <w:tcW w:w="6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Times New Roman" w:cs="Times New Roman" w:eastAsia="Times New Roman" w:hAnsi="Times New Roman"/>
                <w:sz w:val="14"/>
                <w:szCs w:val="14"/>
                <w:b w:val="1"/>
                <w:bCs w:val="1"/>
                <w:color w:val="auto"/>
              </w:rPr>
              <w:t>(restated)</w:t>
            </w:r>
          </w:p>
        </w:tc>
        <w:tc>
          <w:tcPr>
            <w:tcW w:w="14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ind w:right="8"/>
              <w:spacing w:after="0" w:line="129" w:lineRule="exact"/>
              <w:rPr>
                <w:sz w:val="20"/>
                <w:szCs w:val="20"/>
                <w:color w:val="auto"/>
              </w:rPr>
            </w:pPr>
            <w:r>
              <w:rPr>
                <w:rFonts w:ascii="Times New Roman" w:cs="Times New Roman" w:eastAsia="Times New Roman" w:hAnsi="Times New Roman"/>
                <w:sz w:val="14"/>
                <w:szCs w:val="14"/>
                <w:b w:val="1"/>
                <w:bCs w:val="1"/>
                <w:color w:val="auto"/>
              </w:rPr>
              <w:t>(restated)</w:t>
            </w:r>
          </w:p>
        </w:tc>
        <w:tc>
          <w:tcPr>
            <w:tcW w:w="1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120" w:type="dxa"/>
            <w:vAlign w:val="bottom"/>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14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1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3220" w:type="dxa"/>
            <w:vAlign w:val="bottom"/>
            <w:gridSpan w:val="2"/>
            <w:shd w:val="clear" w:color="auto" w:fill="CCEEFF"/>
          </w:tcPr>
          <w:p>
            <w:pPr>
              <w:spacing w:after="0" w:line="124" w:lineRule="exact"/>
              <w:rPr>
                <w:sz w:val="20"/>
                <w:szCs w:val="20"/>
                <w:color w:val="auto"/>
              </w:rPr>
            </w:pPr>
            <w:r>
              <w:rPr>
                <w:rFonts w:ascii="Times New Roman" w:cs="Times New Roman" w:eastAsia="Times New Roman" w:hAnsi="Times New Roman"/>
                <w:sz w:val="14"/>
                <w:szCs w:val="14"/>
                <w:b w:val="1"/>
                <w:bCs w:val="1"/>
                <w:color w:val="auto"/>
              </w:rPr>
              <w:t>Reconciliation of GAAP net income to non-GAAP</w:t>
            </w:r>
          </w:p>
        </w:tc>
        <w:tc>
          <w:tcPr>
            <w:tcW w:w="10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700" w:type="dxa"/>
            <w:vAlign w:val="bottom"/>
            <w:shd w:val="clear" w:color="auto" w:fill="CCEEFF"/>
          </w:tcPr>
          <w:p>
            <w:pPr>
              <w:spacing w:after="0"/>
              <w:rPr>
                <w:sz w:val="10"/>
                <w:szCs w:val="10"/>
                <w:color w:val="auto"/>
              </w:rPr>
            </w:pPr>
          </w:p>
        </w:tc>
        <w:tc>
          <w:tcPr>
            <w:tcW w:w="16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700" w:type="dxa"/>
            <w:vAlign w:val="bottom"/>
            <w:shd w:val="clear" w:color="auto" w:fill="CCEEFF"/>
          </w:tcPr>
          <w:p>
            <w:pPr>
              <w:spacing w:after="0"/>
              <w:rPr>
                <w:sz w:val="10"/>
                <w:szCs w:val="10"/>
                <w:color w:val="auto"/>
              </w:rPr>
            </w:pPr>
          </w:p>
        </w:tc>
        <w:tc>
          <w:tcPr>
            <w:tcW w:w="14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700" w:type="dxa"/>
            <w:vAlign w:val="bottom"/>
            <w:shd w:val="clear" w:color="auto" w:fill="CCEEFF"/>
          </w:tcPr>
          <w:p>
            <w:pPr>
              <w:spacing w:after="0"/>
              <w:rPr>
                <w:sz w:val="10"/>
                <w:szCs w:val="10"/>
                <w:color w:val="auto"/>
              </w:rPr>
            </w:pPr>
          </w:p>
        </w:tc>
        <w:tc>
          <w:tcPr>
            <w:tcW w:w="14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4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4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4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140" w:type="dxa"/>
            <w:vAlign w:val="bottom"/>
            <w:shd w:val="clear" w:color="auto" w:fill="CCEEFF"/>
          </w:tcPr>
          <w:p>
            <w:pPr>
              <w:spacing w:after="0"/>
              <w:rPr>
                <w:sz w:val="10"/>
                <w:szCs w:val="10"/>
                <w:color w:val="auto"/>
              </w:rPr>
            </w:pPr>
          </w:p>
        </w:tc>
        <w:tc>
          <w:tcPr>
            <w:tcW w:w="620" w:type="dxa"/>
            <w:vAlign w:val="bottom"/>
            <w:shd w:val="clear" w:color="auto" w:fill="CCEEFF"/>
          </w:tcPr>
          <w:p>
            <w:pPr>
              <w:spacing w:after="0"/>
              <w:rPr>
                <w:sz w:val="10"/>
                <w:szCs w:val="10"/>
                <w:color w:val="auto"/>
              </w:rPr>
            </w:pPr>
          </w:p>
        </w:tc>
        <w:tc>
          <w:tcPr>
            <w:tcW w:w="14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4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40" w:type="dxa"/>
            <w:vAlign w:val="bottom"/>
            <w:shd w:val="clear" w:color="auto" w:fill="CCEEFF"/>
          </w:tcPr>
          <w:p>
            <w:pPr>
              <w:spacing w:after="0"/>
              <w:rPr>
                <w:sz w:val="10"/>
                <w:szCs w:val="10"/>
                <w:color w:val="auto"/>
              </w:rPr>
            </w:pPr>
          </w:p>
        </w:tc>
        <w:tc>
          <w:tcPr>
            <w:tcW w:w="140" w:type="dxa"/>
            <w:vAlign w:val="bottom"/>
            <w:shd w:val="clear" w:color="auto" w:fill="CCEEFF"/>
          </w:tcPr>
          <w:p>
            <w:pPr>
              <w:spacing w:after="0"/>
              <w:rPr>
                <w:sz w:val="10"/>
                <w:szCs w:val="10"/>
                <w:color w:val="auto"/>
              </w:rPr>
            </w:pPr>
          </w:p>
        </w:tc>
        <w:tc>
          <w:tcPr>
            <w:tcW w:w="62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3220" w:type="dxa"/>
            <w:vAlign w:val="bottom"/>
            <w:gridSpan w:val="2"/>
            <w:shd w:val="clear" w:color="auto" w:fill="CCEEFF"/>
          </w:tcPr>
          <w:p>
            <w:pPr>
              <w:ind w:left="160"/>
              <w:spacing w:after="0"/>
              <w:rPr>
                <w:sz w:val="20"/>
                <w:szCs w:val="20"/>
                <w:color w:val="auto"/>
              </w:rPr>
            </w:pPr>
            <w:r>
              <w:rPr>
                <w:rFonts w:ascii="Times New Roman" w:cs="Times New Roman" w:eastAsia="Times New Roman" w:hAnsi="Times New Roman"/>
                <w:sz w:val="14"/>
                <w:szCs w:val="14"/>
                <w:b w:val="1"/>
                <w:bCs w:val="1"/>
                <w:color w:val="auto"/>
              </w:rPr>
              <w:t>net income:</w:t>
            </w:r>
          </w:p>
        </w:tc>
        <w:tc>
          <w:tcPr>
            <w:tcW w:w="10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70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70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70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60" w:type="dxa"/>
            <w:vAlign w:val="bottom"/>
            <w:shd w:val="clear" w:color="auto" w:fill="CCEEFF"/>
          </w:tcPr>
          <w:p>
            <w:pPr>
              <w:spacing w:after="0"/>
              <w:rPr>
                <w:sz w:val="15"/>
                <w:szCs w:val="15"/>
                <w:color w:val="auto"/>
              </w:rPr>
            </w:pPr>
          </w:p>
        </w:tc>
        <w:tc>
          <w:tcPr>
            <w:tcW w:w="68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68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4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64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62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6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4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6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149"/>
        </w:trPr>
        <w:tc>
          <w:tcPr>
            <w:tcW w:w="20" w:type="dxa"/>
            <w:vAlign w:val="bottom"/>
            <w:vMerge w:val="restart"/>
          </w:tcPr>
          <w:p>
            <w:pPr>
              <w:spacing w:after="0"/>
              <w:rPr>
                <w:sz w:val="12"/>
                <w:szCs w:val="12"/>
                <w:color w:val="auto"/>
              </w:rPr>
            </w:pPr>
          </w:p>
        </w:tc>
        <w:tc>
          <w:tcPr>
            <w:tcW w:w="21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3220" w:type="dxa"/>
            <w:vAlign w:val="bottom"/>
            <w:gridSpan w:val="2"/>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GAAP net income (loss)</w:t>
            </w:r>
          </w:p>
        </w:tc>
        <w:tc>
          <w:tcPr>
            <w:tcW w:w="18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53,947</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47,099</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7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83,355</w:t>
            </w:r>
          </w:p>
        </w:tc>
        <w:tc>
          <w:tcPr>
            <w:tcW w:w="20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15,089</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77,563</w:t>
            </w:r>
          </w:p>
        </w:tc>
        <w:tc>
          <w:tcPr>
            <w:tcW w:w="100" w:type="dxa"/>
            <w:vAlign w:val="bottom"/>
            <w:shd w:val="clear" w:color="auto" w:fill="CCEEFF"/>
          </w:tcPr>
          <w:p>
            <w:pPr>
              <w:spacing w:after="0"/>
              <w:rPr>
                <w:sz w:val="12"/>
                <w:szCs w:val="12"/>
                <w:color w:val="auto"/>
              </w:rPr>
            </w:pPr>
          </w:p>
        </w:tc>
        <w:tc>
          <w:tcPr>
            <w:tcW w:w="160" w:type="dxa"/>
            <w:vAlign w:val="bottom"/>
            <w:gridSpan w:val="2"/>
            <w:shd w:val="clear" w:color="auto" w:fill="CCEEFF"/>
          </w:tcPr>
          <w:p>
            <w:pPr>
              <w:jc w:val="right"/>
              <w:ind w:right="3"/>
              <w:spacing w:after="0" w:line="149" w:lineRule="exact"/>
              <w:rPr>
                <w:sz w:val="20"/>
                <w:szCs w:val="20"/>
                <w:color w:val="auto"/>
              </w:rPr>
            </w:pPr>
            <w:r>
              <w:rPr>
                <w:rFonts w:ascii="Times New Roman" w:cs="Times New Roman" w:eastAsia="Times New Roman" w:hAnsi="Times New Roman"/>
                <w:sz w:val="14"/>
                <w:szCs w:val="14"/>
                <w:color w:val="auto"/>
              </w:rPr>
              <w:t>$</w:t>
            </w:r>
          </w:p>
        </w:tc>
        <w:tc>
          <w:tcPr>
            <w:tcW w:w="64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44,881</w:t>
            </w:r>
          </w:p>
        </w:tc>
        <w:tc>
          <w:tcPr>
            <w:tcW w:w="26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62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6,046</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jc w:val="right"/>
              <w:ind w:right="3"/>
              <w:spacing w:after="0"/>
              <w:rPr>
                <w:sz w:val="20"/>
                <w:szCs w:val="20"/>
                <w:color w:val="auto"/>
              </w:rPr>
            </w:pPr>
            <w:r>
              <w:rPr>
                <w:rFonts w:ascii="Times New Roman" w:cs="Times New Roman" w:eastAsia="Times New Roman" w:hAnsi="Times New Roman"/>
                <w:sz w:val="11"/>
                <w:szCs w:val="11"/>
                <w:color w:val="auto"/>
                <w:w w:val="71"/>
              </w:rPr>
              <w:t>$</w:t>
            </w:r>
          </w:p>
        </w:tc>
        <w:tc>
          <w:tcPr>
            <w:tcW w:w="74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(140,585)</w:t>
            </w:r>
          </w:p>
        </w:tc>
        <w:tc>
          <w:tcPr>
            <w:tcW w:w="18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0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(52,828)</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220" w:type="dxa"/>
            <w:vAlign w:val="bottom"/>
            <w:gridSpan w:val="2"/>
          </w:tcPr>
          <w:p>
            <w:pPr>
              <w:spacing w:after="0" w:line="149" w:lineRule="exact"/>
              <w:rPr>
                <w:sz w:val="20"/>
                <w:szCs w:val="20"/>
                <w:color w:val="auto"/>
              </w:rPr>
            </w:pPr>
            <w:r>
              <w:rPr>
                <w:rFonts w:ascii="Times New Roman" w:cs="Times New Roman" w:eastAsia="Times New Roman" w:hAnsi="Times New Roman"/>
                <w:sz w:val="14"/>
                <w:szCs w:val="14"/>
                <w:color w:val="auto"/>
              </w:rPr>
              <w:t>Acquisition related and other special charges:</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220" w:type="dxa"/>
            <w:vAlign w:val="bottom"/>
            <w:gridSpan w:val="2"/>
            <w:shd w:val="clear" w:color="auto" w:fill="CCEEFF"/>
          </w:tcPr>
          <w:p>
            <w:pPr>
              <w:ind w:left="140"/>
              <w:spacing w:after="0" w:line="149" w:lineRule="exact"/>
              <w:rPr>
                <w:sz w:val="20"/>
                <w:szCs w:val="20"/>
                <w:color w:val="auto"/>
              </w:rPr>
            </w:pPr>
            <w:r>
              <w:rPr>
                <w:rFonts w:ascii="Times New Roman" w:cs="Times New Roman" w:eastAsia="Times New Roman" w:hAnsi="Times New Roman"/>
                <w:sz w:val="14"/>
                <w:szCs w:val="14"/>
                <w:color w:val="auto"/>
              </w:rPr>
              <w:t>Stock-based compensation included in:</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220" w:type="dxa"/>
            <w:vAlign w:val="bottom"/>
            <w:gridSpan w:val="2"/>
          </w:tcPr>
          <w:p>
            <w:pPr>
              <w:ind w:left="280"/>
              <w:spacing w:after="0" w:line="149" w:lineRule="exact"/>
              <w:rPr>
                <w:sz w:val="20"/>
                <w:szCs w:val="20"/>
                <w:color w:val="auto"/>
              </w:rPr>
            </w:pPr>
            <w:r>
              <w:rPr>
                <w:rFonts w:ascii="Times New Roman" w:cs="Times New Roman" w:eastAsia="Times New Roman" w:hAnsi="Times New Roman"/>
                <w:sz w:val="14"/>
                <w:szCs w:val="14"/>
                <w:color w:val="auto"/>
              </w:rPr>
              <w:t>Cost of goods sold</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541</w:t>
            </w: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1,805</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503</w:t>
            </w: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3,763</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2,434</w:t>
            </w:r>
          </w:p>
        </w:tc>
        <w:tc>
          <w:tcPr>
            <w:tcW w:w="1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3,461</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2,602</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2,842</w:t>
            </w:r>
          </w:p>
        </w:tc>
        <w:tc>
          <w:tcPr>
            <w:tcW w:w="1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3,018</w:t>
            </w: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220" w:type="dxa"/>
            <w:vAlign w:val="bottom"/>
            <w:gridSpan w:val="2"/>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Research and development and other</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5,497</w:t>
            </w:r>
          </w:p>
        </w:tc>
        <w:tc>
          <w:tcPr>
            <w:tcW w:w="1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14,307</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4,878</w:t>
            </w: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27,610</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30,437</w:t>
            </w:r>
          </w:p>
        </w:tc>
        <w:tc>
          <w:tcPr>
            <w:tcW w:w="10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4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36,244</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26,322</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4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28,478</w:t>
            </w:r>
          </w:p>
        </w:tc>
        <w:tc>
          <w:tcPr>
            <w:tcW w:w="10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32,042</w:t>
            </w:r>
          </w:p>
        </w:tc>
        <w:tc>
          <w:tcPr>
            <w:tcW w:w="8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220" w:type="dxa"/>
            <w:vAlign w:val="bottom"/>
            <w:gridSpan w:val="2"/>
          </w:tcPr>
          <w:p>
            <w:pPr>
              <w:ind w:left="280"/>
              <w:spacing w:after="0" w:line="149" w:lineRule="exact"/>
              <w:rPr>
                <w:sz w:val="20"/>
                <w:szCs w:val="20"/>
                <w:color w:val="auto"/>
              </w:rPr>
            </w:pPr>
            <w:r>
              <w:rPr>
                <w:rFonts w:ascii="Times New Roman" w:cs="Times New Roman" w:eastAsia="Times New Roman" w:hAnsi="Times New Roman"/>
                <w:sz w:val="14"/>
                <w:szCs w:val="14"/>
                <w:color w:val="auto"/>
              </w:rPr>
              <w:t>Selling and marketing</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770</w:t>
            </w: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4,470</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1,415</w:t>
            </w: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8,107</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8,234</w:t>
            </w:r>
          </w:p>
        </w:tc>
        <w:tc>
          <w:tcPr>
            <w:tcW w:w="1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8,462</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6,502</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7,254</w:t>
            </w:r>
          </w:p>
        </w:tc>
        <w:tc>
          <w:tcPr>
            <w:tcW w:w="1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7,151</w:t>
            </w: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220" w:type="dxa"/>
            <w:vAlign w:val="bottom"/>
            <w:gridSpan w:val="2"/>
            <w:shd w:val="clear" w:color="auto" w:fill="CCEEFF"/>
          </w:tcPr>
          <w:p>
            <w:pPr>
              <w:ind w:left="280"/>
              <w:spacing w:after="0" w:line="149" w:lineRule="exact"/>
              <w:rPr>
                <w:sz w:val="20"/>
                <w:szCs w:val="20"/>
                <w:color w:val="auto"/>
              </w:rPr>
            </w:pPr>
            <w:r>
              <w:rPr>
                <w:rFonts w:ascii="Times New Roman" w:cs="Times New Roman" w:eastAsia="Times New Roman" w:hAnsi="Times New Roman"/>
                <w:sz w:val="14"/>
                <w:szCs w:val="14"/>
                <w:color w:val="auto"/>
              </w:rPr>
              <w:t>General and administrative</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2,782</w:t>
            </w:r>
          </w:p>
        </w:tc>
        <w:tc>
          <w:tcPr>
            <w:tcW w:w="1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9,055</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2,771</w:t>
            </w: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12,738</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7,657</w:t>
            </w:r>
          </w:p>
        </w:tc>
        <w:tc>
          <w:tcPr>
            <w:tcW w:w="10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4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7,437</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6,702</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4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7,053</w:t>
            </w:r>
          </w:p>
        </w:tc>
        <w:tc>
          <w:tcPr>
            <w:tcW w:w="10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4,557</w:t>
            </w:r>
          </w:p>
        </w:tc>
        <w:tc>
          <w:tcPr>
            <w:tcW w:w="8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220" w:type="dxa"/>
            <w:vAlign w:val="bottom"/>
            <w:gridSpan w:val="2"/>
          </w:tcPr>
          <w:p>
            <w:pPr>
              <w:ind w:left="140"/>
              <w:spacing w:after="0" w:line="149" w:lineRule="exact"/>
              <w:rPr>
                <w:sz w:val="20"/>
                <w:szCs w:val="20"/>
                <w:color w:val="auto"/>
              </w:rPr>
            </w:pPr>
            <w:r>
              <w:rPr>
                <w:rFonts w:ascii="Times New Roman" w:cs="Times New Roman" w:eastAsia="Times New Roman" w:hAnsi="Times New Roman"/>
                <w:sz w:val="14"/>
                <w:szCs w:val="14"/>
                <w:color w:val="auto"/>
              </w:rPr>
              <w:t>Amortization of acquired intangible assets</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19,759</w:t>
            </w: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19,753</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19,746</w:t>
            </w: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32,480</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17,351</w:t>
            </w:r>
          </w:p>
        </w:tc>
        <w:tc>
          <w:tcPr>
            <w:tcW w:w="1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27,405</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27,405</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37,826</w:t>
            </w:r>
          </w:p>
        </w:tc>
        <w:tc>
          <w:tcPr>
            <w:tcW w:w="1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37,320</w:t>
            </w: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220" w:type="dxa"/>
            <w:vAlign w:val="bottom"/>
            <w:gridSpan w:val="2"/>
            <w:shd w:val="clear" w:color="auto" w:fill="CCEEFF"/>
          </w:tcPr>
          <w:p>
            <w:pPr>
              <w:ind w:left="140"/>
              <w:spacing w:after="0" w:line="149" w:lineRule="exact"/>
              <w:rPr>
                <w:sz w:val="20"/>
                <w:szCs w:val="20"/>
                <w:color w:val="auto"/>
              </w:rPr>
            </w:pPr>
            <w:r>
              <w:rPr>
                <w:rFonts w:ascii="Times New Roman" w:cs="Times New Roman" w:eastAsia="Times New Roman" w:hAnsi="Times New Roman"/>
                <w:sz w:val="14"/>
                <w:szCs w:val="14"/>
                <w:color w:val="auto"/>
              </w:rPr>
              <w:t>Acquired in-process research and development</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4,300</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4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20" w:type="dxa"/>
            <w:vAlign w:val="bottom"/>
            <w:shd w:val="clear" w:color="auto" w:fill="CCEEFF"/>
          </w:tcPr>
          <w:p>
            <w:pPr>
              <w:spacing w:after="0"/>
              <w:rPr>
                <w:sz w:val="12"/>
                <w:szCs w:val="12"/>
                <w:color w:val="auto"/>
              </w:rPr>
            </w:pPr>
          </w:p>
        </w:tc>
        <w:tc>
          <w:tcPr>
            <w:tcW w:w="64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77,800</w:t>
            </w:r>
          </w:p>
        </w:tc>
        <w:tc>
          <w:tcPr>
            <w:tcW w:w="10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220" w:type="dxa"/>
            <w:vAlign w:val="bottom"/>
            <w:gridSpan w:val="2"/>
          </w:tcPr>
          <w:p>
            <w:pPr>
              <w:ind w:left="140"/>
              <w:spacing w:after="0" w:line="149" w:lineRule="exact"/>
              <w:rPr>
                <w:sz w:val="20"/>
                <w:szCs w:val="20"/>
                <w:color w:val="auto"/>
              </w:rPr>
            </w:pPr>
            <w:r>
              <w:rPr>
                <w:rFonts w:ascii="Times New Roman" w:cs="Times New Roman" w:eastAsia="Times New Roman" w:hAnsi="Times New Roman"/>
                <w:sz w:val="14"/>
                <w:szCs w:val="14"/>
                <w:color w:val="auto"/>
              </w:rPr>
              <w:t>Cumulative effect of change in accounting principle</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40" w:type="dxa"/>
            <w:vAlign w:val="bottom"/>
            <w:gridSpan w:val="2"/>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2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780" w:type="dxa"/>
            <w:vAlign w:val="bottom"/>
            <w:gridSpan w:val="2"/>
          </w:tcPr>
          <w:p>
            <w:pPr>
              <w:jc w:val="right"/>
              <w:ind w:right="60"/>
              <w:spacing w:after="0" w:line="149" w:lineRule="exact"/>
              <w:rPr>
                <w:sz w:val="20"/>
                <w:szCs w:val="20"/>
                <w:color w:val="auto"/>
              </w:rPr>
            </w:pPr>
            <w:r>
              <w:rPr>
                <w:rFonts w:ascii="Times New Roman" w:cs="Times New Roman" w:eastAsia="Times New Roman" w:hAnsi="Times New Roman"/>
                <w:sz w:val="14"/>
                <w:szCs w:val="14"/>
                <w:color w:val="auto"/>
              </w:rPr>
              <w:t>(8,846)</w:t>
            </w: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6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120" w:type="dxa"/>
            <w:vAlign w:val="bottom"/>
          </w:tcPr>
          <w:p>
            <w:pPr>
              <w:spacing w:after="0"/>
              <w:rPr>
                <w:sz w:val="12"/>
                <w:szCs w:val="12"/>
                <w:color w:val="auto"/>
              </w:rPr>
            </w:pPr>
          </w:p>
        </w:tc>
        <w:tc>
          <w:tcPr>
            <w:tcW w:w="740" w:type="dxa"/>
            <w:vAlign w:val="bottom"/>
            <w:gridSpan w:val="2"/>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00" w:type="dxa"/>
            <w:vAlign w:val="bottom"/>
            <w:gridSpan w:val="2"/>
          </w:tcPr>
          <w:p>
            <w:pPr>
              <w:jc w:val="right"/>
              <w:ind w:right="100"/>
              <w:spacing w:after="0" w:line="149" w:lineRule="exact"/>
              <w:rPr>
                <w:sz w:val="20"/>
                <w:szCs w:val="20"/>
                <w:color w:val="auto"/>
              </w:rPr>
            </w:pPr>
            <w:r>
              <w:rPr>
                <w:rFonts w:ascii="Times New Roman" w:cs="Times New Roman" w:eastAsia="Times New Roman" w:hAnsi="Times New Roman"/>
                <w:sz w:val="14"/>
                <w:szCs w:val="14"/>
                <w:color w:val="auto"/>
              </w:rPr>
              <w:t>—</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220" w:type="dxa"/>
            <w:vAlign w:val="bottom"/>
            <w:tcBorders>
              <w:top w:val="single" w:sz="8" w:color="CCEEFF"/>
              <w:bottom w:val="single" w:sz="8" w:color="CCEEFF"/>
            </w:tcBorders>
            <w:gridSpan w:val="2"/>
            <w:shd w:val="clear" w:color="auto" w:fill="CCEEFF"/>
          </w:tcPr>
          <w:p>
            <w:pPr>
              <w:spacing w:after="0" w:line="142" w:lineRule="exact"/>
              <w:rPr>
                <w:sz w:val="20"/>
                <w:szCs w:val="20"/>
                <w:color w:val="auto"/>
              </w:rPr>
            </w:pPr>
            <w:r>
              <w:rPr>
                <w:rFonts w:ascii="Times New Roman" w:cs="Times New Roman" w:eastAsia="Times New Roman" w:hAnsi="Times New Roman"/>
                <w:sz w:val="14"/>
                <w:szCs w:val="14"/>
                <w:color w:val="auto"/>
              </w:rPr>
              <w:t>Non-GAAP net income (see note below)</w:t>
            </w:r>
          </w:p>
        </w:tc>
        <w:tc>
          <w:tcPr>
            <w:tcW w:w="100" w:type="dxa"/>
            <w:vAlign w:val="bottom"/>
            <w:tcBorders>
              <w:top w:val="single" w:sz="8" w:color="CCEEFF"/>
              <w:bottom w:val="single" w:sz="8" w:color="CCEEFF"/>
            </w:tcBorders>
            <w:shd w:val="clear" w:color="auto" w:fill="CCEEFF"/>
          </w:tcPr>
          <w:p>
            <w:pPr>
              <w:spacing w:after="0"/>
              <w:rPr>
                <w:sz w:val="12"/>
                <w:szCs w:val="12"/>
                <w:color w:val="auto"/>
              </w:rPr>
            </w:pPr>
          </w:p>
        </w:tc>
        <w:tc>
          <w:tcPr>
            <w:tcW w:w="8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w w:val="85"/>
              </w:rPr>
              <w:t>$</w:t>
            </w:r>
          </w:p>
        </w:tc>
        <w:tc>
          <w:tcPr>
            <w:tcW w:w="70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83,296</w:t>
            </w:r>
          </w:p>
        </w:tc>
        <w:tc>
          <w:tcPr>
            <w:tcW w:w="160" w:type="dxa"/>
            <w:vAlign w:val="bottom"/>
            <w:tcBorders>
              <w:top w:val="single" w:sz="8" w:color="CCEEFF"/>
              <w:bottom w:val="single" w:sz="8" w:color="CCEEFF"/>
            </w:tcBorders>
            <w:shd w:val="clear" w:color="auto" w:fill="CCEEFF"/>
          </w:tcPr>
          <w:p>
            <w:pPr>
              <w:spacing w:after="0"/>
              <w:rPr>
                <w:sz w:val="12"/>
                <w:szCs w:val="12"/>
                <w:color w:val="auto"/>
              </w:rPr>
            </w:pPr>
          </w:p>
        </w:tc>
        <w:tc>
          <w:tcPr>
            <w:tcW w:w="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70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96,489</w:t>
            </w:r>
          </w:p>
        </w:tc>
        <w:tc>
          <w:tcPr>
            <w:tcW w:w="140" w:type="dxa"/>
            <w:vAlign w:val="bottom"/>
            <w:tcBorders>
              <w:top w:val="single" w:sz="8" w:color="CCEEFF"/>
              <w:bottom w:val="single" w:sz="8" w:color="CCEEFF"/>
            </w:tcBorders>
            <w:shd w:val="clear" w:color="auto" w:fill="CCEEFF"/>
          </w:tcPr>
          <w:p>
            <w:pPr>
              <w:spacing w:after="0"/>
              <w:rPr>
                <w:sz w:val="12"/>
                <w:szCs w:val="12"/>
                <w:color w:val="auto"/>
              </w:rPr>
            </w:pPr>
          </w:p>
        </w:tc>
        <w:tc>
          <w:tcPr>
            <w:tcW w:w="8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w w:val="85"/>
              </w:rPr>
              <w:t>$</w:t>
            </w:r>
          </w:p>
        </w:tc>
        <w:tc>
          <w:tcPr>
            <w:tcW w:w="70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112,668</w:t>
            </w:r>
          </w:p>
        </w:tc>
        <w:tc>
          <w:tcPr>
            <w:tcW w:w="140" w:type="dxa"/>
            <w:vAlign w:val="bottom"/>
            <w:tcBorders>
              <w:top w:val="single" w:sz="8" w:color="CCEEFF"/>
              <w:bottom w:val="single" w:sz="8" w:color="CCEEFF"/>
            </w:tcBorders>
            <w:shd w:val="clear" w:color="auto" w:fill="CCEEFF"/>
          </w:tcPr>
          <w:p>
            <w:pPr>
              <w:spacing w:after="0"/>
              <w:rPr>
                <w:sz w:val="12"/>
                <w:szCs w:val="12"/>
                <w:color w:val="auto"/>
              </w:rPr>
            </w:pPr>
          </w:p>
        </w:tc>
        <w:tc>
          <w:tcPr>
            <w:tcW w:w="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68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104,087</w:t>
            </w:r>
          </w:p>
        </w:tc>
        <w:tc>
          <w:tcPr>
            <w:tcW w:w="140" w:type="dxa"/>
            <w:vAlign w:val="bottom"/>
            <w:tcBorders>
              <w:top w:val="single" w:sz="8" w:color="CCEEFF"/>
              <w:bottom w:val="single" w:sz="8" w:color="CCEEFF"/>
            </w:tcBorders>
            <w:shd w:val="clear" w:color="auto" w:fill="CCEEFF"/>
          </w:tcPr>
          <w:p>
            <w:pPr>
              <w:spacing w:after="0"/>
              <w:rPr>
                <w:sz w:val="12"/>
                <w:szCs w:val="12"/>
                <w:color w:val="auto"/>
              </w:rPr>
            </w:pPr>
          </w:p>
        </w:tc>
        <w:tc>
          <w:tcPr>
            <w:tcW w:w="8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w w:val="85"/>
              </w:rPr>
              <w:t>$</w:t>
            </w:r>
          </w:p>
        </w:tc>
        <w:tc>
          <w:tcPr>
            <w:tcW w:w="68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134,830</w:t>
            </w:r>
          </w:p>
        </w:tc>
        <w:tc>
          <w:tcPr>
            <w:tcW w:w="100" w:type="dxa"/>
            <w:vAlign w:val="bottom"/>
            <w:tcBorders>
              <w:top w:val="single" w:sz="8" w:color="CCEEFF"/>
              <w:bottom w:val="single" w:sz="8" w:color="CCEEFF"/>
            </w:tcBorders>
            <w:shd w:val="clear" w:color="auto" w:fill="CCEEFF"/>
          </w:tcPr>
          <w:p>
            <w:pPr>
              <w:spacing w:after="0"/>
              <w:rPr>
                <w:sz w:val="12"/>
                <w:szCs w:val="12"/>
                <w:color w:val="auto"/>
              </w:rPr>
            </w:pPr>
          </w:p>
        </w:tc>
        <w:tc>
          <w:tcPr>
            <w:tcW w:w="40" w:type="dxa"/>
            <w:vAlign w:val="bottom"/>
            <w:tcBorders>
              <w:top w:val="single" w:sz="8" w:color="CCEEFF"/>
              <w:bottom w:val="single" w:sz="8" w:color="CCEEFF"/>
            </w:tcBorders>
            <w:shd w:val="clear" w:color="auto" w:fill="CCEEFF"/>
          </w:tcPr>
          <w:p>
            <w:pPr>
              <w:spacing w:after="0"/>
              <w:rPr>
                <w:sz w:val="12"/>
                <w:szCs w:val="12"/>
                <w:color w:val="auto"/>
              </w:rPr>
            </w:pPr>
          </w:p>
        </w:tc>
        <w:tc>
          <w:tcPr>
            <w:tcW w:w="120" w:type="dxa"/>
            <w:vAlign w:val="bottom"/>
            <w:tcBorders>
              <w:top w:val="single" w:sz="8" w:color="auto"/>
              <w:bottom w:val="single" w:sz="8" w:color="auto"/>
            </w:tcBorders>
            <w:shd w:val="clear" w:color="auto" w:fill="CCEEFF"/>
          </w:tcPr>
          <w:p>
            <w:pPr>
              <w:jc w:val="right"/>
              <w:ind w:right="3"/>
              <w:spacing w:after="0"/>
              <w:rPr>
                <w:sz w:val="20"/>
                <w:szCs w:val="20"/>
                <w:color w:val="auto"/>
              </w:rPr>
            </w:pPr>
            <w:r>
              <w:rPr>
                <w:rFonts w:ascii="Times New Roman" w:cs="Times New Roman" w:eastAsia="Times New Roman" w:hAnsi="Times New Roman"/>
                <w:sz w:val="11"/>
                <w:szCs w:val="11"/>
                <w:color w:val="auto"/>
                <w:w w:val="71"/>
              </w:rPr>
              <w:t>$</w:t>
            </w:r>
          </w:p>
        </w:tc>
        <w:tc>
          <w:tcPr>
            <w:tcW w:w="64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127,890</w:t>
            </w:r>
          </w:p>
        </w:tc>
        <w:tc>
          <w:tcPr>
            <w:tcW w:w="120" w:type="dxa"/>
            <w:vAlign w:val="bottom"/>
            <w:tcBorders>
              <w:top w:val="single" w:sz="8" w:color="CCEEFF"/>
              <w:bottom w:val="single" w:sz="8" w:color="CCEEFF"/>
            </w:tcBorders>
            <w:shd w:val="clear" w:color="auto" w:fill="CCEEFF"/>
          </w:tcPr>
          <w:p>
            <w:pPr>
              <w:spacing w:after="0"/>
              <w:rPr>
                <w:sz w:val="12"/>
                <w:szCs w:val="12"/>
                <w:color w:val="auto"/>
              </w:rPr>
            </w:pPr>
          </w:p>
        </w:tc>
        <w:tc>
          <w:tcPr>
            <w:tcW w:w="14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w w:val="85"/>
              </w:rPr>
              <w:t>$</w:t>
            </w:r>
          </w:p>
        </w:tc>
        <w:tc>
          <w:tcPr>
            <w:tcW w:w="62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75,579</w:t>
            </w:r>
          </w:p>
        </w:tc>
        <w:tc>
          <w:tcPr>
            <w:tcW w:w="140" w:type="dxa"/>
            <w:vAlign w:val="bottom"/>
            <w:tcBorders>
              <w:top w:val="single" w:sz="8" w:color="CCEEFF"/>
              <w:bottom w:val="single" w:sz="8" w:color="CCEEFF"/>
            </w:tcBorders>
            <w:shd w:val="clear" w:color="auto" w:fill="CCEEFF"/>
          </w:tcPr>
          <w:p>
            <w:pPr>
              <w:spacing w:after="0"/>
              <w:rPr>
                <w:sz w:val="12"/>
                <w:szCs w:val="12"/>
                <w:color w:val="auto"/>
              </w:rPr>
            </w:pPr>
          </w:p>
        </w:tc>
        <w:tc>
          <w:tcPr>
            <w:tcW w:w="120" w:type="dxa"/>
            <w:vAlign w:val="bottom"/>
            <w:tcBorders>
              <w:top w:val="single" w:sz="8" w:color="auto"/>
              <w:bottom w:val="single" w:sz="8" w:color="auto"/>
            </w:tcBorders>
            <w:shd w:val="clear" w:color="auto" w:fill="CCEEFF"/>
          </w:tcPr>
          <w:p>
            <w:pPr>
              <w:jc w:val="right"/>
              <w:ind w:right="3"/>
              <w:spacing w:after="0"/>
              <w:rPr>
                <w:sz w:val="20"/>
                <w:szCs w:val="20"/>
                <w:color w:val="auto"/>
              </w:rPr>
            </w:pPr>
            <w:r>
              <w:rPr>
                <w:rFonts w:ascii="Times New Roman" w:cs="Times New Roman" w:eastAsia="Times New Roman" w:hAnsi="Times New Roman"/>
                <w:sz w:val="11"/>
                <w:szCs w:val="11"/>
                <w:color w:val="auto"/>
                <w:w w:val="71"/>
              </w:rPr>
              <w:t>$</w:t>
            </w:r>
          </w:p>
        </w:tc>
        <w:tc>
          <w:tcPr>
            <w:tcW w:w="64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20,668</w:t>
            </w:r>
          </w:p>
        </w:tc>
        <w:tc>
          <w:tcPr>
            <w:tcW w:w="100" w:type="dxa"/>
            <w:vAlign w:val="bottom"/>
            <w:tcBorders>
              <w:top w:val="single" w:sz="8" w:color="CCEEFF"/>
              <w:bottom w:val="single" w:sz="8" w:color="CCEEFF"/>
            </w:tcBorders>
            <w:shd w:val="clear" w:color="auto" w:fill="CCEEFF"/>
          </w:tcPr>
          <w:p>
            <w:pPr>
              <w:spacing w:after="0"/>
              <w:rPr>
                <w:sz w:val="12"/>
                <w:szCs w:val="12"/>
                <w:color w:val="auto"/>
              </w:rPr>
            </w:pPr>
          </w:p>
        </w:tc>
        <w:tc>
          <w:tcPr>
            <w:tcW w:w="40" w:type="dxa"/>
            <w:vAlign w:val="bottom"/>
            <w:tcBorders>
              <w:top w:val="single" w:sz="8" w:color="CCEEFF"/>
              <w:bottom w:val="single" w:sz="8" w:color="CCEEFF"/>
            </w:tcBorders>
            <w:shd w:val="clear" w:color="auto" w:fill="CCEEFF"/>
          </w:tcPr>
          <w:p>
            <w:pPr>
              <w:spacing w:after="0"/>
              <w:rPr>
                <w:sz w:val="12"/>
                <w:szCs w:val="12"/>
                <w:color w:val="auto"/>
              </w:rPr>
            </w:pPr>
          </w:p>
        </w:tc>
        <w:tc>
          <w:tcPr>
            <w:tcW w:w="14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w w:val="85"/>
              </w:rPr>
              <w:t>$</w:t>
            </w:r>
          </w:p>
        </w:tc>
        <w:tc>
          <w:tcPr>
            <w:tcW w:w="62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31,260</w:t>
            </w:r>
          </w:p>
        </w:tc>
        <w:tc>
          <w:tcPr>
            <w:tcW w:w="80" w:type="dxa"/>
            <w:vAlign w:val="bottom"/>
            <w:tcBorders>
              <w:top w:val="single" w:sz="8" w:color="CCEEFF"/>
              <w:bottom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10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29"/>
        </w:trPr>
        <w:tc>
          <w:tcPr>
            <w:tcW w:w="20" w:type="dxa"/>
            <w:vAlign w:val="bottom"/>
            <w:vMerge w:val="restart"/>
          </w:tcPr>
          <w:p>
            <w:pPr>
              <w:spacing w:after="0"/>
              <w:rPr>
                <w:sz w:val="11"/>
                <w:szCs w:val="11"/>
                <w:color w:val="auto"/>
              </w:rPr>
            </w:pPr>
          </w:p>
        </w:tc>
        <w:tc>
          <w:tcPr>
            <w:tcW w:w="21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3220" w:type="dxa"/>
            <w:vAlign w:val="bottom"/>
            <w:gridSpan w:val="2"/>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GAAP weighted average shares - diluted</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621,472</w:t>
            </w:r>
          </w:p>
        </w:tc>
        <w:tc>
          <w:tcPr>
            <w:tcW w:w="1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626,205</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632,424</w:t>
            </w:r>
          </w:p>
        </w:tc>
        <w:tc>
          <w:tcPr>
            <w:tcW w:w="1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645,137</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639,516</w:t>
            </w:r>
          </w:p>
        </w:tc>
        <w:tc>
          <w:tcPr>
            <w:tcW w:w="10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4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633,533</w:t>
            </w:r>
          </w:p>
        </w:tc>
        <w:tc>
          <w:tcPr>
            <w:tcW w:w="1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628,104</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4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630,934</w:t>
            </w:r>
          </w:p>
        </w:tc>
        <w:tc>
          <w:tcPr>
            <w:tcW w:w="10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2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631,356</w:t>
            </w:r>
          </w:p>
        </w:tc>
        <w:tc>
          <w:tcPr>
            <w:tcW w:w="8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220" w:type="dxa"/>
            <w:vAlign w:val="bottom"/>
            <w:gridSpan w:val="2"/>
          </w:tcPr>
          <w:p>
            <w:pPr>
              <w:ind w:left="140"/>
              <w:spacing w:after="0" w:line="149" w:lineRule="exact"/>
              <w:rPr>
                <w:sz w:val="20"/>
                <w:szCs w:val="20"/>
                <w:color w:val="auto"/>
              </w:rPr>
            </w:pPr>
            <w:r>
              <w:rPr>
                <w:rFonts w:ascii="Times New Roman" w:cs="Times New Roman" w:eastAsia="Times New Roman" w:hAnsi="Times New Roman"/>
                <w:sz w:val="14"/>
                <w:szCs w:val="14"/>
                <w:color w:val="auto"/>
              </w:rPr>
              <w:t>Non-GAAP adjustment (b)</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40" w:type="dxa"/>
            <w:vAlign w:val="bottom"/>
            <w:gridSpan w:val="2"/>
          </w:tcPr>
          <w:p>
            <w:pPr>
              <w:jc w:val="right"/>
              <w:ind w:right="16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2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w:t>
            </w:r>
          </w:p>
        </w:tc>
        <w:tc>
          <w:tcPr>
            <w:tcW w:w="8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7,556</w:t>
            </w:r>
          </w:p>
        </w:tc>
        <w:tc>
          <w:tcPr>
            <w:tcW w:w="1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4,606</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3,393</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2,996</w:t>
            </w:r>
          </w:p>
        </w:tc>
        <w:tc>
          <w:tcPr>
            <w:tcW w:w="1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color w:val="auto"/>
              </w:rPr>
              <w:t>2,405</w:t>
            </w: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220" w:type="dxa"/>
            <w:vAlign w:val="bottom"/>
            <w:tcBorders>
              <w:top w:val="single" w:sz="8" w:color="CCEEFF"/>
            </w:tcBorders>
            <w:gridSpan w:val="2"/>
            <w:shd w:val="clear" w:color="auto" w:fill="CCEEFF"/>
          </w:tcPr>
          <w:p>
            <w:pPr>
              <w:spacing w:after="0" w:line="142" w:lineRule="exact"/>
              <w:rPr>
                <w:sz w:val="20"/>
                <w:szCs w:val="20"/>
                <w:color w:val="auto"/>
              </w:rPr>
            </w:pPr>
            <w:r>
              <w:rPr>
                <w:rFonts w:ascii="Times New Roman" w:cs="Times New Roman" w:eastAsia="Times New Roman" w:hAnsi="Times New Roman"/>
                <w:sz w:val="14"/>
                <w:szCs w:val="14"/>
                <w:color w:val="auto"/>
              </w:rPr>
              <w:t>Non-GAAP weighted average shares - diluted</w:t>
            </w:r>
          </w:p>
        </w:tc>
        <w:tc>
          <w:tcPr>
            <w:tcW w:w="10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spacing w:after="0"/>
              <w:rPr>
                <w:sz w:val="12"/>
                <w:szCs w:val="12"/>
                <w:color w:val="auto"/>
              </w:rPr>
            </w:pPr>
          </w:p>
        </w:tc>
        <w:tc>
          <w:tcPr>
            <w:tcW w:w="700" w:type="dxa"/>
            <w:vAlign w:val="bottom"/>
            <w:tcBorders>
              <w:top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621,472</w:t>
            </w:r>
          </w:p>
        </w:tc>
        <w:tc>
          <w:tcPr>
            <w:tcW w:w="16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spacing w:after="0"/>
              <w:rPr>
                <w:sz w:val="12"/>
                <w:szCs w:val="12"/>
                <w:color w:val="auto"/>
              </w:rPr>
            </w:pPr>
          </w:p>
        </w:tc>
        <w:tc>
          <w:tcPr>
            <w:tcW w:w="700" w:type="dxa"/>
            <w:vAlign w:val="bottom"/>
            <w:tcBorders>
              <w:top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626,205</w:t>
            </w:r>
          </w:p>
        </w:tc>
        <w:tc>
          <w:tcPr>
            <w:tcW w:w="14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spacing w:after="0"/>
              <w:rPr>
                <w:sz w:val="12"/>
                <w:szCs w:val="12"/>
                <w:color w:val="auto"/>
              </w:rPr>
            </w:pPr>
          </w:p>
        </w:tc>
        <w:tc>
          <w:tcPr>
            <w:tcW w:w="700" w:type="dxa"/>
            <w:vAlign w:val="bottom"/>
            <w:tcBorders>
              <w:top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632,424</w:t>
            </w:r>
          </w:p>
        </w:tc>
        <w:tc>
          <w:tcPr>
            <w:tcW w:w="140" w:type="dxa"/>
            <w:vAlign w:val="bottom"/>
            <w:tcBorders>
              <w:top w:val="single" w:sz="8" w:color="CCEEFF"/>
            </w:tcBorders>
            <w:shd w:val="clear" w:color="auto" w:fill="CCEEFF"/>
          </w:tcPr>
          <w:p>
            <w:pPr>
              <w:spacing w:after="0"/>
              <w:rPr>
                <w:sz w:val="12"/>
                <w:szCs w:val="12"/>
                <w:color w:val="auto"/>
              </w:rPr>
            </w:pPr>
          </w:p>
        </w:tc>
        <w:tc>
          <w:tcPr>
            <w:tcW w:w="60" w:type="dxa"/>
            <w:vAlign w:val="bottom"/>
            <w:tcBorders>
              <w:top w:val="single" w:sz="8" w:color="auto"/>
            </w:tcBorders>
            <w:shd w:val="clear" w:color="auto" w:fill="CCEEFF"/>
          </w:tcPr>
          <w:p>
            <w:pPr>
              <w:spacing w:after="0"/>
              <w:rPr>
                <w:sz w:val="12"/>
                <w:szCs w:val="12"/>
                <w:color w:val="auto"/>
              </w:rPr>
            </w:pPr>
          </w:p>
        </w:tc>
        <w:tc>
          <w:tcPr>
            <w:tcW w:w="680" w:type="dxa"/>
            <w:vAlign w:val="bottom"/>
            <w:tcBorders>
              <w:top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645,137</w:t>
            </w:r>
          </w:p>
        </w:tc>
        <w:tc>
          <w:tcPr>
            <w:tcW w:w="14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spacing w:after="0"/>
              <w:rPr>
                <w:sz w:val="12"/>
                <w:szCs w:val="12"/>
                <w:color w:val="auto"/>
              </w:rPr>
            </w:pPr>
          </w:p>
        </w:tc>
        <w:tc>
          <w:tcPr>
            <w:tcW w:w="680" w:type="dxa"/>
            <w:vAlign w:val="bottom"/>
            <w:tcBorders>
              <w:top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647,072</w:t>
            </w:r>
          </w:p>
        </w:tc>
        <w:tc>
          <w:tcPr>
            <w:tcW w:w="100" w:type="dxa"/>
            <w:vAlign w:val="bottom"/>
            <w:tcBorders>
              <w:top w:val="single" w:sz="8" w:color="CCEEFF"/>
            </w:tcBorders>
            <w:shd w:val="clear" w:color="auto" w:fill="CCEEFF"/>
          </w:tcPr>
          <w:p>
            <w:pPr>
              <w:spacing w:after="0"/>
              <w:rPr>
                <w:sz w:val="12"/>
                <w:szCs w:val="12"/>
                <w:color w:val="auto"/>
              </w:rPr>
            </w:pPr>
          </w:p>
        </w:tc>
        <w:tc>
          <w:tcPr>
            <w:tcW w:w="40" w:type="dxa"/>
            <w:vAlign w:val="bottom"/>
            <w:tcBorders>
              <w:top w:val="single" w:sz="8" w:color="CCEEFF"/>
            </w:tcBorders>
            <w:shd w:val="clear" w:color="auto" w:fill="CCEEFF"/>
          </w:tcPr>
          <w:p>
            <w:pPr>
              <w:spacing w:after="0"/>
              <w:rPr>
                <w:sz w:val="12"/>
                <w:szCs w:val="12"/>
                <w:color w:val="auto"/>
              </w:rPr>
            </w:pPr>
          </w:p>
        </w:tc>
        <w:tc>
          <w:tcPr>
            <w:tcW w:w="120" w:type="dxa"/>
            <w:vAlign w:val="bottom"/>
            <w:tcBorders>
              <w:top w:val="single" w:sz="8" w:color="auto"/>
            </w:tcBorders>
            <w:shd w:val="clear" w:color="auto" w:fill="CCEEFF"/>
          </w:tcPr>
          <w:p>
            <w:pPr>
              <w:spacing w:after="0"/>
              <w:rPr>
                <w:sz w:val="12"/>
                <w:szCs w:val="12"/>
                <w:color w:val="auto"/>
              </w:rPr>
            </w:pPr>
          </w:p>
        </w:tc>
        <w:tc>
          <w:tcPr>
            <w:tcW w:w="640" w:type="dxa"/>
            <w:vAlign w:val="bottom"/>
            <w:tcBorders>
              <w:top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638,139</w:t>
            </w:r>
          </w:p>
        </w:tc>
        <w:tc>
          <w:tcPr>
            <w:tcW w:w="120" w:type="dxa"/>
            <w:vAlign w:val="bottom"/>
            <w:tcBorders>
              <w:top w:val="single" w:sz="8" w:color="CCEEFF"/>
            </w:tcBorders>
            <w:shd w:val="clear" w:color="auto" w:fill="CCEEFF"/>
          </w:tcPr>
          <w:p>
            <w:pPr>
              <w:spacing w:after="0"/>
              <w:rPr>
                <w:sz w:val="12"/>
                <w:szCs w:val="12"/>
                <w:color w:val="auto"/>
              </w:rPr>
            </w:pPr>
          </w:p>
        </w:tc>
        <w:tc>
          <w:tcPr>
            <w:tcW w:w="140" w:type="dxa"/>
            <w:vAlign w:val="bottom"/>
            <w:tcBorders>
              <w:top w:val="single" w:sz="8" w:color="auto"/>
            </w:tcBorders>
            <w:shd w:val="clear" w:color="auto" w:fill="CCEEFF"/>
          </w:tcPr>
          <w:p>
            <w:pPr>
              <w:spacing w:after="0"/>
              <w:rPr>
                <w:sz w:val="12"/>
                <w:szCs w:val="12"/>
                <w:color w:val="auto"/>
              </w:rPr>
            </w:pPr>
          </w:p>
        </w:tc>
        <w:tc>
          <w:tcPr>
            <w:tcW w:w="620" w:type="dxa"/>
            <w:vAlign w:val="bottom"/>
            <w:tcBorders>
              <w:top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631,497</w:t>
            </w:r>
          </w:p>
        </w:tc>
        <w:tc>
          <w:tcPr>
            <w:tcW w:w="140" w:type="dxa"/>
            <w:vAlign w:val="bottom"/>
            <w:tcBorders>
              <w:top w:val="single" w:sz="8" w:color="CCEEFF"/>
            </w:tcBorders>
            <w:shd w:val="clear" w:color="auto" w:fill="CCEEFF"/>
          </w:tcPr>
          <w:p>
            <w:pPr>
              <w:spacing w:after="0"/>
              <w:rPr>
                <w:sz w:val="12"/>
                <w:szCs w:val="12"/>
                <w:color w:val="auto"/>
              </w:rPr>
            </w:pPr>
          </w:p>
        </w:tc>
        <w:tc>
          <w:tcPr>
            <w:tcW w:w="120" w:type="dxa"/>
            <w:vAlign w:val="bottom"/>
            <w:tcBorders>
              <w:top w:val="single" w:sz="8" w:color="auto"/>
            </w:tcBorders>
            <w:shd w:val="clear" w:color="auto" w:fill="CCEEFF"/>
          </w:tcPr>
          <w:p>
            <w:pPr>
              <w:spacing w:after="0"/>
              <w:rPr>
                <w:sz w:val="12"/>
                <w:szCs w:val="12"/>
                <w:color w:val="auto"/>
              </w:rPr>
            </w:pPr>
          </w:p>
        </w:tc>
        <w:tc>
          <w:tcPr>
            <w:tcW w:w="640" w:type="dxa"/>
            <w:vAlign w:val="bottom"/>
            <w:tcBorders>
              <w:top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633,930</w:t>
            </w:r>
          </w:p>
        </w:tc>
        <w:tc>
          <w:tcPr>
            <w:tcW w:w="100" w:type="dxa"/>
            <w:vAlign w:val="bottom"/>
            <w:tcBorders>
              <w:top w:val="single" w:sz="8" w:color="CCEEFF"/>
            </w:tcBorders>
            <w:shd w:val="clear" w:color="auto" w:fill="CCEEFF"/>
          </w:tcPr>
          <w:p>
            <w:pPr>
              <w:spacing w:after="0"/>
              <w:rPr>
                <w:sz w:val="12"/>
                <w:szCs w:val="12"/>
                <w:color w:val="auto"/>
              </w:rPr>
            </w:pPr>
          </w:p>
        </w:tc>
        <w:tc>
          <w:tcPr>
            <w:tcW w:w="40" w:type="dxa"/>
            <w:vAlign w:val="bottom"/>
            <w:tcBorders>
              <w:top w:val="single" w:sz="8" w:color="CCEEFF"/>
            </w:tcBorders>
            <w:shd w:val="clear" w:color="auto" w:fill="CCEEFF"/>
          </w:tcPr>
          <w:p>
            <w:pPr>
              <w:spacing w:after="0"/>
              <w:rPr>
                <w:sz w:val="12"/>
                <w:szCs w:val="12"/>
                <w:color w:val="auto"/>
              </w:rPr>
            </w:pPr>
          </w:p>
        </w:tc>
        <w:tc>
          <w:tcPr>
            <w:tcW w:w="140" w:type="dxa"/>
            <w:vAlign w:val="bottom"/>
            <w:tcBorders>
              <w:top w:val="single" w:sz="8" w:color="auto"/>
            </w:tcBorders>
            <w:shd w:val="clear" w:color="auto" w:fill="CCEEFF"/>
          </w:tcPr>
          <w:p>
            <w:pPr>
              <w:spacing w:after="0"/>
              <w:rPr>
                <w:sz w:val="12"/>
                <w:szCs w:val="12"/>
                <w:color w:val="auto"/>
              </w:rPr>
            </w:pPr>
          </w:p>
        </w:tc>
        <w:tc>
          <w:tcPr>
            <w:tcW w:w="620" w:type="dxa"/>
            <w:vAlign w:val="bottom"/>
            <w:tcBorders>
              <w:top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633,761</w:t>
            </w:r>
          </w:p>
        </w:tc>
        <w:tc>
          <w:tcPr>
            <w:tcW w:w="80" w:type="dxa"/>
            <w:vAlign w:val="bottom"/>
            <w:tcBorders>
              <w:top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vMerge w:val="restart"/>
          </w:tcPr>
          <w:p>
            <w:pPr>
              <w:spacing w:after="0"/>
              <w:rPr>
                <w:sz w:val="12"/>
                <w:szCs w:val="12"/>
                <w:color w:val="auto"/>
              </w:rPr>
            </w:pPr>
          </w:p>
        </w:tc>
        <w:tc>
          <w:tcPr>
            <w:tcW w:w="21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3220" w:type="dxa"/>
            <w:vAlign w:val="bottom"/>
            <w:gridSpan w:val="2"/>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GAAP diluted net income (loss) per share</w:t>
            </w:r>
          </w:p>
        </w:tc>
        <w:tc>
          <w:tcPr>
            <w:tcW w:w="18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0.09</w:t>
            </w:r>
          </w:p>
        </w:tc>
        <w:tc>
          <w:tcPr>
            <w:tcW w:w="24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0.08</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70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0.13</w:t>
            </w:r>
          </w:p>
        </w:tc>
        <w:tc>
          <w:tcPr>
            <w:tcW w:w="20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0.02</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w w:val="85"/>
              </w:rPr>
              <w:t>$</w:t>
            </w:r>
          </w:p>
        </w:tc>
        <w:tc>
          <w:tcPr>
            <w:tcW w:w="68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0.12</w:t>
            </w:r>
          </w:p>
        </w:tc>
        <w:tc>
          <w:tcPr>
            <w:tcW w:w="100" w:type="dxa"/>
            <w:vAlign w:val="bottom"/>
            <w:shd w:val="clear" w:color="auto" w:fill="CCEEFF"/>
          </w:tcPr>
          <w:p>
            <w:pPr>
              <w:spacing w:after="0"/>
              <w:rPr>
                <w:sz w:val="12"/>
                <w:szCs w:val="12"/>
                <w:color w:val="auto"/>
              </w:rPr>
            </w:pPr>
          </w:p>
        </w:tc>
        <w:tc>
          <w:tcPr>
            <w:tcW w:w="160" w:type="dxa"/>
            <w:vAlign w:val="bottom"/>
            <w:gridSpan w:val="2"/>
            <w:shd w:val="clear" w:color="auto" w:fill="CCEEFF"/>
          </w:tcPr>
          <w:p>
            <w:pPr>
              <w:jc w:val="right"/>
              <w:ind w:right="3"/>
              <w:spacing w:after="0" w:line="149" w:lineRule="exact"/>
              <w:rPr>
                <w:sz w:val="20"/>
                <w:szCs w:val="20"/>
                <w:color w:val="auto"/>
              </w:rPr>
            </w:pPr>
            <w:r>
              <w:rPr>
                <w:rFonts w:ascii="Times New Roman" w:cs="Times New Roman" w:eastAsia="Times New Roman" w:hAnsi="Times New Roman"/>
                <w:sz w:val="14"/>
                <w:szCs w:val="14"/>
                <w:color w:val="auto"/>
              </w:rPr>
              <w:t>$</w:t>
            </w:r>
          </w:p>
        </w:tc>
        <w:tc>
          <w:tcPr>
            <w:tcW w:w="64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0.07</w:t>
            </w:r>
          </w:p>
        </w:tc>
        <w:tc>
          <w:tcPr>
            <w:tcW w:w="26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620" w:type="dxa"/>
            <w:vAlign w:val="bottom"/>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0.01</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jc w:val="right"/>
              <w:ind w:right="3"/>
              <w:spacing w:after="0"/>
              <w:rPr>
                <w:sz w:val="20"/>
                <w:szCs w:val="20"/>
                <w:color w:val="auto"/>
              </w:rPr>
            </w:pPr>
            <w:r>
              <w:rPr>
                <w:rFonts w:ascii="Times New Roman" w:cs="Times New Roman" w:eastAsia="Times New Roman" w:hAnsi="Times New Roman"/>
                <w:sz w:val="11"/>
                <w:szCs w:val="11"/>
                <w:color w:val="auto"/>
                <w:w w:val="71"/>
              </w:rPr>
              <w:t>$</w:t>
            </w:r>
          </w:p>
        </w:tc>
        <w:tc>
          <w:tcPr>
            <w:tcW w:w="74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(0.24)</w:t>
            </w:r>
          </w:p>
        </w:tc>
        <w:tc>
          <w:tcPr>
            <w:tcW w:w="180" w:type="dxa"/>
            <w:vAlign w:val="bottom"/>
            <w:gridSpan w:val="2"/>
            <w:shd w:val="clear" w:color="auto" w:fill="CCEEFF"/>
          </w:tcPr>
          <w:p>
            <w:pPr>
              <w:jc w:val="right"/>
              <w:spacing w:after="0" w:line="149" w:lineRule="exact"/>
              <w:rPr>
                <w:sz w:val="20"/>
                <w:szCs w:val="20"/>
                <w:color w:val="auto"/>
              </w:rPr>
            </w:pPr>
            <w:r>
              <w:rPr>
                <w:rFonts w:ascii="Times New Roman" w:cs="Times New Roman" w:eastAsia="Times New Roman" w:hAnsi="Times New Roman"/>
                <w:sz w:val="14"/>
                <w:szCs w:val="14"/>
                <w:color w:val="auto"/>
              </w:rPr>
              <w:t>$</w:t>
            </w:r>
          </w:p>
        </w:tc>
        <w:tc>
          <w:tcPr>
            <w:tcW w:w="70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(0.09)</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220" w:type="dxa"/>
            <w:vAlign w:val="bottom"/>
            <w:tcBorders>
              <w:bottom w:val="single" w:sz="8" w:color="CCEEFF"/>
            </w:tcBorders>
            <w:gridSpan w:val="2"/>
          </w:tcPr>
          <w:p>
            <w:pPr>
              <w:ind w:left="140"/>
              <w:spacing w:after="0" w:line="149" w:lineRule="exact"/>
              <w:rPr>
                <w:sz w:val="20"/>
                <w:szCs w:val="20"/>
                <w:color w:val="auto"/>
              </w:rPr>
            </w:pPr>
            <w:r>
              <w:rPr>
                <w:rFonts w:ascii="Times New Roman" w:cs="Times New Roman" w:eastAsia="Times New Roman" w:hAnsi="Times New Roman"/>
                <w:sz w:val="14"/>
                <w:szCs w:val="14"/>
                <w:color w:val="auto"/>
              </w:rPr>
              <w:t>Effect of non-GAAP adjustments</w:t>
            </w:r>
          </w:p>
        </w:tc>
        <w:tc>
          <w:tcPr>
            <w:tcW w:w="100" w:type="dxa"/>
            <w:vAlign w:val="bottom"/>
            <w:tcBorders>
              <w:bottom w:val="single" w:sz="8" w:color="CCEEFF"/>
            </w:tcBorders>
          </w:tcPr>
          <w:p>
            <w:pPr>
              <w:spacing w:after="0"/>
              <w:rPr>
                <w:sz w:val="12"/>
                <w:szCs w:val="12"/>
                <w:color w:val="auto"/>
              </w:rPr>
            </w:pPr>
          </w:p>
        </w:tc>
        <w:tc>
          <w:tcPr>
            <w:tcW w:w="80" w:type="dxa"/>
            <w:vAlign w:val="bottom"/>
            <w:tcBorders>
              <w:bottom w:val="single" w:sz="8" w:color="auto"/>
            </w:tcBorders>
          </w:tcPr>
          <w:p>
            <w:pPr>
              <w:spacing w:after="0"/>
              <w:rPr>
                <w:sz w:val="12"/>
                <w:szCs w:val="12"/>
                <w:color w:val="auto"/>
              </w:rPr>
            </w:pPr>
          </w:p>
        </w:tc>
        <w:tc>
          <w:tcPr>
            <w:tcW w:w="700" w:type="dxa"/>
            <w:vAlign w:val="bottom"/>
            <w:tcBorders>
              <w:bottom w:val="single" w:sz="8" w:color="auto"/>
            </w:tcBorders>
          </w:tcPr>
          <w:p>
            <w:pPr>
              <w:jc w:val="right"/>
              <w:spacing w:after="0" w:line="149" w:lineRule="exact"/>
              <w:rPr>
                <w:sz w:val="20"/>
                <w:szCs w:val="20"/>
                <w:color w:val="auto"/>
              </w:rPr>
            </w:pPr>
            <w:r>
              <w:rPr>
                <w:rFonts w:ascii="Times New Roman" w:cs="Times New Roman" w:eastAsia="Times New Roman" w:hAnsi="Times New Roman"/>
                <w:sz w:val="14"/>
                <w:szCs w:val="14"/>
                <w:color w:val="auto"/>
              </w:rPr>
              <w:t>0.04</w:t>
            </w:r>
          </w:p>
        </w:tc>
        <w:tc>
          <w:tcPr>
            <w:tcW w:w="160" w:type="dxa"/>
            <w:vAlign w:val="bottom"/>
            <w:tcBorders>
              <w:bottom w:val="single" w:sz="8" w:color="CCEEFF"/>
            </w:tcBorders>
          </w:tcPr>
          <w:p>
            <w:pPr>
              <w:spacing w:after="0"/>
              <w:rPr>
                <w:sz w:val="12"/>
                <w:szCs w:val="12"/>
                <w:color w:val="auto"/>
              </w:rPr>
            </w:pPr>
          </w:p>
        </w:tc>
        <w:tc>
          <w:tcPr>
            <w:tcW w:w="80" w:type="dxa"/>
            <w:vAlign w:val="bottom"/>
            <w:tcBorders>
              <w:bottom w:val="single" w:sz="8" w:color="auto"/>
            </w:tcBorders>
          </w:tcPr>
          <w:p>
            <w:pPr>
              <w:spacing w:after="0"/>
              <w:rPr>
                <w:sz w:val="12"/>
                <w:szCs w:val="12"/>
                <w:color w:val="auto"/>
              </w:rPr>
            </w:pPr>
          </w:p>
        </w:tc>
        <w:tc>
          <w:tcPr>
            <w:tcW w:w="700" w:type="dxa"/>
            <w:vAlign w:val="bottom"/>
            <w:tcBorders>
              <w:bottom w:val="single" w:sz="8" w:color="auto"/>
            </w:tcBorders>
          </w:tcPr>
          <w:p>
            <w:pPr>
              <w:jc w:val="right"/>
              <w:spacing w:after="0" w:line="149" w:lineRule="exact"/>
              <w:rPr>
                <w:sz w:val="20"/>
                <w:szCs w:val="20"/>
                <w:color w:val="auto"/>
              </w:rPr>
            </w:pPr>
            <w:r>
              <w:rPr>
                <w:rFonts w:ascii="Times New Roman" w:cs="Times New Roman" w:eastAsia="Times New Roman" w:hAnsi="Times New Roman"/>
                <w:sz w:val="14"/>
                <w:szCs w:val="14"/>
                <w:color w:val="auto"/>
              </w:rPr>
              <w:t>0.07</w:t>
            </w:r>
          </w:p>
        </w:tc>
        <w:tc>
          <w:tcPr>
            <w:tcW w:w="140" w:type="dxa"/>
            <w:vAlign w:val="bottom"/>
            <w:tcBorders>
              <w:bottom w:val="single" w:sz="8" w:color="CCEEFF"/>
            </w:tcBorders>
          </w:tcPr>
          <w:p>
            <w:pPr>
              <w:spacing w:after="0"/>
              <w:rPr>
                <w:sz w:val="12"/>
                <w:szCs w:val="12"/>
                <w:color w:val="auto"/>
              </w:rPr>
            </w:pPr>
          </w:p>
        </w:tc>
        <w:tc>
          <w:tcPr>
            <w:tcW w:w="80" w:type="dxa"/>
            <w:vAlign w:val="bottom"/>
            <w:tcBorders>
              <w:bottom w:val="single" w:sz="8" w:color="auto"/>
            </w:tcBorders>
          </w:tcPr>
          <w:p>
            <w:pPr>
              <w:spacing w:after="0"/>
              <w:rPr>
                <w:sz w:val="12"/>
                <w:szCs w:val="12"/>
                <w:color w:val="auto"/>
              </w:rPr>
            </w:pPr>
          </w:p>
        </w:tc>
        <w:tc>
          <w:tcPr>
            <w:tcW w:w="700" w:type="dxa"/>
            <w:vAlign w:val="bottom"/>
            <w:tcBorders>
              <w:bottom w:val="single" w:sz="8" w:color="auto"/>
            </w:tcBorders>
          </w:tcPr>
          <w:p>
            <w:pPr>
              <w:jc w:val="right"/>
              <w:spacing w:after="0" w:line="149" w:lineRule="exact"/>
              <w:rPr>
                <w:sz w:val="20"/>
                <w:szCs w:val="20"/>
                <w:color w:val="auto"/>
              </w:rPr>
            </w:pPr>
            <w:r>
              <w:rPr>
                <w:rFonts w:ascii="Times New Roman" w:cs="Times New Roman" w:eastAsia="Times New Roman" w:hAnsi="Times New Roman"/>
                <w:sz w:val="14"/>
                <w:szCs w:val="14"/>
                <w:color w:val="auto"/>
              </w:rPr>
              <w:t>0.05</w:t>
            </w:r>
          </w:p>
        </w:tc>
        <w:tc>
          <w:tcPr>
            <w:tcW w:w="140" w:type="dxa"/>
            <w:vAlign w:val="bottom"/>
            <w:tcBorders>
              <w:bottom w:val="single" w:sz="8" w:color="CCEEFF"/>
            </w:tcBorders>
          </w:tcPr>
          <w:p>
            <w:pPr>
              <w:spacing w:after="0"/>
              <w:rPr>
                <w:sz w:val="12"/>
                <w:szCs w:val="12"/>
                <w:color w:val="auto"/>
              </w:rPr>
            </w:pPr>
          </w:p>
        </w:tc>
        <w:tc>
          <w:tcPr>
            <w:tcW w:w="60" w:type="dxa"/>
            <w:vAlign w:val="bottom"/>
            <w:tcBorders>
              <w:bottom w:val="single" w:sz="8" w:color="auto"/>
            </w:tcBorders>
          </w:tcPr>
          <w:p>
            <w:pPr>
              <w:spacing w:after="0"/>
              <w:rPr>
                <w:sz w:val="12"/>
                <w:szCs w:val="12"/>
                <w:color w:val="auto"/>
              </w:rPr>
            </w:pPr>
          </w:p>
        </w:tc>
        <w:tc>
          <w:tcPr>
            <w:tcW w:w="680" w:type="dxa"/>
            <w:vAlign w:val="bottom"/>
            <w:tcBorders>
              <w:bottom w:val="single" w:sz="8" w:color="auto"/>
            </w:tcBorders>
          </w:tcPr>
          <w:p>
            <w:pPr>
              <w:jc w:val="right"/>
              <w:spacing w:after="0" w:line="149" w:lineRule="exact"/>
              <w:rPr>
                <w:sz w:val="20"/>
                <w:szCs w:val="20"/>
                <w:color w:val="auto"/>
              </w:rPr>
            </w:pPr>
            <w:r>
              <w:rPr>
                <w:rFonts w:ascii="Times New Roman" w:cs="Times New Roman" w:eastAsia="Times New Roman" w:hAnsi="Times New Roman"/>
                <w:sz w:val="14"/>
                <w:szCs w:val="14"/>
                <w:color w:val="auto"/>
              </w:rPr>
              <w:t>0.14</w:t>
            </w:r>
          </w:p>
        </w:tc>
        <w:tc>
          <w:tcPr>
            <w:tcW w:w="140" w:type="dxa"/>
            <w:vAlign w:val="bottom"/>
            <w:tcBorders>
              <w:bottom w:val="single" w:sz="8" w:color="CCEEFF"/>
            </w:tcBorders>
          </w:tcPr>
          <w:p>
            <w:pPr>
              <w:spacing w:after="0"/>
              <w:rPr>
                <w:sz w:val="12"/>
                <w:szCs w:val="12"/>
                <w:color w:val="auto"/>
              </w:rPr>
            </w:pPr>
          </w:p>
        </w:tc>
        <w:tc>
          <w:tcPr>
            <w:tcW w:w="80" w:type="dxa"/>
            <w:vAlign w:val="bottom"/>
            <w:tcBorders>
              <w:bottom w:val="single" w:sz="8" w:color="auto"/>
            </w:tcBorders>
          </w:tcPr>
          <w:p>
            <w:pPr>
              <w:spacing w:after="0"/>
              <w:rPr>
                <w:sz w:val="12"/>
                <w:szCs w:val="12"/>
                <w:color w:val="auto"/>
              </w:rPr>
            </w:pPr>
          </w:p>
        </w:tc>
        <w:tc>
          <w:tcPr>
            <w:tcW w:w="680" w:type="dxa"/>
            <w:vAlign w:val="bottom"/>
            <w:tcBorders>
              <w:bottom w:val="single" w:sz="8" w:color="auto"/>
            </w:tcBorders>
          </w:tcPr>
          <w:p>
            <w:pPr>
              <w:jc w:val="right"/>
              <w:spacing w:after="0" w:line="149" w:lineRule="exact"/>
              <w:rPr>
                <w:sz w:val="20"/>
                <w:szCs w:val="20"/>
                <w:color w:val="auto"/>
              </w:rPr>
            </w:pPr>
            <w:r>
              <w:rPr>
                <w:rFonts w:ascii="Times New Roman" w:cs="Times New Roman" w:eastAsia="Times New Roman" w:hAnsi="Times New Roman"/>
                <w:sz w:val="14"/>
                <w:szCs w:val="14"/>
                <w:color w:val="auto"/>
              </w:rPr>
              <w:t>0.09</w:t>
            </w:r>
          </w:p>
        </w:tc>
        <w:tc>
          <w:tcPr>
            <w:tcW w:w="100" w:type="dxa"/>
            <w:vAlign w:val="bottom"/>
            <w:tcBorders>
              <w:bottom w:val="single" w:sz="8" w:color="CCEEFF"/>
            </w:tcBorders>
          </w:tcPr>
          <w:p>
            <w:pPr>
              <w:spacing w:after="0"/>
              <w:rPr>
                <w:sz w:val="12"/>
                <w:szCs w:val="12"/>
                <w:color w:val="auto"/>
              </w:rPr>
            </w:pPr>
          </w:p>
        </w:tc>
        <w:tc>
          <w:tcPr>
            <w:tcW w:w="40" w:type="dxa"/>
            <w:vAlign w:val="bottom"/>
            <w:tcBorders>
              <w:bottom w:val="single" w:sz="8" w:color="CCEEFF"/>
            </w:tcBorders>
          </w:tcPr>
          <w:p>
            <w:pPr>
              <w:spacing w:after="0"/>
              <w:rPr>
                <w:sz w:val="12"/>
                <w:szCs w:val="12"/>
                <w:color w:val="auto"/>
              </w:rPr>
            </w:pPr>
          </w:p>
        </w:tc>
        <w:tc>
          <w:tcPr>
            <w:tcW w:w="120" w:type="dxa"/>
            <w:vAlign w:val="bottom"/>
            <w:tcBorders>
              <w:bottom w:val="single" w:sz="8" w:color="auto"/>
            </w:tcBorders>
          </w:tcPr>
          <w:p>
            <w:pPr>
              <w:spacing w:after="0"/>
              <w:rPr>
                <w:sz w:val="12"/>
                <w:szCs w:val="12"/>
                <w:color w:val="auto"/>
              </w:rPr>
            </w:pPr>
          </w:p>
        </w:tc>
        <w:tc>
          <w:tcPr>
            <w:tcW w:w="640" w:type="dxa"/>
            <w:vAlign w:val="bottom"/>
            <w:tcBorders>
              <w:bottom w:val="single" w:sz="8" w:color="auto"/>
            </w:tcBorders>
          </w:tcPr>
          <w:p>
            <w:pPr>
              <w:jc w:val="right"/>
              <w:spacing w:after="0" w:line="149" w:lineRule="exact"/>
              <w:rPr>
                <w:sz w:val="20"/>
                <w:szCs w:val="20"/>
                <w:color w:val="auto"/>
              </w:rPr>
            </w:pPr>
            <w:r>
              <w:rPr>
                <w:rFonts w:ascii="Times New Roman" w:cs="Times New Roman" w:eastAsia="Times New Roman" w:hAnsi="Times New Roman"/>
                <w:sz w:val="14"/>
                <w:szCs w:val="14"/>
                <w:color w:val="auto"/>
              </w:rPr>
              <w:t>0.13</w:t>
            </w:r>
          </w:p>
        </w:tc>
        <w:tc>
          <w:tcPr>
            <w:tcW w:w="120" w:type="dxa"/>
            <w:vAlign w:val="bottom"/>
            <w:tcBorders>
              <w:bottom w:val="single" w:sz="8" w:color="CCEEFF"/>
            </w:tcBorders>
          </w:tcPr>
          <w:p>
            <w:pPr>
              <w:spacing w:after="0"/>
              <w:rPr>
                <w:sz w:val="12"/>
                <w:szCs w:val="12"/>
                <w:color w:val="auto"/>
              </w:rPr>
            </w:pPr>
          </w:p>
        </w:tc>
        <w:tc>
          <w:tcPr>
            <w:tcW w:w="140" w:type="dxa"/>
            <w:vAlign w:val="bottom"/>
            <w:tcBorders>
              <w:bottom w:val="single" w:sz="8" w:color="auto"/>
            </w:tcBorders>
          </w:tcPr>
          <w:p>
            <w:pPr>
              <w:spacing w:after="0"/>
              <w:rPr>
                <w:sz w:val="12"/>
                <w:szCs w:val="12"/>
                <w:color w:val="auto"/>
              </w:rPr>
            </w:pPr>
          </w:p>
        </w:tc>
        <w:tc>
          <w:tcPr>
            <w:tcW w:w="620" w:type="dxa"/>
            <w:vAlign w:val="bottom"/>
            <w:tcBorders>
              <w:bottom w:val="single" w:sz="8" w:color="auto"/>
            </w:tcBorders>
          </w:tcPr>
          <w:p>
            <w:pPr>
              <w:jc w:val="right"/>
              <w:spacing w:after="0" w:line="149" w:lineRule="exact"/>
              <w:rPr>
                <w:sz w:val="20"/>
                <w:szCs w:val="20"/>
                <w:color w:val="auto"/>
              </w:rPr>
            </w:pPr>
            <w:r>
              <w:rPr>
                <w:rFonts w:ascii="Times New Roman" w:cs="Times New Roman" w:eastAsia="Times New Roman" w:hAnsi="Times New Roman"/>
                <w:sz w:val="14"/>
                <w:szCs w:val="14"/>
                <w:color w:val="auto"/>
              </w:rPr>
              <w:t>0.11</w:t>
            </w:r>
          </w:p>
        </w:tc>
        <w:tc>
          <w:tcPr>
            <w:tcW w:w="140" w:type="dxa"/>
            <w:vAlign w:val="bottom"/>
            <w:tcBorders>
              <w:bottom w:val="single" w:sz="8" w:color="CCEEFF"/>
            </w:tcBorders>
          </w:tcPr>
          <w:p>
            <w:pPr>
              <w:spacing w:after="0"/>
              <w:rPr>
                <w:sz w:val="12"/>
                <w:szCs w:val="12"/>
                <w:color w:val="auto"/>
              </w:rPr>
            </w:pPr>
          </w:p>
        </w:tc>
        <w:tc>
          <w:tcPr>
            <w:tcW w:w="120" w:type="dxa"/>
            <w:vAlign w:val="bottom"/>
            <w:tcBorders>
              <w:bottom w:val="single" w:sz="8" w:color="auto"/>
            </w:tcBorders>
          </w:tcPr>
          <w:p>
            <w:pPr>
              <w:spacing w:after="0"/>
              <w:rPr>
                <w:sz w:val="12"/>
                <w:szCs w:val="12"/>
                <w:color w:val="auto"/>
              </w:rPr>
            </w:pPr>
          </w:p>
        </w:tc>
        <w:tc>
          <w:tcPr>
            <w:tcW w:w="640" w:type="dxa"/>
            <w:vAlign w:val="bottom"/>
            <w:tcBorders>
              <w:bottom w:val="single" w:sz="8" w:color="auto"/>
            </w:tcBorders>
          </w:tcPr>
          <w:p>
            <w:pPr>
              <w:jc w:val="right"/>
              <w:spacing w:after="0" w:line="149" w:lineRule="exact"/>
              <w:rPr>
                <w:sz w:val="20"/>
                <w:szCs w:val="20"/>
                <w:color w:val="auto"/>
              </w:rPr>
            </w:pPr>
            <w:r>
              <w:rPr>
                <w:rFonts w:ascii="Times New Roman" w:cs="Times New Roman" w:eastAsia="Times New Roman" w:hAnsi="Times New Roman"/>
                <w:sz w:val="14"/>
                <w:szCs w:val="14"/>
                <w:color w:val="auto"/>
              </w:rPr>
              <w:t>0.27</w:t>
            </w:r>
          </w:p>
        </w:tc>
        <w:tc>
          <w:tcPr>
            <w:tcW w:w="100" w:type="dxa"/>
            <w:vAlign w:val="bottom"/>
            <w:tcBorders>
              <w:bottom w:val="single" w:sz="8" w:color="CCEEFF"/>
            </w:tcBorders>
          </w:tcPr>
          <w:p>
            <w:pPr>
              <w:spacing w:after="0"/>
              <w:rPr>
                <w:sz w:val="12"/>
                <w:szCs w:val="12"/>
                <w:color w:val="auto"/>
              </w:rPr>
            </w:pPr>
          </w:p>
        </w:tc>
        <w:tc>
          <w:tcPr>
            <w:tcW w:w="40" w:type="dxa"/>
            <w:vAlign w:val="bottom"/>
            <w:tcBorders>
              <w:bottom w:val="single" w:sz="8" w:color="CCEEFF"/>
            </w:tcBorders>
          </w:tcPr>
          <w:p>
            <w:pPr>
              <w:spacing w:after="0"/>
              <w:rPr>
                <w:sz w:val="12"/>
                <w:szCs w:val="12"/>
                <w:color w:val="auto"/>
              </w:rPr>
            </w:pPr>
          </w:p>
        </w:tc>
        <w:tc>
          <w:tcPr>
            <w:tcW w:w="140" w:type="dxa"/>
            <w:vAlign w:val="bottom"/>
            <w:tcBorders>
              <w:bottom w:val="single" w:sz="8" w:color="auto"/>
            </w:tcBorders>
          </w:tcPr>
          <w:p>
            <w:pPr>
              <w:spacing w:after="0"/>
              <w:rPr>
                <w:sz w:val="12"/>
                <w:szCs w:val="12"/>
                <w:color w:val="auto"/>
              </w:rPr>
            </w:pPr>
          </w:p>
        </w:tc>
        <w:tc>
          <w:tcPr>
            <w:tcW w:w="620" w:type="dxa"/>
            <w:vAlign w:val="bottom"/>
            <w:tcBorders>
              <w:bottom w:val="single" w:sz="8" w:color="auto"/>
            </w:tcBorders>
          </w:tcPr>
          <w:p>
            <w:pPr>
              <w:jc w:val="right"/>
              <w:spacing w:after="0" w:line="149" w:lineRule="exact"/>
              <w:rPr>
                <w:sz w:val="20"/>
                <w:szCs w:val="20"/>
                <w:color w:val="auto"/>
              </w:rPr>
            </w:pPr>
            <w:r>
              <w:rPr>
                <w:rFonts w:ascii="Times New Roman" w:cs="Times New Roman" w:eastAsia="Times New Roman" w:hAnsi="Times New Roman"/>
                <w:sz w:val="14"/>
                <w:szCs w:val="14"/>
                <w:color w:val="auto"/>
              </w:rPr>
              <w:t>0.14</w:t>
            </w:r>
          </w:p>
        </w:tc>
        <w:tc>
          <w:tcPr>
            <w:tcW w:w="80" w:type="dxa"/>
            <w:vAlign w:val="bottom"/>
            <w:tcBorders>
              <w:bottom w:val="single" w:sz="8" w:color="CCEEFF"/>
            </w:tcBorders>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220" w:type="dxa"/>
            <w:vAlign w:val="bottom"/>
            <w:tcBorders>
              <w:bottom w:val="single" w:sz="8" w:color="CCEEFF"/>
            </w:tcBorders>
            <w:gridSpan w:val="2"/>
            <w:shd w:val="clear" w:color="auto" w:fill="CCEEFF"/>
          </w:tcPr>
          <w:p>
            <w:pPr>
              <w:spacing w:after="0" w:line="142" w:lineRule="exact"/>
              <w:rPr>
                <w:sz w:val="20"/>
                <w:szCs w:val="20"/>
                <w:color w:val="auto"/>
              </w:rPr>
            </w:pPr>
            <w:r>
              <w:rPr>
                <w:rFonts w:ascii="Times New Roman" w:cs="Times New Roman" w:eastAsia="Times New Roman" w:hAnsi="Times New Roman"/>
                <w:sz w:val="14"/>
                <w:szCs w:val="14"/>
                <w:color w:val="auto"/>
              </w:rPr>
              <w:t>Non-GAAP diluted earnings per share (a)</w:t>
            </w:r>
          </w:p>
        </w:tc>
        <w:tc>
          <w:tcPr>
            <w:tcW w:w="100" w:type="dxa"/>
            <w:vAlign w:val="bottom"/>
            <w:tcBorders>
              <w:bottom w:val="single" w:sz="8" w:color="CCEEFF"/>
            </w:tcBorders>
            <w:shd w:val="clear" w:color="auto" w:fill="CCEEFF"/>
          </w:tcPr>
          <w:p>
            <w:pPr>
              <w:spacing w:after="0"/>
              <w:rPr>
                <w:sz w:val="12"/>
                <w:szCs w:val="12"/>
                <w:color w:val="auto"/>
              </w:rPr>
            </w:pPr>
          </w:p>
        </w:tc>
        <w:tc>
          <w:tcPr>
            <w:tcW w:w="80" w:type="dxa"/>
            <w:vAlign w:val="bottom"/>
            <w:tcBorders>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w w:val="85"/>
              </w:rPr>
              <w:t>$</w:t>
            </w:r>
          </w:p>
        </w:tc>
        <w:tc>
          <w:tcPr>
            <w:tcW w:w="700" w:type="dxa"/>
            <w:vAlign w:val="bottom"/>
            <w:tcBorders>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0.13</w:t>
            </w:r>
          </w:p>
        </w:tc>
        <w:tc>
          <w:tcPr>
            <w:tcW w:w="160" w:type="dxa"/>
            <w:vAlign w:val="bottom"/>
            <w:tcBorders>
              <w:bottom w:val="single" w:sz="8" w:color="CCEEFF"/>
            </w:tcBorders>
            <w:shd w:val="clear" w:color="auto" w:fill="CCEEFF"/>
          </w:tcPr>
          <w:p>
            <w:pPr>
              <w:spacing w:after="0"/>
              <w:rPr>
                <w:sz w:val="12"/>
                <w:szCs w:val="12"/>
                <w:color w:val="auto"/>
              </w:rPr>
            </w:pPr>
          </w:p>
        </w:tc>
        <w:tc>
          <w:tcPr>
            <w:tcW w:w="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700" w:type="dxa"/>
            <w:vAlign w:val="bottom"/>
            <w:tcBorders>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0.15</w:t>
            </w:r>
          </w:p>
        </w:tc>
        <w:tc>
          <w:tcPr>
            <w:tcW w:w="140" w:type="dxa"/>
            <w:vAlign w:val="bottom"/>
            <w:tcBorders>
              <w:bottom w:val="single" w:sz="8" w:color="CCEEFF"/>
            </w:tcBorders>
            <w:shd w:val="clear" w:color="auto" w:fill="CCEEFF"/>
          </w:tcPr>
          <w:p>
            <w:pPr>
              <w:spacing w:after="0"/>
              <w:rPr>
                <w:sz w:val="12"/>
                <w:szCs w:val="12"/>
                <w:color w:val="auto"/>
              </w:rPr>
            </w:pPr>
          </w:p>
        </w:tc>
        <w:tc>
          <w:tcPr>
            <w:tcW w:w="80" w:type="dxa"/>
            <w:vAlign w:val="bottom"/>
            <w:tcBorders>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w w:val="85"/>
              </w:rPr>
              <w:t>$</w:t>
            </w:r>
          </w:p>
        </w:tc>
        <w:tc>
          <w:tcPr>
            <w:tcW w:w="700" w:type="dxa"/>
            <w:vAlign w:val="bottom"/>
            <w:tcBorders>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0.18</w:t>
            </w:r>
          </w:p>
        </w:tc>
        <w:tc>
          <w:tcPr>
            <w:tcW w:w="140" w:type="dxa"/>
            <w:vAlign w:val="bottom"/>
            <w:tcBorders>
              <w:bottom w:val="single" w:sz="8" w:color="CCEEFF"/>
            </w:tcBorders>
            <w:shd w:val="clear" w:color="auto" w:fill="CCEEFF"/>
          </w:tcPr>
          <w:p>
            <w:pPr>
              <w:spacing w:after="0"/>
              <w:rPr>
                <w:sz w:val="12"/>
                <w:szCs w:val="12"/>
                <w:color w:val="auto"/>
              </w:rPr>
            </w:pPr>
          </w:p>
        </w:tc>
        <w:tc>
          <w:tcPr>
            <w:tcW w:w="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680" w:type="dxa"/>
            <w:vAlign w:val="bottom"/>
            <w:tcBorders>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0.16</w:t>
            </w:r>
          </w:p>
        </w:tc>
        <w:tc>
          <w:tcPr>
            <w:tcW w:w="140" w:type="dxa"/>
            <w:vAlign w:val="bottom"/>
            <w:tcBorders>
              <w:bottom w:val="single" w:sz="8" w:color="CCEEFF"/>
            </w:tcBorders>
            <w:shd w:val="clear" w:color="auto" w:fill="CCEEFF"/>
          </w:tcPr>
          <w:p>
            <w:pPr>
              <w:spacing w:after="0"/>
              <w:rPr>
                <w:sz w:val="12"/>
                <w:szCs w:val="12"/>
                <w:color w:val="auto"/>
              </w:rPr>
            </w:pPr>
          </w:p>
        </w:tc>
        <w:tc>
          <w:tcPr>
            <w:tcW w:w="80" w:type="dxa"/>
            <w:vAlign w:val="bottom"/>
            <w:tcBorders>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w w:val="85"/>
              </w:rPr>
              <w:t>$</w:t>
            </w:r>
          </w:p>
        </w:tc>
        <w:tc>
          <w:tcPr>
            <w:tcW w:w="680" w:type="dxa"/>
            <w:vAlign w:val="bottom"/>
            <w:tcBorders>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0.21</w:t>
            </w:r>
          </w:p>
        </w:tc>
        <w:tc>
          <w:tcPr>
            <w:tcW w:w="100" w:type="dxa"/>
            <w:vAlign w:val="bottom"/>
            <w:tcBorders>
              <w:bottom w:val="single" w:sz="8" w:color="CCEEFF"/>
            </w:tcBorders>
            <w:shd w:val="clear" w:color="auto" w:fill="CCEEFF"/>
          </w:tcPr>
          <w:p>
            <w:pPr>
              <w:spacing w:after="0"/>
              <w:rPr>
                <w:sz w:val="12"/>
                <w:szCs w:val="12"/>
                <w:color w:val="auto"/>
              </w:rPr>
            </w:pPr>
          </w:p>
        </w:tc>
        <w:tc>
          <w:tcPr>
            <w:tcW w:w="40" w:type="dxa"/>
            <w:vAlign w:val="bottom"/>
            <w:tcBorders>
              <w:bottom w:val="single" w:sz="8" w:color="CCEEFF"/>
            </w:tcBorders>
            <w:shd w:val="clear" w:color="auto" w:fill="CCEEFF"/>
          </w:tcPr>
          <w:p>
            <w:pPr>
              <w:spacing w:after="0"/>
              <w:rPr>
                <w:sz w:val="12"/>
                <w:szCs w:val="12"/>
                <w:color w:val="auto"/>
              </w:rPr>
            </w:pPr>
          </w:p>
        </w:tc>
        <w:tc>
          <w:tcPr>
            <w:tcW w:w="120" w:type="dxa"/>
            <w:vAlign w:val="bottom"/>
            <w:tcBorders>
              <w:bottom w:val="single" w:sz="8" w:color="auto"/>
            </w:tcBorders>
            <w:shd w:val="clear" w:color="auto" w:fill="CCEEFF"/>
          </w:tcPr>
          <w:p>
            <w:pPr>
              <w:jc w:val="right"/>
              <w:ind w:right="3"/>
              <w:spacing w:after="0"/>
              <w:rPr>
                <w:sz w:val="20"/>
                <w:szCs w:val="20"/>
                <w:color w:val="auto"/>
              </w:rPr>
            </w:pPr>
            <w:r>
              <w:rPr>
                <w:rFonts w:ascii="Times New Roman" w:cs="Times New Roman" w:eastAsia="Times New Roman" w:hAnsi="Times New Roman"/>
                <w:sz w:val="11"/>
                <w:szCs w:val="11"/>
                <w:color w:val="auto"/>
                <w:w w:val="71"/>
              </w:rPr>
              <w:t>$</w:t>
            </w:r>
          </w:p>
        </w:tc>
        <w:tc>
          <w:tcPr>
            <w:tcW w:w="640" w:type="dxa"/>
            <w:vAlign w:val="bottom"/>
            <w:tcBorders>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0.20</w:t>
            </w:r>
          </w:p>
        </w:tc>
        <w:tc>
          <w:tcPr>
            <w:tcW w:w="120" w:type="dxa"/>
            <w:vAlign w:val="bottom"/>
            <w:tcBorders>
              <w:bottom w:val="single" w:sz="8" w:color="CCEEFF"/>
            </w:tcBorders>
            <w:shd w:val="clear" w:color="auto" w:fill="CCEEFF"/>
          </w:tcPr>
          <w:p>
            <w:pPr>
              <w:spacing w:after="0"/>
              <w:rPr>
                <w:sz w:val="12"/>
                <w:szCs w:val="12"/>
                <w:color w:val="auto"/>
              </w:rPr>
            </w:pPr>
          </w:p>
        </w:tc>
        <w:tc>
          <w:tcPr>
            <w:tcW w:w="140" w:type="dxa"/>
            <w:vAlign w:val="bottom"/>
            <w:tcBorders>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w w:val="85"/>
              </w:rPr>
              <w:t>$</w:t>
            </w:r>
          </w:p>
        </w:tc>
        <w:tc>
          <w:tcPr>
            <w:tcW w:w="620" w:type="dxa"/>
            <w:vAlign w:val="bottom"/>
            <w:tcBorders>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0.12</w:t>
            </w:r>
          </w:p>
        </w:tc>
        <w:tc>
          <w:tcPr>
            <w:tcW w:w="140" w:type="dxa"/>
            <w:vAlign w:val="bottom"/>
            <w:tcBorders>
              <w:bottom w:val="single" w:sz="8" w:color="CCEEFF"/>
            </w:tcBorders>
            <w:shd w:val="clear" w:color="auto" w:fill="CCEEFF"/>
          </w:tcPr>
          <w:p>
            <w:pPr>
              <w:spacing w:after="0"/>
              <w:rPr>
                <w:sz w:val="12"/>
                <w:szCs w:val="12"/>
                <w:color w:val="auto"/>
              </w:rPr>
            </w:pPr>
          </w:p>
        </w:tc>
        <w:tc>
          <w:tcPr>
            <w:tcW w:w="120" w:type="dxa"/>
            <w:vAlign w:val="bottom"/>
            <w:tcBorders>
              <w:bottom w:val="single" w:sz="8" w:color="auto"/>
            </w:tcBorders>
            <w:shd w:val="clear" w:color="auto" w:fill="CCEEFF"/>
          </w:tcPr>
          <w:p>
            <w:pPr>
              <w:jc w:val="right"/>
              <w:ind w:right="3"/>
              <w:spacing w:after="0"/>
              <w:rPr>
                <w:sz w:val="20"/>
                <w:szCs w:val="20"/>
                <w:color w:val="auto"/>
              </w:rPr>
            </w:pPr>
            <w:r>
              <w:rPr>
                <w:rFonts w:ascii="Times New Roman" w:cs="Times New Roman" w:eastAsia="Times New Roman" w:hAnsi="Times New Roman"/>
                <w:sz w:val="11"/>
                <w:szCs w:val="11"/>
                <w:color w:val="auto"/>
                <w:w w:val="71"/>
              </w:rPr>
              <w:t>$</w:t>
            </w:r>
          </w:p>
        </w:tc>
        <w:tc>
          <w:tcPr>
            <w:tcW w:w="640" w:type="dxa"/>
            <w:vAlign w:val="bottom"/>
            <w:tcBorders>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0.03</w:t>
            </w:r>
          </w:p>
        </w:tc>
        <w:tc>
          <w:tcPr>
            <w:tcW w:w="100" w:type="dxa"/>
            <w:vAlign w:val="bottom"/>
            <w:tcBorders>
              <w:bottom w:val="single" w:sz="8" w:color="CCEEFF"/>
            </w:tcBorders>
            <w:shd w:val="clear" w:color="auto" w:fill="CCEEFF"/>
          </w:tcPr>
          <w:p>
            <w:pPr>
              <w:spacing w:after="0"/>
              <w:rPr>
                <w:sz w:val="12"/>
                <w:szCs w:val="12"/>
                <w:color w:val="auto"/>
              </w:rPr>
            </w:pPr>
          </w:p>
        </w:tc>
        <w:tc>
          <w:tcPr>
            <w:tcW w:w="40" w:type="dxa"/>
            <w:vAlign w:val="bottom"/>
            <w:tcBorders>
              <w:bottom w:val="single" w:sz="8" w:color="CCEEFF"/>
            </w:tcBorders>
            <w:shd w:val="clear" w:color="auto" w:fill="CCEEFF"/>
          </w:tcPr>
          <w:p>
            <w:pPr>
              <w:spacing w:after="0"/>
              <w:rPr>
                <w:sz w:val="12"/>
                <w:szCs w:val="12"/>
                <w:color w:val="auto"/>
              </w:rPr>
            </w:pPr>
          </w:p>
        </w:tc>
        <w:tc>
          <w:tcPr>
            <w:tcW w:w="140" w:type="dxa"/>
            <w:vAlign w:val="bottom"/>
            <w:tcBorders>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w w:val="85"/>
              </w:rPr>
              <w:t>$</w:t>
            </w:r>
          </w:p>
        </w:tc>
        <w:tc>
          <w:tcPr>
            <w:tcW w:w="620" w:type="dxa"/>
            <w:vAlign w:val="bottom"/>
            <w:tcBorders>
              <w:bottom w:val="single" w:sz="8" w:color="auto"/>
            </w:tcBorders>
            <w:shd w:val="clear" w:color="auto" w:fill="CCEEFF"/>
          </w:tcPr>
          <w:p>
            <w:pPr>
              <w:jc w:val="right"/>
              <w:spacing w:after="0" w:line="142" w:lineRule="exact"/>
              <w:rPr>
                <w:sz w:val="20"/>
                <w:szCs w:val="20"/>
                <w:color w:val="auto"/>
              </w:rPr>
            </w:pPr>
            <w:r>
              <w:rPr>
                <w:rFonts w:ascii="Times New Roman" w:cs="Times New Roman" w:eastAsia="Times New Roman" w:hAnsi="Times New Roman"/>
                <w:sz w:val="14"/>
                <w:szCs w:val="14"/>
                <w:color w:val="auto"/>
              </w:rPr>
              <w:t>0.05</w:t>
            </w:r>
          </w:p>
        </w:tc>
        <w:tc>
          <w:tcPr>
            <w:tcW w:w="80" w:type="dxa"/>
            <w:vAlign w:val="bottom"/>
            <w:tcBorders>
              <w:bottom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10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9"/>
        </w:trPr>
        <w:tc>
          <w:tcPr>
            <w:tcW w:w="20" w:type="dxa"/>
            <w:vAlign w:val="bottom"/>
          </w:tcPr>
          <w:p>
            <w:pPr>
              <w:spacing w:after="0"/>
              <w:rPr>
                <w:sz w:val="7"/>
                <w:szCs w:val="7"/>
                <w:color w:val="auto"/>
              </w:rPr>
            </w:pPr>
          </w:p>
        </w:tc>
        <w:tc>
          <w:tcPr>
            <w:tcW w:w="2180" w:type="dxa"/>
            <w:vAlign w:val="bottom"/>
            <w:tcBorders>
              <w:bottom w:val="single" w:sz="8" w:color="auto"/>
            </w:tcBorders>
          </w:tcPr>
          <w:p>
            <w:pPr>
              <w:spacing w:after="0"/>
              <w:rPr>
                <w:sz w:val="7"/>
                <w:szCs w:val="7"/>
                <w:color w:val="auto"/>
              </w:rPr>
            </w:pPr>
          </w:p>
        </w:tc>
        <w:tc>
          <w:tcPr>
            <w:tcW w:w="1040" w:type="dxa"/>
            <w:vAlign w:val="bottom"/>
          </w:tcPr>
          <w:p>
            <w:pPr>
              <w:spacing w:after="0"/>
              <w:rPr>
                <w:sz w:val="7"/>
                <w:szCs w:val="7"/>
                <w:color w:val="auto"/>
              </w:rPr>
            </w:pPr>
          </w:p>
        </w:tc>
        <w:tc>
          <w:tcPr>
            <w:tcW w:w="100" w:type="dxa"/>
            <w:vAlign w:val="bottom"/>
          </w:tcPr>
          <w:p>
            <w:pPr>
              <w:spacing w:after="0"/>
              <w:rPr>
                <w:sz w:val="7"/>
                <w:szCs w:val="7"/>
                <w:color w:val="auto"/>
              </w:rPr>
            </w:pPr>
          </w:p>
        </w:tc>
        <w:tc>
          <w:tcPr>
            <w:tcW w:w="80" w:type="dxa"/>
            <w:vAlign w:val="bottom"/>
          </w:tcPr>
          <w:p>
            <w:pPr>
              <w:spacing w:after="0"/>
              <w:rPr>
                <w:sz w:val="7"/>
                <w:szCs w:val="7"/>
                <w:color w:val="auto"/>
              </w:rPr>
            </w:pPr>
          </w:p>
        </w:tc>
        <w:tc>
          <w:tcPr>
            <w:tcW w:w="700" w:type="dxa"/>
            <w:vAlign w:val="bottom"/>
          </w:tcPr>
          <w:p>
            <w:pPr>
              <w:spacing w:after="0"/>
              <w:rPr>
                <w:sz w:val="7"/>
                <w:szCs w:val="7"/>
                <w:color w:val="auto"/>
              </w:rPr>
            </w:pPr>
          </w:p>
        </w:tc>
        <w:tc>
          <w:tcPr>
            <w:tcW w:w="160" w:type="dxa"/>
            <w:vAlign w:val="bottom"/>
          </w:tcPr>
          <w:p>
            <w:pPr>
              <w:spacing w:after="0"/>
              <w:rPr>
                <w:sz w:val="7"/>
                <w:szCs w:val="7"/>
                <w:color w:val="auto"/>
              </w:rPr>
            </w:pPr>
          </w:p>
        </w:tc>
        <w:tc>
          <w:tcPr>
            <w:tcW w:w="80" w:type="dxa"/>
            <w:vAlign w:val="bottom"/>
          </w:tcPr>
          <w:p>
            <w:pPr>
              <w:spacing w:after="0"/>
              <w:rPr>
                <w:sz w:val="7"/>
                <w:szCs w:val="7"/>
                <w:color w:val="auto"/>
              </w:rPr>
            </w:pPr>
          </w:p>
        </w:tc>
        <w:tc>
          <w:tcPr>
            <w:tcW w:w="700" w:type="dxa"/>
            <w:vAlign w:val="bottom"/>
          </w:tcPr>
          <w:p>
            <w:pPr>
              <w:spacing w:after="0"/>
              <w:rPr>
                <w:sz w:val="7"/>
                <w:szCs w:val="7"/>
                <w:color w:val="auto"/>
              </w:rPr>
            </w:pPr>
          </w:p>
        </w:tc>
        <w:tc>
          <w:tcPr>
            <w:tcW w:w="140" w:type="dxa"/>
            <w:vAlign w:val="bottom"/>
          </w:tcPr>
          <w:p>
            <w:pPr>
              <w:spacing w:after="0"/>
              <w:rPr>
                <w:sz w:val="7"/>
                <w:szCs w:val="7"/>
                <w:color w:val="auto"/>
              </w:rPr>
            </w:pPr>
          </w:p>
        </w:tc>
        <w:tc>
          <w:tcPr>
            <w:tcW w:w="80" w:type="dxa"/>
            <w:vAlign w:val="bottom"/>
          </w:tcPr>
          <w:p>
            <w:pPr>
              <w:spacing w:after="0"/>
              <w:rPr>
                <w:sz w:val="7"/>
                <w:szCs w:val="7"/>
                <w:color w:val="auto"/>
              </w:rPr>
            </w:pPr>
          </w:p>
        </w:tc>
        <w:tc>
          <w:tcPr>
            <w:tcW w:w="700" w:type="dxa"/>
            <w:vAlign w:val="bottom"/>
          </w:tcPr>
          <w:p>
            <w:pPr>
              <w:spacing w:after="0"/>
              <w:rPr>
                <w:sz w:val="7"/>
                <w:szCs w:val="7"/>
                <w:color w:val="auto"/>
              </w:rPr>
            </w:pPr>
          </w:p>
        </w:tc>
        <w:tc>
          <w:tcPr>
            <w:tcW w:w="140" w:type="dxa"/>
            <w:vAlign w:val="bottom"/>
          </w:tcPr>
          <w:p>
            <w:pPr>
              <w:spacing w:after="0"/>
              <w:rPr>
                <w:sz w:val="7"/>
                <w:szCs w:val="7"/>
                <w:color w:val="auto"/>
              </w:rPr>
            </w:pPr>
          </w:p>
        </w:tc>
        <w:tc>
          <w:tcPr>
            <w:tcW w:w="60" w:type="dxa"/>
            <w:vAlign w:val="bottom"/>
          </w:tcPr>
          <w:p>
            <w:pPr>
              <w:spacing w:after="0"/>
              <w:rPr>
                <w:sz w:val="7"/>
                <w:szCs w:val="7"/>
                <w:color w:val="auto"/>
              </w:rPr>
            </w:pPr>
          </w:p>
        </w:tc>
        <w:tc>
          <w:tcPr>
            <w:tcW w:w="680" w:type="dxa"/>
            <w:vAlign w:val="bottom"/>
          </w:tcPr>
          <w:p>
            <w:pPr>
              <w:spacing w:after="0"/>
              <w:rPr>
                <w:sz w:val="7"/>
                <w:szCs w:val="7"/>
                <w:color w:val="auto"/>
              </w:rPr>
            </w:pPr>
          </w:p>
        </w:tc>
        <w:tc>
          <w:tcPr>
            <w:tcW w:w="140" w:type="dxa"/>
            <w:vAlign w:val="bottom"/>
          </w:tcPr>
          <w:p>
            <w:pPr>
              <w:spacing w:after="0"/>
              <w:rPr>
                <w:sz w:val="7"/>
                <w:szCs w:val="7"/>
                <w:color w:val="auto"/>
              </w:rPr>
            </w:pPr>
          </w:p>
        </w:tc>
        <w:tc>
          <w:tcPr>
            <w:tcW w:w="80" w:type="dxa"/>
            <w:vAlign w:val="bottom"/>
          </w:tcPr>
          <w:p>
            <w:pPr>
              <w:spacing w:after="0"/>
              <w:rPr>
                <w:sz w:val="7"/>
                <w:szCs w:val="7"/>
                <w:color w:val="auto"/>
              </w:rPr>
            </w:pPr>
          </w:p>
        </w:tc>
        <w:tc>
          <w:tcPr>
            <w:tcW w:w="680" w:type="dxa"/>
            <w:vAlign w:val="bottom"/>
          </w:tcPr>
          <w:p>
            <w:pPr>
              <w:spacing w:after="0"/>
              <w:rPr>
                <w:sz w:val="7"/>
                <w:szCs w:val="7"/>
                <w:color w:val="auto"/>
              </w:rPr>
            </w:pPr>
          </w:p>
        </w:tc>
        <w:tc>
          <w:tcPr>
            <w:tcW w:w="100" w:type="dxa"/>
            <w:vAlign w:val="bottom"/>
          </w:tcPr>
          <w:p>
            <w:pPr>
              <w:spacing w:after="0"/>
              <w:rPr>
                <w:sz w:val="7"/>
                <w:szCs w:val="7"/>
                <w:color w:val="auto"/>
              </w:rPr>
            </w:pPr>
          </w:p>
        </w:tc>
        <w:tc>
          <w:tcPr>
            <w:tcW w:w="40" w:type="dxa"/>
            <w:vAlign w:val="bottom"/>
          </w:tcPr>
          <w:p>
            <w:pPr>
              <w:spacing w:after="0"/>
              <w:rPr>
                <w:sz w:val="7"/>
                <w:szCs w:val="7"/>
                <w:color w:val="auto"/>
              </w:rPr>
            </w:pPr>
          </w:p>
        </w:tc>
        <w:tc>
          <w:tcPr>
            <w:tcW w:w="120" w:type="dxa"/>
            <w:vAlign w:val="bottom"/>
          </w:tcPr>
          <w:p>
            <w:pPr>
              <w:spacing w:after="0"/>
              <w:rPr>
                <w:sz w:val="7"/>
                <w:szCs w:val="7"/>
                <w:color w:val="auto"/>
              </w:rPr>
            </w:pPr>
          </w:p>
        </w:tc>
        <w:tc>
          <w:tcPr>
            <w:tcW w:w="640" w:type="dxa"/>
            <w:vAlign w:val="bottom"/>
          </w:tcPr>
          <w:p>
            <w:pPr>
              <w:spacing w:after="0"/>
              <w:rPr>
                <w:sz w:val="7"/>
                <w:szCs w:val="7"/>
                <w:color w:val="auto"/>
              </w:rPr>
            </w:pPr>
          </w:p>
        </w:tc>
        <w:tc>
          <w:tcPr>
            <w:tcW w:w="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6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20" w:type="dxa"/>
            <w:vAlign w:val="bottom"/>
          </w:tcPr>
          <w:p>
            <w:pPr>
              <w:spacing w:after="0"/>
              <w:rPr>
                <w:sz w:val="7"/>
                <w:szCs w:val="7"/>
                <w:color w:val="auto"/>
              </w:rPr>
            </w:pPr>
          </w:p>
        </w:tc>
        <w:tc>
          <w:tcPr>
            <w:tcW w:w="640" w:type="dxa"/>
            <w:vAlign w:val="bottom"/>
          </w:tcPr>
          <w:p>
            <w:pPr>
              <w:spacing w:after="0"/>
              <w:rPr>
                <w:sz w:val="7"/>
                <w:szCs w:val="7"/>
                <w:color w:val="auto"/>
              </w:rPr>
            </w:pPr>
          </w:p>
        </w:tc>
        <w:tc>
          <w:tcPr>
            <w:tcW w:w="100" w:type="dxa"/>
            <w:vAlign w:val="bottom"/>
          </w:tcPr>
          <w:p>
            <w:pPr>
              <w:spacing w:after="0"/>
              <w:rPr>
                <w:sz w:val="7"/>
                <w:szCs w:val="7"/>
                <w:color w:val="auto"/>
              </w:rPr>
            </w:pPr>
          </w:p>
        </w:tc>
        <w:tc>
          <w:tcPr>
            <w:tcW w:w="40" w:type="dxa"/>
            <w:vAlign w:val="bottom"/>
          </w:tcPr>
          <w:p>
            <w:pPr>
              <w:spacing w:after="0"/>
              <w:rPr>
                <w:sz w:val="7"/>
                <w:szCs w:val="7"/>
                <w:color w:val="auto"/>
              </w:rPr>
            </w:pPr>
          </w:p>
        </w:tc>
        <w:tc>
          <w:tcPr>
            <w:tcW w:w="140" w:type="dxa"/>
            <w:vAlign w:val="bottom"/>
          </w:tcPr>
          <w:p>
            <w:pPr>
              <w:spacing w:after="0"/>
              <w:rPr>
                <w:sz w:val="7"/>
                <w:szCs w:val="7"/>
                <w:color w:val="auto"/>
              </w:rPr>
            </w:pPr>
          </w:p>
        </w:tc>
        <w:tc>
          <w:tcPr>
            <w:tcW w:w="620" w:type="dxa"/>
            <w:vAlign w:val="bottom"/>
          </w:tcPr>
          <w:p>
            <w:pPr>
              <w:spacing w:after="0"/>
              <w:rPr>
                <w:sz w:val="7"/>
                <w:szCs w:val="7"/>
                <w:color w:val="auto"/>
              </w:rPr>
            </w:pPr>
          </w:p>
        </w:tc>
        <w:tc>
          <w:tcPr>
            <w:tcW w:w="80" w:type="dxa"/>
            <w:vAlign w:val="bottom"/>
          </w:tcPr>
          <w:p>
            <w:pPr>
              <w:spacing w:after="0"/>
              <w:rPr>
                <w:sz w:val="7"/>
                <w:szCs w:val="7"/>
                <w:color w:val="auto"/>
              </w:rPr>
            </w:pPr>
          </w:p>
        </w:tc>
        <w:tc>
          <w:tcPr>
            <w:tcW w:w="0" w:type="dxa"/>
            <w:vAlign w:val="bottom"/>
          </w:tcPr>
          <w:p>
            <w:pPr>
              <w:spacing w:after="0"/>
              <w:rPr>
                <w:sz w:val="1"/>
                <w:szCs w:val="1"/>
                <w:color w:val="auto"/>
              </w:rPr>
            </w:pPr>
          </w:p>
        </w:tc>
      </w:tr>
    </w:tbl>
    <w:p>
      <w:pPr>
        <w:spacing w:after="0" w:line="83" w:lineRule="exact"/>
        <w:rPr>
          <w:sz w:val="20"/>
          <w:szCs w:val="20"/>
          <w:color w:val="auto"/>
        </w:rPr>
      </w:pPr>
    </w:p>
    <w:p>
      <w:pPr>
        <w:ind w:left="360" w:hanging="352"/>
        <w:spacing w:after="0"/>
        <w:tabs>
          <w:tab w:leader="none" w:pos="360" w:val="left"/>
        </w:tabs>
        <w:numPr>
          <w:ilvl w:val="0"/>
          <w:numId w:val="6"/>
        </w:numPr>
        <w:rPr>
          <w:rFonts w:ascii="Times New Roman" w:cs="Times New Roman" w:eastAsia="Times New Roman" w:hAnsi="Times New Roman"/>
          <w:sz w:val="14"/>
          <w:szCs w:val="14"/>
          <w:i w:val="1"/>
          <w:iCs w:val="1"/>
          <w:color w:val="auto"/>
        </w:rPr>
      </w:pPr>
      <w:r>
        <w:rPr>
          <w:rFonts w:ascii="Times New Roman" w:cs="Times New Roman" w:eastAsia="Times New Roman" w:hAnsi="Times New Roman"/>
          <w:sz w:val="14"/>
          <w:szCs w:val="14"/>
          <w:i w:val="1"/>
          <w:iCs w:val="1"/>
          <w:color w:val="auto"/>
        </w:rPr>
        <w:t>Non-GAAP net income per share is calculated by dividing non-GAAP net income by non-GAAP weighted average shares - diluted.</w:t>
      </w:r>
    </w:p>
    <w:p>
      <w:pPr>
        <w:spacing w:after="0" w:line="41" w:lineRule="exact"/>
        <w:rPr>
          <w:rFonts w:ascii="Times New Roman" w:cs="Times New Roman" w:eastAsia="Times New Roman" w:hAnsi="Times New Roman"/>
          <w:sz w:val="14"/>
          <w:szCs w:val="14"/>
          <w:i w:val="1"/>
          <w:iCs w:val="1"/>
          <w:color w:val="auto"/>
        </w:rPr>
      </w:pPr>
    </w:p>
    <w:p>
      <w:pPr>
        <w:ind w:left="360" w:right="60" w:hanging="352"/>
        <w:spacing w:after="0" w:line="265" w:lineRule="auto"/>
        <w:tabs>
          <w:tab w:leader="none" w:pos="343" w:val="left"/>
        </w:tabs>
        <w:numPr>
          <w:ilvl w:val="0"/>
          <w:numId w:val="6"/>
        </w:numPr>
        <w:rPr>
          <w:rFonts w:ascii="Times New Roman" w:cs="Times New Roman" w:eastAsia="Times New Roman" w:hAnsi="Times New Roman"/>
          <w:sz w:val="14"/>
          <w:szCs w:val="14"/>
          <w:i w:val="1"/>
          <w:iCs w:val="1"/>
          <w:color w:val="auto"/>
        </w:rPr>
      </w:pPr>
      <w:r>
        <w:rPr>
          <w:rFonts w:ascii="Times New Roman" w:cs="Times New Roman" w:eastAsia="Times New Roman" w:hAnsi="Times New Roman"/>
          <w:sz w:val="14"/>
          <w:szCs w:val="14"/>
          <w:i w:val="1"/>
          <w:iCs w:val="1"/>
          <w:color w:val="auto"/>
        </w:rPr>
        <w:t>For purposes of calculating non-GAAP net income per share, the GAAP diluted weighted average shares outstanding is adjusted to exclude the benefits of SFAS 123R compensation costs attributable to future services and not yet recognized in the financial statements that are treated as proceeds assumed to be used to repurchased shares under the GAAP treasury stock method.</w:t>
      </w:r>
    </w:p>
    <w:p>
      <w:pPr>
        <w:spacing w:after="0" w:line="160" w:lineRule="exact"/>
        <w:rPr>
          <w:sz w:val="20"/>
          <w:szCs w:val="20"/>
          <w:color w:val="auto"/>
        </w:rPr>
      </w:pPr>
    </w:p>
    <w:p>
      <w:pPr>
        <w:spacing w:after="0"/>
        <w:rPr>
          <w:sz w:val="20"/>
          <w:szCs w:val="20"/>
          <w:color w:val="auto"/>
        </w:rPr>
      </w:pPr>
      <w:r>
        <w:rPr>
          <w:rFonts w:ascii="Times New Roman" w:cs="Times New Roman" w:eastAsia="Times New Roman" w:hAnsi="Times New Roman"/>
          <w:sz w:val="14"/>
          <w:szCs w:val="14"/>
          <w:color w:val="auto"/>
        </w:rPr>
        <w:t>Note: Included in unaudited non-GAAP net income are the following items:</w:t>
      </w:r>
    </w:p>
    <w:p>
      <w:pPr>
        <w:spacing w:after="0" w:line="42" w:lineRule="exact"/>
        <w:rPr>
          <w:sz w:val="20"/>
          <w:szCs w:val="20"/>
          <w:color w:val="auto"/>
        </w:rPr>
      </w:pPr>
    </w:p>
    <w:p>
      <w:pPr>
        <w:ind w:left="360" w:hanging="352"/>
        <w:spacing w:after="0"/>
        <w:tabs>
          <w:tab w:leader="none" w:pos="360" w:val="left"/>
        </w:tabs>
        <w:numPr>
          <w:ilvl w:val="0"/>
          <w:numId w:val="7"/>
        </w:numPr>
        <w:rPr>
          <w:rFonts w:ascii="Times New Roman" w:cs="Times New Roman" w:eastAsia="Times New Roman" w:hAnsi="Times New Roman"/>
          <w:sz w:val="14"/>
          <w:szCs w:val="14"/>
          <w:color w:val="auto"/>
        </w:rPr>
      </w:pPr>
      <w:r>
        <w:rPr>
          <w:rFonts w:ascii="Times New Roman" w:cs="Times New Roman" w:eastAsia="Times New Roman" w:hAnsi="Times New Roman"/>
          <w:sz w:val="14"/>
          <w:szCs w:val="14"/>
          <w:color w:val="auto"/>
        </w:rPr>
        <w:t>Employer’s portion of payroll tax on certain stock option exercises included in the respective operating costs and expenses recorded in the quarter exercises occurred;</w:t>
      </w:r>
    </w:p>
    <w:p>
      <w:pPr>
        <w:spacing w:after="0" w:line="41" w:lineRule="exact"/>
        <w:rPr>
          <w:rFonts w:ascii="Times New Roman" w:cs="Times New Roman" w:eastAsia="Times New Roman" w:hAnsi="Times New Roman"/>
          <w:sz w:val="14"/>
          <w:szCs w:val="14"/>
          <w:color w:val="auto"/>
        </w:rPr>
      </w:pPr>
    </w:p>
    <w:p>
      <w:pPr>
        <w:ind w:left="360" w:hanging="352"/>
        <w:spacing w:after="0"/>
        <w:tabs>
          <w:tab w:leader="none" w:pos="360" w:val="left"/>
        </w:tabs>
        <w:numPr>
          <w:ilvl w:val="0"/>
          <w:numId w:val="7"/>
        </w:numPr>
        <w:rPr>
          <w:rFonts w:ascii="Times New Roman" w:cs="Times New Roman" w:eastAsia="Times New Roman" w:hAnsi="Times New Roman"/>
          <w:sz w:val="14"/>
          <w:szCs w:val="14"/>
          <w:color w:val="auto"/>
        </w:rPr>
      </w:pPr>
      <w:r>
        <w:rPr>
          <w:rFonts w:ascii="Times New Roman" w:cs="Times New Roman" w:eastAsia="Times New Roman" w:hAnsi="Times New Roman"/>
          <w:sz w:val="14"/>
          <w:szCs w:val="14"/>
          <w:color w:val="auto"/>
        </w:rPr>
        <w:t>Employee’s Internal Revenue Code Section 409A liability on certain stock option exercises included in the respective operating costs and expenses recorded in Q4 2007 of $24.2 million; and</w:t>
      </w:r>
    </w:p>
    <w:p>
      <w:pPr>
        <w:spacing w:after="0" w:line="41" w:lineRule="exact"/>
        <w:rPr>
          <w:rFonts w:ascii="Times New Roman" w:cs="Times New Roman" w:eastAsia="Times New Roman" w:hAnsi="Times New Roman"/>
          <w:sz w:val="14"/>
          <w:szCs w:val="14"/>
          <w:color w:val="auto"/>
        </w:rPr>
      </w:pPr>
    </w:p>
    <w:p>
      <w:pPr>
        <w:ind w:left="360" w:hanging="352"/>
        <w:spacing w:after="0"/>
        <w:tabs>
          <w:tab w:leader="none" w:pos="360" w:val="left"/>
        </w:tabs>
        <w:numPr>
          <w:ilvl w:val="0"/>
          <w:numId w:val="7"/>
        </w:numPr>
        <w:rPr>
          <w:rFonts w:ascii="Times New Roman" w:cs="Times New Roman" w:eastAsia="Times New Roman" w:hAnsi="Times New Roman"/>
          <w:sz w:val="14"/>
          <w:szCs w:val="14"/>
          <w:color w:val="auto"/>
        </w:rPr>
      </w:pPr>
      <w:r>
        <w:rPr>
          <w:rFonts w:ascii="Times New Roman" w:cs="Times New Roman" w:eastAsia="Times New Roman" w:hAnsi="Times New Roman"/>
          <w:sz w:val="14"/>
          <w:szCs w:val="14"/>
          <w:color w:val="auto"/>
        </w:rPr>
        <w:t>Provision for income taxes of $21.6 million relating to Internal Revenue Code Section 162(m) relating to deductibility limitations of certain compensation expenses recorded in Q4 2006.</w:t>
      </w:r>
    </w:p>
    <w:p>
      <w:pPr>
        <w:sectPr>
          <w:pgSz w:w="11900" w:h="16838" w:orient="portrait"/>
          <w:cols w:equalWidth="0" w:num="1">
            <w:col w:w="11420"/>
          </w:cols>
          <w:pgMar w:left="240" w:top="117" w:right="239" w:bottom="1440" w:gutter="0" w:footer="0" w:header="0"/>
        </w:sect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Times New Roman" w:cs="Times New Roman" w:eastAsia="Times New Roman" w:hAnsi="Times New Roman"/>
          <w:sz w:val="14"/>
          <w:szCs w:val="14"/>
          <w:color w:val="auto"/>
        </w:rPr>
        <w:t>Certain prior period adjustments have been reclassified to conform to the current period adjustments.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364490</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17"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
      <w:numFmt w:val="bullet"/>
      <w:start w:val="1"/>
    </w:lvl>
  </w:abstractNum>
  <w:abstractNum w:abstractNumId="2">
    <w:nsid w:val="46E87CCD"/>
    <w:multiLevelType w:val="hybridMultilevel"/>
    <w:lvl w:ilvl="0">
      <w:lvlJc w:val="left"/>
      <w:lvlText w:val="·"/>
      <w:numFmt w:val="bullet"/>
      <w:start w:val="1"/>
    </w:lvl>
  </w:abstractNum>
  <w:abstractNum w:abstractNumId="3">
    <w:nsid w:val="3D1B58BA"/>
    <w:multiLevelType w:val="hybridMultilevel"/>
    <w:lvl w:ilvl="0">
      <w:lvlJc w:val="left"/>
      <w:lvlText w:val="·"/>
      <w:numFmt w:val="bullet"/>
      <w:start w:val="1"/>
    </w:lvl>
  </w:abstractNum>
  <w:abstractNum w:abstractNumId="4">
    <w:nsid w:val="507ED7AB"/>
    <w:multiLevelType w:val="hybridMultilevel"/>
    <w:lvl w:ilvl="0">
      <w:lvlJc w:val="left"/>
      <w:lvlText w:val="(%1)"/>
      <w:numFmt w:val="lowerLetter"/>
      <w:start w:val="4"/>
    </w:lvl>
  </w:abstractNum>
  <w:abstractNum w:abstractNumId="5">
    <w:nsid w:val="2EB141F2"/>
    <w:multiLevelType w:val="hybridMultilevel"/>
    <w:lvl w:ilvl="0">
      <w:lvlJc w:val="left"/>
      <w:lvlText w:val="(%1)"/>
      <w:numFmt w:val="lowerLetter"/>
      <w:start w:val="1"/>
    </w:lvl>
  </w:abstractNum>
  <w:abstractNum w:abstractNumId="6">
    <w:nsid w:val="41B71EF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2019-12-14T19:00:46Z</dcterms:created>
  <dcterms:modified xsi:type="dcterms:W3CDTF">2019-12-14T19:00:46Z</dcterms:modified>
</cp:coreProperties>
</file>