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236" w:lineRule="exact"/>
        <w:rPr>
          <w:sz w:val="24"/>
          <w:szCs w:val="24"/>
          <w:color w:val="auto"/>
        </w:rPr>
      </w:pPr>
    </w:p>
    <w:p>
      <w:pPr>
        <w:ind w:left="20"/>
        <w:spacing w:after="0"/>
        <w:rPr>
          <w:sz w:val="20"/>
          <w:szCs w:val="20"/>
          <w:color w:val="auto"/>
        </w:rPr>
      </w:pPr>
      <w:r>
        <w:rPr>
          <w:rFonts w:ascii="Arial" w:cs="Arial" w:eastAsia="Arial" w:hAnsi="Arial"/>
          <w:sz w:val="18"/>
          <w:szCs w:val="18"/>
          <w:b w:val="1"/>
          <w:bCs w:val="1"/>
          <w:color w:val="auto"/>
        </w:rPr>
        <w:t>(Mark One)</w:t>
      </w:r>
    </w:p>
    <w:p>
      <w:pPr>
        <w:spacing w:after="0" w:line="216" w:lineRule="exact"/>
        <w:rPr>
          <w:sz w:val="24"/>
          <w:szCs w:val="24"/>
          <w:color w:val="auto"/>
        </w:rPr>
      </w:pPr>
    </w:p>
    <w:p>
      <w:pPr>
        <w:ind w:left="820" w:hanging="800"/>
        <w:spacing w:after="0"/>
        <w:tabs>
          <w:tab w:leader="none" w:pos="820" w:val="left"/>
        </w:tabs>
        <w:numPr>
          <w:ilvl w:val="0"/>
          <w:numId w:val="1"/>
        </w:numPr>
        <w:rPr>
          <w:rFonts w:ascii="Arial" w:cs="Arial" w:eastAsia="Arial" w:hAnsi="Arial"/>
          <w:sz w:val="22"/>
          <w:szCs w:val="22"/>
          <w:b w:val="1"/>
          <w:bCs w:val="1"/>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21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For the quarterly period ended July 28, 2007</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or</w:t>
      </w:r>
    </w:p>
    <w:p>
      <w:pPr>
        <w:spacing w:after="0" w:line="216" w:lineRule="exact"/>
        <w:rPr>
          <w:sz w:val="24"/>
          <w:szCs w:val="24"/>
          <w:color w:val="auto"/>
        </w:rPr>
      </w:pPr>
    </w:p>
    <w:p>
      <w:pPr>
        <w:ind w:left="820" w:hanging="800"/>
        <w:spacing w:after="0"/>
        <w:tabs>
          <w:tab w:leader="none" w:pos="82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Transition Report Pursuant to Section 13 or 15(d) of the Securities Exchange Act of 1934</w:t>
      </w:r>
    </w:p>
    <w:p>
      <w:pPr>
        <w:spacing w:after="0" w:line="269" w:lineRule="exact"/>
        <w:rPr>
          <w:sz w:val="24"/>
          <w:szCs w:val="24"/>
          <w:color w:val="auto"/>
        </w:rPr>
      </w:pPr>
    </w:p>
    <w:p>
      <w:pPr>
        <w:ind w:left="366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6"/>
          <w:szCs w:val="16"/>
          <w:b w:val="1"/>
          <w:bCs w:val="1"/>
          <w:color w:val="auto"/>
        </w:rPr>
        <w:t>to</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Commission file number: 0-30877</w:t>
      </w:r>
    </w:p>
    <w:p>
      <w:pPr>
        <w:spacing w:after="0" w:line="20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pacing w:after="0" w:line="205" w:lineRule="exact"/>
        <w:rPr>
          <w:sz w:val="24"/>
          <w:szCs w:val="24"/>
          <w:color w:val="auto"/>
        </w:rPr>
      </w:pPr>
    </w:p>
    <w:tbl>
      <w:tblPr>
        <w:tblLayout w:type="fixed"/>
        <w:tblInd w:w="1700" w:type="dxa"/>
        <w:tblCellMar>
          <w:top w:w="0" w:type="dxa"/>
          <w:left w:w="0" w:type="dxa"/>
          <w:bottom w:w="0" w:type="dxa"/>
          <w:right w:w="0" w:type="dxa"/>
        </w:tblCellMar>
      </w:tblPr>
      <w:tr>
        <w:trPr>
          <w:trHeight w:val="220"/>
        </w:trPr>
        <w:tc>
          <w:tcPr>
            <w:tcW w:w="4220" w:type="dxa"/>
            <w:vAlign w:val="bottom"/>
          </w:tcPr>
          <w:p>
            <w:pPr>
              <w:jc w:val="center"/>
              <w:ind w:right="1930"/>
              <w:spacing w:after="0"/>
              <w:rPr>
                <w:sz w:val="20"/>
                <w:szCs w:val="20"/>
                <w:color w:val="auto"/>
              </w:rPr>
            </w:pPr>
            <w:r>
              <w:rPr>
                <w:rFonts w:ascii="Arial" w:cs="Arial" w:eastAsia="Arial" w:hAnsi="Arial"/>
                <w:sz w:val="18"/>
                <w:szCs w:val="18"/>
                <w:b w:val="1"/>
                <w:bCs w:val="1"/>
                <w:color w:val="auto"/>
                <w:w w:val="92"/>
              </w:rPr>
              <w:t>Bermuda</w:t>
            </w:r>
          </w:p>
        </w:tc>
        <w:tc>
          <w:tcPr>
            <w:tcW w:w="3380" w:type="dxa"/>
            <w:vAlign w:val="bottom"/>
          </w:tcPr>
          <w:p>
            <w:pPr>
              <w:jc w:val="center"/>
              <w:ind w:left="1950"/>
              <w:spacing w:after="0"/>
              <w:rPr>
                <w:sz w:val="20"/>
                <w:szCs w:val="20"/>
                <w:color w:val="auto"/>
              </w:rPr>
            </w:pPr>
            <w:r>
              <w:rPr>
                <w:rFonts w:ascii="Arial" w:cs="Arial" w:eastAsia="Arial" w:hAnsi="Arial"/>
                <w:sz w:val="18"/>
                <w:szCs w:val="18"/>
                <w:b w:val="1"/>
                <w:bCs w:val="1"/>
                <w:color w:val="auto"/>
                <w:w w:val="89"/>
              </w:rPr>
              <w:t>77-0481679</w:t>
            </w:r>
          </w:p>
        </w:tc>
      </w:tr>
      <w:tr>
        <w:trPr>
          <w:trHeight w:val="216"/>
        </w:trPr>
        <w:tc>
          <w:tcPr>
            <w:tcW w:w="4220" w:type="dxa"/>
            <w:vAlign w:val="bottom"/>
          </w:tcPr>
          <w:p>
            <w:pPr>
              <w:jc w:val="center"/>
              <w:ind w:right="1950"/>
              <w:spacing w:after="0"/>
              <w:rPr>
                <w:sz w:val="20"/>
                <w:szCs w:val="20"/>
                <w:color w:val="auto"/>
              </w:rPr>
            </w:pPr>
            <w:r>
              <w:rPr>
                <w:rFonts w:ascii="Arial" w:cs="Arial" w:eastAsia="Arial" w:hAnsi="Arial"/>
                <w:sz w:val="18"/>
                <w:szCs w:val="18"/>
                <w:color w:val="auto"/>
                <w:w w:val="93"/>
              </w:rPr>
              <w:t>(State or other jurisdiction of</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2"/>
              </w:rPr>
              <w:t>(I.R.S. Employer</w:t>
            </w:r>
          </w:p>
        </w:tc>
      </w:tr>
      <w:tr>
        <w:trPr>
          <w:trHeight w:val="230"/>
        </w:trPr>
        <w:tc>
          <w:tcPr>
            <w:tcW w:w="4220" w:type="dxa"/>
            <w:vAlign w:val="bottom"/>
          </w:tcPr>
          <w:p>
            <w:pPr>
              <w:jc w:val="center"/>
              <w:ind w:right="1950"/>
              <w:spacing w:after="0"/>
              <w:rPr>
                <w:sz w:val="20"/>
                <w:szCs w:val="20"/>
                <w:color w:val="auto"/>
              </w:rPr>
            </w:pPr>
            <w:r>
              <w:rPr>
                <w:rFonts w:ascii="Arial" w:cs="Arial" w:eastAsia="Arial" w:hAnsi="Arial"/>
                <w:sz w:val="18"/>
                <w:szCs w:val="18"/>
                <w:color w:val="auto"/>
                <w:w w:val="93"/>
              </w:rPr>
              <w:t>incorporation or organization)</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5"/>
              </w:rPr>
              <w:t>Identification No.)</w:t>
            </w:r>
          </w:p>
        </w:tc>
      </w:tr>
    </w:tbl>
    <w:p>
      <w:pPr>
        <w:spacing w:after="0" w:line="346"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(Address, including Zip Code, of Principal Executive Offices and</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211" w:lineRule="exact"/>
        <w:rPr>
          <w:sz w:val="24"/>
          <w:szCs w:val="24"/>
          <w:color w:val="auto"/>
        </w:rPr>
      </w:pPr>
    </w:p>
    <w:p>
      <w:pPr>
        <w:ind w:right="140" w:firstLine="259"/>
        <w:spacing w:after="0" w:line="264" w:lineRule="auto"/>
        <w:rPr>
          <w:sz w:val="20"/>
          <w:szCs w:val="20"/>
          <w:color w:val="auto"/>
        </w:rPr>
      </w:pPr>
      <w:r>
        <w:rPr>
          <w:rFonts w:ascii="Arial" w:cs="Arial" w:eastAsia="Arial" w:hAnsi="Arial"/>
          <w:sz w:val="18"/>
          <w:szCs w:val="18"/>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x Yes o No</w:t>
      </w:r>
    </w:p>
    <w:p>
      <w:pPr>
        <w:spacing w:after="0" w:line="181" w:lineRule="exact"/>
        <w:rPr>
          <w:sz w:val="24"/>
          <w:szCs w:val="24"/>
          <w:color w:val="auto"/>
        </w:rPr>
      </w:pPr>
    </w:p>
    <w:p>
      <w:pPr>
        <w:ind w:right="80" w:firstLine="243"/>
        <w:spacing w:after="0" w:line="277" w:lineRule="auto"/>
        <w:rPr>
          <w:sz w:val="20"/>
          <w:szCs w:val="20"/>
          <w:color w:val="auto"/>
        </w:rPr>
      </w:pPr>
      <w:r>
        <w:rPr>
          <w:rFonts w:ascii="Arial" w:cs="Arial" w:eastAsia="Arial" w:hAnsi="Arial"/>
          <w:sz w:val="18"/>
          <w:szCs w:val="18"/>
          <w:color w:val="auto"/>
        </w:rPr>
        <w:t>Indicate by check mark whether the registrant is a large accelerated filer, an accelerated filer, or a non-accelerated filer. See definition of “accelerated filer and large accelerated filer” in Rule 12b-2 of the Exchange Act. (Check one):</w:t>
      </w:r>
    </w:p>
    <w:p>
      <w:pPr>
        <w:spacing w:after="0" w:line="170" w:lineRule="exact"/>
        <w:rPr>
          <w:sz w:val="24"/>
          <w:szCs w:val="24"/>
          <w:color w:val="auto"/>
        </w:rPr>
      </w:pPr>
    </w:p>
    <w:p>
      <w:pPr>
        <w:ind w:left="1020"/>
        <w:spacing w:after="0"/>
        <w:tabs>
          <w:tab w:leader="none" w:pos="5000" w:val="left"/>
          <w:tab w:leader="none" w:pos="8660" w:val="left"/>
        </w:tabs>
        <w:rPr>
          <w:sz w:val="20"/>
          <w:szCs w:val="20"/>
          <w:color w:val="auto"/>
        </w:rPr>
      </w:pPr>
      <w:r>
        <w:rPr>
          <w:rFonts w:ascii="Arial" w:cs="Arial" w:eastAsia="Arial" w:hAnsi="Arial"/>
          <w:sz w:val="18"/>
          <w:szCs w:val="18"/>
          <w:color w:val="auto"/>
        </w:rPr>
        <w:t>Large accelerated filer x</w:t>
      </w:r>
      <w:r>
        <w:rPr>
          <w:sz w:val="20"/>
          <w:szCs w:val="20"/>
          <w:color w:val="auto"/>
        </w:rPr>
        <w:tab/>
      </w:r>
      <w:r>
        <w:rPr>
          <w:rFonts w:ascii="Arial" w:cs="Arial" w:eastAsia="Arial" w:hAnsi="Arial"/>
          <w:sz w:val="18"/>
          <w:szCs w:val="18"/>
          <w:color w:val="auto"/>
        </w:rPr>
        <w:t>Accelerated filer o</w:t>
      </w:r>
      <w:r>
        <w:rPr>
          <w:sz w:val="20"/>
          <w:szCs w:val="20"/>
          <w:color w:val="auto"/>
        </w:rPr>
        <w:tab/>
      </w:r>
      <w:r>
        <w:rPr>
          <w:rFonts w:ascii="Arial" w:cs="Arial" w:eastAsia="Arial" w:hAnsi="Arial"/>
          <w:sz w:val="16"/>
          <w:szCs w:val="16"/>
          <w:color w:val="auto"/>
        </w:rPr>
        <w:t>Non-accelerated filer o</w:t>
      </w:r>
    </w:p>
    <w:p>
      <w:pPr>
        <w:spacing w:after="0" w:line="279" w:lineRule="exact"/>
        <w:rPr>
          <w:sz w:val="24"/>
          <w:szCs w:val="24"/>
          <w:color w:val="auto"/>
        </w:rPr>
      </w:pPr>
    </w:p>
    <w:p>
      <w:pPr>
        <w:ind w:left="260"/>
        <w:spacing w:after="0"/>
        <w:rPr>
          <w:sz w:val="20"/>
          <w:szCs w:val="20"/>
          <w:color w:val="auto"/>
        </w:rPr>
      </w:pPr>
      <w:r>
        <w:rPr>
          <w:rFonts w:ascii="Arial" w:cs="Arial" w:eastAsia="Arial" w:hAnsi="Arial"/>
          <w:sz w:val="18"/>
          <w:szCs w:val="18"/>
          <w:color w:val="auto"/>
        </w:rPr>
        <w:t>Indicate by check mark whether the registrant is a shell company (as defined in Rule 12b-2 of the Exchange Act). o Yes x No</w:t>
      </w:r>
    </w:p>
    <w:p>
      <w:pPr>
        <w:spacing w:after="0" w:line="225" w:lineRule="exact"/>
        <w:rPr>
          <w:sz w:val="24"/>
          <w:szCs w:val="24"/>
          <w:color w:val="auto"/>
        </w:rPr>
      </w:pPr>
    </w:p>
    <w:p>
      <w:pPr>
        <w:ind w:left="260"/>
        <w:spacing w:after="0"/>
        <w:rPr>
          <w:sz w:val="20"/>
          <w:szCs w:val="20"/>
          <w:color w:val="auto"/>
        </w:rPr>
      </w:pPr>
      <w:r>
        <w:rPr>
          <w:rFonts w:ascii="Arial" w:cs="Arial" w:eastAsia="Arial" w:hAnsi="Arial"/>
          <w:sz w:val="18"/>
          <w:szCs w:val="18"/>
          <w:color w:val="auto"/>
        </w:rPr>
        <w:t>The number of shares outstanding of the registrant’s common stock outstanding as of August 25, 2007 was 590,473,023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441325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07" w:lineRule="exact"/>
        <w:rPr>
          <w:sz w:val="24"/>
          <w:szCs w:val="24"/>
          <w:color w:val="auto"/>
        </w:rPr>
      </w:pPr>
    </w:p>
    <w:tbl>
      <w:tblPr>
        <w:tblLayout w:type="fixed"/>
        <w:tblInd w:w="0" w:type="dxa"/>
        <w:tblCellMar>
          <w:top w:w="0" w:type="dxa"/>
          <w:left w:w="0" w:type="dxa"/>
          <w:bottom w:w="0" w:type="dxa"/>
          <w:right w:w="0" w:type="dxa"/>
        </w:tblCellMar>
      </w:tblPr>
      <w:tr>
        <w:trPr>
          <w:trHeight w:val="171"/>
        </w:trPr>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60" w:type="dxa"/>
            <w:vAlign w:val="bottom"/>
            <w:vMerge w:val="restart"/>
          </w:tcPr>
          <w:p>
            <w:pPr>
              <w:spacing w:after="0"/>
              <w:rPr>
                <w:sz w:val="14"/>
                <w:szCs w:val="14"/>
                <w:color w:val="auto"/>
              </w:rPr>
            </w:pPr>
          </w:p>
        </w:tc>
        <w:tc>
          <w:tcPr>
            <w:tcW w:w="2460" w:type="dxa"/>
            <w:vAlign w:val="bottom"/>
            <w:gridSpan w:val="5"/>
            <w:vMerge w:val="restart"/>
          </w:tcPr>
          <w:p>
            <w:pPr>
              <w:jc w:val="center"/>
              <w:spacing w:after="0"/>
              <w:rPr>
                <w:rFonts w:ascii="Arial" w:cs="Arial" w:eastAsia="Arial" w:hAnsi="Arial"/>
                <w:sz w:val="14"/>
                <w:szCs w:val="14"/>
                <w:b w:val="1"/>
                <w:bCs w:val="1"/>
                <w:color w:val="0000EE"/>
              </w:rPr>
            </w:pPr>
            <w:hyperlink w:anchor="page2">
              <w:r>
                <w:rPr>
                  <w:rFonts w:ascii="Arial" w:cs="Arial" w:eastAsia="Arial" w:hAnsi="Arial"/>
                  <w:sz w:val="14"/>
                  <w:szCs w:val="14"/>
                  <w:b w:val="1"/>
                  <w:bCs w:val="1"/>
                  <w:color w:val="0000EE"/>
                </w:rPr>
                <w:t>PART I. FINANCIAL INFORMATION</w:t>
              </w:r>
            </w:hyperlink>
          </w:p>
        </w:tc>
        <w:tc>
          <w:tcPr>
            <w:tcW w:w="3860" w:type="dxa"/>
            <w:vAlign w:val="bottom"/>
            <w:gridSpan w:val="6"/>
            <w:vMerge w:val="restart"/>
          </w:tcPr>
          <w:p>
            <w:pPr>
              <w:spacing w:after="0"/>
              <w:rPr>
                <w:sz w:val="14"/>
                <w:szCs w:val="14"/>
                <w:color w:val="auto"/>
              </w:rPr>
            </w:pPr>
          </w:p>
        </w:tc>
        <w:tc>
          <w:tcPr>
            <w:tcW w:w="480" w:type="dxa"/>
            <w:vAlign w:val="bottom"/>
            <w:tcBorders>
              <w:bottom w:val="single" w:sz="8" w:color="auto"/>
            </w:tcBorders>
          </w:tcPr>
          <w:p>
            <w:pPr>
              <w:jc w:val="right"/>
              <w:ind w:right="11"/>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20"/>
        </w:trPr>
        <w:tc>
          <w:tcPr>
            <w:tcW w:w="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160" w:type="dxa"/>
            <w:vAlign w:val="bottom"/>
            <w:vMerge w:val="continue"/>
          </w:tcPr>
          <w:p>
            <w:pPr>
              <w:spacing w:after="0"/>
              <w:rPr>
                <w:sz w:val="10"/>
                <w:szCs w:val="10"/>
                <w:color w:val="auto"/>
              </w:rPr>
            </w:pPr>
          </w:p>
        </w:tc>
        <w:tc>
          <w:tcPr>
            <w:tcW w:w="2460" w:type="dxa"/>
            <w:vAlign w:val="bottom"/>
            <w:tcBorders>
              <w:bottom w:val="single" w:sz="8" w:color="0000EE"/>
            </w:tcBorders>
            <w:gridSpan w:val="5"/>
            <w:vMerge w:val="continue"/>
          </w:tcPr>
          <w:p>
            <w:pPr>
              <w:spacing w:after="0"/>
              <w:rPr>
                <w:sz w:val="10"/>
                <w:szCs w:val="10"/>
                <w:color w:val="auto"/>
              </w:rPr>
            </w:pPr>
          </w:p>
        </w:tc>
        <w:tc>
          <w:tcPr>
            <w:tcW w:w="3860" w:type="dxa"/>
            <w:vAlign w:val="bottom"/>
            <w:gridSpan w:val="6"/>
            <w:vMerge w:val="continue"/>
          </w:tcPr>
          <w:p>
            <w:pPr>
              <w:spacing w:after="0"/>
              <w:rPr>
                <w:sz w:val="10"/>
                <w:szCs w:val="10"/>
                <w:color w:val="auto"/>
              </w:rPr>
            </w:pPr>
          </w:p>
        </w:tc>
        <w:tc>
          <w:tcPr>
            <w:tcW w:w="4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85"/>
        </w:trPr>
        <w:tc>
          <w:tcPr>
            <w:tcW w:w="520" w:type="dxa"/>
            <w:vAlign w:val="bottom"/>
          </w:tcPr>
          <w:p>
            <w:pPr>
              <w:spacing w:after="0"/>
              <w:rPr>
                <w:rFonts w:ascii="Arial" w:cs="Arial" w:eastAsia="Arial" w:hAnsi="Arial"/>
                <w:sz w:val="18"/>
                <w:szCs w:val="18"/>
                <w:color w:val="0000EE"/>
                <w:w w:val="90"/>
              </w:rPr>
            </w:pPr>
            <w:hyperlink w:anchor="page2">
              <w:r>
                <w:rPr>
                  <w:rFonts w:ascii="Arial" w:cs="Arial" w:eastAsia="Arial" w:hAnsi="Arial"/>
                  <w:sz w:val="18"/>
                  <w:szCs w:val="18"/>
                  <w:color w:val="0000EE"/>
                  <w:w w:val="90"/>
                </w:rPr>
                <w:t>Item 1.</w:t>
              </w:r>
            </w:hyperlink>
          </w:p>
        </w:tc>
        <w:tc>
          <w:tcPr>
            <w:tcW w:w="700" w:type="dxa"/>
            <w:vAlign w:val="bottom"/>
            <w:gridSpan w:val="2"/>
          </w:tcPr>
          <w:p>
            <w:pPr>
              <w:spacing w:after="0"/>
              <w:rPr>
                <w:sz w:val="24"/>
                <w:szCs w:val="24"/>
                <w:color w:val="auto"/>
              </w:rPr>
            </w:pPr>
          </w:p>
        </w:tc>
        <w:tc>
          <w:tcPr>
            <w:tcW w:w="9720" w:type="dxa"/>
            <w:vAlign w:val="bottom"/>
            <w:gridSpan w:val="19"/>
          </w:tcPr>
          <w:p>
            <w:pPr>
              <w:spacing w:after="0"/>
              <w:rPr>
                <w:rFonts w:ascii="Arial" w:cs="Arial" w:eastAsia="Arial" w:hAnsi="Arial"/>
                <w:sz w:val="18"/>
                <w:szCs w:val="18"/>
                <w:color w:val="0000EE"/>
              </w:rPr>
            </w:pPr>
            <w:hyperlink w:anchor="page2">
              <w:r>
                <w:rPr>
                  <w:rFonts w:ascii="Arial" w:cs="Arial" w:eastAsia="Arial" w:hAnsi="Arial"/>
                  <w:sz w:val="18"/>
                  <w:szCs w:val="18"/>
                  <w:color w:val="0000EE"/>
                </w:rPr>
                <w:t>Financial Statements:</w:t>
              </w:r>
            </w:hyperlink>
          </w:p>
        </w:tc>
        <w:tc>
          <w:tcPr>
            <w:tcW w:w="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52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40" w:type="dxa"/>
            <w:vAlign w:val="bottom"/>
            <w:gridSpan w:val="2"/>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6720" w:type="dxa"/>
            <w:vAlign w:val="bottom"/>
            <w:tcBorders>
              <w:bottom w:val="single" w:sz="8" w:color="0000EE"/>
            </w:tcBorders>
            <w:gridSpan w:val="16"/>
          </w:tcPr>
          <w:p>
            <w:pPr>
              <w:spacing w:after="0" w:line="196" w:lineRule="exact"/>
              <w:rPr>
                <w:rFonts w:ascii="Arial" w:cs="Arial" w:eastAsia="Arial" w:hAnsi="Arial"/>
                <w:sz w:val="18"/>
                <w:szCs w:val="18"/>
                <w:color w:val="0000EE"/>
                <w:w w:val="88"/>
              </w:rPr>
            </w:pPr>
            <w:hyperlink w:anchor="page2">
              <w:r>
                <w:rPr>
                  <w:rFonts w:ascii="Arial" w:cs="Arial" w:eastAsia="Arial" w:hAnsi="Arial"/>
                  <w:sz w:val="18"/>
                  <w:szCs w:val="18"/>
                  <w:color w:val="0000EE"/>
                  <w:w w:val="88"/>
                </w:rPr>
                <w:t>Unaudited Condensed Consolidated Balance Sheets as of July 28, 2007 and January 27, 2007</w:t>
              </w:r>
            </w:hyperlink>
          </w:p>
        </w:tc>
        <w:tc>
          <w:tcPr>
            <w:tcW w:w="3000" w:type="dxa"/>
            <w:vAlign w:val="bottom"/>
            <w:gridSpan w:val="3"/>
          </w:tcPr>
          <w:p>
            <w:pPr>
              <w:spacing w:after="0"/>
              <w:rPr>
                <w:sz w:val="17"/>
                <w:szCs w:val="17"/>
                <w:color w:val="auto"/>
              </w:rPr>
            </w:pPr>
          </w:p>
        </w:tc>
        <w:tc>
          <w:tcPr>
            <w:tcW w:w="48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9720" w:type="dxa"/>
            <w:vAlign w:val="bottom"/>
            <w:gridSpan w:val="19"/>
          </w:tcPr>
          <w:p>
            <w:pPr>
              <w:spacing w:after="0" w:line="196" w:lineRule="exact"/>
              <w:rPr>
                <w:rFonts w:ascii="Arial" w:cs="Arial" w:eastAsia="Arial" w:hAnsi="Arial"/>
                <w:sz w:val="18"/>
                <w:szCs w:val="18"/>
                <w:color w:val="0000EE"/>
                <w:w w:val="97"/>
              </w:rPr>
            </w:pPr>
            <w:hyperlink w:anchor="page2">
              <w:r>
                <w:rPr>
                  <w:rFonts w:ascii="Arial" w:cs="Arial" w:eastAsia="Arial" w:hAnsi="Arial"/>
                  <w:sz w:val="18"/>
                  <w:szCs w:val="18"/>
                  <w:color w:val="0000EE"/>
                  <w:w w:val="97"/>
                </w:rPr>
                <w:t>Unaudited Condensed Consolidated Statements of Operations for the three and six months ended July 28, 2007 and July 29,</w:t>
              </w:r>
            </w:hyperlink>
          </w:p>
        </w:tc>
        <w:tc>
          <w:tcPr>
            <w:tcW w:w="48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6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4"/>
              </w:rPr>
            </w:pPr>
            <w:hyperlink w:anchor="page2">
              <w:r>
                <w:rPr>
                  <w:rFonts w:ascii="Arial" w:cs="Arial" w:eastAsia="Arial" w:hAnsi="Arial"/>
                  <w:sz w:val="18"/>
                  <w:szCs w:val="18"/>
                  <w:color w:val="0000EE"/>
                  <w:w w:val="84"/>
                </w:rPr>
                <w:t>2006</w:t>
              </w:r>
            </w:hyperlink>
          </w:p>
        </w:tc>
        <w:tc>
          <w:tcPr>
            <w:tcW w:w="54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560" w:type="dxa"/>
            <w:vAlign w:val="bottom"/>
            <w:tcBorders>
              <w:top w:val="single" w:sz="8" w:color="0000EE"/>
            </w:tcBorders>
          </w:tcPr>
          <w:p>
            <w:pPr>
              <w:spacing w:after="0"/>
              <w:rPr>
                <w:sz w:val="17"/>
                <w:szCs w:val="17"/>
                <w:color w:val="auto"/>
              </w:rPr>
            </w:pPr>
          </w:p>
        </w:tc>
        <w:tc>
          <w:tcPr>
            <w:tcW w:w="92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360" w:type="dxa"/>
            <w:vAlign w:val="bottom"/>
            <w:tcBorders>
              <w:top w:val="single" w:sz="8" w:color="0000EE"/>
            </w:tcBorders>
          </w:tcPr>
          <w:p>
            <w:pPr>
              <w:spacing w:after="0"/>
              <w:rPr>
                <w:sz w:val="17"/>
                <w:szCs w:val="17"/>
                <w:color w:val="auto"/>
              </w:rPr>
            </w:pPr>
          </w:p>
        </w:tc>
        <w:tc>
          <w:tcPr>
            <w:tcW w:w="58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108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280" w:type="dxa"/>
            <w:vAlign w:val="bottom"/>
            <w:tcBorders>
              <w:top w:val="single" w:sz="8" w:color="0000EE"/>
            </w:tcBorders>
          </w:tcPr>
          <w:p>
            <w:pPr>
              <w:spacing w:after="0"/>
              <w:rPr>
                <w:sz w:val="17"/>
                <w:szCs w:val="17"/>
                <w:color w:val="auto"/>
              </w:rPr>
            </w:pPr>
          </w:p>
        </w:tc>
        <w:tc>
          <w:tcPr>
            <w:tcW w:w="1940" w:type="dxa"/>
            <w:vAlign w:val="bottom"/>
            <w:tcBorders>
              <w:top w:val="single" w:sz="8" w:color="0000EE"/>
            </w:tcBorders>
          </w:tcPr>
          <w:p>
            <w:pPr>
              <w:spacing w:after="0"/>
              <w:rPr>
                <w:sz w:val="17"/>
                <w:szCs w:val="17"/>
                <w:color w:val="auto"/>
              </w:rPr>
            </w:pPr>
          </w:p>
        </w:tc>
        <w:tc>
          <w:tcPr>
            <w:tcW w:w="260" w:type="dxa"/>
            <w:vAlign w:val="bottom"/>
            <w:tcBorders>
              <w:top w:val="single" w:sz="8" w:color="0000EE"/>
            </w:tcBorders>
          </w:tcPr>
          <w:p>
            <w:pPr>
              <w:spacing w:after="0"/>
              <w:rPr>
                <w:sz w:val="17"/>
                <w:szCs w:val="17"/>
                <w:color w:val="auto"/>
              </w:rPr>
            </w:pPr>
          </w:p>
        </w:tc>
        <w:tc>
          <w:tcPr>
            <w:tcW w:w="8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9720" w:type="dxa"/>
            <w:vAlign w:val="bottom"/>
            <w:gridSpan w:val="19"/>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Statements of Cash Flows for the six months ended July 28, 2007 and July 29, 2006</w:t>
              </w:r>
            </w:hyperlink>
          </w:p>
        </w:tc>
        <w:tc>
          <w:tcPr>
            <w:tcW w:w="48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4780" w:type="dxa"/>
            <w:vAlign w:val="bottom"/>
            <w:tcBorders>
              <w:top w:val="single" w:sz="8" w:color="0000EE"/>
              <w:bottom w:val="single" w:sz="8" w:color="0000EE"/>
            </w:tcBorders>
            <w:gridSpan w:val="12"/>
          </w:tcPr>
          <w:p>
            <w:pPr>
              <w:spacing w:after="0" w:line="196" w:lineRule="exact"/>
              <w:rPr>
                <w:rFonts w:ascii="Arial" w:cs="Arial" w:eastAsia="Arial" w:hAnsi="Arial"/>
                <w:sz w:val="18"/>
                <w:szCs w:val="18"/>
                <w:color w:val="0000EE"/>
                <w:w w:val="89"/>
              </w:rPr>
            </w:pPr>
            <w:hyperlink w:anchor="page4">
              <w:r>
                <w:rPr>
                  <w:rFonts w:ascii="Arial" w:cs="Arial" w:eastAsia="Arial" w:hAnsi="Arial"/>
                  <w:sz w:val="18"/>
                  <w:szCs w:val="18"/>
                  <w:color w:val="0000EE"/>
                  <w:w w:val="89"/>
                </w:rPr>
                <w:t>Notes to Unaudited Condensed Consolidated Financial Statements</w:t>
              </w:r>
            </w:hyperlink>
          </w:p>
        </w:tc>
        <w:tc>
          <w:tcPr>
            <w:tcW w:w="3880" w:type="dxa"/>
            <w:vAlign w:val="bottom"/>
            <w:tcBorders>
              <w:top w:val="single" w:sz="8" w:color="0000EE"/>
            </w:tcBorders>
            <w:gridSpan w:val="5"/>
          </w:tcPr>
          <w:p>
            <w:pPr>
              <w:spacing w:after="0"/>
              <w:rPr>
                <w:sz w:val="17"/>
                <w:szCs w:val="17"/>
                <w:color w:val="auto"/>
              </w:rPr>
            </w:pPr>
          </w:p>
        </w:tc>
        <w:tc>
          <w:tcPr>
            <w:tcW w:w="1060" w:type="dxa"/>
            <w:vAlign w:val="bottom"/>
            <w:gridSpan w:val="2"/>
          </w:tcPr>
          <w:p>
            <w:pPr>
              <w:spacing w:after="0"/>
              <w:rPr>
                <w:sz w:val="17"/>
                <w:szCs w:val="17"/>
                <w:color w:val="auto"/>
              </w:rPr>
            </w:pPr>
          </w:p>
        </w:tc>
        <w:tc>
          <w:tcPr>
            <w:tcW w:w="48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520" w:type="dxa"/>
            <w:vAlign w:val="bottom"/>
          </w:tcPr>
          <w:p>
            <w:pPr>
              <w:spacing w:after="0" w:line="196" w:lineRule="exact"/>
              <w:rPr>
                <w:rFonts w:ascii="Arial" w:cs="Arial" w:eastAsia="Arial" w:hAnsi="Arial"/>
                <w:sz w:val="18"/>
                <w:szCs w:val="18"/>
                <w:color w:val="0000EE"/>
                <w:w w:val="90"/>
              </w:rPr>
            </w:pPr>
            <w:hyperlink w:anchor="page19">
              <w:r>
                <w:rPr>
                  <w:rFonts w:ascii="Arial" w:cs="Arial" w:eastAsia="Arial" w:hAnsi="Arial"/>
                  <w:sz w:val="18"/>
                  <w:szCs w:val="18"/>
                  <w:color w:val="0000EE"/>
                  <w:w w:val="90"/>
                </w:rPr>
                <w:t>Item 2.</w:t>
              </w:r>
            </w:hyperlink>
          </w:p>
        </w:tc>
        <w:tc>
          <w:tcPr>
            <w:tcW w:w="700" w:type="dxa"/>
            <w:vAlign w:val="bottom"/>
            <w:gridSpan w:val="2"/>
          </w:tcPr>
          <w:p>
            <w:pPr>
              <w:spacing w:after="0"/>
              <w:rPr>
                <w:sz w:val="17"/>
                <w:szCs w:val="17"/>
                <w:color w:val="auto"/>
              </w:rPr>
            </w:pPr>
          </w:p>
        </w:tc>
        <w:tc>
          <w:tcPr>
            <w:tcW w:w="9720" w:type="dxa"/>
            <w:vAlign w:val="bottom"/>
            <w:gridSpan w:val="19"/>
          </w:tcPr>
          <w:p>
            <w:pPr>
              <w:spacing w:after="0" w:line="196" w:lineRule="exact"/>
              <w:rPr>
                <w:rFonts w:ascii="Arial" w:cs="Arial" w:eastAsia="Arial" w:hAnsi="Arial"/>
                <w:sz w:val="18"/>
                <w:szCs w:val="18"/>
                <w:color w:val="0000EE"/>
              </w:rPr>
            </w:pPr>
            <w:hyperlink w:anchor="page19">
              <w:r>
                <w:rPr>
                  <w:rFonts w:ascii="Arial" w:cs="Arial" w:eastAsia="Arial" w:hAnsi="Arial"/>
                  <w:sz w:val="18"/>
                  <w:szCs w:val="18"/>
                  <w:color w:val="0000EE"/>
                </w:rPr>
                <w:t>Management’s Discussion and Analysis of Financial Condition and Results of Operations</w:t>
              </w:r>
            </w:hyperlink>
          </w:p>
        </w:tc>
        <w:tc>
          <w:tcPr>
            <w:tcW w:w="480" w:type="dxa"/>
            <w:vAlign w:val="bottom"/>
          </w:tcPr>
          <w:p>
            <w:pPr>
              <w:jc w:val="right"/>
              <w:spacing w:after="0" w:line="196" w:lineRule="exact"/>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196"/>
        </w:trPr>
        <w:tc>
          <w:tcPr>
            <w:tcW w:w="52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90"/>
              </w:rPr>
            </w:pPr>
            <w:hyperlink w:anchor="page28">
              <w:r>
                <w:rPr>
                  <w:rFonts w:ascii="Arial" w:cs="Arial" w:eastAsia="Arial" w:hAnsi="Arial"/>
                  <w:sz w:val="18"/>
                  <w:szCs w:val="18"/>
                  <w:color w:val="0000EE"/>
                  <w:w w:val="90"/>
                </w:rPr>
                <w:t>Item 3.</w:t>
              </w:r>
            </w:hyperlink>
          </w:p>
        </w:tc>
        <w:tc>
          <w:tcPr>
            <w:tcW w:w="700" w:type="dxa"/>
            <w:vAlign w:val="bottom"/>
            <w:gridSpan w:val="2"/>
          </w:tcPr>
          <w:p>
            <w:pPr>
              <w:spacing w:after="0"/>
              <w:rPr>
                <w:sz w:val="17"/>
                <w:szCs w:val="17"/>
                <w:color w:val="auto"/>
              </w:rPr>
            </w:pPr>
          </w:p>
        </w:tc>
        <w:tc>
          <w:tcPr>
            <w:tcW w:w="4360" w:type="dxa"/>
            <w:vAlign w:val="bottom"/>
            <w:tcBorders>
              <w:top w:val="single" w:sz="8" w:color="0000EE"/>
              <w:bottom w:val="single" w:sz="8" w:color="0000EE"/>
            </w:tcBorders>
            <w:gridSpan w:val="11"/>
          </w:tcPr>
          <w:p>
            <w:pPr>
              <w:spacing w:after="0" w:line="196" w:lineRule="exact"/>
              <w:rPr>
                <w:rFonts w:ascii="Arial" w:cs="Arial" w:eastAsia="Arial" w:hAnsi="Arial"/>
                <w:sz w:val="18"/>
                <w:szCs w:val="18"/>
                <w:color w:val="0000EE"/>
                <w:w w:val="92"/>
              </w:rPr>
            </w:pPr>
            <w:hyperlink w:anchor="page28">
              <w:r>
                <w:rPr>
                  <w:rFonts w:ascii="Arial" w:cs="Arial" w:eastAsia="Arial" w:hAnsi="Arial"/>
                  <w:sz w:val="18"/>
                  <w:szCs w:val="18"/>
                  <w:color w:val="0000EE"/>
                  <w:w w:val="92"/>
                </w:rPr>
                <w:t>Quantitative and Qualitative Disclosures About Market Risk</w:t>
              </w:r>
            </w:hyperlink>
          </w:p>
        </w:tc>
        <w:tc>
          <w:tcPr>
            <w:tcW w:w="2080" w:type="dxa"/>
            <w:vAlign w:val="bottom"/>
            <w:tcBorders>
              <w:top w:val="single" w:sz="8" w:color="0000EE"/>
            </w:tcBorders>
            <w:gridSpan w:val="4"/>
          </w:tcPr>
          <w:p>
            <w:pPr>
              <w:spacing w:after="0"/>
              <w:rPr>
                <w:sz w:val="17"/>
                <w:szCs w:val="17"/>
                <w:color w:val="auto"/>
              </w:rPr>
            </w:pPr>
          </w:p>
        </w:tc>
        <w:tc>
          <w:tcPr>
            <w:tcW w:w="3280" w:type="dxa"/>
            <w:vAlign w:val="bottom"/>
            <w:gridSpan w:val="4"/>
          </w:tcPr>
          <w:p>
            <w:pPr>
              <w:spacing w:after="0"/>
              <w:rPr>
                <w:sz w:val="17"/>
                <w:szCs w:val="17"/>
                <w:color w:val="auto"/>
              </w:rPr>
            </w:pPr>
          </w:p>
        </w:tc>
        <w:tc>
          <w:tcPr>
            <w:tcW w:w="480" w:type="dxa"/>
            <w:vAlign w:val="bottom"/>
          </w:tcPr>
          <w:p>
            <w:pPr>
              <w:jc w:val="right"/>
              <w:spacing w:after="0" w:line="196" w:lineRule="exact"/>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196"/>
        </w:trPr>
        <w:tc>
          <w:tcPr>
            <w:tcW w:w="1220" w:type="dxa"/>
            <w:vAlign w:val="bottom"/>
            <w:gridSpan w:val="3"/>
          </w:tcPr>
          <w:p>
            <w:pPr>
              <w:spacing w:after="0" w:line="196" w:lineRule="exact"/>
              <w:rPr>
                <w:rFonts w:ascii="Arial" w:cs="Arial" w:eastAsia="Arial" w:hAnsi="Arial"/>
                <w:sz w:val="18"/>
                <w:szCs w:val="18"/>
                <w:color w:val="0000EE"/>
              </w:rPr>
            </w:pPr>
            <w:hyperlink w:anchor="page28">
              <w:r>
                <w:rPr>
                  <w:rFonts w:ascii="Arial" w:cs="Arial" w:eastAsia="Arial" w:hAnsi="Arial"/>
                  <w:sz w:val="18"/>
                  <w:szCs w:val="18"/>
                  <w:color w:val="0000EE"/>
                </w:rPr>
                <w:t>Item 4.</w:t>
              </w:r>
            </w:hyperlink>
          </w:p>
        </w:tc>
        <w:tc>
          <w:tcPr>
            <w:tcW w:w="9720" w:type="dxa"/>
            <w:vAlign w:val="bottom"/>
            <w:gridSpan w:val="19"/>
          </w:tcPr>
          <w:p>
            <w:pPr>
              <w:spacing w:after="0" w:line="196" w:lineRule="exact"/>
              <w:rPr>
                <w:rFonts w:ascii="Arial" w:cs="Arial" w:eastAsia="Arial" w:hAnsi="Arial"/>
                <w:sz w:val="18"/>
                <w:szCs w:val="18"/>
                <w:color w:val="0000EE"/>
              </w:rPr>
            </w:pPr>
            <w:hyperlink w:anchor="page28">
              <w:r>
                <w:rPr>
                  <w:rFonts w:ascii="Arial" w:cs="Arial" w:eastAsia="Arial" w:hAnsi="Arial"/>
                  <w:sz w:val="18"/>
                  <w:szCs w:val="18"/>
                  <w:color w:val="0000EE"/>
                </w:rPr>
                <w:t>Controls and Procedures</w:t>
              </w:r>
            </w:hyperlink>
          </w:p>
        </w:tc>
        <w:tc>
          <w:tcPr>
            <w:tcW w:w="48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412"/>
        </w:trPr>
        <w:tc>
          <w:tcPr>
            <w:tcW w:w="520" w:type="dxa"/>
            <w:vAlign w:val="bottom"/>
            <w:tcBorders>
              <w:top w:val="single" w:sz="8" w:color="0000EE"/>
            </w:tcBorders>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60" w:type="dxa"/>
            <w:vAlign w:val="bottom"/>
            <w:tcBorders>
              <w:top w:val="single" w:sz="8" w:color="0000EE"/>
            </w:tcBorders>
          </w:tcPr>
          <w:p>
            <w:pPr>
              <w:spacing w:after="0"/>
              <w:rPr>
                <w:sz w:val="24"/>
                <w:szCs w:val="24"/>
                <w:color w:val="auto"/>
              </w:rPr>
            </w:pPr>
          </w:p>
        </w:tc>
        <w:tc>
          <w:tcPr>
            <w:tcW w:w="54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5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780" w:type="dxa"/>
            <w:vAlign w:val="bottom"/>
            <w:tcBorders>
              <w:bottom w:val="single" w:sz="8" w:color="0000EE"/>
            </w:tcBorders>
            <w:gridSpan w:val="7"/>
          </w:tcPr>
          <w:p>
            <w:pPr>
              <w:jc w:val="center"/>
              <w:spacing w:after="0"/>
              <w:rPr>
                <w:rFonts w:ascii="Arial" w:cs="Arial" w:eastAsia="Arial" w:hAnsi="Arial"/>
                <w:sz w:val="18"/>
                <w:szCs w:val="18"/>
                <w:b w:val="1"/>
                <w:bCs w:val="1"/>
                <w:color w:val="0000EE"/>
              </w:rPr>
            </w:pPr>
            <w:hyperlink w:anchor="page30">
              <w:r>
                <w:rPr>
                  <w:rFonts w:ascii="Arial" w:cs="Arial" w:eastAsia="Arial" w:hAnsi="Arial"/>
                  <w:sz w:val="18"/>
                  <w:szCs w:val="18"/>
                  <w:b w:val="1"/>
                  <w:bCs w:val="1"/>
                  <w:color w:val="0000EE"/>
                </w:rPr>
                <w:t>PART II. OTHER INFORMATION</w:t>
              </w:r>
            </w:hyperlink>
          </w:p>
        </w:tc>
        <w:tc>
          <w:tcPr>
            <w:tcW w:w="3700" w:type="dxa"/>
            <w:vAlign w:val="bottom"/>
            <w:gridSpan w:val="5"/>
          </w:tcPr>
          <w:p>
            <w:pPr>
              <w:spacing w:after="0"/>
              <w:rPr>
                <w:sz w:val="24"/>
                <w:szCs w:val="24"/>
                <w:color w:val="auto"/>
              </w:rPr>
            </w:pPr>
          </w:p>
        </w:tc>
        <w:tc>
          <w:tcPr>
            <w:tcW w:w="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2"/>
        </w:trPr>
        <w:tc>
          <w:tcPr>
            <w:tcW w:w="520" w:type="dxa"/>
            <w:vAlign w:val="bottom"/>
          </w:tcPr>
          <w:p>
            <w:pPr>
              <w:spacing w:after="0"/>
              <w:rPr>
                <w:rFonts w:ascii="Arial" w:cs="Arial" w:eastAsia="Arial" w:hAnsi="Arial"/>
                <w:sz w:val="18"/>
                <w:szCs w:val="18"/>
                <w:color w:val="0000EE"/>
                <w:w w:val="90"/>
              </w:rPr>
            </w:pPr>
            <w:hyperlink w:anchor="page30">
              <w:r>
                <w:rPr>
                  <w:rFonts w:ascii="Arial" w:cs="Arial" w:eastAsia="Arial" w:hAnsi="Arial"/>
                  <w:sz w:val="18"/>
                  <w:szCs w:val="18"/>
                  <w:color w:val="0000EE"/>
                  <w:w w:val="90"/>
                </w:rPr>
                <w:t>Item 1.</w:t>
              </w:r>
            </w:hyperlink>
          </w:p>
        </w:tc>
        <w:tc>
          <w:tcPr>
            <w:tcW w:w="700" w:type="dxa"/>
            <w:vAlign w:val="bottom"/>
            <w:gridSpan w:val="2"/>
          </w:tcPr>
          <w:p>
            <w:pPr>
              <w:spacing w:after="0"/>
              <w:rPr>
                <w:sz w:val="24"/>
                <w:szCs w:val="24"/>
                <w:color w:val="auto"/>
              </w:rPr>
            </w:pPr>
          </w:p>
        </w:tc>
        <w:tc>
          <w:tcPr>
            <w:tcW w:w="9720" w:type="dxa"/>
            <w:vAlign w:val="bottom"/>
            <w:gridSpan w:val="19"/>
          </w:tcPr>
          <w:p>
            <w:pPr>
              <w:spacing w:after="0"/>
              <w:rPr>
                <w:rFonts w:ascii="Arial" w:cs="Arial" w:eastAsia="Arial" w:hAnsi="Arial"/>
                <w:sz w:val="18"/>
                <w:szCs w:val="18"/>
                <w:color w:val="0000EE"/>
              </w:rPr>
            </w:pPr>
            <w:hyperlink w:anchor="page30">
              <w:r>
                <w:rPr>
                  <w:rFonts w:ascii="Arial" w:cs="Arial" w:eastAsia="Arial" w:hAnsi="Arial"/>
                  <w:sz w:val="18"/>
                  <w:szCs w:val="18"/>
                  <w:color w:val="0000EE"/>
                </w:rPr>
                <w:t>Legal Proceedings</w:t>
              </w:r>
            </w:hyperlink>
          </w:p>
        </w:tc>
        <w:tc>
          <w:tcPr>
            <w:tcW w:w="480" w:type="dxa"/>
            <w:vAlign w:val="bottom"/>
          </w:tcPr>
          <w:p>
            <w:pPr>
              <w:jc w:val="right"/>
              <w:spacing w:after="0"/>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20"/>
        </w:trPr>
        <w:tc>
          <w:tcPr>
            <w:tcW w:w="52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000" w:type="dxa"/>
            <w:vAlign w:val="bottom"/>
            <w:gridSpan w:val="3"/>
          </w:tcPr>
          <w:p>
            <w:pPr>
              <w:spacing w:after="0" w:line="20" w:lineRule="exact"/>
              <w:rPr>
                <w:sz w:val="1"/>
                <w:szCs w:val="1"/>
                <w:color w:val="auto"/>
              </w:rPr>
            </w:pPr>
          </w:p>
        </w:tc>
        <w:tc>
          <w:tcPr>
            <w:tcW w:w="1440" w:type="dxa"/>
            <w:vAlign w:val="bottom"/>
            <w:gridSpan w:val="3"/>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380" w:type="dxa"/>
            <w:vAlign w:val="bottom"/>
            <w:gridSpan w:val="9"/>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220" w:type="dxa"/>
            <w:vAlign w:val="bottom"/>
            <w:gridSpan w:val="3"/>
          </w:tcPr>
          <w:p>
            <w:pPr>
              <w:spacing w:after="0" w:line="196" w:lineRule="exact"/>
              <w:rPr>
                <w:rFonts w:ascii="Arial" w:cs="Arial" w:eastAsia="Arial" w:hAnsi="Arial"/>
                <w:sz w:val="18"/>
                <w:szCs w:val="18"/>
                <w:color w:val="0000EE"/>
              </w:rPr>
            </w:pPr>
            <w:hyperlink w:anchor="page31">
              <w:r>
                <w:rPr>
                  <w:rFonts w:ascii="Arial" w:cs="Arial" w:eastAsia="Arial" w:hAnsi="Arial"/>
                  <w:sz w:val="18"/>
                  <w:szCs w:val="18"/>
                  <w:color w:val="0000EE"/>
                </w:rPr>
                <w:t>Item 1A.</w:t>
              </w:r>
            </w:hyperlink>
          </w:p>
        </w:tc>
        <w:tc>
          <w:tcPr>
            <w:tcW w:w="9720" w:type="dxa"/>
            <w:vAlign w:val="bottom"/>
            <w:gridSpan w:val="19"/>
          </w:tcPr>
          <w:p>
            <w:pPr>
              <w:spacing w:after="0" w:line="196" w:lineRule="exact"/>
              <w:rPr>
                <w:rFonts w:ascii="Arial" w:cs="Arial" w:eastAsia="Arial" w:hAnsi="Arial"/>
                <w:sz w:val="18"/>
                <w:szCs w:val="18"/>
                <w:color w:val="0000EE"/>
              </w:rPr>
            </w:pPr>
            <w:hyperlink w:anchor="page31">
              <w:r>
                <w:rPr>
                  <w:rFonts w:ascii="Arial" w:cs="Arial" w:eastAsia="Arial" w:hAnsi="Arial"/>
                  <w:sz w:val="18"/>
                  <w:szCs w:val="18"/>
                  <w:color w:val="0000EE"/>
                </w:rPr>
                <w:t>Risk Factors</w:t>
              </w:r>
            </w:hyperlink>
          </w:p>
        </w:tc>
        <w:tc>
          <w:tcPr>
            <w:tcW w:w="480" w:type="dxa"/>
            <w:vAlign w:val="bottom"/>
          </w:tcPr>
          <w:p>
            <w:pPr>
              <w:jc w:val="right"/>
              <w:spacing w:after="0" w:line="196" w:lineRule="exact"/>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0"/>
        </w:trPr>
        <w:tc>
          <w:tcPr>
            <w:tcW w:w="640" w:type="dxa"/>
            <w:vAlign w:val="bottom"/>
            <w:gridSpan w:val="2"/>
            <w:shd w:val="clear" w:color="auto" w:fill="0000EE"/>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1420" w:type="dxa"/>
            <w:vAlign w:val="bottom"/>
            <w:gridSpan w:val="4"/>
          </w:tcPr>
          <w:p>
            <w:pPr>
              <w:spacing w:after="0" w:line="20" w:lineRule="exact"/>
              <w:rPr>
                <w:sz w:val="1"/>
                <w:szCs w:val="1"/>
                <w:color w:val="auto"/>
              </w:rPr>
            </w:pPr>
          </w:p>
        </w:tc>
        <w:tc>
          <w:tcPr>
            <w:tcW w:w="1440" w:type="dxa"/>
            <w:vAlign w:val="bottom"/>
            <w:gridSpan w:val="3"/>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380" w:type="dxa"/>
            <w:vAlign w:val="bottom"/>
            <w:gridSpan w:val="9"/>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44">
              <w:r>
                <w:rPr>
                  <w:rFonts w:ascii="Arial" w:cs="Arial" w:eastAsia="Arial" w:hAnsi="Arial"/>
                  <w:sz w:val="18"/>
                  <w:szCs w:val="18"/>
                  <w:color w:val="0000EE"/>
                  <w:w w:val="90"/>
                </w:rPr>
                <w:t>Item 2.</w:t>
              </w:r>
            </w:hyperlink>
          </w:p>
        </w:tc>
        <w:tc>
          <w:tcPr>
            <w:tcW w:w="1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4340" w:type="dxa"/>
            <w:vAlign w:val="bottom"/>
            <w:tcBorders>
              <w:bottom w:val="single" w:sz="8" w:color="0000EE"/>
            </w:tcBorders>
            <w:gridSpan w:val="10"/>
          </w:tcPr>
          <w:p>
            <w:pPr>
              <w:spacing w:after="0" w:line="196" w:lineRule="exact"/>
              <w:rPr>
                <w:rFonts w:ascii="Arial" w:cs="Arial" w:eastAsia="Arial" w:hAnsi="Arial"/>
                <w:sz w:val="18"/>
                <w:szCs w:val="18"/>
                <w:color w:val="0000EE"/>
                <w:w w:val="89"/>
              </w:rPr>
            </w:pPr>
            <w:hyperlink w:anchor="page44">
              <w:r>
                <w:rPr>
                  <w:rFonts w:ascii="Arial" w:cs="Arial" w:eastAsia="Arial" w:hAnsi="Arial"/>
                  <w:sz w:val="18"/>
                  <w:szCs w:val="18"/>
                  <w:color w:val="0000EE"/>
                  <w:w w:val="89"/>
                </w:rPr>
                <w:t>Unregistered Sales of Equity Securities and Use of Proceeds</w:t>
              </w:r>
            </w:hyperlink>
          </w:p>
        </w:tc>
        <w:tc>
          <w:tcPr>
            <w:tcW w:w="5380" w:type="dxa"/>
            <w:vAlign w:val="bottom"/>
            <w:gridSpan w:val="9"/>
          </w:tcPr>
          <w:p>
            <w:pPr>
              <w:spacing w:after="0"/>
              <w:rPr>
                <w:sz w:val="17"/>
                <w:szCs w:val="17"/>
                <w:color w:val="auto"/>
              </w:rPr>
            </w:pPr>
          </w:p>
        </w:tc>
        <w:tc>
          <w:tcPr>
            <w:tcW w:w="48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196"/>
        </w:trPr>
        <w:tc>
          <w:tcPr>
            <w:tcW w:w="1220" w:type="dxa"/>
            <w:vAlign w:val="bottom"/>
            <w:tcBorders>
              <w:bottom w:val="single" w:sz="8" w:color="0000EE"/>
            </w:tcBorders>
            <w:gridSpan w:val="3"/>
          </w:tcPr>
          <w:p>
            <w:pPr>
              <w:spacing w:after="0" w:line="196" w:lineRule="exact"/>
              <w:rPr>
                <w:rFonts w:ascii="Arial" w:cs="Arial" w:eastAsia="Arial" w:hAnsi="Arial"/>
                <w:sz w:val="18"/>
                <w:szCs w:val="18"/>
                <w:color w:val="0000EE"/>
              </w:rPr>
            </w:pPr>
            <w:hyperlink w:anchor="page44">
              <w:r>
                <w:rPr>
                  <w:rFonts w:ascii="Arial" w:cs="Arial" w:eastAsia="Arial" w:hAnsi="Arial"/>
                  <w:sz w:val="18"/>
                  <w:szCs w:val="18"/>
                  <w:color w:val="0000EE"/>
                </w:rPr>
                <w:t>Item 3.</w:t>
              </w:r>
            </w:hyperlink>
          </w:p>
        </w:tc>
        <w:tc>
          <w:tcPr>
            <w:tcW w:w="2320" w:type="dxa"/>
            <w:vAlign w:val="bottom"/>
            <w:tcBorders>
              <w:bottom w:val="single" w:sz="8" w:color="0000EE"/>
            </w:tcBorders>
            <w:gridSpan w:val="6"/>
          </w:tcPr>
          <w:p>
            <w:pPr>
              <w:spacing w:after="0" w:line="196" w:lineRule="exact"/>
              <w:rPr>
                <w:rFonts w:ascii="Arial" w:cs="Arial" w:eastAsia="Arial" w:hAnsi="Arial"/>
                <w:sz w:val="18"/>
                <w:szCs w:val="18"/>
                <w:color w:val="0000EE"/>
                <w:w w:val="90"/>
              </w:rPr>
            </w:pPr>
            <w:hyperlink w:anchor="page44">
              <w:r>
                <w:rPr>
                  <w:rFonts w:ascii="Arial" w:cs="Arial" w:eastAsia="Arial" w:hAnsi="Arial"/>
                  <w:sz w:val="18"/>
                  <w:szCs w:val="18"/>
                  <w:color w:val="0000EE"/>
                  <w:w w:val="90"/>
                </w:rPr>
                <w:t>Defaults Upon Senior Securities</w:t>
              </w:r>
            </w:hyperlink>
          </w:p>
        </w:tc>
        <w:tc>
          <w:tcPr>
            <w:tcW w:w="7400" w:type="dxa"/>
            <w:vAlign w:val="bottom"/>
            <w:gridSpan w:val="13"/>
          </w:tcPr>
          <w:p>
            <w:pPr>
              <w:spacing w:after="0"/>
              <w:rPr>
                <w:sz w:val="17"/>
                <w:szCs w:val="17"/>
                <w:color w:val="auto"/>
              </w:rPr>
            </w:pPr>
          </w:p>
        </w:tc>
        <w:tc>
          <w:tcPr>
            <w:tcW w:w="48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44">
              <w:r>
                <w:rPr>
                  <w:rFonts w:ascii="Arial" w:cs="Arial" w:eastAsia="Arial" w:hAnsi="Arial"/>
                  <w:sz w:val="18"/>
                  <w:szCs w:val="18"/>
                  <w:color w:val="0000EE"/>
                  <w:w w:val="90"/>
                </w:rPr>
                <w:t>Item 4.</w:t>
              </w:r>
            </w:hyperlink>
          </w:p>
        </w:tc>
        <w:tc>
          <w:tcPr>
            <w:tcW w:w="700" w:type="dxa"/>
            <w:vAlign w:val="bottom"/>
            <w:gridSpan w:val="2"/>
          </w:tcPr>
          <w:p>
            <w:pPr>
              <w:spacing w:after="0"/>
              <w:rPr>
                <w:sz w:val="17"/>
                <w:szCs w:val="17"/>
                <w:color w:val="auto"/>
              </w:rPr>
            </w:pPr>
          </w:p>
        </w:tc>
        <w:tc>
          <w:tcPr>
            <w:tcW w:w="3760" w:type="dxa"/>
            <w:vAlign w:val="bottom"/>
            <w:tcBorders>
              <w:bottom w:val="single" w:sz="8" w:color="0000EE"/>
            </w:tcBorders>
            <w:gridSpan w:val="9"/>
          </w:tcPr>
          <w:p>
            <w:pPr>
              <w:spacing w:after="0" w:line="196" w:lineRule="exact"/>
              <w:rPr>
                <w:rFonts w:ascii="Arial" w:cs="Arial" w:eastAsia="Arial" w:hAnsi="Arial"/>
                <w:sz w:val="18"/>
                <w:szCs w:val="18"/>
                <w:color w:val="0000EE"/>
                <w:w w:val="90"/>
              </w:rPr>
            </w:pPr>
            <w:hyperlink w:anchor="page44">
              <w:r>
                <w:rPr>
                  <w:rFonts w:ascii="Arial" w:cs="Arial" w:eastAsia="Arial" w:hAnsi="Arial"/>
                  <w:sz w:val="18"/>
                  <w:szCs w:val="18"/>
                  <w:color w:val="0000EE"/>
                  <w:w w:val="90"/>
                </w:rPr>
                <w:t>Submission of Matters to a Vote of Security Holders</w:t>
              </w:r>
            </w:hyperlink>
          </w:p>
        </w:tc>
        <w:tc>
          <w:tcPr>
            <w:tcW w:w="5960" w:type="dxa"/>
            <w:vAlign w:val="bottom"/>
            <w:gridSpan w:val="10"/>
          </w:tcPr>
          <w:p>
            <w:pPr>
              <w:spacing w:after="0"/>
              <w:rPr>
                <w:sz w:val="17"/>
                <w:szCs w:val="17"/>
                <w:color w:val="auto"/>
              </w:rPr>
            </w:pPr>
          </w:p>
        </w:tc>
        <w:tc>
          <w:tcPr>
            <w:tcW w:w="48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bl>
    <w:p>
      <w:pPr>
        <w:sectPr>
          <w:pgSz w:w="11900" w:h="16838" w:orient="portrait"/>
          <w:cols w:equalWidth="0" w:num="1">
            <w:col w:w="11420"/>
          </w:cols>
          <w:pgMar w:left="240" w:top="530" w:right="239" w:bottom="0" w:gutter="0" w:footer="0" w:header="0"/>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20" w:type="dxa"/>
            <w:vAlign w:val="bottom"/>
          </w:tcPr>
          <w:p>
            <w:pPr>
              <w:spacing w:after="0"/>
              <w:rPr>
                <w:rFonts w:ascii="Arial" w:cs="Arial" w:eastAsia="Arial" w:hAnsi="Arial"/>
                <w:sz w:val="18"/>
                <w:szCs w:val="18"/>
                <w:color w:val="0000EE"/>
                <w:w w:val="87"/>
              </w:rPr>
            </w:pPr>
            <w:hyperlink w:anchor="page44">
              <w:r>
                <w:rPr>
                  <w:rFonts w:ascii="Arial" w:cs="Arial" w:eastAsia="Arial" w:hAnsi="Arial"/>
                  <w:sz w:val="18"/>
                  <w:szCs w:val="18"/>
                  <w:color w:val="0000EE"/>
                  <w:w w:val="87"/>
                </w:rPr>
                <w:t>Item 5.</w:t>
              </w:r>
            </w:hyperlink>
          </w:p>
        </w:tc>
        <w:tc>
          <w:tcPr>
            <w:tcW w:w="680" w:type="dxa"/>
            <w:vAlign w:val="bottom"/>
            <w:gridSpan w:val="3"/>
          </w:tcPr>
          <w:p>
            <w:pPr>
              <w:spacing w:after="0"/>
              <w:rPr>
                <w:sz w:val="17"/>
                <w:szCs w:val="17"/>
                <w:color w:val="auto"/>
              </w:rPr>
            </w:pPr>
          </w:p>
        </w:tc>
        <w:tc>
          <w:tcPr>
            <w:tcW w:w="7500" w:type="dxa"/>
            <w:vAlign w:val="bottom"/>
            <w:gridSpan w:val="4"/>
          </w:tcPr>
          <w:p>
            <w:pPr>
              <w:ind w:left="20"/>
              <w:spacing w:after="0"/>
              <w:rPr>
                <w:rFonts w:ascii="Arial" w:cs="Arial" w:eastAsia="Arial" w:hAnsi="Arial"/>
                <w:sz w:val="18"/>
                <w:szCs w:val="18"/>
                <w:color w:val="0000EE"/>
              </w:rPr>
            </w:pPr>
            <w:hyperlink w:anchor="page44">
              <w:r>
                <w:rPr>
                  <w:rFonts w:ascii="Arial" w:cs="Arial" w:eastAsia="Arial" w:hAnsi="Arial"/>
                  <w:sz w:val="18"/>
                  <w:szCs w:val="18"/>
                  <w:color w:val="0000EE"/>
                </w:rPr>
                <w:t>Other Information</w:t>
              </w:r>
            </w:hyperlink>
          </w:p>
        </w:tc>
        <w:tc>
          <w:tcPr>
            <w:tcW w:w="2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0" w:type="dxa"/>
            <w:vAlign w:val="bottom"/>
            <w:gridSpan w:val="2"/>
          </w:tcPr>
          <w:p>
            <w:pPr>
              <w:jc w:val="right"/>
              <w:ind w:right="20"/>
              <w:spacing w:after="0"/>
              <w:rPr>
                <w:sz w:val="20"/>
                <w:szCs w:val="20"/>
                <w:color w:val="auto"/>
              </w:rPr>
            </w:pPr>
            <w:r>
              <w:rPr>
                <w:rFonts w:ascii="Arial" w:cs="Arial" w:eastAsia="Arial" w:hAnsi="Arial"/>
                <w:sz w:val="18"/>
                <w:szCs w:val="18"/>
                <w:color w:val="auto"/>
              </w:rPr>
              <w:t>62</w:t>
            </w:r>
          </w:p>
        </w:tc>
        <w:tc>
          <w:tcPr>
            <w:tcW w:w="40" w:type="dxa"/>
            <w:vAlign w:val="bottom"/>
          </w:tcPr>
          <w:p>
            <w:pPr>
              <w:spacing w:after="0"/>
              <w:rPr>
                <w:sz w:val="17"/>
                <w:szCs w:val="17"/>
                <w:color w:val="auto"/>
              </w:rPr>
            </w:pPr>
          </w:p>
        </w:tc>
      </w:tr>
      <w:tr>
        <w:trPr>
          <w:trHeight w:val="20"/>
        </w:trPr>
        <w:tc>
          <w:tcPr>
            <w:tcW w:w="52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80" w:type="dxa"/>
            <w:vAlign w:val="bottom"/>
            <w:shd w:val="clear" w:color="auto" w:fill="0000EE"/>
          </w:tcPr>
          <w:p>
            <w:pPr>
              <w:spacing w:after="0" w:line="20" w:lineRule="exact"/>
              <w:rPr>
                <w:sz w:val="1"/>
                <w:szCs w:val="1"/>
                <w:color w:val="auto"/>
              </w:rPr>
            </w:pPr>
          </w:p>
        </w:tc>
        <w:tc>
          <w:tcPr>
            <w:tcW w:w="720" w:type="dxa"/>
            <w:vAlign w:val="bottom"/>
            <w:shd w:val="clear" w:color="auto" w:fill="0000EE"/>
          </w:tcPr>
          <w:p>
            <w:pPr>
              <w:spacing w:after="0" w:line="20" w:lineRule="exact"/>
              <w:rPr>
                <w:sz w:val="1"/>
                <w:szCs w:val="1"/>
                <w:color w:val="auto"/>
              </w:rPr>
            </w:pPr>
          </w:p>
        </w:tc>
        <w:tc>
          <w:tcPr>
            <w:tcW w:w="61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196"/>
        </w:trPr>
        <w:tc>
          <w:tcPr>
            <w:tcW w:w="520" w:type="dxa"/>
            <w:vAlign w:val="bottom"/>
          </w:tcPr>
          <w:p>
            <w:pPr>
              <w:spacing w:after="0" w:line="196" w:lineRule="exact"/>
              <w:rPr>
                <w:rFonts w:ascii="Arial" w:cs="Arial" w:eastAsia="Arial" w:hAnsi="Arial"/>
                <w:sz w:val="18"/>
                <w:szCs w:val="18"/>
                <w:color w:val="0000EE"/>
                <w:w w:val="87"/>
              </w:rPr>
            </w:pPr>
            <w:hyperlink w:anchor="page45">
              <w:r>
                <w:rPr>
                  <w:rFonts w:ascii="Arial" w:cs="Arial" w:eastAsia="Arial" w:hAnsi="Arial"/>
                  <w:sz w:val="18"/>
                  <w:szCs w:val="18"/>
                  <w:color w:val="0000EE"/>
                  <w:w w:val="87"/>
                </w:rPr>
                <w:t>Item 6.</w:t>
              </w:r>
            </w:hyperlink>
          </w:p>
        </w:tc>
        <w:tc>
          <w:tcPr>
            <w:tcW w:w="680" w:type="dxa"/>
            <w:vAlign w:val="bottom"/>
            <w:gridSpan w:val="3"/>
          </w:tcPr>
          <w:p>
            <w:pPr>
              <w:spacing w:after="0"/>
              <w:rPr>
                <w:sz w:val="17"/>
                <w:szCs w:val="17"/>
                <w:color w:val="auto"/>
              </w:rPr>
            </w:pPr>
          </w:p>
        </w:tc>
        <w:tc>
          <w:tcPr>
            <w:tcW w:w="7500" w:type="dxa"/>
            <w:vAlign w:val="bottom"/>
            <w:gridSpan w:val="4"/>
          </w:tcPr>
          <w:p>
            <w:pPr>
              <w:ind w:left="20"/>
              <w:spacing w:after="0" w:line="196" w:lineRule="exact"/>
              <w:rPr>
                <w:rFonts w:ascii="Arial" w:cs="Arial" w:eastAsia="Arial" w:hAnsi="Arial"/>
                <w:sz w:val="18"/>
                <w:szCs w:val="18"/>
                <w:color w:val="0000EE"/>
              </w:rPr>
            </w:pPr>
            <w:hyperlink w:anchor="page45">
              <w:r>
                <w:rPr>
                  <w:rFonts w:ascii="Arial" w:cs="Arial" w:eastAsia="Arial" w:hAnsi="Arial"/>
                  <w:sz w:val="18"/>
                  <w:szCs w:val="18"/>
                  <w:color w:val="0000EE"/>
                </w:rPr>
                <w:t>Exhibits</w:t>
              </w:r>
            </w:hyperlink>
          </w:p>
        </w:tc>
        <w:tc>
          <w:tcPr>
            <w:tcW w:w="2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62</w:t>
            </w:r>
          </w:p>
        </w:tc>
        <w:tc>
          <w:tcPr>
            <w:tcW w:w="40" w:type="dxa"/>
            <w:vAlign w:val="bottom"/>
          </w:tcPr>
          <w:p>
            <w:pPr>
              <w:spacing w:after="0"/>
              <w:rPr>
                <w:sz w:val="17"/>
                <w:szCs w:val="17"/>
                <w:color w:val="auto"/>
              </w:rPr>
            </w:pPr>
          </w:p>
        </w:tc>
      </w:tr>
      <w:tr>
        <w:trPr>
          <w:trHeight w:val="20"/>
        </w:trPr>
        <w:tc>
          <w:tcPr>
            <w:tcW w:w="52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80" w:type="dxa"/>
            <w:vAlign w:val="bottom"/>
            <w:shd w:val="clear" w:color="auto" w:fill="0000EE"/>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1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196"/>
        </w:trPr>
        <w:tc>
          <w:tcPr>
            <w:tcW w:w="1200" w:type="dxa"/>
            <w:vAlign w:val="bottom"/>
            <w:gridSpan w:val="4"/>
          </w:tcPr>
          <w:p>
            <w:pPr>
              <w:spacing w:after="0" w:line="196" w:lineRule="exact"/>
              <w:rPr>
                <w:rFonts w:ascii="Arial" w:cs="Arial" w:eastAsia="Arial" w:hAnsi="Arial"/>
                <w:sz w:val="18"/>
                <w:szCs w:val="18"/>
                <w:color w:val="0000EE"/>
              </w:rPr>
            </w:pPr>
            <w:hyperlink w:anchor="page45">
              <w:r>
                <w:rPr>
                  <w:rFonts w:ascii="Arial" w:cs="Arial" w:eastAsia="Arial" w:hAnsi="Arial"/>
                  <w:sz w:val="18"/>
                  <w:szCs w:val="18"/>
                  <w:color w:val="0000EE"/>
                </w:rPr>
                <w:t>Signatures</w:t>
              </w:r>
            </w:hyperlink>
          </w:p>
        </w:tc>
        <w:tc>
          <w:tcPr>
            <w:tcW w:w="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1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63</w:t>
            </w:r>
          </w:p>
        </w:tc>
        <w:tc>
          <w:tcPr>
            <w:tcW w:w="40" w:type="dxa"/>
            <w:vAlign w:val="bottom"/>
          </w:tcPr>
          <w:p>
            <w:pPr>
              <w:spacing w:after="0"/>
              <w:rPr>
                <w:sz w:val="17"/>
                <w:szCs w:val="17"/>
                <w:color w:val="auto"/>
              </w:rPr>
            </w:pPr>
          </w:p>
        </w:tc>
      </w:tr>
      <w:tr>
        <w:trPr>
          <w:trHeight w:val="20"/>
        </w:trPr>
        <w:tc>
          <w:tcPr>
            <w:tcW w:w="760" w:type="dxa"/>
            <w:vAlign w:val="bottom"/>
            <w:gridSpan w:val="2"/>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1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196"/>
        </w:trPr>
        <w:tc>
          <w:tcPr>
            <w:tcW w:w="1200" w:type="dxa"/>
            <w:vAlign w:val="bottom"/>
            <w:gridSpan w:val="4"/>
          </w:tcPr>
          <w:p>
            <w:pPr>
              <w:spacing w:after="0" w:line="196" w:lineRule="exact"/>
              <w:rPr>
                <w:rFonts w:ascii="Arial" w:cs="Arial" w:eastAsia="Arial" w:hAnsi="Arial"/>
                <w:sz w:val="18"/>
                <w:szCs w:val="18"/>
                <w:color w:val="0000EE"/>
              </w:rPr>
            </w:pPr>
            <w:hyperlink w:anchor="page45">
              <w:r>
                <w:rPr>
                  <w:rFonts w:ascii="Arial" w:cs="Arial" w:eastAsia="Arial" w:hAnsi="Arial"/>
                  <w:sz w:val="18"/>
                  <w:szCs w:val="18"/>
                  <w:color w:val="0000EE"/>
                </w:rPr>
                <w:t>Exhibit Index</w:t>
              </w:r>
            </w:hyperlink>
          </w:p>
        </w:tc>
        <w:tc>
          <w:tcPr>
            <w:tcW w:w="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1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64</w:t>
            </w:r>
          </w:p>
        </w:tc>
        <w:tc>
          <w:tcPr>
            <w:tcW w:w="40" w:type="dxa"/>
            <w:vAlign w:val="bottom"/>
          </w:tcPr>
          <w:p>
            <w:pPr>
              <w:spacing w:after="0"/>
              <w:rPr>
                <w:sz w:val="17"/>
                <w:szCs w:val="17"/>
                <w:color w:val="auto"/>
              </w:rPr>
            </w:pPr>
          </w:p>
        </w:tc>
      </w:tr>
      <w:tr>
        <w:trPr>
          <w:trHeight w:val="723"/>
        </w:trPr>
        <w:tc>
          <w:tcPr>
            <w:tcW w:w="52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200" w:type="dxa"/>
            <w:vAlign w:val="bottom"/>
          </w:tcPr>
          <w:p>
            <w:pPr>
              <w:spacing w:after="0"/>
              <w:rPr>
                <w:sz w:val="24"/>
                <w:szCs w:val="24"/>
                <w:color w:val="auto"/>
              </w:rPr>
            </w:pPr>
          </w:p>
        </w:tc>
        <w:tc>
          <w:tcPr>
            <w:tcW w:w="7500" w:type="dxa"/>
            <w:vAlign w:val="bottom"/>
            <w:gridSpan w:val="4"/>
          </w:tcPr>
          <w:p>
            <w:pPr>
              <w:jc w:val="center"/>
              <w:ind w:left="1430"/>
              <w:spacing w:after="0"/>
              <w:rPr>
                <w:sz w:val="20"/>
                <w:szCs w:val="20"/>
                <w:color w:val="auto"/>
              </w:rPr>
            </w:pPr>
            <w:r>
              <w:rPr>
                <w:rFonts w:ascii="Arial" w:cs="Arial" w:eastAsia="Arial" w:hAnsi="Arial"/>
                <w:sz w:val="18"/>
                <w:szCs w:val="18"/>
                <w:color w:val="auto"/>
                <w:w w:val="99"/>
              </w:rPr>
              <w:t>2</w:t>
            </w: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75"/>
        </w:trPr>
        <w:tc>
          <w:tcPr>
            <w:tcW w:w="520" w:type="dxa"/>
            <w:vAlign w:val="bottom"/>
            <w:tcBorders>
              <w:bottom w:val="single" w:sz="8" w:color="010101"/>
            </w:tcBorders>
          </w:tcPr>
          <w:p>
            <w:pPr>
              <w:spacing w:after="0"/>
              <w:rPr>
                <w:sz w:val="24"/>
                <w:szCs w:val="24"/>
                <w:color w:val="auto"/>
              </w:rPr>
            </w:pPr>
          </w:p>
        </w:tc>
        <w:tc>
          <w:tcPr>
            <w:tcW w:w="240" w:type="dxa"/>
            <w:vAlign w:val="bottom"/>
            <w:tcBorders>
              <w:bottom w:val="single" w:sz="8" w:color="010101"/>
            </w:tcBorders>
          </w:tcPr>
          <w:p>
            <w:pPr>
              <w:spacing w:after="0"/>
              <w:rPr>
                <w:sz w:val="24"/>
                <w:szCs w:val="24"/>
                <w:color w:val="auto"/>
              </w:rPr>
            </w:pPr>
          </w:p>
        </w:tc>
        <w:tc>
          <w:tcPr>
            <w:tcW w:w="24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580" w:type="dxa"/>
            <w:vAlign w:val="bottom"/>
            <w:tcBorders>
              <w:bottom w:val="single" w:sz="8" w:color="010101"/>
            </w:tcBorders>
          </w:tcPr>
          <w:p>
            <w:pPr>
              <w:spacing w:after="0"/>
              <w:rPr>
                <w:sz w:val="24"/>
                <w:szCs w:val="24"/>
                <w:color w:val="auto"/>
              </w:rPr>
            </w:pPr>
          </w:p>
        </w:tc>
        <w:tc>
          <w:tcPr>
            <w:tcW w:w="720" w:type="dxa"/>
            <w:vAlign w:val="bottom"/>
            <w:tcBorders>
              <w:bottom w:val="single" w:sz="8" w:color="010101"/>
            </w:tcBorders>
          </w:tcPr>
          <w:p>
            <w:pPr>
              <w:spacing w:after="0"/>
              <w:rPr>
                <w:sz w:val="24"/>
                <w:szCs w:val="24"/>
                <w:color w:val="auto"/>
              </w:rPr>
            </w:pPr>
          </w:p>
        </w:tc>
        <w:tc>
          <w:tcPr>
            <w:tcW w:w="618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86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92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r>
        <w:trPr>
          <w:trHeight w:val="564"/>
        </w:trPr>
        <w:tc>
          <w:tcPr>
            <w:tcW w:w="5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180" w:type="dxa"/>
            <w:vAlign w:val="bottom"/>
          </w:tcPr>
          <w:p>
            <w:pPr>
              <w:jc w:val="center"/>
              <w:ind w:left="130"/>
              <w:spacing w:after="0"/>
              <w:rPr>
                <w:sz w:val="20"/>
                <w:szCs w:val="20"/>
                <w:color w:val="auto"/>
              </w:rPr>
            </w:pPr>
            <w:r>
              <w:rPr>
                <w:rFonts w:ascii="Arial" w:cs="Arial" w:eastAsia="Arial" w:hAnsi="Arial"/>
                <w:sz w:val="18"/>
                <w:szCs w:val="18"/>
                <w:b w:val="1"/>
                <w:bCs w:val="1"/>
                <w:color w:val="auto"/>
              </w:rPr>
              <w:t>PART I: FINANCIAL INFORMATION</w:t>
            </w: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32"/>
        </w:trPr>
        <w:tc>
          <w:tcPr>
            <w:tcW w:w="8700" w:type="dxa"/>
            <w:vAlign w:val="bottom"/>
            <w:gridSpan w:val="8"/>
          </w:tcPr>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14"/>
        </w:trPr>
        <w:tc>
          <w:tcPr>
            <w:tcW w:w="5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180" w:type="dxa"/>
            <w:vAlign w:val="bottom"/>
          </w:tcPr>
          <w:p>
            <w:pPr>
              <w:jc w:val="center"/>
              <w:ind w:left="110"/>
              <w:spacing w:after="0"/>
              <w:rPr>
                <w:sz w:val="20"/>
                <w:szCs w:val="20"/>
                <w:color w:val="auto"/>
              </w:rPr>
            </w:pPr>
            <w:r>
              <w:rPr>
                <w:rFonts w:ascii="Arial" w:cs="Arial" w:eastAsia="Arial" w:hAnsi="Arial"/>
                <w:sz w:val="18"/>
                <w:szCs w:val="18"/>
                <w:b w:val="1"/>
                <w:bCs w:val="1"/>
                <w:color w:val="auto"/>
              </w:rPr>
              <w:t>MARVELL TECHNOLOGY GROUP LTD.</w:t>
            </w: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216"/>
        </w:trPr>
        <w:tc>
          <w:tcPr>
            <w:tcW w:w="5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180" w:type="dxa"/>
            <w:vAlign w:val="bottom"/>
          </w:tcPr>
          <w:p>
            <w:pPr>
              <w:jc w:val="center"/>
              <w:ind w:left="110"/>
              <w:spacing w:after="0"/>
              <w:rPr>
                <w:sz w:val="20"/>
                <w:szCs w:val="20"/>
                <w:color w:val="auto"/>
              </w:rPr>
            </w:pPr>
            <w:r>
              <w:rPr>
                <w:rFonts w:ascii="Arial" w:cs="Arial" w:eastAsia="Arial" w:hAnsi="Arial"/>
                <w:sz w:val="18"/>
                <w:szCs w:val="18"/>
                <w:b w:val="1"/>
                <w:bCs w:val="1"/>
                <w:color w:val="auto"/>
                <w:w w:val="99"/>
              </w:rPr>
              <w:t>UNAUDITED CONDENSED CONSOLIDATED BALANCE SHEETS</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34"/>
        </w:trPr>
        <w:tc>
          <w:tcPr>
            <w:tcW w:w="5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6180" w:type="dxa"/>
            <w:vAlign w:val="bottom"/>
          </w:tcPr>
          <w:p>
            <w:pPr>
              <w:jc w:val="center"/>
              <w:ind w:left="130"/>
              <w:spacing w:after="0"/>
              <w:rPr>
                <w:sz w:val="20"/>
                <w:szCs w:val="20"/>
                <w:color w:val="auto"/>
              </w:rPr>
            </w:pPr>
            <w:r>
              <w:rPr>
                <w:rFonts w:ascii="Arial" w:cs="Arial" w:eastAsia="Arial" w:hAnsi="Arial"/>
                <w:sz w:val="18"/>
                <w:szCs w:val="18"/>
                <w:b w:val="1"/>
                <w:bCs w:val="1"/>
                <w:color w:val="auto"/>
                <w:w w:val="90"/>
              </w:rPr>
              <w:t>(In thousands)</w:t>
            </w:r>
          </w:p>
        </w:tc>
        <w:tc>
          <w:tcPr>
            <w:tcW w:w="2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324"/>
        </w:trPr>
        <w:tc>
          <w:tcPr>
            <w:tcW w:w="5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1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4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July 28,</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40" w:type="dxa"/>
            <w:vAlign w:val="bottom"/>
            <w:gridSpan w:val="3"/>
          </w:tcPr>
          <w:p>
            <w:pPr>
              <w:ind w:left="20"/>
              <w:spacing w:after="0"/>
              <w:rPr>
                <w:sz w:val="20"/>
                <w:szCs w:val="20"/>
                <w:color w:val="auto"/>
              </w:rPr>
            </w:pPr>
            <w:r>
              <w:rPr>
                <w:rFonts w:ascii="Arial" w:cs="Arial" w:eastAsia="Arial" w:hAnsi="Arial"/>
                <w:sz w:val="14"/>
                <w:szCs w:val="14"/>
                <w:b w:val="1"/>
                <w:bCs w:val="1"/>
                <w:color w:val="auto"/>
              </w:rPr>
              <w:t>January 27,</w:t>
            </w:r>
          </w:p>
        </w:tc>
      </w:tr>
      <w:tr>
        <w:trPr>
          <w:trHeight w:val="162"/>
        </w:trPr>
        <w:tc>
          <w:tcPr>
            <w:tcW w:w="52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580" w:type="dxa"/>
            <w:vAlign w:val="bottom"/>
            <w:tcBorders>
              <w:bottom w:val="single" w:sz="8" w:color="CCEEFF"/>
            </w:tcBorders>
          </w:tcPr>
          <w:p>
            <w:pPr>
              <w:spacing w:after="0"/>
              <w:rPr>
                <w:sz w:val="14"/>
                <w:szCs w:val="14"/>
                <w:color w:val="auto"/>
              </w:rPr>
            </w:pPr>
          </w:p>
        </w:tc>
        <w:tc>
          <w:tcPr>
            <w:tcW w:w="720" w:type="dxa"/>
            <w:vAlign w:val="bottom"/>
            <w:tcBorders>
              <w:bottom w:val="single" w:sz="8" w:color="CCEEFF"/>
            </w:tcBorders>
          </w:tcPr>
          <w:p>
            <w:pPr>
              <w:spacing w:after="0"/>
              <w:rPr>
                <w:sz w:val="14"/>
                <w:szCs w:val="14"/>
                <w:color w:val="auto"/>
              </w:rPr>
            </w:pPr>
          </w:p>
        </w:tc>
        <w:tc>
          <w:tcPr>
            <w:tcW w:w="6180" w:type="dxa"/>
            <w:vAlign w:val="bottom"/>
            <w:tcBorders>
              <w:bottom w:val="single" w:sz="8" w:color="CCEEFF"/>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91"/>
              <w:spacing w:after="0"/>
              <w:rPr>
                <w:sz w:val="20"/>
                <w:szCs w:val="20"/>
                <w:color w:val="auto"/>
              </w:rPr>
            </w:pPr>
            <w:r>
              <w:rPr>
                <w:rFonts w:ascii="Arial" w:cs="Arial" w:eastAsia="Arial" w:hAnsi="Arial"/>
                <w:sz w:val="14"/>
                <w:szCs w:val="14"/>
                <w:b w:val="1"/>
                <w:bCs w:val="1"/>
                <w:color w:val="auto"/>
              </w:rPr>
              <w:t>2007</w:t>
            </w:r>
          </w:p>
        </w:tc>
        <w:tc>
          <w:tcPr>
            <w:tcW w:w="2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291"/>
              <w:spacing w:after="0"/>
              <w:rPr>
                <w:sz w:val="20"/>
                <w:szCs w:val="20"/>
                <w:color w:val="auto"/>
              </w:rPr>
            </w:pPr>
            <w:r>
              <w:rPr>
                <w:rFonts w:ascii="Arial" w:cs="Arial" w:eastAsia="Arial" w:hAnsi="Arial"/>
                <w:sz w:val="14"/>
                <w:szCs w:val="14"/>
                <w:b w:val="1"/>
                <w:bCs w:val="1"/>
                <w:color w:val="auto"/>
              </w:rPr>
              <w:t>2007</w:t>
            </w:r>
          </w:p>
        </w:tc>
        <w:tc>
          <w:tcPr>
            <w:tcW w:w="80" w:type="dxa"/>
            <w:vAlign w:val="bottom"/>
            <w:tcBorders>
              <w:bottom w:val="single" w:sz="8" w:color="CCEEFF"/>
            </w:tcBorders>
          </w:tcPr>
          <w:p>
            <w:pPr>
              <w:spacing w:after="0"/>
              <w:rPr>
                <w:sz w:val="14"/>
                <w:szCs w:val="14"/>
                <w:color w:val="auto"/>
              </w:rPr>
            </w:pPr>
          </w:p>
        </w:tc>
        <w:tc>
          <w:tcPr>
            <w:tcW w:w="40" w:type="dxa"/>
            <w:vAlign w:val="bottom"/>
          </w:tcPr>
          <w:p>
            <w:pPr>
              <w:spacing w:after="0"/>
              <w:rPr>
                <w:sz w:val="14"/>
                <w:szCs w:val="14"/>
                <w:color w:val="auto"/>
              </w:rPr>
            </w:pPr>
          </w:p>
        </w:tc>
      </w:tr>
      <w:tr>
        <w:trPr>
          <w:trHeight w:val="196"/>
        </w:trPr>
        <w:tc>
          <w:tcPr>
            <w:tcW w:w="520" w:type="dxa"/>
            <w:vAlign w:val="bottom"/>
            <w:shd w:val="clear" w:color="auto" w:fill="CCEEFF"/>
          </w:tcPr>
          <w:p>
            <w:pPr>
              <w:spacing w:after="0"/>
              <w:rPr>
                <w:sz w:val="17"/>
                <w:szCs w:val="17"/>
                <w:color w:val="auto"/>
              </w:rPr>
            </w:pPr>
          </w:p>
        </w:tc>
        <w:tc>
          <w:tcPr>
            <w:tcW w:w="240" w:type="dxa"/>
            <w:vAlign w:val="bottom"/>
            <w:tcBorders>
              <w:left w:val="single" w:sz="8" w:color="CCEEFF"/>
            </w:tcBorders>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6180" w:type="dxa"/>
            <w:vAlign w:val="bottom"/>
            <w:shd w:val="clear" w:color="auto" w:fill="CCEEFF"/>
          </w:tcPr>
          <w:p>
            <w:pPr>
              <w:jc w:val="center"/>
              <w:ind w:right="2450"/>
              <w:spacing w:after="0" w:line="196" w:lineRule="exact"/>
              <w:rPr>
                <w:sz w:val="20"/>
                <w:szCs w:val="20"/>
                <w:color w:val="auto"/>
              </w:rPr>
            </w:pPr>
            <w:r>
              <w:rPr>
                <w:rFonts w:ascii="Arial" w:cs="Arial" w:eastAsia="Arial" w:hAnsi="Arial"/>
                <w:sz w:val="18"/>
                <w:szCs w:val="18"/>
                <w:b w:val="1"/>
                <w:bCs w:val="1"/>
                <w:color w:val="auto"/>
                <w:w w:val="94"/>
              </w:rPr>
              <w:t>ASSETS</w:t>
            </w:r>
          </w:p>
        </w:tc>
        <w:tc>
          <w:tcPr>
            <w:tcW w:w="2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r>
      <w:tr>
        <w:trPr>
          <w:trHeight w:val="216"/>
        </w:trPr>
        <w:tc>
          <w:tcPr>
            <w:tcW w:w="1200" w:type="dxa"/>
            <w:vAlign w:val="bottom"/>
            <w:gridSpan w:val="4"/>
          </w:tcPr>
          <w:p>
            <w:pPr>
              <w:spacing w:after="0"/>
              <w:rPr>
                <w:sz w:val="20"/>
                <w:szCs w:val="20"/>
                <w:color w:val="auto"/>
              </w:rPr>
            </w:pPr>
            <w:r>
              <w:rPr>
                <w:rFonts w:ascii="Arial" w:cs="Arial" w:eastAsia="Arial" w:hAnsi="Arial"/>
                <w:sz w:val="18"/>
                <w:szCs w:val="18"/>
                <w:color w:val="auto"/>
                <w:w w:val="96"/>
              </w:rPr>
              <w:t>Current assets:</w:t>
            </w:r>
          </w:p>
        </w:tc>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shd w:val="clear" w:color="auto" w:fill="CCEEFF"/>
          </w:tcPr>
          <w:p>
            <w:pPr>
              <w:ind w:left="180"/>
              <w:spacing w:after="0"/>
              <w:rPr>
                <w:sz w:val="20"/>
                <w:szCs w:val="20"/>
                <w:color w:val="auto"/>
              </w:rPr>
            </w:pPr>
            <w:r>
              <w:rPr>
                <w:rFonts w:ascii="Arial" w:cs="Arial" w:eastAsia="Arial" w:hAnsi="Arial"/>
                <w:sz w:val="18"/>
                <w:szCs w:val="18"/>
                <w:color w:val="auto"/>
              </w:rPr>
              <w:t>Cash and cash equivalents</w:t>
            </w:r>
          </w:p>
        </w:tc>
        <w:tc>
          <w:tcPr>
            <w:tcW w:w="46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404,179</w:t>
            </w:r>
          </w:p>
        </w:tc>
        <w:tc>
          <w:tcPr>
            <w:tcW w:w="280" w:type="dxa"/>
            <w:vAlign w:val="bottom"/>
            <w:shd w:val="clear" w:color="auto" w:fill="CCEEFF"/>
          </w:tcPr>
          <w:p>
            <w:pPr>
              <w:spacing w:after="0"/>
              <w:rPr>
                <w:sz w:val="18"/>
                <w:szCs w:val="18"/>
                <w:color w:val="auto"/>
              </w:rPr>
            </w:pP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568,008</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tcPr>
          <w:p>
            <w:pPr>
              <w:ind w:left="180"/>
              <w:spacing w:after="0"/>
              <w:rPr>
                <w:sz w:val="20"/>
                <w:szCs w:val="20"/>
                <w:color w:val="auto"/>
              </w:rPr>
            </w:pPr>
            <w:r>
              <w:rPr>
                <w:rFonts w:ascii="Arial" w:cs="Arial" w:eastAsia="Arial" w:hAnsi="Arial"/>
                <w:sz w:val="18"/>
                <w:szCs w:val="18"/>
                <w:color w:val="auto"/>
              </w:rPr>
              <w:t>Short-term investments</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92,269</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28,372</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shd w:val="clear" w:color="auto" w:fill="CCEEFF"/>
          </w:tcPr>
          <w:p>
            <w:pPr>
              <w:ind w:left="180"/>
              <w:spacing w:after="0"/>
              <w:rPr>
                <w:sz w:val="20"/>
                <w:szCs w:val="20"/>
                <w:color w:val="auto"/>
              </w:rPr>
            </w:pPr>
            <w:r>
              <w:rPr>
                <w:rFonts w:ascii="Arial" w:cs="Arial" w:eastAsia="Arial" w:hAnsi="Arial"/>
                <w:sz w:val="18"/>
                <w:szCs w:val="18"/>
                <w:color w:val="auto"/>
              </w:rPr>
              <w:t>Accounts receivable, net</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358,312</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328,283</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1200" w:type="dxa"/>
            <w:vAlign w:val="bottom"/>
            <w:gridSpan w:val="4"/>
          </w:tcPr>
          <w:p>
            <w:pPr>
              <w:ind w:left="180"/>
              <w:spacing w:after="0"/>
              <w:rPr>
                <w:sz w:val="20"/>
                <w:szCs w:val="20"/>
                <w:color w:val="auto"/>
              </w:rPr>
            </w:pPr>
            <w:r>
              <w:rPr>
                <w:rFonts w:ascii="Arial" w:cs="Arial" w:eastAsia="Arial" w:hAnsi="Arial"/>
                <w:sz w:val="18"/>
                <w:szCs w:val="18"/>
                <w:color w:val="auto"/>
              </w:rPr>
              <w:t>Inventories</w:t>
            </w:r>
          </w:p>
        </w:tc>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295,292</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247,403</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shd w:val="clear" w:color="auto" w:fill="CCEEFF"/>
          </w:tcPr>
          <w:p>
            <w:pPr>
              <w:ind w:left="180"/>
              <w:spacing w:after="0"/>
              <w:rPr>
                <w:sz w:val="20"/>
                <w:szCs w:val="20"/>
                <w:color w:val="auto"/>
              </w:rPr>
            </w:pPr>
            <w:r>
              <w:rPr>
                <w:rFonts w:ascii="Arial" w:cs="Arial" w:eastAsia="Arial" w:hAnsi="Arial"/>
                <w:sz w:val="18"/>
                <w:szCs w:val="18"/>
                <w:color w:val="auto"/>
              </w:rPr>
              <w:t>Prepaid expenses and other current assets</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154,576</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170,123</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tcBorders>
              <w:bottom w:val="single" w:sz="8" w:color="CCEEFF"/>
            </w:tcBorders>
            <w:gridSpan w:val="8"/>
          </w:tcPr>
          <w:p>
            <w:pPr>
              <w:ind w:left="180"/>
              <w:spacing w:after="0"/>
              <w:rPr>
                <w:sz w:val="20"/>
                <w:szCs w:val="20"/>
                <w:color w:val="auto"/>
              </w:rPr>
            </w:pPr>
            <w:r>
              <w:rPr>
                <w:rFonts w:ascii="Arial" w:cs="Arial" w:eastAsia="Arial" w:hAnsi="Arial"/>
                <w:sz w:val="18"/>
                <w:szCs w:val="18"/>
                <w:color w:val="auto"/>
              </w:rPr>
              <w:t>Deferred income taxes</w:t>
            </w:r>
          </w:p>
        </w:tc>
        <w:tc>
          <w:tcPr>
            <w:tcW w:w="26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6,049</w:t>
            </w:r>
          </w:p>
        </w:tc>
        <w:tc>
          <w:tcPr>
            <w:tcW w:w="28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5,846</w:t>
            </w:r>
          </w:p>
        </w:tc>
        <w:tc>
          <w:tcPr>
            <w:tcW w:w="8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8700" w:type="dxa"/>
            <w:vAlign w:val="bottom"/>
            <w:gridSpan w:val="8"/>
            <w:shd w:val="clear" w:color="auto" w:fill="CCEEFF"/>
          </w:tcPr>
          <w:p>
            <w:pPr>
              <w:ind w:left="360"/>
              <w:spacing w:after="0"/>
              <w:rPr>
                <w:sz w:val="20"/>
                <w:szCs w:val="20"/>
                <w:color w:val="auto"/>
              </w:rPr>
            </w:pPr>
            <w:r>
              <w:rPr>
                <w:rFonts w:ascii="Arial" w:cs="Arial" w:eastAsia="Arial" w:hAnsi="Arial"/>
                <w:sz w:val="18"/>
                <w:szCs w:val="18"/>
                <w:color w:val="auto"/>
              </w:rPr>
              <w:t>Total current assets</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1,310,677</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1,348,035</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tcPr>
          <w:p>
            <w:pPr>
              <w:spacing w:after="0"/>
              <w:rPr>
                <w:sz w:val="20"/>
                <w:szCs w:val="20"/>
                <w:color w:val="auto"/>
              </w:rPr>
            </w:pPr>
            <w:r>
              <w:rPr>
                <w:rFonts w:ascii="Arial" w:cs="Arial" w:eastAsia="Arial" w:hAnsi="Arial"/>
                <w:sz w:val="18"/>
                <w:szCs w:val="18"/>
                <w:color w:val="auto"/>
              </w:rPr>
              <w:t>Property and equipment, net</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426,177</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440,943</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1200" w:type="dxa"/>
            <w:vAlign w:val="bottom"/>
            <w:gridSpan w:val="4"/>
            <w:shd w:val="clear" w:color="auto" w:fill="CCEEFF"/>
          </w:tcPr>
          <w:p>
            <w:pPr>
              <w:spacing w:after="0"/>
              <w:rPr>
                <w:sz w:val="20"/>
                <w:szCs w:val="20"/>
                <w:color w:val="auto"/>
              </w:rPr>
            </w:pPr>
            <w:r>
              <w:rPr>
                <w:rFonts w:ascii="Arial" w:cs="Arial" w:eastAsia="Arial" w:hAnsi="Arial"/>
                <w:sz w:val="18"/>
                <w:szCs w:val="18"/>
                <w:color w:val="auto"/>
              </w:rPr>
              <w:t>Goodwill</w:t>
            </w:r>
          </w:p>
        </w:tc>
        <w:tc>
          <w:tcPr>
            <w:tcW w:w="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61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1,981,517</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1,977,805</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tcPr>
          <w:p>
            <w:pPr>
              <w:spacing w:after="0"/>
              <w:rPr>
                <w:sz w:val="20"/>
                <w:szCs w:val="20"/>
                <w:color w:val="auto"/>
              </w:rPr>
            </w:pPr>
            <w:r>
              <w:rPr>
                <w:rFonts w:ascii="Arial" w:cs="Arial" w:eastAsia="Arial" w:hAnsi="Arial"/>
                <w:sz w:val="18"/>
                <w:szCs w:val="18"/>
                <w:color w:val="auto"/>
              </w:rPr>
              <w:t>Acquired intangible assets</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507,133</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580,558</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6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154,998</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180,359</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50"/>
        </w:trPr>
        <w:tc>
          <w:tcPr>
            <w:tcW w:w="1200" w:type="dxa"/>
            <w:vAlign w:val="bottom"/>
            <w:tcBorders>
              <w:bottom w:val="single" w:sz="8" w:color="CCEEFF"/>
            </w:tcBorders>
            <w:gridSpan w:val="4"/>
          </w:tcPr>
          <w:p>
            <w:pPr>
              <w:ind w:left="360"/>
              <w:spacing w:after="0"/>
              <w:rPr>
                <w:sz w:val="20"/>
                <w:szCs w:val="20"/>
                <w:color w:val="auto"/>
              </w:rPr>
            </w:pPr>
            <w:r>
              <w:rPr>
                <w:rFonts w:ascii="Arial" w:cs="Arial" w:eastAsia="Arial" w:hAnsi="Arial"/>
                <w:sz w:val="18"/>
                <w:szCs w:val="18"/>
                <w:color w:val="auto"/>
                <w:w w:val="84"/>
              </w:rPr>
              <w:t>Total assets</w:t>
            </w:r>
          </w:p>
        </w:tc>
        <w:tc>
          <w:tcPr>
            <w:tcW w:w="20" w:type="dxa"/>
            <w:vAlign w:val="bottom"/>
            <w:tcBorders>
              <w:bottom w:val="single" w:sz="8" w:color="CCEEFF"/>
            </w:tcBorders>
          </w:tcPr>
          <w:p>
            <w:pPr>
              <w:spacing w:after="0"/>
              <w:rPr>
                <w:sz w:val="21"/>
                <w:szCs w:val="21"/>
                <w:color w:val="auto"/>
              </w:rPr>
            </w:pPr>
          </w:p>
        </w:tc>
        <w:tc>
          <w:tcPr>
            <w:tcW w:w="580" w:type="dxa"/>
            <w:vAlign w:val="bottom"/>
            <w:tcBorders>
              <w:bottom w:val="single" w:sz="8" w:color="CCEEFF"/>
            </w:tcBorders>
          </w:tcPr>
          <w:p>
            <w:pPr>
              <w:spacing w:after="0"/>
              <w:rPr>
                <w:sz w:val="21"/>
                <w:szCs w:val="21"/>
                <w:color w:val="auto"/>
              </w:rPr>
            </w:pPr>
          </w:p>
        </w:tc>
        <w:tc>
          <w:tcPr>
            <w:tcW w:w="720" w:type="dxa"/>
            <w:vAlign w:val="bottom"/>
            <w:tcBorders>
              <w:bottom w:val="single" w:sz="8" w:color="CCEEFF"/>
            </w:tcBorders>
          </w:tcPr>
          <w:p>
            <w:pPr>
              <w:spacing w:after="0"/>
              <w:rPr>
                <w:sz w:val="21"/>
                <w:szCs w:val="21"/>
                <w:color w:val="auto"/>
              </w:rPr>
            </w:pPr>
          </w:p>
        </w:tc>
        <w:tc>
          <w:tcPr>
            <w:tcW w:w="6180" w:type="dxa"/>
            <w:vAlign w:val="bottom"/>
            <w:tcBorders>
              <w:bottom w:val="single" w:sz="8" w:color="CCEEFF"/>
            </w:tcBorders>
          </w:tcPr>
          <w:p>
            <w:pPr>
              <w:spacing w:after="0"/>
              <w:rPr>
                <w:sz w:val="21"/>
                <w:szCs w:val="21"/>
                <w:color w:val="auto"/>
              </w:rPr>
            </w:pPr>
          </w:p>
        </w:tc>
        <w:tc>
          <w:tcPr>
            <w:tcW w:w="260" w:type="dxa"/>
            <w:vAlign w:val="bottom"/>
            <w:tcBorders>
              <w:bottom w:val="single" w:sz="8" w:color="CCEEFF"/>
            </w:tcBorders>
          </w:tcPr>
          <w:p>
            <w:pPr>
              <w:spacing w:after="0"/>
              <w:rPr>
                <w:sz w:val="21"/>
                <w:szCs w:val="21"/>
                <w:color w:val="auto"/>
              </w:rPr>
            </w:pPr>
          </w:p>
        </w:tc>
        <w:tc>
          <w:tcPr>
            <w:tcW w:w="2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4,380,502</w:t>
            </w:r>
          </w:p>
        </w:tc>
        <w:tc>
          <w:tcPr>
            <w:tcW w:w="280" w:type="dxa"/>
            <w:vAlign w:val="bottom"/>
            <w:tcBorders>
              <w:bottom w:val="single" w:sz="8" w:color="CCEEFF"/>
            </w:tcBorders>
          </w:tcPr>
          <w:p>
            <w:pPr>
              <w:spacing w:after="0"/>
              <w:rPr>
                <w:sz w:val="21"/>
                <w:szCs w:val="21"/>
                <w:color w:val="auto"/>
              </w:rPr>
            </w:pPr>
          </w:p>
        </w:tc>
        <w:tc>
          <w:tcPr>
            <w:tcW w:w="20" w:type="dxa"/>
            <w:vAlign w:val="bottom"/>
            <w:tcBorders>
              <w:bottom w:val="single" w:sz="8" w:color="CCEEFF"/>
            </w:tcBorders>
          </w:tcPr>
          <w:p>
            <w:pPr>
              <w:spacing w:after="0"/>
              <w:rPr>
                <w:sz w:val="21"/>
                <w:szCs w:val="21"/>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4,527,700</w:t>
            </w:r>
          </w:p>
        </w:tc>
        <w:tc>
          <w:tcPr>
            <w:tcW w:w="80" w:type="dxa"/>
            <w:vAlign w:val="bottom"/>
            <w:tcBorders>
              <w:bottom w:val="single" w:sz="8" w:color="CCEEFF"/>
            </w:tcBorders>
          </w:tcPr>
          <w:p>
            <w:pPr>
              <w:spacing w:after="0"/>
              <w:rPr>
                <w:sz w:val="21"/>
                <w:szCs w:val="21"/>
                <w:color w:val="auto"/>
              </w:rPr>
            </w:pPr>
          </w:p>
        </w:tc>
        <w:tc>
          <w:tcPr>
            <w:tcW w:w="40" w:type="dxa"/>
            <w:vAlign w:val="bottom"/>
          </w:tcPr>
          <w:p>
            <w:pPr>
              <w:spacing w:after="0"/>
              <w:rPr>
                <w:sz w:val="21"/>
                <w:szCs w:val="21"/>
                <w:color w:val="auto"/>
              </w:rPr>
            </w:pPr>
          </w:p>
        </w:tc>
      </w:tr>
      <w:tr>
        <w:trPr>
          <w:trHeight w:val="170"/>
        </w:trPr>
        <w:tc>
          <w:tcPr>
            <w:tcW w:w="520" w:type="dxa"/>
            <w:vAlign w:val="bottom"/>
            <w:shd w:val="clear" w:color="auto" w:fill="CCEEFF"/>
          </w:tcPr>
          <w:p>
            <w:pPr>
              <w:spacing w:after="0"/>
              <w:rPr>
                <w:sz w:val="14"/>
                <w:szCs w:val="14"/>
                <w:color w:val="auto"/>
              </w:rPr>
            </w:pPr>
          </w:p>
        </w:tc>
        <w:tc>
          <w:tcPr>
            <w:tcW w:w="240" w:type="dxa"/>
            <w:vAlign w:val="bottom"/>
            <w:tcBorders>
              <w:left w:val="single" w:sz="8" w:color="CCEEFF"/>
            </w:tcBorders>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580" w:type="dxa"/>
            <w:vAlign w:val="bottom"/>
            <w:shd w:val="clear" w:color="auto" w:fill="CCEEFF"/>
          </w:tcPr>
          <w:p>
            <w:pPr>
              <w:spacing w:after="0"/>
              <w:rPr>
                <w:sz w:val="14"/>
                <w:szCs w:val="14"/>
                <w:color w:val="auto"/>
              </w:rPr>
            </w:pPr>
          </w:p>
        </w:tc>
        <w:tc>
          <w:tcPr>
            <w:tcW w:w="6900" w:type="dxa"/>
            <w:vAlign w:val="bottom"/>
            <w:gridSpan w:val="2"/>
            <w:shd w:val="clear" w:color="auto" w:fill="CCEEFF"/>
          </w:tcPr>
          <w:p>
            <w:pPr>
              <w:jc w:val="center"/>
              <w:ind w:right="1730"/>
              <w:spacing w:after="0" w:line="170" w:lineRule="exact"/>
              <w:rPr>
                <w:sz w:val="20"/>
                <w:szCs w:val="20"/>
                <w:color w:val="auto"/>
              </w:rPr>
            </w:pPr>
            <w:r>
              <w:rPr>
                <w:rFonts w:ascii="Arial" w:cs="Arial" w:eastAsia="Arial" w:hAnsi="Arial"/>
                <w:sz w:val="18"/>
                <w:szCs w:val="18"/>
                <w:b w:val="1"/>
                <w:bCs w:val="1"/>
                <w:color w:val="auto"/>
              </w:rPr>
              <w:t>LIABILITIES AND SHAREHOLDERS’ EQUITY</w:t>
            </w:r>
          </w:p>
        </w:tc>
        <w:tc>
          <w:tcPr>
            <w:tcW w:w="26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86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9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40" w:type="dxa"/>
            <w:vAlign w:val="bottom"/>
          </w:tcPr>
          <w:p>
            <w:pPr>
              <w:spacing w:after="0"/>
              <w:rPr>
                <w:sz w:val="14"/>
                <w:szCs w:val="14"/>
                <w:color w:val="auto"/>
              </w:rPr>
            </w:pPr>
          </w:p>
        </w:tc>
      </w:tr>
      <w:tr>
        <w:trPr>
          <w:trHeight w:val="216"/>
        </w:trPr>
        <w:tc>
          <w:tcPr>
            <w:tcW w:w="8700" w:type="dxa"/>
            <w:vAlign w:val="bottom"/>
            <w:gridSpan w:val="8"/>
          </w:tcPr>
          <w:p>
            <w:pPr>
              <w:spacing w:after="0"/>
              <w:rPr>
                <w:sz w:val="20"/>
                <w:szCs w:val="20"/>
                <w:color w:val="auto"/>
              </w:rPr>
            </w:pPr>
            <w:r>
              <w:rPr>
                <w:rFonts w:ascii="Arial" w:cs="Arial" w:eastAsia="Arial" w:hAnsi="Arial"/>
                <w:sz w:val="18"/>
                <w:szCs w:val="18"/>
                <w:color w:val="auto"/>
              </w:rPr>
              <w:t>Current liabilities:</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shd w:val="clear" w:color="auto" w:fill="CCEEFF"/>
          </w:tcPr>
          <w:p>
            <w:pPr>
              <w:ind w:left="180"/>
              <w:spacing w:after="0"/>
              <w:rPr>
                <w:sz w:val="20"/>
                <w:szCs w:val="20"/>
                <w:color w:val="auto"/>
              </w:rPr>
            </w:pPr>
            <w:r>
              <w:rPr>
                <w:rFonts w:ascii="Arial" w:cs="Arial" w:eastAsia="Arial" w:hAnsi="Arial"/>
                <w:sz w:val="18"/>
                <w:szCs w:val="18"/>
                <w:color w:val="auto"/>
              </w:rPr>
              <w:t>Accounts payable</w:t>
            </w:r>
          </w:p>
        </w:tc>
        <w:tc>
          <w:tcPr>
            <w:tcW w:w="46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261,208</w:t>
            </w:r>
          </w:p>
        </w:tc>
        <w:tc>
          <w:tcPr>
            <w:tcW w:w="280" w:type="dxa"/>
            <w:vAlign w:val="bottom"/>
            <w:shd w:val="clear" w:color="auto" w:fill="CCEEFF"/>
          </w:tcPr>
          <w:p>
            <w:pPr>
              <w:spacing w:after="0"/>
              <w:rPr>
                <w:sz w:val="18"/>
                <w:szCs w:val="18"/>
                <w:color w:val="auto"/>
              </w:rPr>
            </w:pP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240,497</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tcPr>
          <w:p>
            <w:pPr>
              <w:ind w:left="180"/>
              <w:spacing w:after="0"/>
              <w:rPr>
                <w:sz w:val="20"/>
                <w:szCs w:val="20"/>
                <w:color w:val="auto"/>
              </w:rPr>
            </w:pPr>
            <w:r>
              <w:rPr>
                <w:rFonts w:ascii="Arial" w:cs="Arial" w:eastAsia="Arial" w:hAnsi="Arial"/>
                <w:sz w:val="18"/>
                <w:szCs w:val="18"/>
                <w:color w:val="auto"/>
              </w:rPr>
              <w:t>Accrued liabilities</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128,462</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268,849</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shd w:val="clear" w:color="auto" w:fill="CCEEFF"/>
          </w:tcPr>
          <w:p>
            <w:pPr>
              <w:ind w:left="180"/>
              <w:spacing w:after="0"/>
              <w:rPr>
                <w:sz w:val="20"/>
                <w:szCs w:val="20"/>
                <w:color w:val="auto"/>
              </w:rPr>
            </w:pPr>
            <w:r>
              <w:rPr>
                <w:rFonts w:ascii="Arial" w:cs="Arial" w:eastAsia="Arial" w:hAnsi="Arial"/>
                <w:sz w:val="18"/>
                <w:szCs w:val="18"/>
                <w:color w:val="auto"/>
              </w:rPr>
              <w:t>Accrued employee compensation</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110,104</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108,895</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tcPr>
          <w:p>
            <w:pPr>
              <w:ind w:left="180"/>
              <w:spacing w:after="0"/>
              <w:rPr>
                <w:sz w:val="20"/>
                <w:szCs w:val="20"/>
                <w:color w:val="auto"/>
              </w:rPr>
            </w:pPr>
            <w:r>
              <w:rPr>
                <w:rFonts w:ascii="Arial" w:cs="Arial" w:eastAsia="Arial" w:hAnsi="Arial"/>
                <w:sz w:val="18"/>
                <w:szCs w:val="18"/>
                <w:color w:val="auto"/>
              </w:rPr>
              <w:t>Income taxes payable</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21,138</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29,078</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shd w:val="clear" w:color="auto" w:fill="CCEEFF"/>
          </w:tcPr>
          <w:p>
            <w:pPr>
              <w:ind w:left="180"/>
              <w:spacing w:after="0"/>
              <w:rPr>
                <w:sz w:val="20"/>
                <w:szCs w:val="20"/>
                <w:color w:val="auto"/>
              </w:rPr>
            </w:pPr>
            <w:r>
              <w:rPr>
                <w:rFonts w:ascii="Arial" w:cs="Arial" w:eastAsia="Arial" w:hAnsi="Arial"/>
                <w:sz w:val="18"/>
                <w:szCs w:val="18"/>
                <w:color w:val="auto"/>
              </w:rPr>
              <w:t>Deferred income</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54,777</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46,459</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tcBorders>
              <w:bottom w:val="single" w:sz="8" w:color="CCEEFF"/>
            </w:tcBorders>
            <w:gridSpan w:val="8"/>
          </w:tcPr>
          <w:p>
            <w:pPr>
              <w:ind w:left="180"/>
              <w:spacing w:after="0"/>
              <w:rPr>
                <w:sz w:val="20"/>
                <w:szCs w:val="20"/>
                <w:color w:val="auto"/>
              </w:rPr>
            </w:pPr>
            <w:r>
              <w:rPr>
                <w:rFonts w:ascii="Arial" w:cs="Arial" w:eastAsia="Arial" w:hAnsi="Arial"/>
                <w:sz w:val="18"/>
                <w:szCs w:val="18"/>
                <w:color w:val="auto"/>
              </w:rPr>
              <w:t>Current portion of capital lease obligations</w:t>
            </w:r>
          </w:p>
        </w:tc>
        <w:tc>
          <w:tcPr>
            <w:tcW w:w="26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4,471</w:t>
            </w:r>
          </w:p>
        </w:tc>
        <w:tc>
          <w:tcPr>
            <w:tcW w:w="28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17,408</w:t>
            </w:r>
          </w:p>
        </w:tc>
        <w:tc>
          <w:tcPr>
            <w:tcW w:w="8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8700" w:type="dxa"/>
            <w:vAlign w:val="bottom"/>
            <w:gridSpan w:val="8"/>
            <w:shd w:val="clear" w:color="auto" w:fill="CCEEFF"/>
          </w:tcPr>
          <w:p>
            <w:pPr>
              <w:ind w:left="360"/>
              <w:spacing w:after="0"/>
              <w:rPr>
                <w:sz w:val="20"/>
                <w:szCs w:val="20"/>
                <w:color w:val="auto"/>
              </w:rPr>
            </w:pPr>
            <w:r>
              <w:rPr>
                <w:rFonts w:ascii="Arial" w:cs="Arial" w:eastAsia="Arial" w:hAnsi="Arial"/>
                <w:sz w:val="18"/>
                <w:szCs w:val="18"/>
                <w:color w:val="auto"/>
              </w:rPr>
              <w:t>Total current liabilities</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580,160</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711,186</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tcPr>
          <w:p>
            <w:pPr>
              <w:spacing w:after="0"/>
              <w:rPr>
                <w:sz w:val="20"/>
                <w:szCs w:val="20"/>
                <w:color w:val="auto"/>
              </w:rPr>
            </w:pPr>
            <w:r>
              <w:rPr>
                <w:rFonts w:ascii="Arial" w:cs="Arial" w:eastAsia="Arial" w:hAnsi="Arial"/>
                <w:sz w:val="18"/>
                <w:szCs w:val="18"/>
                <w:color w:val="auto"/>
              </w:rPr>
              <w:t>Capital lease obligations, net of current portion</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9,104</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17,096</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128,645</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116,777</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tcPr>
          <w:p>
            <w:pPr>
              <w:spacing w:after="0"/>
              <w:rPr>
                <w:sz w:val="20"/>
                <w:szCs w:val="20"/>
                <w:color w:val="auto"/>
              </w:rPr>
            </w:pPr>
            <w:r>
              <w:rPr>
                <w:rFonts w:ascii="Arial" w:cs="Arial" w:eastAsia="Arial" w:hAnsi="Arial"/>
                <w:sz w:val="18"/>
                <w:szCs w:val="18"/>
                <w:color w:val="auto"/>
              </w:rPr>
              <w:t>Term loan obligations, long-term portion</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392,750</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394,750</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26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42,345</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60,707</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8700" w:type="dxa"/>
            <w:vAlign w:val="bottom"/>
            <w:tcBorders>
              <w:bottom w:val="single" w:sz="8" w:color="CCEEFF"/>
            </w:tcBorders>
            <w:gridSpan w:val="8"/>
          </w:tcPr>
          <w:p>
            <w:pPr>
              <w:ind w:left="360"/>
              <w:spacing w:after="0"/>
              <w:rPr>
                <w:sz w:val="20"/>
                <w:szCs w:val="20"/>
                <w:color w:val="auto"/>
              </w:rPr>
            </w:pPr>
            <w:r>
              <w:rPr>
                <w:rFonts w:ascii="Arial" w:cs="Arial" w:eastAsia="Arial" w:hAnsi="Arial"/>
                <w:sz w:val="18"/>
                <w:szCs w:val="18"/>
                <w:color w:val="auto"/>
              </w:rPr>
              <w:t>Total liabilities</w:t>
            </w:r>
          </w:p>
        </w:tc>
        <w:tc>
          <w:tcPr>
            <w:tcW w:w="26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1,153,004</w:t>
            </w:r>
          </w:p>
        </w:tc>
        <w:tc>
          <w:tcPr>
            <w:tcW w:w="28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1,300,516</w:t>
            </w:r>
          </w:p>
        </w:tc>
        <w:tc>
          <w:tcPr>
            <w:tcW w:w="8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196"/>
        </w:trPr>
        <w:tc>
          <w:tcPr>
            <w:tcW w:w="8700" w:type="dxa"/>
            <w:vAlign w:val="bottom"/>
            <w:gridSpan w:val="8"/>
            <w:shd w:val="clear" w:color="auto" w:fill="CCEEFF"/>
          </w:tcPr>
          <w:p>
            <w:pPr>
              <w:spacing w:after="0" w:line="196" w:lineRule="exact"/>
              <w:rPr>
                <w:sz w:val="20"/>
                <w:szCs w:val="20"/>
                <w:color w:val="auto"/>
              </w:rPr>
            </w:pPr>
            <w:r>
              <w:rPr>
                <w:rFonts w:ascii="Arial" w:cs="Arial" w:eastAsia="Arial" w:hAnsi="Arial"/>
                <w:sz w:val="18"/>
                <w:szCs w:val="18"/>
                <w:color w:val="auto"/>
              </w:rPr>
              <w:t>Commitments and contingencies (Note 6)</w:t>
            </w:r>
          </w:p>
        </w:tc>
        <w:tc>
          <w:tcPr>
            <w:tcW w:w="2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r>
      <w:tr>
        <w:trPr>
          <w:trHeight w:val="216"/>
        </w:trPr>
        <w:tc>
          <w:tcPr>
            <w:tcW w:w="8700" w:type="dxa"/>
            <w:vAlign w:val="bottom"/>
            <w:gridSpan w:val="8"/>
          </w:tcPr>
          <w:p>
            <w:pPr>
              <w:spacing w:after="0"/>
              <w:rPr>
                <w:sz w:val="20"/>
                <w:szCs w:val="20"/>
                <w:color w:val="auto"/>
              </w:rPr>
            </w:pPr>
            <w:r>
              <w:rPr>
                <w:rFonts w:ascii="Arial" w:cs="Arial" w:eastAsia="Arial" w:hAnsi="Arial"/>
                <w:sz w:val="18"/>
                <w:szCs w:val="18"/>
                <w:color w:val="auto"/>
              </w:rPr>
              <w:t>Shareholders’ equity:</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shd w:val="clear" w:color="auto" w:fill="CCEEFF"/>
          </w:tcPr>
          <w:p>
            <w:pPr>
              <w:ind w:left="180"/>
              <w:spacing w:after="0"/>
              <w:rPr>
                <w:sz w:val="20"/>
                <w:szCs w:val="20"/>
                <w:color w:val="auto"/>
              </w:rPr>
            </w:pPr>
            <w:r>
              <w:rPr>
                <w:rFonts w:ascii="Arial" w:cs="Arial" w:eastAsia="Arial" w:hAnsi="Arial"/>
                <w:sz w:val="18"/>
                <w:szCs w:val="18"/>
                <w:color w:val="auto"/>
              </w:rPr>
              <w:t>Common stock</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1,176</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1,175</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tcPr>
          <w:p>
            <w:pPr>
              <w:ind w:left="180"/>
              <w:spacing w:after="0"/>
              <w:rPr>
                <w:sz w:val="20"/>
                <w:szCs w:val="20"/>
                <w:color w:val="auto"/>
              </w:rPr>
            </w:pPr>
            <w:r>
              <w:rPr>
                <w:rFonts w:ascii="Arial" w:cs="Arial" w:eastAsia="Arial" w:hAnsi="Arial"/>
                <w:sz w:val="18"/>
                <w:szCs w:val="18"/>
                <w:color w:val="auto"/>
              </w:rPr>
              <w:t>Additional paid-in capital</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3,911,782</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3,802,509</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shd w:val="clear" w:color="auto" w:fill="CCEEFF"/>
          </w:tcPr>
          <w:p>
            <w:pPr>
              <w:ind w:left="180"/>
              <w:spacing w:after="0"/>
              <w:rPr>
                <w:sz w:val="20"/>
                <w:szCs w:val="20"/>
                <w:color w:val="auto"/>
              </w:rPr>
            </w:pPr>
            <w:r>
              <w:rPr>
                <w:rFonts w:ascii="Arial" w:cs="Arial" w:eastAsia="Arial" w:hAnsi="Arial"/>
                <w:sz w:val="18"/>
                <w:szCs w:val="18"/>
                <w:color w:val="auto"/>
              </w:rPr>
              <w:t>Accumulated other comprehensive income</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352</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w:t>
            </w:r>
          </w:p>
        </w:tc>
        <w:tc>
          <w:tcPr>
            <w:tcW w:w="8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8700" w:type="dxa"/>
            <w:vAlign w:val="bottom"/>
            <w:gridSpan w:val="8"/>
          </w:tcPr>
          <w:p>
            <w:pPr>
              <w:ind w:left="180"/>
              <w:spacing w:after="0"/>
              <w:rPr>
                <w:sz w:val="20"/>
                <w:szCs w:val="20"/>
                <w:color w:val="auto"/>
              </w:rPr>
            </w:pPr>
            <w:r>
              <w:rPr>
                <w:rFonts w:ascii="Arial" w:cs="Arial" w:eastAsia="Arial" w:hAnsi="Arial"/>
                <w:sz w:val="18"/>
                <w:szCs w:val="18"/>
                <w:color w:val="auto"/>
              </w:rPr>
              <w:t>Accumulated deficit</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(685,812)</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0" w:type="dxa"/>
            <w:vAlign w:val="bottom"/>
            <w:gridSpan w:val="2"/>
          </w:tcPr>
          <w:p>
            <w:pPr>
              <w:jc w:val="right"/>
              <w:ind w:right="20"/>
              <w:spacing w:after="0"/>
              <w:rPr>
                <w:sz w:val="20"/>
                <w:szCs w:val="20"/>
                <w:color w:val="auto"/>
              </w:rPr>
            </w:pPr>
            <w:r>
              <w:rPr>
                <w:rFonts w:ascii="Arial" w:cs="Arial" w:eastAsia="Arial" w:hAnsi="Arial"/>
                <w:sz w:val="18"/>
                <w:szCs w:val="18"/>
                <w:color w:val="auto"/>
              </w:rPr>
              <w:t>(576,528)</w:t>
            </w:r>
          </w:p>
        </w:tc>
        <w:tc>
          <w:tcPr>
            <w:tcW w:w="40" w:type="dxa"/>
            <w:vAlign w:val="bottom"/>
          </w:tcPr>
          <w:p>
            <w:pPr>
              <w:spacing w:after="0"/>
              <w:rPr>
                <w:sz w:val="18"/>
                <w:szCs w:val="18"/>
                <w:color w:val="auto"/>
              </w:rPr>
            </w:pPr>
          </w:p>
        </w:tc>
      </w:tr>
      <w:tr>
        <w:trPr>
          <w:trHeight w:val="210"/>
        </w:trPr>
        <w:tc>
          <w:tcPr>
            <w:tcW w:w="8700" w:type="dxa"/>
            <w:vAlign w:val="bottom"/>
            <w:tcBorders>
              <w:top w:val="single" w:sz="8" w:color="CCEEFF"/>
            </w:tcBorders>
            <w:gridSpan w:val="8"/>
            <w:shd w:val="clear" w:color="auto" w:fill="CCEEFF"/>
          </w:tcPr>
          <w:p>
            <w:pPr>
              <w:ind w:left="360"/>
              <w:spacing w:after="0"/>
              <w:rPr>
                <w:sz w:val="20"/>
                <w:szCs w:val="20"/>
                <w:color w:val="auto"/>
              </w:rPr>
            </w:pPr>
            <w:r>
              <w:rPr>
                <w:rFonts w:ascii="Arial" w:cs="Arial" w:eastAsia="Arial" w:hAnsi="Arial"/>
                <w:sz w:val="18"/>
                <w:szCs w:val="18"/>
                <w:color w:val="auto"/>
              </w:rPr>
              <w:t>Total shareholders’ equity</w:t>
            </w:r>
          </w:p>
        </w:tc>
        <w:tc>
          <w:tcPr>
            <w:tcW w:w="2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3,227,498</w:t>
            </w:r>
          </w:p>
        </w:tc>
        <w:tc>
          <w:tcPr>
            <w:tcW w:w="2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3,227,184</w:t>
            </w:r>
          </w:p>
        </w:tc>
        <w:tc>
          <w:tcPr>
            <w:tcW w:w="8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8700" w:type="dxa"/>
            <w:vAlign w:val="bottom"/>
            <w:gridSpan w:val="8"/>
          </w:tcPr>
          <w:p>
            <w:pPr>
              <w:ind w:left="360"/>
              <w:spacing w:after="0"/>
              <w:rPr>
                <w:sz w:val="20"/>
                <w:szCs w:val="20"/>
                <w:color w:val="auto"/>
              </w:rPr>
            </w:pPr>
            <w:r>
              <w:rPr>
                <w:rFonts w:ascii="Arial" w:cs="Arial" w:eastAsia="Arial" w:hAnsi="Arial"/>
                <w:sz w:val="18"/>
                <w:szCs w:val="18"/>
                <w:color w:val="auto"/>
              </w:rPr>
              <w:t>Total liabilities and shareholders’ equity</w:t>
            </w:r>
          </w:p>
        </w:tc>
        <w:tc>
          <w:tcPr>
            <w:tcW w:w="260" w:type="dxa"/>
            <w:vAlign w:val="bottom"/>
          </w:tcPr>
          <w:p>
            <w:pPr>
              <w:spacing w:after="0"/>
              <w:rPr>
                <w:sz w:val="18"/>
                <w:szCs w:val="18"/>
                <w:color w:val="auto"/>
              </w:rPr>
            </w:pPr>
          </w:p>
        </w:tc>
        <w:tc>
          <w:tcPr>
            <w:tcW w:w="2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4,380,502</w:t>
            </w:r>
          </w:p>
        </w:tc>
        <w:tc>
          <w:tcPr>
            <w:tcW w:w="28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4,527,700</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0"/>
        </w:trPr>
        <w:tc>
          <w:tcPr>
            <w:tcW w:w="5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1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-6544945</wp:posOffset>
            </wp:positionV>
            <wp:extent cx="12700"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-6544945</wp:posOffset>
            </wp:positionV>
            <wp:extent cx="1270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32"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00" w:lineRule="exact"/>
        <w:rPr>
          <w:sz w:val="20"/>
          <w:szCs w:val="20"/>
          <w:color w:val="auto"/>
        </w:rPr>
      </w:pPr>
    </w:p>
    <w:p>
      <w:pPr>
        <w:spacing w:after="0" w:line="24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20"/>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5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58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180" w:type="dxa"/>
            <w:vAlign w:val="bottom"/>
            <w:gridSpan w:val="4"/>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c>
          <w:tcPr>
            <w:tcW w:w="260" w:type="dxa"/>
            <w:vAlign w:val="bottom"/>
          </w:tcPr>
          <w:p>
            <w:pPr>
              <w:spacing w:after="0"/>
              <w:rPr>
                <w:sz w:val="14"/>
                <w:szCs w:val="14"/>
                <w:color w:val="auto"/>
              </w:rPr>
            </w:pPr>
          </w:p>
        </w:tc>
        <w:tc>
          <w:tcPr>
            <w:tcW w:w="2440" w:type="dxa"/>
            <w:vAlign w:val="bottom"/>
            <w:gridSpan w:val="4"/>
          </w:tcPr>
          <w:p>
            <w:pPr>
              <w:ind w:left="60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580" w:type="dxa"/>
            <w:vAlign w:val="bottom"/>
          </w:tcPr>
          <w:p>
            <w:pPr>
              <w:spacing w:after="0"/>
              <w:rPr>
                <w:sz w:val="8"/>
                <w:szCs w:val="8"/>
                <w:color w:val="auto"/>
              </w:rPr>
            </w:pPr>
          </w:p>
        </w:tc>
        <w:tc>
          <w:tcPr>
            <w:tcW w:w="176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1160" w:type="dxa"/>
            <w:vAlign w:val="bottom"/>
            <w:tcBorders>
              <w:top w:val="single" w:sz="8" w:color="auto"/>
            </w:tcBorders>
            <w:gridSpan w:val="2"/>
          </w:tcPr>
          <w:p>
            <w:pPr>
              <w:ind w:left="100"/>
              <w:spacing w:after="0" w:line="102" w:lineRule="exact"/>
              <w:rPr>
                <w:sz w:val="20"/>
                <w:szCs w:val="20"/>
                <w:color w:val="auto"/>
              </w:rPr>
            </w:pPr>
            <w:r>
              <w:rPr>
                <w:rFonts w:ascii="Arial" w:cs="Arial" w:eastAsia="Arial" w:hAnsi="Arial"/>
                <w:sz w:val="11"/>
                <w:szCs w:val="11"/>
                <w:b w:val="1"/>
                <w:bCs w:val="1"/>
                <w:color w:val="auto"/>
              </w:rPr>
              <w:t>July 28,</w:t>
            </w:r>
          </w:p>
        </w:tc>
        <w:tc>
          <w:tcPr>
            <w:tcW w:w="180" w:type="dxa"/>
            <w:vAlign w:val="bottom"/>
            <w:tcBorders>
              <w:top w:val="single" w:sz="8" w:color="auto"/>
            </w:tcBorders>
          </w:tcPr>
          <w:p>
            <w:pPr>
              <w:spacing w:after="0"/>
              <w:rPr>
                <w:sz w:val="8"/>
                <w:szCs w:val="8"/>
                <w:color w:val="auto"/>
              </w:rPr>
            </w:pPr>
          </w:p>
        </w:tc>
        <w:tc>
          <w:tcPr>
            <w:tcW w:w="840" w:type="dxa"/>
            <w:vAlign w:val="bottom"/>
            <w:tcBorders>
              <w:top w:val="single" w:sz="8" w:color="auto"/>
            </w:tcBorders>
          </w:tcPr>
          <w:p>
            <w:pPr>
              <w:jc w:val="right"/>
              <w:ind w:right="200"/>
              <w:spacing w:after="0" w:line="102" w:lineRule="exact"/>
              <w:rPr>
                <w:sz w:val="20"/>
                <w:szCs w:val="20"/>
                <w:color w:val="auto"/>
              </w:rPr>
            </w:pPr>
            <w:r>
              <w:rPr>
                <w:rFonts w:ascii="Arial" w:cs="Arial" w:eastAsia="Arial" w:hAnsi="Arial"/>
                <w:sz w:val="11"/>
                <w:szCs w:val="11"/>
                <w:b w:val="1"/>
                <w:bCs w:val="1"/>
                <w:color w:val="auto"/>
              </w:rPr>
              <w:t>July 29,</w:t>
            </w:r>
          </w:p>
        </w:tc>
        <w:tc>
          <w:tcPr>
            <w:tcW w:w="260" w:type="dxa"/>
            <w:vAlign w:val="bottom"/>
          </w:tcPr>
          <w:p>
            <w:pPr>
              <w:spacing w:after="0"/>
              <w:rPr>
                <w:sz w:val="8"/>
                <w:szCs w:val="8"/>
                <w:color w:val="auto"/>
              </w:rPr>
            </w:pPr>
          </w:p>
        </w:tc>
        <w:tc>
          <w:tcPr>
            <w:tcW w:w="1040" w:type="dxa"/>
            <w:vAlign w:val="bottom"/>
            <w:tcBorders>
              <w:top w:val="single" w:sz="8" w:color="auto"/>
            </w:tcBorders>
          </w:tcPr>
          <w:p>
            <w:pPr>
              <w:jc w:val="right"/>
              <w:ind w:right="216"/>
              <w:spacing w:after="0" w:line="102" w:lineRule="exact"/>
              <w:rPr>
                <w:sz w:val="20"/>
                <w:szCs w:val="20"/>
                <w:color w:val="auto"/>
              </w:rPr>
            </w:pPr>
            <w:r>
              <w:rPr>
                <w:rFonts w:ascii="Arial" w:cs="Arial" w:eastAsia="Arial" w:hAnsi="Arial"/>
                <w:sz w:val="11"/>
                <w:szCs w:val="11"/>
                <w:b w:val="1"/>
                <w:bCs w:val="1"/>
                <w:color w:val="auto"/>
              </w:rPr>
              <w:t>July 28,</w:t>
            </w:r>
          </w:p>
        </w:tc>
        <w:tc>
          <w:tcPr>
            <w:tcW w:w="280" w:type="dxa"/>
            <w:vAlign w:val="bottom"/>
            <w:tcBorders>
              <w:top w:val="single" w:sz="8" w:color="auto"/>
            </w:tcBorders>
          </w:tcPr>
          <w:p>
            <w:pPr>
              <w:spacing w:after="0"/>
              <w:rPr>
                <w:sz w:val="8"/>
                <w:szCs w:val="8"/>
                <w:color w:val="auto"/>
              </w:rPr>
            </w:pPr>
          </w:p>
        </w:tc>
        <w:tc>
          <w:tcPr>
            <w:tcW w:w="1040" w:type="dxa"/>
            <w:vAlign w:val="bottom"/>
            <w:tcBorders>
              <w:top w:val="single" w:sz="8" w:color="auto"/>
            </w:tcBorders>
          </w:tcPr>
          <w:p>
            <w:pPr>
              <w:jc w:val="right"/>
              <w:ind w:right="223"/>
              <w:spacing w:after="0" w:line="102" w:lineRule="exact"/>
              <w:rPr>
                <w:sz w:val="20"/>
                <w:szCs w:val="20"/>
                <w:color w:val="auto"/>
              </w:rPr>
            </w:pPr>
            <w:r>
              <w:rPr>
                <w:rFonts w:ascii="Arial" w:cs="Arial" w:eastAsia="Arial" w:hAnsi="Arial"/>
                <w:sz w:val="11"/>
                <w:szCs w:val="11"/>
                <w:b w:val="1"/>
                <w:bCs w:val="1"/>
                <w:color w:val="auto"/>
              </w:rPr>
              <w:t>July 29,</w:t>
            </w:r>
          </w:p>
        </w:tc>
        <w:tc>
          <w:tcPr>
            <w:tcW w:w="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458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60" w:type="dxa"/>
            <w:vAlign w:val="bottom"/>
          </w:tcPr>
          <w:p>
            <w:pPr>
              <w:jc w:val="right"/>
              <w:ind w:right="302"/>
              <w:spacing w:after="0"/>
              <w:rPr>
                <w:sz w:val="20"/>
                <w:szCs w:val="20"/>
                <w:color w:val="auto"/>
              </w:rPr>
            </w:pPr>
            <w:r>
              <w:rPr>
                <w:rFonts w:ascii="Arial" w:cs="Arial" w:eastAsia="Arial" w:hAnsi="Arial"/>
                <w:sz w:val="14"/>
                <w:szCs w:val="14"/>
                <w:b w:val="1"/>
                <w:bCs w:val="1"/>
                <w:color w:val="auto"/>
              </w:rPr>
              <w:t>2007</w:t>
            </w: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40" w:type="dxa"/>
            <w:vAlign w:val="bottom"/>
          </w:tcPr>
          <w:p>
            <w:pPr>
              <w:jc w:val="right"/>
              <w:ind w:right="300"/>
              <w:spacing w:after="0"/>
              <w:rPr>
                <w:sz w:val="20"/>
                <w:szCs w:val="20"/>
                <w:color w:val="auto"/>
              </w:rPr>
            </w:pPr>
            <w:r>
              <w:rPr>
                <w:rFonts w:ascii="Arial" w:cs="Arial" w:eastAsia="Arial" w:hAnsi="Arial"/>
                <w:sz w:val="14"/>
                <w:szCs w:val="14"/>
                <w:b w:val="1"/>
                <w:bCs w:val="1"/>
                <w:color w:val="auto"/>
              </w:rPr>
              <w:t>2006</w:t>
            </w:r>
          </w:p>
        </w:tc>
        <w:tc>
          <w:tcPr>
            <w:tcW w:w="1300" w:type="dxa"/>
            <w:vAlign w:val="bottom"/>
            <w:gridSpan w:val="2"/>
          </w:tcPr>
          <w:p>
            <w:pPr>
              <w:jc w:val="right"/>
              <w:ind w:right="316"/>
              <w:spacing w:after="0"/>
              <w:rPr>
                <w:sz w:val="20"/>
                <w:szCs w:val="20"/>
                <w:color w:val="auto"/>
              </w:rPr>
            </w:pPr>
            <w:r>
              <w:rPr>
                <w:rFonts w:ascii="Arial" w:cs="Arial" w:eastAsia="Arial" w:hAnsi="Arial"/>
                <w:sz w:val="14"/>
                <w:szCs w:val="14"/>
                <w:b w:val="1"/>
                <w:bCs w:val="1"/>
                <w:color w:val="auto"/>
              </w:rPr>
              <w:t>2007</w:t>
            </w:r>
          </w:p>
        </w:tc>
        <w:tc>
          <w:tcPr>
            <w:tcW w:w="1320" w:type="dxa"/>
            <w:vAlign w:val="bottom"/>
            <w:gridSpan w:val="2"/>
          </w:tcPr>
          <w:p>
            <w:pPr>
              <w:jc w:val="right"/>
              <w:ind w:right="323"/>
              <w:spacing w:after="0"/>
              <w:rPr>
                <w:sz w:val="20"/>
                <w:szCs w:val="20"/>
                <w:color w:val="auto"/>
              </w:rPr>
            </w:pPr>
            <w:r>
              <w:rPr>
                <w:rFonts w:ascii="Arial" w:cs="Arial" w:eastAsia="Arial" w:hAnsi="Arial"/>
                <w:sz w:val="14"/>
                <w:szCs w:val="14"/>
                <w:b w:val="1"/>
                <w:bCs w:val="1"/>
                <w:color w:val="auto"/>
              </w:rPr>
              <w:t>2006</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vMerge w:val="restart"/>
          </w:tcPr>
          <w:p>
            <w:pPr>
              <w:spacing w:after="0"/>
              <w:rPr>
                <w:sz w:val="11"/>
                <w:szCs w:val="11"/>
                <w:color w:val="auto"/>
              </w:rPr>
            </w:pPr>
          </w:p>
        </w:tc>
        <w:tc>
          <w:tcPr>
            <w:tcW w:w="4580" w:type="dxa"/>
            <w:vAlign w:val="bottom"/>
          </w:tcPr>
          <w:p>
            <w:pPr>
              <w:spacing w:after="0"/>
              <w:rPr>
                <w:sz w:val="11"/>
                <w:szCs w:val="11"/>
                <w:color w:val="auto"/>
              </w:rPr>
            </w:pPr>
          </w:p>
        </w:tc>
        <w:tc>
          <w:tcPr>
            <w:tcW w:w="1760" w:type="dxa"/>
            <w:vAlign w:val="bottom"/>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860" w:type="dxa"/>
            <w:vAlign w:val="bottom"/>
            <w:tcBorders>
              <w:top w:val="single" w:sz="8" w:color="auto"/>
            </w:tcBorders>
          </w:tcPr>
          <w:p>
            <w:pPr>
              <w:spacing w:after="0"/>
              <w:rPr>
                <w:sz w:val="11"/>
                <w:szCs w:val="11"/>
                <w:color w:val="auto"/>
              </w:rPr>
            </w:pPr>
          </w:p>
        </w:tc>
        <w:tc>
          <w:tcPr>
            <w:tcW w:w="300" w:type="dxa"/>
            <w:vAlign w:val="bottom"/>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840" w:type="dxa"/>
            <w:vAlign w:val="bottom"/>
            <w:tcBorders>
              <w:top w:val="single" w:sz="8" w:color="auto"/>
            </w:tcBorders>
          </w:tcPr>
          <w:p>
            <w:pPr>
              <w:spacing w:after="0"/>
              <w:rPr>
                <w:sz w:val="11"/>
                <w:szCs w:val="11"/>
                <w:color w:val="auto"/>
              </w:rPr>
            </w:pPr>
          </w:p>
        </w:tc>
        <w:tc>
          <w:tcPr>
            <w:tcW w:w="260" w:type="dxa"/>
            <w:vAlign w:val="bottom"/>
          </w:tcPr>
          <w:p>
            <w:pPr>
              <w:spacing w:after="0"/>
              <w:rPr>
                <w:sz w:val="11"/>
                <w:szCs w:val="11"/>
                <w:color w:val="auto"/>
              </w:rPr>
            </w:pPr>
          </w:p>
        </w:tc>
        <w:tc>
          <w:tcPr>
            <w:tcW w:w="1040" w:type="dxa"/>
            <w:vAlign w:val="bottom"/>
            <w:tcBorders>
              <w:top w:val="single" w:sz="8" w:color="auto"/>
            </w:tcBorders>
          </w:tcPr>
          <w:p>
            <w:pPr>
              <w:spacing w:after="0"/>
              <w:rPr>
                <w:sz w:val="11"/>
                <w:szCs w:val="11"/>
                <w:color w:val="auto"/>
              </w:rPr>
            </w:pPr>
          </w:p>
        </w:tc>
        <w:tc>
          <w:tcPr>
            <w:tcW w:w="280" w:type="dxa"/>
            <w:vAlign w:val="bottom"/>
          </w:tcPr>
          <w:p>
            <w:pPr>
              <w:spacing w:after="0"/>
              <w:rPr>
                <w:sz w:val="11"/>
                <w:szCs w:val="11"/>
                <w:color w:val="auto"/>
              </w:rPr>
            </w:pPr>
          </w:p>
        </w:tc>
        <w:tc>
          <w:tcPr>
            <w:tcW w:w="1040" w:type="dxa"/>
            <w:vAlign w:val="bottom"/>
            <w:tcBorders>
              <w:top w:val="single" w:sz="8" w:color="auto"/>
            </w:tcBorders>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9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656,711</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573,985</w:t>
            </w:r>
          </w:p>
        </w:tc>
        <w:tc>
          <w:tcPr>
            <w:tcW w:w="1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1,291,761</w:t>
            </w:r>
          </w:p>
        </w:tc>
        <w:tc>
          <w:tcPr>
            <w:tcW w:w="1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1,095,181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7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Cost of goods sold</w:t>
            </w:r>
          </w:p>
        </w:tc>
        <w:tc>
          <w:tcPr>
            <w:tcW w:w="17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335,530</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279,075</w:t>
            </w:r>
          </w:p>
        </w:tc>
        <w:tc>
          <w:tcPr>
            <w:tcW w:w="1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662,947</w:t>
            </w:r>
          </w:p>
        </w:tc>
        <w:tc>
          <w:tcPr>
            <w:tcW w:w="1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519,308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580" w:type="dxa"/>
            <w:vAlign w:val="bottom"/>
          </w:tcPr>
          <w:p>
            <w:pPr>
              <w:ind w:left="160"/>
              <w:spacing w:after="0"/>
              <w:rPr>
                <w:sz w:val="20"/>
                <w:szCs w:val="20"/>
                <w:color w:val="auto"/>
              </w:rPr>
            </w:pPr>
            <w:r>
              <w:rPr>
                <w:rFonts w:ascii="Arial" w:cs="Arial" w:eastAsia="Arial" w:hAnsi="Arial"/>
                <w:sz w:val="18"/>
                <w:szCs w:val="18"/>
                <w:color w:val="auto"/>
              </w:rPr>
              <w:t>Research and development and other</w:t>
            </w:r>
          </w:p>
        </w:tc>
        <w:tc>
          <w:tcPr>
            <w:tcW w:w="17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236,194</w:t>
            </w:r>
          </w:p>
        </w:tc>
        <w:tc>
          <w:tcPr>
            <w:tcW w:w="3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152,645</w:t>
            </w:r>
          </w:p>
        </w:tc>
        <w:tc>
          <w:tcPr>
            <w:tcW w:w="1300" w:type="dxa"/>
            <w:vAlign w:val="bottom"/>
            <w:gridSpan w:val="2"/>
          </w:tcPr>
          <w:p>
            <w:pPr>
              <w:jc w:val="right"/>
              <w:spacing w:after="0"/>
              <w:rPr>
                <w:sz w:val="20"/>
                <w:szCs w:val="20"/>
                <w:color w:val="auto"/>
              </w:rPr>
            </w:pPr>
            <w:r>
              <w:rPr>
                <w:rFonts w:ascii="Arial" w:cs="Arial" w:eastAsia="Arial" w:hAnsi="Arial"/>
                <w:sz w:val="18"/>
                <w:szCs w:val="18"/>
                <w:color w:val="auto"/>
              </w:rPr>
              <w:t>470,327</w:t>
            </w:r>
          </w:p>
        </w:tc>
        <w:tc>
          <w:tcPr>
            <w:tcW w:w="1320" w:type="dxa"/>
            <w:vAlign w:val="bottom"/>
            <w:gridSpan w:val="2"/>
          </w:tcPr>
          <w:p>
            <w:pPr>
              <w:jc w:val="right"/>
              <w:spacing w:after="0"/>
              <w:rPr>
                <w:sz w:val="20"/>
                <w:szCs w:val="20"/>
                <w:color w:val="auto"/>
              </w:rPr>
            </w:pPr>
            <w:r>
              <w:rPr>
                <w:rFonts w:ascii="Arial" w:cs="Arial" w:eastAsia="Arial" w:hAnsi="Arial"/>
                <w:sz w:val="18"/>
                <w:szCs w:val="18"/>
                <w:color w:val="auto"/>
              </w:rPr>
              <w:t>281,873</w:t>
            </w: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ectPr>
          <w:pgSz w:w="11900" w:h="16838" w:orient="portrait"/>
          <w:cols w:equalWidth="0" w:num="1">
            <w:col w:w="11460"/>
          </w:cols>
          <w:pgMar w:left="240" w:top="108" w:right="199" w:bottom="0" w:gutter="0" w:footer="0" w:header="0"/>
        </w:sectPr>
      </w:pPr>
    </w:p>
    <w:bookmarkStart w:id="2" w:name="page3"/>
    <w:bookmarkEnd w:id="2"/>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57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6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53,942</w:t>
            </w: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39,267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104,334</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78,129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6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6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33,775</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19,689</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57,763</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38,247</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60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37,293</w:t>
            </w:r>
          </w:p>
        </w:tc>
        <w:tc>
          <w:tcPr>
            <w:tcW w:w="30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27,405</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74,613</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44,756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76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operating costs and expenses</w:t>
            </w:r>
          </w:p>
        </w:tc>
        <w:tc>
          <w:tcPr>
            <w:tcW w:w="60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696,734</w:t>
            </w:r>
          </w:p>
        </w:tc>
        <w:tc>
          <w:tcPr>
            <w:tcW w:w="30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518,081</w:t>
            </w:r>
          </w:p>
        </w:tc>
        <w:tc>
          <w:tcPr>
            <w:tcW w:w="16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1,369,984</w:t>
            </w:r>
          </w:p>
        </w:tc>
        <w:tc>
          <w:tcPr>
            <w:tcW w:w="18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962,313</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760" w:type="dxa"/>
            <w:vAlign w:val="bottom"/>
            <w:shd w:val="clear" w:color="auto" w:fill="CCEEFF"/>
          </w:tcPr>
          <w:p>
            <w:pPr>
              <w:spacing w:after="0"/>
              <w:rPr>
                <w:sz w:val="20"/>
                <w:szCs w:val="20"/>
                <w:color w:val="auto"/>
              </w:rPr>
            </w:pPr>
            <w:r>
              <w:rPr>
                <w:rFonts w:ascii="Arial" w:cs="Arial" w:eastAsia="Arial" w:hAnsi="Arial"/>
                <w:sz w:val="18"/>
                <w:szCs w:val="18"/>
                <w:color w:val="auto"/>
              </w:rPr>
              <w:t>Operating (loss) income</w:t>
            </w:r>
          </w:p>
        </w:tc>
        <w:tc>
          <w:tcPr>
            <w:tcW w:w="6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(40,023)</w:t>
            </w: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55,904</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(78,223)</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132,868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60" w:type="dxa"/>
            <w:vAlign w:val="bottom"/>
          </w:tcPr>
          <w:p>
            <w:pPr>
              <w:spacing w:after="0"/>
              <w:rPr>
                <w:sz w:val="20"/>
                <w:szCs w:val="20"/>
                <w:color w:val="auto"/>
              </w:rPr>
            </w:pPr>
            <w:r>
              <w:rPr>
                <w:rFonts w:ascii="Arial" w:cs="Arial" w:eastAsia="Arial" w:hAnsi="Arial"/>
                <w:sz w:val="18"/>
                <w:szCs w:val="18"/>
                <w:color w:val="auto"/>
              </w:rPr>
              <w:t>Interest and other income (expense)</w:t>
            </w:r>
          </w:p>
        </w:tc>
        <w:tc>
          <w:tcPr>
            <w:tcW w:w="6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3,128</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1,714</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4,447</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9,929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6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6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(9,942)</w:t>
            </w:r>
          </w:p>
        </w:tc>
        <w:tc>
          <w:tcPr>
            <w:tcW w:w="2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(623)</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(19,917)</w:t>
            </w: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(1,222)</w:t>
            </w:r>
          </w:p>
        </w:tc>
        <w:tc>
          <w:tcPr>
            <w:tcW w:w="0" w:type="dxa"/>
            <w:vAlign w:val="bottom"/>
          </w:tcPr>
          <w:p>
            <w:pPr>
              <w:spacing w:after="0"/>
              <w:rPr>
                <w:sz w:val="1"/>
                <w:szCs w:val="1"/>
                <w:color w:val="auto"/>
              </w:rPr>
            </w:pPr>
          </w:p>
        </w:tc>
      </w:tr>
      <w:tr>
        <w:trPr>
          <w:trHeight w:val="210"/>
        </w:trPr>
        <w:tc>
          <w:tcPr>
            <w:tcW w:w="5760" w:type="dxa"/>
            <w:vAlign w:val="bottom"/>
          </w:tcPr>
          <w:p>
            <w:pPr>
              <w:spacing w:after="0"/>
              <w:rPr>
                <w:sz w:val="20"/>
                <w:szCs w:val="20"/>
                <w:color w:val="auto"/>
              </w:rPr>
            </w:pPr>
            <w:r>
              <w:rPr>
                <w:rFonts w:ascii="Arial" w:cs="Arial" w:eastAsia="Arial" w:hAnsi="Arial"/>
                <w:sz w:val="18"/>
                <w:szCs w:val="18"/>
                <w:color w:val="auto"/>
              </w:rPr>
              <w:t>(Loss) income before income taxes</w:t>
            </w:r>
          </w:p>
        </w:tc>
        <w:tc>
          <w:tcPr>
            <w:tcW w:w="600" w:type="dxa"/>
            <w:vAlign w:val="bottom"/>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7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(46,837)</w:t>
            </w:r>
          </w:p>
        </w:tc>
        <w:tc>
          <w:tcPr>
            <w:tcW w:w="300" w:type="dxa"/>
            <w:vAlign w:val="bottom"/>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7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56,995</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8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(93,693)</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7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141,575</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60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9,619</w:t>
            </w:r>
          </w:p>
        </w:tc>
        <w:tc>
          <w:tcPr>
            <w:tcW w:w="30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12,114</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15,591</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27,977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760" w:type="dxa"/>
            <w:vAlign w:val="bottom"/>
          </w:tcPr>
          <w:p>
            <w:pPr>
              <w:spacing w:after="0"/>
              <w:rPr>
                <w:sz w:val="20"/>
                <w:szCs w:val="20"/>
                <w:color w:val="auto"/>
              </w:rPr>
            </w:pPr>
            <w:r>
              <w:rPr>
                <w:rFonts w:ascii="Arial" w:cs="Arial" w:eastAsia="Arial" w:hAnsi="Arial"/>
                <w:sz w:val="18"/>
                <w:szCs w:val="18"/>
                <w:color w:val="auto"/>
              </w:rPr>
              <w:t>(Loss) income before change in accounting principle</w:t>
            </w:r>
          </w:p>
        </w:tc>
        <w:tc>
          <w:tcPr>
            <w:tcW w:w="6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(56,456)</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44,881</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(109,284)</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113,598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60" w:type="dxa"/>
            <w:vAlign w:val="bottom"/>
            <w:shd w:val="clear" w:color="auto" w:fill="CCEEFF"/>
          </w:tcPr>
          <w:p>
            <w:pPr>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6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8,846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576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Net (loss) income</w:t>
            </w:r>
          </w:p>
        </w:tc>
        <w:tc>
          <w:tcPr>
            <w:tcW w:w="600" w:type="dxa"/>
            <w:vAlign w:val="bottom"/>
            <w:tcBorders>
              <w:bottom w:val="single" w:sz="8" w:color="CCEEFF"/>
            </w:tcBorders>
          </w:tcPr>
          <w:p>
            <w:pPr>
              <w:spacing w:after="0"/>
              <w:rPr>
                <w:sz w:val="21"/>
                <w:szCs w:val="21"/>
                <w:color w:val="auto"/>
              </w:rPr>
            </w:pPr>
          </w:p>
        </w:tc>
        <w:tc>
          <w:tcPr>
            <w:tcW w:w="260" w:type="dxa"/>
            <w:vAlign w:val="bottom"/>
            <w:tcBorders>
              <w:top w:val="single" w:sz="8" w:color="auto"/>
              <w:bottom w:val="single" w:sz="8" w:color="auto"/>
            </w:tcBorders>
          </w:tcPr>
          <w:p>
            <w:pPr>
              <w:jc w:val="right"/>
              <w:ind w:right="10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(56,456)</w:t>
            </w:r>
          </w:p>
        </w:tc>
        <w:tc>
          <w:tcPr>
            <w:tcW w:w="300" w:type="dxa"/>
            <w:vAlign w:val="bottom"/>
            <w:tcBorders>
              <w:bottom w:val="single" w:sz="8" w:color="CCEEFF"/>
            </w:tcBorders>
          </w:tcPr>
          <w:p>
            <w:pPr>
              <w:spacing w:after="0"/>
              <w:rPr>
                <w:sz w:val="21"/>
                <w:szCs w:val="21"/>
                <w:color w:val="auto"/>
              </w:rPr>
            </w:pPr>
          </w:p>
        </w:tc>
        <w:tc>
          <w:tcPr>
            <w:tcW w:w="260" w:type="dxa"/>
            <w:vAlign w:val="bottom"/>
            <w:tcBorders>
              <w:top w:val="single" w:sz="8" w:color="auto"/>
              <w:bottom w:val="single" w:sz="8" w:color="auto"/>
            </w:tcBorders>
          </w:tcPr>
          <w:p>
            <w:pPr>
              <w:jc w:val="right"/>
              <w:ind w:right="105"/>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44,881</w:t>
            </w:r>
          </w:p>
        </w:tc>
        <w:tc>
          <w:tcPr>
            <w:tcW w:w="160" w:type="dxa"/>
            <w:vAlign w:val="bottom"/>
            <w:tcBorders>
              <w:bottom w:val="single" w:sz="8" w:color="CCEEFF"/>
            </w:tcBorders>
          </w:tcPr>
          <w:p>
            <w:pPr>
              <w:spacing w:after="0"/>
              <w:rPr>
                <w:sz w:val="21"/>
                <w:szCs w:val="21"/>
                <w:color w:val="auto"/>
              </w:rPr>
            </w:pPr>
          </w:p>
        </w:tc>
        <w:tc>
          <w:tcPr>
            <w:tcW w:w="100" w:type="dxa"/>
            <w:vAlign w:val="bottom"/>
            <w:tcBorders>
              <w:bottom w:val="single" w:sz="8" w:color="CCEEFF"/>
            </w:tcBorders>
          </w:tcPr>
          <w:p>
            <w:pPr>
              <w:spacing w:after="0"/>
              <w:rPr>
                <w:sz w:val="21"/>
                <w:szCs w:val="21"/>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(109,284</w:t>
            </w:r>
          </w:p>
        </w:tc>
        <w:tc>
          <w:tcPr>
            <w:tcW w:w="180" w:type="dxa"/>
            <w:vAlign w:val="bottom"/>
            <w:tcBorders>
              <w:bottom w:val="single" w:sz="8" w:color="CCEEFF"/>
            </w:tcBorders>
          </w:tcPr>
          <w:p>
            <w:pPr>
              <w:jc w:val="right"/>
              <w:ind w:right="40"/>
              <w:spacing w:after="0"/>
              <w:rPr>
                <w:sz w:val="20"/>
                <w:szCs w:val="20"/>
                <w:color w:val="auto"/>
              </w:rPr>
            </w:pPr>
            <w:r>
              <w:rPr>
                <w:rFonts w:ascii="Arial" w:cs="Arial" w:eastAsia="Arial" w:hAnsi="Arial"/>
                <w:sz w:val="16"/>
                <w:szCs w:val="16"/>
                <w:color w:val="auto"/>
                <w:w w:val="74"/>
              </w:rPr>
              <w:t>)</w:t>
            </w:r>
          </w:p>
        </w:tc>
        <w:tc>
          <w:tcPr>
            <w:tcW w:w="100" w:type="dxa"/>
            <w:vAlign w:val="bottom"/>
            <w:tcBorders>
              <w:bottom w:val="single" w:sz="8" w:color="CCEEFF"/>
            </w:tcBorders>
          </w:tcPr>
          <w:p>
            <w:pPr>
              <w:spacing w:after="0"/>
              <w:rPr>
                <w:sz w:val="21"/>
                <w:szCs w:val="21"/>
                <w:color w:val="auto"/>
              </w:rPr>
            </w:pPr>
          </w:p>
        </w:tc>
        <w:tc>
          <w:tcPr>
            <w:tcW w:w="260" w:type="dxa"/>
            <w:vAlign w:val="bottom"/>
            <w:tcBorders>
              <w:top w:val="single" w:sz="8" w:color="auto"/>
              <w:bottom w:val="single" w:sz="8" w:color="auto"/>
            </w:tcBorders>
          </w:tcPr>
          <w:p>
            <w:pPr>
              <w:jc w:val="right"/>
              <w:ind w:right="10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122,444</w:t>
            </w:r>
          </w:p>
        </w:tc>
        <w:tc>
          <w:tcPr>
            <w:tcW w:w="8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70"/>
        </w:trPr>
        <w:tc>
          <w:tcPr>
            <w:tcW w:w="5760" w:type="dxa"/>
            <w:vAlign w:val="bottom"/>
            <w:shd w:val="clear" w:color="auto" w:fill="CCEEFF"/>
          </w:tcPr>
          <w:p>
            <w:pPr>
              <w:spacing w:after="0" w:line="170" w:lineRule="exact"/>
              <w:rPr>
                <w:sz w:val="20"/>
                <w:szCs w:val="20"/>
                <w:color w:val="auto"/>
              </w:rPr>
            </w:pPr>
            <w:r>
              <w:rPr>
                <w:rFonts w:ascii="Arial" w:cs="Arial" w:eastAsia="Arial" w:hAnsi="Arial"/>
                <w:sz w:val="18"/>
                <w:szCs w:val="18"/>
                <w:color w:val="auto"/>
              </w:rPr>
              <w:t>Basic (loss) income per share:</w:t>
            </w:r>
          </w:p>
        </w:tc>
        <w:tc>
          <w:tcPr>
            <w:tcW w:w="60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780" w:type="dxa"/>
            <w:vAlign w:val="bottom"/>
            <w:shd w:val="clear" w:color="auto" w:fill="CCEEFF"/>
          </w:tcPr>
          <w:p>
            <w:pPr>
              <w:spacing w:after="0"/>
              <w:rPr>
                <w:sz w:val="14"/>
                <w:szCs w:val="14"/>
                <w:color w:val="auto"/>
              </w:rPr>
            </w:pPr>
          </w:p>
        </w:tc>
        <w:tc>
          <w:tcPr>
            <w:tcW w:w="30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76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84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7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5760" w:type="dxa"/>
            <w:vAlign w:val="bottom"/>
          </w:tcPr>
          <w:p>
            <w:pPr>
              <w:ind w:left="180"/>
              <w:spacing w:after="0"/>
              <w:rPr>
                <w:sz w:val="20"/>
                <w:szCs w:val="20"/>
                <w:color w:val="auto"/>
              </w:rPr>
            </w:pPr>
            <w:r>
              <w:rPr>
                <w:rFonts w:ascii="Arial" w:cs="Arial" w:eastAsia="Arial" w:hAnsi="Arial"/>
                <w:sz w:val="18"/>
                <w:szCs w:val="18"/>
                <w:color w:val="auto"/>
              </w:rPr>
              <w:t>(Loss) income before change in accounting principle</w:t>
            </w:r>
          </w:p>
        </w:tc>
        <w:tc>
          <w:tcPr>
            <w:tcW w:w="860" w:type="dxa"/>
            <w:vAlign w:val="bottom"/>
            <w:gridSpan w:val="2"/>
          </w:tcPr>
          <w:p>
            <w:pPr>
              <w:jc w:val="right"/>
              <w:ind w:right="105"/>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240"/>
              <w:spacing w:after="0"/>
              <w:rPr>
                <w:sz w:val="20"/>
                <w:szCs w:val="20"/>
                <w:color w:val="auto"/>
              </w:rPr>
            </w:pPr>
            <w:r>
              <w:rPr>
                <w:rFonts w:ascii="Arial" w:cs="Arial" w:eastAsia="Arial" w:hAnsi="Arial"/>
                <w:sz w:val="18"/>
                <w:szCs w:val="18"/>
                <w:color w:val="auto"/>
              </w:rPr>
              <w:t>(0.10)</w:t>
            </w:r>
          </w:p>
        </w:tc>
        <w:tc>
          <w:tcPr>
            <w:tcW w:w="260" w:type="dxa"/>
            <w:vAlign w:val="bottom"/>
          </w:tcPr>
          <w:p>
            <w:pPr>
              <w:jc w:val="right"/>
              <w:ind w:right="105"/>
              <w:spacing w:after="0"/>
              <w:rPr>
                <w:sz w:val="20"/>
                <w:szCs w:val="20"/>
                <w:color w:val="auto"/>
              </w:rPr>
            </w:pPr>
            <w:r>
              <w:rPr>
                <w:rFonts w:ascii="Arial" w:cs="Arial" w:eastAsia="Arial" w:hAnsi="Arial"/>
                <w:sz w:val="15"/>
                <w:szCs w:val="15"/>
                <w:color w:val="auto"/>
                <w:w w:val="71"/>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0.08</w:t>
            </w:r>
          </w:p>
        </w:tc>
        <w:tc>
          <w:tcPr>
            <w:tcW w:w="160" w:type="dxa"/>
            <w:vAlign w:val="bottom"/>
          </w:tcPr>
          <w:p>
            <w:pPr>
              <w:spacing w:after="0"/>
              <w:rPr>
                <w:sz w:val="18"/>
                <w:szCs w:val="18"/>
                <w:color w:val="auto"/>
              </w:rPr>
            </w:pPr>
          </w:p>
        </w:tc>
        <w:tc>
          <w:tcPr>
            <w:tcW w:w="300" w:type="dxa"/>
            <w:vAlign w:val="bottom"/>
            <w:gridSpan w:val="2"/>
          </w:tcPr>
          <w:p>
            <w:pPr>
              <w:jc w:val="right"/>
              <w:ind w:right="10"/>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40"/>
              <w:spacing w:after="0"/>
              <w:rPr>
                <w:sz w:val="20"/>
                <w:szCs w:val="20"/>
                <w:color w:val="auto"/>
              </w:rPr>
            </w:pPr>
            <w:r>
              <w:rPr>
                <w:rFonts w:ascii="Arial" w:cs="Arial" w:eastAsia="Arial" w:hAnsi="Arial"/>
                <w:sz w:val="18"/>
                <w:szCs w:val="18"/>
                <w:color w:val="auto"/>
              </w:rPr>
              <w:t>(0.19)</w:t>
            </w:r>
          </w:p>
        </w:tc>
        <w:tc>
          <w:tcPr>
            <w:tcW w:w="360" w:type="dxa"/>
            <w:vAlign w:val="bottom"/>
            <w:gridSpan w:val="2"/>
          </w:tcPr>
          <w:p>
            <w:pPr>
              <w:jc w:val="right"/>
              <w:ind w:right="105"/>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0.19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6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576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Basic net (loss) income per share</w:t>
            </w:r>
          </w:p>
        </w:tc>
        <w:tc>
          <w:tcPr>
            <w:tcW w:w="600" w:type="dxa"/>
            <w:vAlign w:val="bottom"/>
            <w:tcBorders>
              <w:bottom w:val="single" w:sz="8" w:color="CCEEFF"/>
            </w:tcBorders>
          </w:tcPr>
          <w:p>
            <w:pPr>
              <w:spacing w:after="0"/>
              <w:rPr>
                <w:sz w:val="21"/>
                <w:szCs w:val="21"/>
                <w:color w:val="auto"/>
              </w:rPr>
            </w:pPr>
          </w:p>
        </w:tc>
        <w:tc>
          <w:tcPr>
            <w:tcW w:w="260" w:type="dxa"/>
            <w:vAlign w:val="bottom"/>
            <w:tcBorders>
              <w:top w:val="single" w:sz="8" w:color="auto"/>
              <w:bottom w:val="single" w:sz="8" w:color="auto"/>
            </w:tcBorders>
          </w:tcPr>
          <w:p>
            <w:pPr>
              <w:jc w:val="right"/>
              <w:ind w:right="10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(0.10)</w:t>
            </w:r>
          </w:p>
        </w:tc>
        <w:tc>
          <w:tcPr>
            <w:tcW w:w="300" w:type="dxa"/>
            <w:vAlign w:val="bottom"/>
            <w:tcBorders>
              <w:bottom w:val="single" w:sz="8" w:color="CCEEFF"/>
            </w:tcBorders>
          </w:tcPr>
          <w:p>
            <w:pPr>
              <w:spacing w:after="0"/>
              <w:rPr>
                <w:sz w:val="21"/>
                <w:szCs w:val="21"/>
                <w:color w:val="auto"/>
              </w:rPr>
            </w:pPr>
          </w:p>
        </w:tc>
        <w:tc>
          <w:tcPr>
            <w:tcW w:w="260" w:type="dxa"/>
            <w:vAlign w:val="bottom"/>
            <w:tcBorders>
              <w:top w:val="single" w:sz="8" w:color="auto"/>
              <w:bottom w:val="single" w:sz="8" w:color="auto"/>
            </w:tcBorders>
          </w:tcPr>
          <w:p>
            <w:pPr>
              <w:jc w:val="right"/>
              <w:ind w:right="105"/>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0.08</w:t>
            </w:r>
          </w:p>
        </w:tc>
        <w:tc>
          <w:tcPr>
            <w:tcW w:w="160" w:type="dxa"/>
            <w:vAlign w:val="bottom"/>
            <w:tcBorders>
              <w:bottom w:val="single" w:sz="8" w:color="CCEEFF"/>
            </w:tcBorders>
          </w:tcPr>
          <w:p>
            <w:pPr>
              <w:spacing w:after="0"/>
              <w:rPr>
                <w:sz w:val="21"/>
                <w:szCs w:val="21"/>
                <w:color w:val="auto"/>
              </w:rPr>
            </w:pPr>
          </w:p>
        </w:tc>
        <w:tc>
          <w:tcPr>
            <w:tcW w:w="100" w:type="dxa"/>
            <w:vAlign w:val="bottom"/>
            <w:tcBorders>
              <w:bottom w:val="single" w:sz="8" w:color="CCEEFF"/>
            </w:tcBorders>
          </w:tcPr>
          <w:p>
            <w:pPr>
              <w:spacing w:after="0"/>
              <w:rPr>
                <w:sz w:val="21"/>
                <w:szCs w:val="21"/>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(0.19)</w:t>
            </w:r>
          </w:p>
        </w:tc>
        <w:tc>
          <w:tcPr>
            <w:tcW w:w="180" w:type="dxa"/>
            <w:vAlign w:val="bottom"/>
            <w:tcBorders>
              <w:bottom w:val="single" w:sz="8" w:color="CCEEFF"/>
            </w:tcBorders>
          </w:tcPr>
          <w:p>
            <w:pPr>
              <w:spacing w:after="0"/>
              <w:rPr>
                <w:sz w:val="21"/>
                <w:szCs w:val="21"/>
                <w:color w:val="auto"/>
              </w:rPr>
            </w:pPr>
          </w:p>
        </w:tc>
        <w:tc>
          <w:tcPr>
            <w:tcW w:w="100" w:type="dxa"/>
            <w:vAlign w:val="bottom"/>
            <w:tcBorders>
              <w:bottom w:val="single" w:sz="8" w:color="CCEEFF"/>
            </w:tcBorders>
          </w:tcPr>
          <w:p>
            <w:pPr>
              <w:spacing w:after="0"/>
              <w:rPr>
                <w:sz w:val="21"/>
                <w:szCs w:val="21"/>
                <w:color w:val="auto"/>
              </w:rPr>
            </w:pPr>
          </w:p>
        </w:tc>
        <w:tc>
          <w:tcPr>
            <w:tcW w:w="260" w:type="dxa"/>
            <w:vAlign w:val="bottom"/>
            <w:tcBorders>
              <w:top w:val="single" w:sz="8" w:color="auto"/>
              <w:bottom w:val="single" w:sz="8" w:color="auto"/>
            </w:tcBorders>
          </w:tcPr>
          <w:p>
            <w:pPr>
              <w:jc w:val="right"/>
              <w:ind w:right="10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0.21</w:t>
            </w:r>
          </w:p>
        </w:tc>
        <w:tc>
          <w:tcPr>
            <w:tcW w:w="8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5760" w:type="dxa"/>
            <w:vAlign w:val="bottom"/>
            <w:shd w:val="clear" w:color="auto" w:fill="CCEEFF"/>
          </w:tcPr>
          <w:p>
            <w:pPr>
              <w:spacing w:after="0" w:line="190" w:lineRule="exact"/>
              <w:rPr>
                <w:sz w:val="20"/>
                <w:szCs w:val="20"/>
                <w:color w:val="auto"/>
              </w:rPr>
            </w:pPr>
            <w:r>
              <w:rPr>
                <w:rFonts w:ascii="Arial" w:cs="Arial" w:eastAsia="Arial" w:hAnsi="Arial"/>
                <w:sz w:val="18"/>
                <w:szCs w:val="18"/>
                <w:color w:val="auto"/>
              </w:rPr>
              <w:t>Shares used in basic per share computation</w:t>
            </w:r>
          </w:p>
        </w:tc>
        <w:tc>
          <w:tcPr>
            <w:tcW w:w="6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587,534</w:t>
            </w:r>
          </w:p>
        </w:tc>
        <w:tc>
          <w:tcPr>
            <w:tcW w:w="3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586,133</w:t>
            </w:r>
          </w:p>
        </w:tc>
        <w:tc>
          <w:tcPr>
            <w:tcW w:w="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84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587,480</w:t>
            </w: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rPr>
              <w:t>584,918</w:t>
            </w: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760" w:type="dxa"/>
            <w:vAlign w:val="bottom"/>
          </w:tcPr>
          <w:p>
            <w:pPr>
              <w:spacing w:after="0"/>
              <w:rPr>
                <w:sz w:val="20"/>
                <w:szCs w:val="20"/>
                <w:color w:val="auto"/>
              </w:rPr>
            </w:pPr>
            <w:r>
              <w:rPr>
                <w:rFonts w:ascii="Arial" w:cs="Arial" w:eastAsia="Arial" w:hAnsi="Arial"/>
                <w:sz w:val="18"/>
                <w:szCs w:val="18"/>
                <w:color w:val="auto"/>
              </w:rPr>
              <w:t>Diluted (loss) income per share:</w:t>
            </w:r>
          </w:p>
        </w:tc>
        <w:tc>
          <w:tcPr>
            <w:tcW w:w="6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(Loss) income before change in accounting principle</w:t>
            </w:r>
          </w:p>
        </w:tc>
        <w:tc>
          <w:tcPr>
            <w:tcW w:w="860" w:type="dxa"/>
            <w:vAlign w:val="bottom"/>
            <w:gridSpan w:val="2"/>
            <w:shd w:val="clear" w:color="auto" w:fill="CCEEFF"/>
          </w:tcPr>
          <w:p>
            <w:pPr>
              <w:jc w:val="right"/>
              <w:ind w:right="105"/>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(0.10)</w:t>
            </w: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0.07</w:t>
            </w:r>
          </w:p>
        </w:tc>
        <w:tc>
          <w:tcPr>
            <w:tcW w:w="16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(0.19)</w:t>
            </w:r>
          </w:p>
        </w:tc>
        <w:tc>
          <w:tcPr>
            <w:tcW w:w="360" w:type="dxa"/>
            <w:vAlign w:val="bottom"/>
            <w:gridSpan w:val="2"/>
            <w:shd w:val="clear" w:color="auto" w:fill="CCEEFF"/>
          </w:tcPr>
          <w:p>
            <w:pPr>
              <w:jc w:val="right"/>
              <w:ind w:right="105"/>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60" w:type="dxa"/>
            <w:vAlign w:val="bottom"/>
          </w:tcPr>
          <w:p>
            <w:pPr>
              <w:ind w:left="180"/>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6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0.01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76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Diluted net (loss) income per share</w:t>
            </w:r>
          </w:p>
        </w:tc>
        <w:tc>
          <w:tcPr>
            <w:tcW w:w="600" w:type="dxa"/>
            <w:vAlign w:val="bottom"/>
            <w:tcBorders>
              <w:top w:val="single" w:sz="8" w:color="CCEEFF"/>
              <w:bottom w:val="single" w:sz="8" w:color="CCEEFF"/>
            </w:tcBorders>
            <w:shd w:val="clear" w:color="auto" w:fill="CCEEFF"/>
          </w:tcPr>
          <w:p>
            <w:pPr>
              <w:spacing w:after="0"/>
              <w:rPr>
                <w:sz w:val="18"/>
                <w:szCs w:val="18"/>
                <w:color w:val="auto"/>
              </w:rPr>
            </w:pPr>
          </w:p>
        </w:tc>
        <w:tc>
          <w:tcPr>
            <w:tcW w:w="260" w:type="dxa"/>
            <w:vAlign w:val="bottom"/>
            <w:tcBorders>
              <w:top w:val="single" w:sz="8" w:color="auto"/>
              <w:bottom w:val="single" w:sz="8" w:color="auto"/>
            </w:tcBorders>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(0.10)</w:t>
            </w:r>
          </w:p>
        </w:tc>
        <w:tc>
          <w:tcPr>
            <w:tcW w:w="300" w:type="dxa"/>
            <w:vAlign w:val="bottom"/>
            <w:tcBorders>
              <w:top w:val="single" w:sz="8" w:color="CCEEFF"/>
              <w:bottom w:val="single" w:sz="8" w:color="CCEEFF"/>
            </w:tcBorders>
            <w:shd w:val="clear" w:color="auto" w:fill="CCEEFF"/>
          </w:tcPr>
          <w:p>
            <w:pPr>
              <w:spacing w:after="0"/>
              <w:rPr>
                <w:sz w:val="18"/>
                <w:szCs w:val="18"/>
                <w:color w:val="auto"/>
              </w:rPr>
            </w:pPr>
          </w:p>
        </w:tc>
        <w:tc>
          <w:tcPr>
            <w:tcW w:w="260" w:type="dxa"/>
            <w:vAlign w:val="bottom"/>
            <w:tcBorders>
              <w:top w:val="single" w:sz="8" w:color="auto"/>
              <w:bottom w:val="single" w:sz="8" w:color="auto"/>
            </w:tcBorders>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0.07</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60" w:type="dxa"/>
            <w:vAlign w:val="bottom"/>
            <w:tcBorders>
              <w:top w:val="single" w:sz="8" w:color="auto"/>
              <w:bottom w:val="single" w:sz="8" w:color="auto"/>
            </w:tcBorders>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760" w:type="dxa"/>
            <w:vAlign w:val="bottom"/>
            <w:vMerge w:val="restart"/>
          </w:tcPr>
          <w:p>
            <w:pPr>
              <w:spacing w:after="0"/>
              <w:rPr>
                <w:sz w:val="20"/>
                <w:szCs w:val="20"/>
                <w:color w:val="auto"/>
              </w:rPr>
            </w:pPr>
            <w:r>
              <w:rPr>
                <w:rFonts w:ascii="Arial" w:cs="Arial" w:eastAsia="Arial" w:hAnsi="Arial"/>
                <w:sz w:val="18"/>
                <w:szCs w:val="18"/>
                <w:color w:val="auto"/>
              </w:rPr>
              <w:t>Shares used in diluted per share computation</w:t>
            </w:r>
          </w:p>
        </w:tc>
        <w:tc>
          <w:tcPr>
            <w:tcW w:w="6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300" w:type="dxa"/>
            <w:vAlign w:val="bottom"/>
            <w:vMerge w:val="restart"/>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60" w:type="dxa"/>
            <w:vAlign w:val="bottom"/>
            <w:vMerge w:val="restart"/>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180" w:type="dxa"/>
            <w:vAlign w:val="bottom"/>
            <w:vMerge w:val="restart"/>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5760" w:type="dxa"/>
            <w:vAlign w:val="bottom"/>
            <w:vMerge w:val="continue"/>
          </w:tcPr>
          <w:p>
            <w:pPr>
              <w:spacing w:after="0"/>
              <w:rPr>
                <w:sz w:val="18"/>
                <w:szCs w:val="18"/>
                <w:color w:val="auto"/>
              </w:rPr>
            </w:pPr>
          </w:p>
        </w:tc>
        <w:tc>
          <w:tcPr>
            <w:tcW w:w="6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587,534</w:t>
            </w:r>
          </w:p>
        </w:tc>
        <w:tc>
          <w:tcPr>
            <w:tcW w:w="300" w:type="dxa"/>
            <w:vAlign w:val="bottom"/>
            <w:vMerge w:val="continue"/>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633,533</w:t>
            </w:r>
          </w:p>
        </w:tc>
        <w:tc>
          <w:tcPr>
            <w:tcW w:w="16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587,480</w:t>
            </w:r>
          </w:p>
        </w:tc>
        <w:tc>
          <w:tcPr>
            <w:tcW w:w="18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636,524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line="275"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7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80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224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06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20" w:type="dxa"/>
            <w:vAlign w:val="bottom"/>
            <w:tcBorders>
              <w:top w:val="single" w:sz="8" w:color="auto"/>
            </w:tcBorders>
            <w:gridSpan w:val="2"/>
          </w:tcPr>
          <w:p>
            <w:pPr>
              <w:jc w:val="right"/>
              <w:ind w:right="400"/>
              <w:spacing w:after="0" w:line="102" w:lineRule="exact"/>
              <w:rPr>
                <w:sz w:val="20"/>
                <w:szCs w:val="20"/>
                <w:color w:val="auto"/>
              </w:rPr>
            </w:pPr>
            <w:r>
              <w:rPr>
                <w:rFonts w:ascii="Arial" w:cs="Arial" w:eastAsia="Arial" w:hAnsi="Arial"/>
                <w:sz w:val="11"/>
                <w:szCs w:val="11"/>
                <w:b w:val="1"/>
                <w:bCs w:val="1"/>
                <w:color w:val="auto"/>
              </w:rPr>
              <w:t>July 28,</w:t>
            </w:r>
          </w:p>
        </w:tc>
        <w:tc>
          <w:tcPr>
            <w:tcW w:w="100" w:type="dxa"/>
            <w:vAlign w:val="bottom"/>
            <w:tcBorders>
              <w:top w:val="single" w:sz="8" w:color="auto"/>
            </w:tcBorders>
          </w:tcPr>
          <w:p>
            <w:pPr>
              <w:spacing w:after="0"/>
              <w:rPr>
                <w:sz w:val="8"/>
                <w:szCs w:val="8"/>
                <w:color w:val="auto"/>
              </w:rPr>
            </w:pPr>
          </w:p>
        </w:tc>
        <w:tc>
          <w:tcPr>
            <w:tcW w:w="940" w:type="dxa"/>
            <w:vAlign w:val="bottom"/>
            <w:tcBorders>
              <w:top w:val="single" w:sz="8" w:color="auto"/>
            </w:tcBorders>
          </w:tcPr>
          <w:p>
            <w:pPr>
              <w:jc w:val="right"/>
              <w:ind w:right="153"/>
              <w:spacing w:after="0" w:line="102" w:lineRule="exact"/>
              <w:rPr>
                <w:sz w:val="20"/>
                <w:szCs w:val="20"/>
                <w:color w:val="auto"/>
              </w:rPr>
            </w:pPr>
            <w:r>
              <w:rPr>
                <w:rFonts w:ascii="Arial" w:cs="Arial" w:eastAsia="Arial" w:hAnsi="Arial"/>
                <w:sz w:val="11"/>
                <w:szCs w:val="11"/>
                <w:b w:val="1"/>
                <w:bCs w:val="1"/>
                <w:color w:val="auto"/>
              </w:rPr>
              <w:t>July 29,</w:t>
            </w:r>
          </w:p>
        </w:tc>
        <w:tc>
          <w:tcPr>
            <w:tcW w:w="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60" w:type="dxa"/>
            <w:vAlign w:val="bottom"/>
          </w:tcPr>
          <w:p>
            <w:pPr>
              <w:spacing w:after="0"/>
              <w:rPr>
                <w:sz w:val="14"/>
                <w:szCs w:val="14"/>
                <w:color w:val="auto"/>
              </w:rPr>
            </w:pPr>
          </w:p>
        </w:tc>
        <w:tc>
          <w:tcPr>
            <w:tcW w:w="2060" w:type="dxa"/>
            <w:vAlign w:val="bottom"/>
            <w:gridSpan w:val="2"/>
          </w:tcPr>
          <w:p>
            <w:pPr>
              <w:jc w:val="right"/>
              <w:ind w:right="256"/>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4"/>
                <w:szCs w:val="14"/>
                <w:color w:val="auto"/>
              </w:rPr>
            </w:pPr>
          </w:p>
        </w:tc>
        <w:tc>
          <w:tcPr>
            <w:tcW w:w="1040" w:type="dxa"/>
            <w:vAlign w:val="bottom"/>
            <w:gridSpan w:val="2"/>
          </w:tcPr>
          <w:p>
            <w:pPr>
              <w:jc w:val="right"/>
              <w:ind w:right="233"/>
              <w:spacing w:after="0"/>
              <w:rPr>
                <w:sz w:val="20"/>
                <w:szCs w:val="20"/>
                <w:color w:val="auto"/>
              </w:rPr>
            </w:pPr>
            <w:r>
              <w:rPr>
                <w:rFonts w:ascii="Arial" w:cs="Arial" w:eastAsia="Arial" w:hAnsi="Arial"/>
                <w:sz w:val="14"/>
                <w:szCs w:val="14"/>
                <w:b w:val="1"/>
                <w:bCs w:val="1"/>
                <w:color w:val="auto"/>
              </w:rPr>
              <w:t>2006</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80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96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Borders>
              <w:top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0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1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spacing w:after="0"/>
              <w:rPr>
                <w:sz w:val="20"/>
                <w:szCs w:val="20"/>
                <w:color w:val="auto"/>
              </w:rPr>
            </w:pPr>
            <w:r>
              <w:rPr>
                <w:rFonts w:ascii="Arial" w:cs="Arial" w:eastAsia="Arial" w:hAnsi="Arial"/>
                <w:sz w:val="18"/>
                <w:szCs w:val="18"/>
                <w:color w:val="auto"/>
              </w:rPr>
              <w:t>Net (loss) income</w:t>
            </w:r>
          </w:p>
        </w:tc>
        <w:tc>
          <w:tcPr>
            <w:tcW w:w="2220" w:type="dxa"/>
            <w:vAlign w:val="bottom"/>
            <w:gridSpan w:val="3"/>
          </w:tcPr>
          <w:p>
            <w:pPr>
              <w:jc w:val="right"/>
              <w:ind w:right="100"/>
              <w:spacing w:after="0"/>
              <w:rPr>
                <w:sz w:val="20"/>
                <w:szCs w:val="20"/>
                <w:color w:val="auto"/>
              </w:rPr>
            </w:pPr>
            <w:r>
              <w:rPr>
                <w:rFonts w:ascii="Arial" w:cs="Arial" w:eastAsia="Arial" w:hAnsi="Arial"/>
                <w:sz w:val="18"/>
                <w:szCs w:val="18"/>
                <w:color w:val="auto"/>
              </w:rPr>
              <w:t>$   (109,284)</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   122,444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(loss) income to net cash (used in) provided by operating activities:</w:t>
            </w:r>
          </w:p>
        </w:tc>
        <w:tc>
          <w:tcPr>
            <w:tcW w:w="1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160"/>
              <w:spacing w:after="0"/>
              <w:rPr>
                <w:sz w:val="20"/>
                <w:szCs w:val="20"/>
                <w:color w:val="auto"/>
              </w:rPr>
            </w:pPr>
            <w:r>
              <w:rPr>
                <w:rFonts w:ascii="Arial" w:cs="Arial" w:eastAsia="Arial" w:hAnsi="Arial"/>
                <w:sz w:val="18"/>
                <w:szCs w:val="18"/>
                <w:color w:val="auto"/>
              </w:rPr>
              <w:t>Cumulative effect of change in accounting principle, net</w:t>
            </w:r>
          </w:p>
        </w:tc>
        <w:tc>
          <w:tcPr>
            <w:tcW w:w="1100" w:type="dxa"/>
            <w:vAlign w:val="bottom"/>
          </w:tcPr>
          <w:p>
            <w:pPr>
              <w:spacing w:after="0"/>
              <w:rPr>
                <w:sz w:val="18"/>
                <w:szCs w:val="18"/>
                <w:color w:val="auto"/>
              </w:rPr>
            </w:pPr>
          </w:p>
        </w:tc>
        <w:tc>
          <w:tcPr>
            <w:tcW w:w="11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20"/>
              <w:spacing w:after="0"/>
              <w:rPr>
                <w:sz w:val="20"/>
                <w:szCs w:val="20"/>
                <w:color w:val="auto"/>
              </w:rPr>
            </w:pPr>
            <w:r>
              <w:rPr>
                <w:rFonts w:ascii="Arial" w:cs="Arial" w:eastAsia="Arial" w:hAnsi="Arial"/>
                <w:sz w:val="18"/>
                <w:szCs w:val="18"/>
                <w:color w:val="auto"/>
              </w:rPr>
              <w:t>(8,846)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Depreciation and amortization</w:t>
            </w:r>
          </w:p>
        </w:tc>
        <w:tc>
          <w:tcPr>
            <w:tcW w:w="2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52,420</w:t>
            </w:r>
          </w:p>
        </w:tc>
        <w:tc>
          <w:tcPr>
            <w:tcW w:w="1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32,558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160"/>
              <w:spacing w:after="0"/>
              <w:rPr>
                <w:sz w:val="20"/>
                <w:szCs w:val="20"/>
                <w:color w:val="auto"/>
              </w:rPr>
            </w:pPr>
            <w:r>
              <w:rPr>
                <w:rFonts w:ascii="Arial" w:cs="Arial" w:eastAsia="Arial" w:hAnsi="Arial"/>
                <w:sz w:val="18"/>
                <w:szCs w:val="18"/>
                <w:color w:val="auto"/>
              </w:rPr>
              <w:t>Stock-based compensation</w:t>
            </w:r>
          </w:p>
        </w:tc>
        <w:tc>
          <w:tcPr>
            <w:tcW w:w="2060" w:type="dxa"/>
            <w:vAlign w:val="bottom"/>
            <w:gridSpan w:val="2"/>
          </w:tcPr>
          <w:p>
            <w:pPr>
              <w:jc w:val="right"/>
              <w:spacing w:after="0"/>
              <w:rPr>
                <w:sz w:val="20"/>
                <w:szCs w:val="20"/>
                <w:color w:val="auto"/>
              </w:rPr>
            </w:pPr>
            <w:r>
              <w:rPr>
                <w:rFonts w:ascii="Arial" w:cs="Arial" w:eastAsia="Arial" w:hAnsi="Arial"/>
                <w:sz w:val="18"/>
                <w:szCs w:val="18"/>
                <w:color w:val="auto"/>
              </w:rPr>
              <w:t>105,664</w:t>
            </w:r>
          </w:p>
        </w:tc>
        <w:tc>
          <w:tcPr>
            <w:tcW w:w="160" w:type="dxa"/>
            <w:vAlign w:val="bottom"/>
          </w:tcPr>
          <w:p>
            <w:pPr>
              <w:spacing w:after="0"/>
              <w:rPr>
                <w:sz w:val="18"/>
                <w:szCs w:val="18"/>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104,366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Amortization of acquired intangible assets</w:t>
            </w:r>
          </w:p>
        </w:tc>
        <w:tc>
          <w:tcPr>
            <w:tcW w:w="2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74,613</w:t>
            </w:r>
          </w:p>
        </w:tc>
        <w:tc>
          <w:tcPr>
            <w:tcW w:w="1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44,756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160"/>
              <w:spacing w:after="0"/>
              <w:rPr>
                <w:sz w:val="20"/>
                <w:szCs w:val="20"/>
                <w:color w:val="auto"/>
              </w:rPr>
            </w:pPr>
            <w:r>
              <w:rPr>
                <w:rFonts w:ascii="Arial" w:cs="Arial" w:eastAsia="Arial" w:hAnsi="Arial"/>
                <w:sz w:val="18"/>
                <w:szCs w:val="18"/>
                <w:color w:val="auto"/>
              </w:rPr>
              <w:t>Gain from sale of asset under construction</w:t>
            </w:r>
          </w:p>
        </w:tc>
        <w:tc>
          <w:tcPr>
            <w:tcW w:w="2220" w:type="dxa"/>
            <w:vAlign w:val="bottom"/>
            <w:gridSpan w:val="3"/>
          </w:tcPr>
          <w:p>
            <w:pPr>
              <w:jc w:val="right"/>
              <w:ind w:right="100"/>
              <w:spacing w:after="0"/>
              <w:rPr>
                <w:sz w:val="20"/>
                <w:szCs w:val="20"/>
                <w:color w:val="auto"/>
              </w:rPr>
            </w:pPr>
            <w:r>
              <w:rPr>
                <w:rFonts w:ascii="Arial" w:cs="Arial" w:eastAsia="Arial" w:hAnsi="Arial"/>
                <w:sz w:val="18"/>
                <w:szCs w:val="18"/>
                <w:color w:val="auto"/>
              </w:rPr>
              <w:t>(5,122)</w:t>
            </w:r>
          </w:p>
        </w:tc>
        <w:tc>
          <w:tcPr>
            <w:tcW w:w="10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Fair market value adjustment to cost of goods sold from supply contract</w:t>
            </w:r>
          </w:p>
        </w:tc>
        <w:tc>
          <w:tcPr>
            <w:tcW w:w="22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(77,641)</w:t>
            </w: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160"/>
              <w:spacing w:after="0"/>
              <w:rPr>
                <w:sz w:val="20"/>
                <w:szCs w:val="20"/>
                <w:color w:val="auto"/>
              </w:rPr>
            </w:pPr>
            <w:r>
              <w:rPr>
                <w:rFonts w:ascii="Arial" w:cs="Arial" w:eastAsia="Arial" w:hAnsi="Arial"/>
                <w:sz w:val="18"/>
                <w:szCs w:val="18"/>
                <w:color w:val="auto"/>
              </w:rPr>
              <w:t>Interest expense related to supply contract</w:t>
            </w:r>
          </w:p>
        </w:tc>
        <w:tc>
          <w:tcPr>
            <w:tcW w:w="2060" w:type="dxa"/>
            <w:vAlign w:val="bottom"/>
            <w:gridSpan w:val="2"/>
          </w:tcPr>
          <w:p>
            <w:pPr>
              <w:jc w:val="right"/>
              <w:spacing w:after="0"/>
              <w:rPr>
                <w:sz w:val="20"/>
                <w:szCs w:val="20"/>
                <w:color w:val="auto"/>
              </w:rPr>
            </w:pPr>
            <w:r>
              <w:rPr>
                <w:rFonts w:ascii="Arial" w:cs="Arial" w:eastAsia="Arial" w:hAnsi="Arial"/>
                <w:sz w:val="18"/>
                <w:szCs w:val="18"/>
                <w:color w:val="auto"/>
              </w:rPr>
              <w:t>3,023</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Excess tax benefits from stock-based compensation</w:t>
            </w:r>
          </w:p>
        </w:tc>
        <w:tc>
          <w:tcPr>
            <w:tcW w:w="22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(235)</w:t>
            </w:r>
          </w:p>
        </w:tc>
        <w:tc>
          <w:tcPr>
            <w:tcW w:w="11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(860)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160"/>
              <w:spacing w:after="0"/>
              <w:rPr>
                <w:sz w:val="20"/>
                <w:szCs w:val="20"/>
                <w:color w:val="auto"/>
              </w:rPr>
            </w:pPr>
            <w:r>
              <w:rPr>
                <w:rFonts w:ascii="Arial" w:cs="Arial" w:eastAsia="Arial" w:hAnsi="Arial"/>
                <w:sz w:val="18"/>
                <w:szCs w:val="18"/>
                <w:color w:val="auto"/>
              </w:rPr>
              <w:t>Changes in assets and liabilities, net of acquisitions:</w:t>
            </w:r>
          </w:p>
        </w:tc>
        <w:tc>
          <w:tcPr>
            <w:tcW w:w="11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Accounts receivable</w:t>
            </w:r>
          </w:p>
        </w:tc>
        <w:tc>
          <w:tcPr>
            <w:tcW w:w="22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(28,702)</w:t>
            </w:r>
          </w:p>
        </w:tc>
        <w:tc>
          <w:tcPr>
            <w:tcW w:w="11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(97,616)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340"/>
              <w:spacing w:after="0"/>
              <w:rPr>
                <w:sz w:val="20"/>
                <w:szCs w:val="20"/>
                <w:color w:val="auto"/>
              </w:rPr>
            </w:pPr>
            <w:r>
              <w:rPr>
                <w:rFonts w:ascii="Arial" w:cs="Arial" w:eastAsia="Arial" w:hAnsi="Arial"/>
                <w:sz w:val="18"/>
                <w:szCs w:val="18"/>
                <w:color w:val="auto"/>
              </w:rPr>
              <w:t>Inventories</w:t>
            </w:r>
          </w:p>
        </w:tc>
        <w:tc>
          <w:tcPr>
            <w:tcW w:w="2220" w:type="dxa"/>
            <w:vAlign w:val="bottom"/>
            <w:gridSpan w:val="3"/>
          </w:tcPr>
          <w:p>
            <w:pPr>
              <w:jc w:val="right"/>
              <w:ind w:right="100"/>
              <w:spacing w:after="0"/>
              <w:rPr>
                <w:sz w:val="20"/>
                <w:szCs w:val="20"/>
                <w:color w:val="auto"/>
              </w:rPr>
            </w:pPr>
            <w:r>
              <w:rPr>
                <w:rFonts w:ascii="Arial" w:cs="Arial" w:eastAsia="Arial" w:hAnsi="Arial"/>
                <w:sz w:val="18"/>
                <w:szCs w:val="18"/>
                <w:color w:val="auto"/>
              </w:rPr>
              <w:t>(88,748)</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7,082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Prepaid expenses and other asset</w:t>
            </w:r>
          </w:p>
        </w:tc>
        <w:tc>
          <w:tcPr>
            <w:tcW w:w="2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53,992</w:t>
            </w:r>
          </w:p>
        </w:tc>
        <w:tc>
          <w:tcPr>
            <w:tcW w:w="16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(28,484)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340"/>
              <w:spacing w:after="0"/>
              <w:rPr>
                <w:sz w:val="20"/>
                <w:szCs w:val="20"/>
                <w:color w:val="auto"/>
              </w:rPr>
            </w:pPr>
            <w:r>
              <w:rPr>
                <w:rFonts w:ascii="Arial" w:cs="Arial" w:eastAsia="Arial" w:hAnsi="Arial"/>
                <w:sz w:val="18"/>
                <w:szCs w:val="18"/>
                <w:color w:val="auto"/>
              </w:rPr>
              <w:t>Accounts payable</w:t>
            </w:r>
          </w:p>
        </w:tc>
        <w:tc>
          <w:tcPr>
            <w:tcW w:w="2060" w:type="dxa"/>
            <w:vAlign w:val="bottom"/>
            <w:gridSpan w:val="2"/>
          </w:tcPr>
          <w:p>
            <w:pPr>
              <w:jc w:val="right"/>
              <w:spacing w:after="0"/>
              <w:rPr>
                <w:sz w:val="20"/>
                <w:szCs w:val="20"/>
                <w:color w:val="auto"/>
              </w:rPr>
            </w:pPr>
            <w:r>
              <w:rPr>
                <w:rFonts w:ascii="Arial" w:cs="Arial" w:eastAsia="Arial" w:hAnsi="Arial"/>
                <w:sz w:val="18"/>
                <w:szCs w:val="18"/>
                <w:color w:val="auto"/>
              </w:rPr>
              <w:t>22,334</w:t>
            </w:r>
          </w:p>
        </w:tc>
        <w:tc>
          <w:tcPr>
            <w:tcW w:w="160" w:type="dxa"/>
            <w:vAlign w:val="bottom"/>
          </w:tcPr>
          <w:p>
            <w:pPr>
              <w:spacing w:after="0"/>
              <w:rPr>
                <w:sz w:val="18"/>
                <w:szCs w:val="18"/>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15,521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Accrued liabilities and other</w:t>
            </w:r>
          </w:p>
        </w:tc>
        <w:tc>
          <w:tcPr>
            <w:tcW w:w="22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(26,199)</w:t>
            </w: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5,113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340"/>
              <w:spacing w:after="0"/>
              <w:rPr>
                <w:sz w:val="20"/>
                <w:szCs w:val="20"/>
                <w:color w:val="auto"/>
              </w:rPr>
            </w:pPr>
            <w:r>
              <w:rPr>
                <w:rFonts w:ascii="Arial" w:cs="Arial" w:eastAsia="Arial" w:hAnsi="Arial"/>
                <w:sz w:val="18"/>
                <w:szCs w:val="18"/>
                <w:color w:val="auto"/>
              </w:rPr>
              <w:t>Accrued employee compensation</w:t>
            </w:r>
          </w:p>
        </w:tc>
        <w:tc>
          <w:tcPr>
            <w:tcW w:w="2060" w:type="dxa"/>
            <w:vAlign w:val="bottom"/>
            <w:gridSpan w:val="2"/>
          </w:tcPr>
          <w:p>
            <w:pPr>
              <w:jc w:val="right"/>
              <w:spacing w:after="0"/>
              <w:rPr>
                <w:sz w:val="20"/>
                <w:szCs w:val="20"/>
                <w:color w:val="auto"/>
              </w:rPr>
            </w:pPr>
            <w:r>
              <w:rPr>
                <w:rFonts w:ascii="Arial" w:cs="Arial" w:eastAsia="Arial" w:hAnsi="Arial"/>
                <w:sz w:val="18"/>
                <w:szCs w:val="18"/>
                <w:color w:val="auto"/>
              </w:rPr>
              <w:t>855</w:t>
            </w:r>
          </w:p>
        </w:tc>
        <w:tc>
          <w:tcPr>
            <w:tcW w:w="160" w:type="dxa"/>
            <w:vAlign w:val="bottom"/>
          </w:tcPr>
          <w:p>
            <w:pPr>
              <w:spacing w:after="0"/>
              <w:rPr>
                <w:sz w:val="18"/>
                <w:szCs w:val="18"/>
                <w:color w:val="auto"/>
              </w:rPr>
            </w:pPr>
          </w:p>
        </w:tc>
        <w:tc>
          <w:tcPr>
            <w:tcW w:w="1120" w:type="dxa"/>
            <w:vAlign w:val="bottom"/>
            <w:gridSpan w:val="3"/>
          </w:tcPr>
          <w:p>
            <w:pPr>
              <w:jc w:val="right"/>
              <w:ind w:right="20"/>
              <w:spacing w:after="0"/>
              <w:rPr>
                <w:sz w:val="20"/>
                <w:szCs w:val="20"/>
                <w:color w:val="auto"/>
              </w:rPr>
            </w:pPr>
            <w:r>
              <w:rPr>
                <w:rFonts w:ascii="Arial" w:cs="Arial" w:eastAsia="Arial" w:hAnsi="Arial"/>
                <w:sz w:val="18"/>
                <w:szCs w:val="18"/>
                <w:color w:val="auto"/>
              </w:rPr>
              <w:t>(6,127)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Income taxes payable</w:t>
            </w:r>
          </w:p>
        </w:tc>
        <w:tc>
          <w:tcPr>
            <w:tcW w:w="2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3,928</w:t>
            </w:r>
          </w:p>
        </w:tc>
        <w:tc>
          <w:tcPr>
            <w:tcW w:w="1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25,380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340"/>
              <w:spacing w:after="0"/>
              <w:rPr>
                <w:sz w:val="20"/>
                <w:szCs w:val="20"/>
                <w:color w:val="auto"/>
              </w:rPr>
            </w:pPr>
            <w:r>
              <w:rPr>
                <w:rFonts w:ascii="Arial" w:cs="Arial" w:eastAsia="Arial" w:hAnsi="Arial"/>
                <w:sz w:val="18"/>
                <w:szCs w:val="18"/>
                <w:color w:val="auto"/>
              </w:rPr>
              <w:t>Deferred income</w:t>
            </w:r>
          </w:p>
        </w:tc>
        <w:tc>
          <w:tcPr>
            <w:tcW w:w="2060" w:type="dxa"/>
            <w:vAlign w:val="bottom"/>
            <w:gridSpan w:val="2"/>
          </w:tcPr>
          <w:p>
            <w:pPr>
              <w:jc w:val="right"/>
              <w:spacing w:after="0"/>
              <w:rPr>
                <w:sz w:val="20"/>
                <w:szCs w:val="20"/>
                <w:color w:val="auto"/>
              </w:rPr>
            </w:pPr>
            <w:r>
              <w:rPr>
                <w:rFonts w:ascii="Arial" w:cs="Arial" w:eastAsia="Arial" w:hAnsi="Arial"/>
                <w:sz w:val="18"/>
                <w:szCs w:val="18"/>
                <w:color w:val="auto"/>
              </w:rPr>
              <w:t>8,318</w:t>
            </w:r>
          </w:p>
        </w:tc>
        <w:tc>
          <w:tcPr>
            <w:tcW w:w="160" w:type="dxa"/>
            <w:vAlign w:val="bottom"/>
          </w:tcPr>
          <w:p>
            <w:pPr>
              <w:spacing w:after="0"/>
              <w:rPr>
                <w:sz w:val="18"/>
                <w:szCs w:val="18"/>
                <w:color w:val="auto"/>
              </w:rPr>
            </w:pPr>
          </w:p>
        </w:tc>
        <w:tc>
          <w:tcPr>
            <w:tcW w:w="1120" w:type="dxa"/>
            <w:vAlign w:val="bottom"/>
            <w:gridSpan w:val="3"/>
          </w:tcPr>
          <w:p>
            <w:pPr>
              <w:jc w:val="right"/>
              <w:ind w:right="20"/>
              <w:spacing w:after="0"/>
              <w:rPr>
                <w:sz w:val="20"/>
                <w:szCs w:val="20"/>
                <w:color w:val="auto"/>
              </w:rPr>
            </w:pPr>
            <w:r>
              <w:rPr>
                <w:rFonts w:ascii="Arial" w:cs="Arial" w:eastAsia="Arial" w:hAnsi="Arial"/>
                <w:sz w:val="18"/>
                <w:szCs w:val="18"/>
                <w:color w:val="auto"/>
              </w:rPr>
              <w:t>(278)</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060" w:type="dxa"/>
            <w:vAlign w:val="bottom"/>
            <w:tcBorders>
              <w:top w:val="single" w:sz="8" w:color="CCEEFF"/>
            </w:tcBorders>
            <w:shd w:val="clear" w:color="auto" w:fill="CCEEFF"/>
          </w:tcPr>
          <w:p>
            <w:pPr>
              <w:ind w:left="520"/>
              <w:spacing w:after="0"/>
              <w:rPr>
                <w:sz w:val="20"/>
                <w:szCs w:val="20"/>
                <w:color w:val="auto"/>
              </w:rPr>
            </w:pPr>
            <w:r>
              <w:rPr>
                <w:rFonts w:ascii="Arial" w:cs="Arial" w:eastAsia="Arial" w:hAnsi="Arial"/>
                <w:sz w:val="18"/>
                <w:szCs w:val="18"/>
                <w:color w:val="auto"/>
              </w:rPr>
              <w:t>Net cash (used in) provided by operating activities</w:t>
            </w:r>
          </w:p>
        </w:tc>
        <w:tc>
          <w:tcPr>
            <w:tcW w:w="110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(10,784)</w:t>
            </w: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215,009</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8060" w:type="dxa"/>
            <w:vAlign w:val="bottom"/>
          </w:tcPr>
          <w:p>
            <w:pPr>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110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Cash paid in acquisitions, net</w:t>
            </w:r>
          </w:p>
        </w:tc>
        <w:tc>
          <w:tcPr>
            <w:tcW w:w="22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(7,141)</w:t>
            </w:r>
          </w:p>
        </w:tc>
        <w:tc>
          <w:tcPr>
            <w:tcW w:w="11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(282,978)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160"/>
              <w:spacing w:after="0"/>
              <w:rPr>
                <w:sz w:val="20"/>
                <w:szCs w:val="20"/>
                <w:color w:val="auto"/>
              </w:rPr>
            </w:pPr>
            <w:r>
              <w:rPr>
                <w:rFonts w:ascii="Arial" w:cs="Arial" w:eastAsia="Arial" w:hAnsi="Arial"/>
                <w:sz w:val="18"/>
                <w:szCs w:val="18"/>
                <w:color w:val="auto"/>
              </w:rPr>
              <w:t>Purchases of short-term investments</w:t>
            </w:r>
          </w:p>
        </w:tc>
        <w:tc>
          <w:tcPr>
            <w:tcW w:w="2220" w:type="dxa"/>
            <w:vAlign w:val="bottom"/>
            <w:gridSpan w:val="3"/>
          </w:tcPr>
          <w:p>
            <w:pPr>
              <w:jc w:val="right"/>
              <w:ind w:right="100"/>
              <w:spacing w:after="0"/>
              <w:rPr>
                <w:sz w:val="20"/>
                <w:szCs w:val="20"/>
                <w:color w:val="auto"/>
              </w:rPr>
            </w:pPr>
            <w:r>
              <w:rPr>
                <w:rFonts w:ascii="Arial" w:cs="Arial" w:eastAsia="Arial" w:hAnsi="Arial"/>
                <w:sz w:val="18"/>
                <w:szCs w:val="18"/>
                <w:color w:val="auto"/>
              </w:rPr>
              <w:t>(113,651)</w:t>
            </w:r>
          </w:p>
        </w:tc>
        <w:tc>
          <w:tcPr>
            <w:tcW w:w="1120" w:type="dxa"/>
            <w:vAlign w:val="bottom"/>
            <w:gridSpan w:val="3"/>
          </w:tcPr>
          <w:p>
            <w:pPr>
              <w:jc w:val="right"/>
              <w:ind w:right="20"/>
              <w:spacing w:after="0"/>
              <w:rPr>
                <w:sz w:val="20"/>
                <w:szCs w:val="20"/>
                <w:color w:val="auto"/>
              </w:rPr>
            </w:pPr>
            <w:r>
              <w:rPr>
                <w:rFonts w:ascii="Arial" w:cs="Arial" w:eastAsia="Arial" w:hAnsi="Arial"/>
                <w:sz w:val="18"/>
                <w:szCs w:val="18"/>
                <w:color w:val="auto"/>
              </w:rPr>
              <w:t>(141,418)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Sales and maturities of short-term investments</w:t>
            </w:r>
          </w:p>
        </w:tc>
        <w:tc>
          <w:tcPr>
            <w:tcW w:w="2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50,021</w:t>
            </w:r>
          </w:p>
        </w:tc>
        <w:tc>
          <w:tcPr>
            <w:tcW w:w="1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265,160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160"/>
              <w:spacing w:after="0"/>
              <w:rPr>
                <w:sz w:val="20"/>
                <w:szCs w:val="20"/>
                <w:color w:val="auto"/>
              </w:rPr>
            </w:pPr>
            <w:r>
              <w:rPr>
                <w:rFonts w:ascii="Arial" w:cs="Arial" w:eastAsia="Arial" w:hAnsi="Arial"/>
                <w:sz w:val="18"/>
                <w:szCs w:val="18"/>
                <w:color w:val="auto"/>
              </w:rPr>
              <w:t>Acquisition costs</w:t>
            </w:r>
          </w:p>
        </w:tc>
        <w:tc>
          <w:tcPr>
            <w:tcW w:w="2220" w:type="dxa"/>
            <w:vAlign w:val="bottom"/>
            <w:gridSpan w:val="3"/>
          </w:tcPr>
          <w:p>
            <w:pPr>
              <w:jc w:val="right"/>
              <w:ind w:right="100"/>
              <w:spacing w:after="0"/>
              <w:rPr>
                <w:sz w:val="20"/>
                <w:szCs w:val="20"/>
                <w:color w:val="auto"/>
              </w:rPr>
            </w:pPr>
            <w:r>
              <w:rPr>
                <w:rFonts w:ascii="Arial" w:cs="Arial" w:eastAsia="Arial" w:hAnsi="Arial"/>
                <w:sz w:val="18"/>
                <w:szCs w:val="18"/>
                <w:color w:val="auto"/>
              </w:rPr>
              <w:t>(1,138)</w:t>
            </w:r>
          </w:p>
        </w:tc>
        <w:tc>
          <w:tcPr>
            <w:tcW w:w="1120" w:type="dxa"/>
            <w:vAlign w:val="bottom"/>
            <w:gridSpan w:val="3"/>
          </w:tcPr>
          <w:p>
            <w:pPr>
              <w:jc w:val="right"/>
              <w:ind w:right="20"/>
              <w:spacing w:after="0"/>
              <w:rPr>
                <w:sz w:val="20"/>
                <w:szCs w:val="20"/>
                <w:color w:val="auto"/>
              </w:rPr>
            </w:pPr>
            <w:r>
              <w:rPr>
                <w:rFonts w:ascii="Arial" w:cs="Arial" w:eastAsia="Arial" w:hAnsi="Arial"/>
                <w:sz w:val="18"/>
                <w:szCs w:val="18"/>
                <w:color w:val="auto"/>
              </w:rPr>
              <w:t>(3,480)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Purchases of property and equipment</w:t>
            </w:r>
          </w:p>
        </w:tc>
        <w:tc>
          <w:tcPr>
            <w:tcW w:w="22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(64,513)</w:t>
            </w:r>
          </w:p>
        </w:tc>
        <w:tc>
          <w:tcPr>
            <w:tcW w:w="11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(71,472)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160"/>
              <w:spacing w:after="0"/>
              <w:rPr>
                <w:sz w:val="20"/>
                <w:szCs w:val="20"/>
                <w:color w:val="auto"/>
              </w:rPr>
            </w:pPr>
            <w:r>
              <w:rPr>
                <w:rFonts w:ascii="Arial" w:cs="Arial" w:eastAsia="Arial" w:hAnsi="Arial"/>
                <w:sz w:val="18"/>
                <w:szCs w:val="18"/>
                <w:color w:val="auto"/>
              </w:rPr>
              <w:t>Proceeds from sale of asset under construction</w:t>
            </w:r>
          </w:p>
        </w:tc>
        <w:tc>
          <w:tcPr>
            <w:tcW w:w="2060" w:type="dxa"/>
            <w:vAlign w:val="bottom"/>
            <w:gridSpan w:val="2"/>
          </w:tcPr>
          <w:p>
            <w:pPr>
              <w:jc w:val="right"/>
              <w:spacing w:after="0"/>
              <w:rPr>
                <w:sz w:val="20"/>
                <w:szCs w:val="20"/>
                <w:color w:val="auto"/>
              </w:rPr>
            </w:pPr>
            <w:r>
              <w:rPr>
                <w:rFonts w:ascii="Arial" w:cs="Arial" w:eastAsia="Arial" w:hAnsi="Arial"/>
                <w:sz w:val="18"/>
                <w:szCs w:val="18"/>
                <w:color w:val="auto"/>
              </w:rPr>
              <w:t>5,122</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Purchases of technology licenses</w:t>
            </w:r>
          </w:p>
        </w:tc>
        <w:tc>
          <w:tcPr>
            <w:tcW w:w="22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(16,850)</w:t>
            </w:r>
          </w:p>
        </w:tc>
        <w:tc>
          <w:tcPr>
            <w:tcW w:w="11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(6,600)</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060" w:type="dxa"/>
            <w:vAlign w:val="bottom"/>
            <w:tcBorders>
              <w:bottom w:val="single" w:sz="8" w:color="CCEEFF"/>
            </w:tcBorders>
          </w:tcPr>
          <w:p>
            <w:pPr>
              <w:ind w:left="520"/>
              <w:spacing w:after="0"/>
              <w:rPr>
                <w:sz w:val="20"/>
                <w:szCs w:val="20"/>
                <w:color w:val="auto"/>
              </w:rPr>
            </w:pPr>
            <w:r>
              <w:rPr>
                <w:rFonts w:ascii="Arial" w:cs="Arial" w:eastAsia="Arial" w:hAnsi="Arial"/>
                <w:sz w:val="18"/>
                <w:szCs w:val="18"/>
                <w:color w:val="auto"/>
              </w:rPr>
              <w:t>Net cash used in investing activities</w:t>
            </w:r>
          </w:p>
        </w:tc>
        <w:tc>
          <w:tcPr>
            <w:tcW w:w="1100" w:type="dxa"/>
            <w:vAlign w:val="bottom"/>
            <w:tcBorders>
              <w:bottom w:val="single" w:sz="8" w:color="CCEEFF"/>
            </w:tcBorders>
          </w:tcPr>
          <w:p>
            <w:pPr>
              <w:spacing w:after="0"/>
              <w:rPr>
                <w:sz w:val="18"/>
                <w:szCs w:val="18"/>
                <w:color w:val="auto"/>
              </w:rPr>
            </w:pP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(148,150)</w:t>
            </w:r>
          </w:p>
        </w:tc>
        <w:tc>
          <w:tcPr>
            <w:tcW w:w="16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(240,788)</w:t>
            </w: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80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110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160"/>
              <w:spacing w:after="0"/>
              <w:rPr>
                <w:sz w:val="20"/>
                <w:szCs w:val="20"/>
                <w:color w:val="auto"/>
              </w:rPr>
            </w:pPr>
            <w:r>
              <w:rPr>
                <w:rFonts w:ascii="Arial" w:cs="Arial" w:eastAsia="Arial" w:hAnsi="Arial"/>
                <w:sz w:val="18"/>
                <w:szCs w:val="18"/>
                <w:color w:val="auto"/>
              </w:rPr>
              <w:t>Proceeds from the issuance of common stock and other</w:t>
            </w:r>
          </w:p>
        </w:tc>
        <w:tc>
          <w:tcPr>
            <w:tcW w:w="2060" w:type="dxa"/>
            <w:vAlign w:val="bottom"/>
            <w:gridSpan w:val="2"/>
          </w:tcPr>
          <w:p>
            <w:pPr>
              <w:jc w:val="right"/>
              <w:spacing w:after="0"/>
              <w:rPr>
                <w:sz w:val="20"/>
                <w:szCs w:val="20"/>
                <w:color w:val="auto"/>
              </w:rPr>
            </w:pPr>
            <w:r>
              <w:rPr>
                <w:rFonts w:ascii="Arial" w:cs="Arial" w:eastAsia="Arial" w:hAnsi="Arial"/>
                <w:sz w:val="18"/>
                <w:szCs w:val="18"/>
                <w:color w:val="auto"/>
              </w:rPr>
              <w:t>2,681</w:t>
            </w:r>
          </w:p>
        </w:tc>
        <w:tc>
          <w:tcPr>
            <w:tcW w:w="160" w:type="dxa"/>
            <w:vAlign w:val="bottom"/>
          </w:tcPr>
          <w:p>
            <w:pPr>
              <w:spacing w:after="0"/>
              <w:rPr>
                <w:sz w:val="18"/>
                <w:szCs w:val="18"/>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33,860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Principal payments on capital lease and debt obligations</w:t>
            </w:r>
          </w:p>
        </w:tc>
        <w:tc>
          <w:tcPr>
            <w:tcW w:w="22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(7,811)</w:t>
            </w:r>
          </w:p>
        </w:tc>
        <w:tc>
          <w:tcPr>
            <w:tcW w:w="11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(9,057)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tcPr>
          <w:p>
            <w:pPr>
              <w:ind w:left="160"/>
              <w:spacing w:after="0"/>
              <w:rPr>
                <w:sz w:val="20"/>
                <w:szCs w:val="20"/>
                <w:color w:val="auto"/>
              </w:rPr>
            </w:pPr>
            <w:r>
              <w:rPr>
                <w:rFonts w:ascii="Arial" w:cs="Arial" w:eastAsia="Arial" w:hAnsi="Arial"/>
                <w:sz w:val="18"/>
                <w:szCs w:val="18"/>
                <w:color w:val="auto"/>
              </w:rPr>
              <w:t>Excess tax benefits from stock-based compensation</w:t>
            </w:r>
          </w:p>
        </w:tc>
        <w:tc>
          <w:tcPr>
            <w:tcW w:w="2060" w:type="dxa"/>
            <w:vAlign w:val="bottom"/>
            <w:gridSpan w:val="2"/>
          </w:tcPr>
          <w:p>
            <w:pPr>
              <w:jc w:val="right"/>
              <w:spacing w:after="0"/>
              <w:rPr>
                <w:sz w:val="20"/>
                <w:szCs w:val="20"/>
                <w:color w:val="auto"/>
              </w:rPr>
            </w:pPr>
            <w:r>
              <w:rPr>
                <w:rFonts w:ascii="Arial" w:cs="Arial" w:eastAsia="Arial" w:hAnsi="Arial"/>
                <w:sz w:val="18"/>
                <w:szCs w:val="18"/>
                <w:color w:val="auto"/>
              </w:rPr>
              <w:t>235</w:t>
            </w:r>
          </w:p>
        </w:tc>
        <w:tc>
          <w:tcPr>
            <w:tcW w:w="160" w:type="dxa"/>
            <w:vAlign w:val="bottom"/>
          </w:tcPr>
          <w:p>
            <w:pPr>
              <w:spacing w:after="0"/>
              <w:rPr>
                <w:sz w:val="18"/>
                <w:szCs w:val="18"/>
                <w:color w:val="auto"/>
              </w:rPr>
            </w:pP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860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060" w:type="dxa"/>
            <w:vAlign w:val="bottom"/>
            <w:tcBorders>
              <w:top w:val="single" w:sz="8" w:color="CCEEFF"/>
            </w:tcBorders>
            <w:shd w:val="clear" w:color="auto" w:fill="CCEEFF"/>
          </w:tcPr>
          <w:p>
            <w:pPr>
              <w:ind w:left="520"/>
              <w:spacing w:after="0"/>
              <w:rPr>
                <w:sz w:val="20"/>
                <w:szCs w:val="20"/>
                <w:color w:val="auto"/>
              </w:rPr>
            </w:pPr>
            <w:r>
              <w:rPr>
                <w:rFonts w:ascii="Arial" w:cs="Arial" w:eastAsia="Arial" w:hAnsi="Arial"/>
                <w:sz w:val="18"/>
                <w:szCs w:val="18"/>
                <w:color w:val="auto"/>
              </w:rPr>
              <w:t>Net cash (used in) provided by financing activities</w:t>
            </w:r>
          </w:p>
        </w:tc>
        <w:tc>
          <w:tcPr>
            <w:tcW w:w="110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(4,895)</w:t>
            </w: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25,663</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060" w:type="dxa"/>
            <w:vAlign w:val="bottom"/>
          </w:tcPr>
          <w:p>
            <w:pPr>
              <w:spacing w:after="0"/>
              <w:rPr>
                <w:sz w:val="20"/>
                <w:szCs w:val="20"/>
                <w:color w:val="auto"/>
              </w:rPr>
            </w:pPr>
            <w:r>
              <w:rPr>
                <w:rFonts w:ascii="Arial" w:cs="Arial" w:eastAsia="Arial" w:hAnsi="Arial"/>
                <w:sz w:val="18"/>
                <w:szCs w:val="18"/>
                <w:color w:val="auto"/>
              </w:rPr>
              <w:t>Net decrease in cash and cash equivalents</w:t>
            </w:r>
          </w:p>
        </w:tc>
        <w:tc>
          <w:tcPr>
            <w:tcW w:w="110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(163,829)</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(116)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100" w:type="dxa"/>
            <w:vAlign w:val="bottom"/>
            <w:shd w:val="clear" w:color="auto" w:fill="CCEEFF"/>
          </w:tcPr>
          <w:p>
            <w:pPr>
              <w:spacing w:after="0"/>
              <w:rPr>
                <w:sz w:val="18"/>
                <w:szCs w:val="18"/>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568,008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348,431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40" w:right="239" w:bottom="0" w:gutter="0" w:footer="0" w:header="0"/>
        </w:sectPr>
      </w:pPr>
    </w:p>
    <w:bookmarkStart w:id="3" w:name="page4"/>
    <w:bookmarkEnd w:id="3"/>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61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Cash and cash equivalents at end of period</w:t>
            </w:r>
          </w:p>
        </w:tc>
        <w:tc>
          <w:tcPr>
            <w:tcW w:w="3040" w:type="dxa"/>
            <w:vAlign w:val="bottom"/>
            <w:tcBorders>
              <w:bottom w:val="single" w:sz="8" w:color="CCEEFF"/>
            </w:tcBorders>
          </w:tcPr>
          <w:p>
            <w:pPr>
              <w:spacing w:after="0"/>
              <w:rPr>
                <w:sz w:val="23"/>
                <w:szCs w:val="23"/>
                <w:color w:val="auto"/>
              </w:rPr>
            </w:pPr>
          </w:p>
        </w:tc>
        <w:tc>
          <w:tcPr>
            <w:tcW w:w="220" w:type="dxa"/>
            <w:vAlign w:val="bottom"/>
            <w:tcBorders>
              <w:top w:val="single" w:sz="8" w:color="auto"/>
              <w:bottom w:val="single" w:sz="8" w:color="auto"/>
            </w:tcBorders>
          </w:tcPr>
          <w:p>
            <w:pPr>
              <w:jc w:val="right"/>
              <w:ind w:right="65"/>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404,179</w:t>
            </w:r>
          </w:p>
        </w:tc>
        <w:tc>
          <w:tcPr>
            <w:tcW w:w="260" w:type="dxa"/>
            <w:vAlign w:val="bottom"/>
            <w:tcBorders>
              <w:bottom w:val="single" w:sz="8" w:color="CCEEFF"/>
            </w:tcBorders>
          </w:tcPr>
          <w:p>
            <w:pPr>
              <w:spacing w:after="0"/>
              <w:rPr>
                <w:sz w:val="23"/>
                <w:szCs w:val="23"/>
                <w:color w:val="auto"/>
              </w:rPr>
            </w:pPr>
          </w:p>
        </w:tc>
        <w:tc>
          <w:tcPr>
            <w:tcW w:w="22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348,315</w:t>
            </w:r>
          </w:p>
        </w:tc>
        <w:tc>
          <w:tcPr>
            <w:tcW w:w="80" w:type="dxa"/>
            <w:vAlign w:val="bottom"/>
            <w:tcBorders>
              <w:bottom w:val="single" w:sz="8" w:color="CCEEFF"/>
            </w:tcBorders>
          </w:tcPr>
          <w:p>
            <w:pPr>
              <w:spacing w:after="0"/>
              <w:rPr>
                <w:sz w:val="23"/>
                <w:szCs w:val="23"/>
                <w:color w:val="auto"/>
              </w:rPr>
            </w:pPr>
          </w:p>
        </w:tc>
      </w:tr>
      <w:tr>
        <w:trPr>
          <w:trHeight w:val="170"/>
        </w:trPr>
        <w:tc>
          <w:tcPr>
            <w:tcW w:w="6140" w:type="dxa"/>
            <w:vAlign w:val="bottom"/>
            <w:shd w:val="clear" w:color="auto" w:fill="CCEEFF"/>
          </w:tcPr>
          <w:p>
            <w:pPr>
              <w:spacing w:after="0" w:line="170" w:lineRule="exact"/>
              <w:rPr>
                <w:sz w:val="20"/>
                <w:szCs w:val="20"/>
                <w:color w:val="auto"/>
              </w:rPr>
            </w:pPr>
            <w:r>
              <w:rPr>
                <w:rFonts w:ascii="Arial" w:cs="Arial" w:eastAsia="Arial" w:hAnsi="Arial"/>
                <w:sz w:val="18"/>
                <w:szCs w:val="18"/>
                <w:b w:val="1"/>
                <w:bCs w:val="1"/>
                <w:color w:val="auto"/>
              </w:rPr>
              <w:t>Supplemental cash flow information:</w:t>
            </w:r>
          </w:p>
        </w:tc>
        <w:tc>
          <w:tcPr>
            <w:tcW w:w="3040" w:type="dxa"/>
            <w:vAlign w:val="bottom"/>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74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7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r>
      <w:tr>
        <w:trPr>
          <w:trHeight w:val="216"/>
        </w:trPr>
        <w:tc>
          <w:tcPr>
            <w:tcW w:w="6140" w:type="dxa"/>
            <w:vAlign w:val="bottom"/>
          </w:tcPr>
          <w:p>
            <w:pPr>
              <w:ind w:left="180"/>
              <w:spacing w:after="0"/>
              <w:rPr>
                <w:sz w:val="20"/>
                <w:szCs w:val="20"/>
                <w:color w:val="auto"/>
              </w:rPr>
            </w:pPr>
            <w:r>
              <w:rPr>
                <w:rFonts w:ascii="Arial" w:cs="Arial" w:eastAsia="Arial" w:hAnsi="Arial"/>
                <w:sz w:val="18"/>
                <w:szCs w:val="18"/>
                <w:color w:val="auto"/>
              </w:rPr>
              <w:t>Utilization of supply agreement liability</w:t>
            </w:r>
          </w:p>
        </w:tc>
        <w:tc>
          <w:tcPr>
            <w:tcW w:w="3260" w:type="dxa"/>
            <w:vAlign w:val="bottom"/>
            <w:gridSpan w:val="2"/>
          </w:tcPr>
          <w:p>
            <w:pPr>
              <w:jc w:val="right"/>
              <w:ind w:right="65"/>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75,938</w:t>
            </w:r>
          </w:p>
        </w:tc>
        <w:tc>
          <w:tcPr>
            <w:tcW w:w="260" w:type="dxa"/>
            <w:vAlign w:val="bottom"/>
          </w:tcPr>
          <w:p>
            <w:pPr>
              <w:spacing w:after="0"/>
              <w:rPr>
                <w:sz w:val="18"/>
                <w:szCs w:val="18"/>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r>
      <w:tr>
        <w:trPr>
          <w:trHeight w:val="20"/>
        </w:trPr>
        <w:tc>
          <w:tcPr>
            <w:tcW w:w="6140" w:type="dxa"/>
            <w:vAlign w:val="bottom"/>
          </w:tcPr>
          <w:p>
            <w:pPr>
              <w:spacing w:after="0" w:line="20" w:lineRule="exact"/>
              <w:rPr>
                <w:sz w:val="1"/>
                <w:szCs w:val="1"/>
                <w:color w:val="auto"/>
              </w:rPr>
            </w:pPr>
          </w:p>
        </w:tc>
        <w:tc>
          <w:tcPr>
            <w:tcW w:w="304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its Significant Accounting Policies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Company</w:t>
      </w:r>
    </w:p>
    <w:p>
      <w:pPr>
        <w:spacing w:after="0" w:line="229"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Marvell Technology Group Ltd. (the “Company”), a Bermuda company, is a leading global semiconductor provider of high-performance analog, mixed-signal, digital signal processing and embedded microprocessor integrated circuits. The Company’s diverse product portfolio includes switching, transceivers, wireless, PC connectivity, gateways, communications controllers, storage and power management solutions that serve diverse applications used in business enterprise, consumer electronics and emerging markets.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29" w:lineRule="exact"/>
        <w:rPr>
          <w:sz w:val="20"/>
          <w:szCs w:val="20"/>
          <w:color w:val="auto"/>
        </w:rPr>
      </w:pPr>
    </w:p>
    <w:p>
      <w:pPr>
        <w:ind w:right="200" w:firstLine="324"/>
        <w:spacing w:after="0" w:line="291" w:lineRule="auto"/>
        <w:rPr>
          <w:sz w:val="20"/>
          <w:szCs w:val="20"/>
          <w:color w:val="auto"/>
        </w:rPr>
      </w:pPr>
      <w:r>
        <w:rPr>
          <w:rFonts w:ascii="Arial" w:cs="Arial" w:eastAsia="Arial" w:hAnsi="Arial"/>
          <w:sz w:val="16"/>
          <w:szCs w:val="16"/>
          <w:color w:val="auto"/>
        </w:rPr>
        <w:t xml:space="preserve">The Company’s fiscal year is the 52- or 53-week period ending on the Saturday closest to January 31. In a 52-week year, each fiscal quarter consists of 13 weeks. The additional week in a 53-week year is added to the fourth quarter, making such quarter consist of 14 weeks. </w:t>
      </w:r>
      <w:r>
        <w:rPr>
          <w:rFonts w:ascii="Arial" w:cs="Arial" w:eastAsia="Arial" w:hAnsi="Arial"/>
          <w:sz w:val="15"/>
          <w:szCs w:val="15"/>
          <w:color w:val="auto"/>
        </w:rPr>
        <w:t>Fiscal year 2008 is comprised of a</w:t>
      </w:r>
    </w:p>
    <w:p>
      <w:pPr>
        <w:spacing w:after="0"/>
        <w:rPr>
          <w:sz w:val="20"/>
          <w:szCs w:val="20"/>
          <w:color w:val="auto"/>
        </w:rPr>
      </w:pPr>
      <w:r>
        <w:rPr>
          <w:rFonts w:ascii="Arial" w:cs="Arial" w:eastAsia="Arial" w:hAnsi="Arial"/>
          <w:sz w:val="18"/>
          <w:szCs w:val="18"/>
          <w:color w:val="auto"/>
        </w:rPr>
        <w:t>53-week period and fiscal year 2007 is comprised of a 52-week period.</w:t>
      </w:r>
    </w:p>
    <w:p>
      <w:pPr>
        <w:spacing w:after="0" w:line="211" w:lineRule="exact"/>
        <w:rPr>
          <w:sz w:val="20"/>
          <w:szCs w:val="20"/>
          <w:color w:val="auto"/>
        </w:rPr>
      </w:pPr>
    </w:p>
    <w:p>
      <w:pPr>
        <w:ind w:right="120" w:firstLine="324"/>
        <w:spacing w:after="0" w:line="293" w:lineRule="auto"/>
        <w:rPr>
          <w:sz w:val="20"/>
          <w:szCs w:val="20"/>
          <w:color w:val="auto"/>
        </w:rPr>
      </w:pPr>
      <w:r>
        <w:rPr>
          <w:rFonts w:ascii="Arial" w:cs="Arial" w:eastAsia="Arial" w:hAnsi="Arial"/>
          <w:sz w:val="16"/>
          <w:szCs w:val="16"/>
          <w:color w:val="auto"/>
        </w:rPr>
        <w:t>On February 21, 2006, the Board of Directors approved a 2 for 1 share split of the Company’s common shares, to be effected pursuant to the issuance of additional shares as a share dividend. The share split was subject to shareholder approval of an increase in the Company’s authorized share capital at the Company’s 2006 Annual General Meeting. On June 9, 2006, shareholders at the Company’s 2006 Annual General Meeting approved an increase in the authorized share capital by 500.0 million common shares. Share certificates representing one additional share for each share held were delivered on July 24, 2006 (payment date) to all shareholders of record at the close of business on July 10, 2006 (record date). All share and per share amounts in these consolidated financial statements and related notes have been retroactively adjusted to reflect the share split for all periods presented.</w:t>
      </w:r>
    </w:p>
    <w:p>
      <w:pPr>
        <w:spacing w:after="0" w:line="165" w:lineRule="exact"/>
        <w:rPr>
          <w:sz w:val="20"/>
          <w:szCs w:val="20"/>
          <w:color w:val="auto"/>
        </w:rPr>
      </w:pPr>
    </w:p>
    <w:p>
      <w:pPr>
        <w:ind w:firstLine="324"/>
        <w:spacing w:after="0" w:line="285" w:lineRule="auto"/>
        <w:rPr>
          <w:sz w:val="20"/>
          <w:szCs w:val="20"/>
          <w:color w:val="auto"/>
        </w:rPr>
      </w:pPr>
      <w:r>
        <w:rPr>
          <w:rFonts w:ascii="Arial" w:cs="Arial" w:eastAsia="Arial" w:hAnsi="Arial"/>
          <w:sz w:val="17"/>
          <w:szCs w:val="17"/>
          <w:color w:val="auto"/>
        </w:rPr>
        <w:t xml:space="preserve">The unaudited interim condensed consolidated financial statements have been prepared in accordance with </w:t>
      </w:r>
      <w:r>
        <w:rPr>
          <w:rFonts w:ascii="Arial" w:cs="Arial" w:eastAsia="Arial" w:hAnsi="Arial"/>
          <w:sz w:val="16"/>
          <w:szCs w:val="16"/>
          <w:color w:val="auto"/>
        </w:rPr>
        <w:t>accounting principles generally accepted in the</w:t>
      </w:r>
      <w:r>
        <w:rPr>
          <w:rFonts w:ascii="Arial" w:cs="Arial" w:eastAsia="Arial" w:hAnsi="Arial"/>
          <w:sz w:val="17"/>
          <w:szCs w:val="17"/>
          <w:color w:val="auto"/>
        </w:rPr>
        <w:t xml:space="preserve"> </w:t>
      </w:r>
      <w:r>
        <w:rPr>
          <w:rFonts w:ascii="Arial" w:cs="Arial" w:eastAsia="Arial" w:hAnsi="Arial"/>
          <w:sz w:val="16"/>
          <w:szCs w:val="16"/>
          <w:color w:val="auto"/>
        </w:rPr>
        <w:t>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financial position as of July 28, 2007, the results of its operations for the three and six months ended July 28, 2007 and July 29, 2006, and its cash flows for the six months ended July 28, 2007 and July 29, 2006. The January 27, 2007 condensed consolidated balance sheet data was derived from audited consolidated financial statements included in the Company’s 2007 Annual Report on Form 10-K but does not include all disclosures required by GAAP.</w:t>
      </w:r>
    </w:p>
    <w:p>
      <w:pPr>
        <w:spacing w:after="0" w:line="172" w:lineRule="exact"/>
        <w:rPr>
          <w:sz w:val="20"/>
          <w:szCs w:val="20"/>
          <w:color w:val="auto"/>
        </w:rPr>
      </w:pPr>
    </w:p>
    <w:p>
      <w:pPr>
        <w:ind w:right="140" w:firstLine="324"/>
        <w:spacing w:after="0" w:line="258" w:lineRule="auto"/>
        <w:rPr>
          <w:sz w:val="20"/>
          <w:szCs w:val="20"/>
          <w:color w:val="auto"/>
        </w:rPr>
      </w:pPr>
      <w:r>
        <w:rPr>
          <w:rFonts w:ascii="Arial" w:cs="Arial" w:eastAsia="Arial" w:hAnsi="Arial"/>
          <w:sz w:val="18"/>
          <w:szCs w:val="18"/>
          <w:color w:val="auto"/>
        </w:rPr>
        <w:t xml:space="preserve">These condensed consolidated financial statements and related notes are unaudited and should be read in conjunction with the Company’s audited financial statements and related notes for the year ended January 27, 2007 included in the Company’s Annual Report on Form 10-K, as filed on July 2, 2007 with the Securities and Exchange Commission (“SEC”). </w:t>
      </w:r>
      <w:r>
        <w:rPr>
          <w:rFonts w:ascii="Arial" w:cs="Arial" w:eastAsia="Arial" w:hAnsi="Arial"/>
          <w:sz w:val="17"/>
          <w:szCs w:val="17"/>
          <w:color w:val="auto"/>
        </w:rPr>
        <w:t>The results of operations for the three and six months ended July 28, 2007 are not necessarily</w:t>
      </w:r>
      <w:r>
        <w:rPr>
          <w:rFonts w:ascii="Arial" w:cs="Arial" w:eastAsia="Arial" w:hAnsi="Arial"/>
          <w:sz w:val="18"/>
          <w:szCs w:val="18"/>
          <w:color w:val="auto"/>
        </w:rPr>
        <w:t xml:space="preserve"> </w:t>
      </w:r>
      <w:r>
        <w:rPr>
          <w:rFonts w:ascii="Arial" w:cs="Arial" w:eastAsia="Arial" w:hAnsi="Arial"/>
          <w:sz w:val="17"/>
          <w:szCs w:val="17"/>
          <w:color w:val="auto"/>
        </w:rPr>
        <w:t>indicative of the results that may be expected for any other interim period or for the full fiscal year.</w:t>
      </w:r>
    </w:p>
    <w:p>
      <w:pPr>
        <w:spacing w:after="0" w:line="18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Use of estimates</w:t>
      </w:r>
    </w:p>
    <w:p>
      <w:pPr>
        <w:spacing w:after="0" w:line="229"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The preparation of financial statements in conformity with GAAP requires management to make estimates and assumptions that affect the reported amounts of assets, liabilities, revenues and expenses and related disclosure of contingent assets and liabilities. On an on-going basis, the Company evaluates its estimates, including property and equipment, investment fair values, goodwill and other intangible assets, income taxes, and contingencies. In addition, the Company uses assumptions when employing the Black-Scholes option valuation model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w:t>
      </w:r>
    </w:p>
    <w:p>
      <w:pPr>
        <w:spacing w:after="0" w:line="200" w:lineRule="exact"/>
        <w:rPr>
          <w:sz w:val="20"/>
          <w:szCs w:val="20"/>
          <w:color w:val="auto"/>
        </w:rPr>
      </w:pPr>
    </w:p>
    <w:p>
      <w:pPr>
        <w:spacing w:after="0" w:line="2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Principles of consolidation</w:t>
      </w:r>
    </w:p>
    <w:p>
      <w:pPr>
        <w:spacing w:after="0" w:line="229" w:lineRule="exact"/>
        <w:rPr>
          <w:sz w:val="20"/>
          <w:szCs w:val="20"/>
          <w:color w:val="auto"/>
        </w:rPr>
      </w:pPr>
    </w:p>
    <w:p>
      <w:pPr>
        <w:ind w:right="280" w:firstLine="324"/>
        <w:spacing w:after="0" w:line="264" w:lineRule="auto"/>
        <w:rPr>
          <w:sz w:val="20"/>
          <w:szCs w:val="20"/>
          <w:color w:val="auto"/>
        </w:rPr>
      </w:pPr>
      <w:r>
        <w:rPr>
          <w:rFonts w:ascii="Arial" w:cs="Arial" w:eastAsia="Arial" w:hAnsi="Arial"/>
          <w:sz w:val="18"/>
          <w:szCs w:val="18"/>
          <w:color w:val="auto"/>
        </w:rPr>
        <w:t>The unaudited condensed consolidated financial statements include the accounts of the Company and its wholly-owned subsidiaries. All significant intercompany accounts and transactions have been eliminated. The functional currency of the Company and its significant subsidiaries is the United States dollar.</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Cash and cash equivalents</w:t>
      </w:r>
    </w:p>
    <w:p>
      <w:pPr>
        <w:spacing w:after="0" w:line="229" w:lineRule="exact"/>
        <w:rPr>
          <w:sz w:val="20"/>
          <w:szCs w:val="20"/>
          <w:color w:val="auto"/>
        </w:rPr>
      </w:pPr>
    </w:p>
    <w:p>
      <w:pPr>
        <w:ind w:right="140" w:firstLine="324"/>
        <w:spacing w:after="0" w:line="277" w:lineRule="auto"/>
        <w:rPr>
          <w:sz w:val="20"/>
          <w:szCs w:val="20"/>
          <w:color w:val="auto"/>
        </w:rPr>
      </w:pPr>
      <w:r>
        <w:rPr>
          <w:rFonts w:ascii="Arial" w:cs="Arial" w:eastAsia="Arial" w:hAnsi="Arial"/>
          <w:sz w:val="18"/>
          <w:szCs w:val="18"/>
          <w:color w:val="auto"/>
        </w:rPr>
        <w:t>The Company considers all highly liquid investments with a maturity of three months or less from the date of purchase to be cash equivalents. Cash and cash equivalents also consist of cash on deposit with banks, money market funds and commercial deposits.</w:t>
      </w:r>
    </w:p>
    <w:p>
      <w:pPr>
        <w:sectPr>
          <w:pgSz w:w="11900" w:h="16838" w:orient="portrait"/>
          <w:cols w:equalWidth="0" w:num="1">
            <w:col w:w="11420"/>
          </w:cols>
          <w:pgMar w:left="240" w:top="120" w:right="239" w:bottom="0" w:gutter="0" w:footer="0" w:header="0"/>
        </w:sectPr>
      </w:pPr>
    </w:p>
    <w:bookmarkStart w:id="4" w:name="page5"/>
    <w:bookmarkEnd w:id="4"/>
    <w:p>
      <w:pPr>
        <w:spacing w:after="0" w:line="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Investments</w:t>
      </w:r>
    </w:p>
    <w:p>
      <w:pPr>
        <w:spacing w:after="0" w:line="229" w:lineRule="exact"/>
        <w:rPr>
          <w:sz w:val="20"/>
          <w:szCs w:val="20"/>
          <w:color w:val="auto"/>
        </w:rPr>
      </w:pPr>
    </w:p>
    <w:p>
      <w:pPr>
        <w:ind w:right="40" w:firstLine="324"/>
        <w:spacing w:after="0" w:line="264" w:lineRule="auto"/>
        <w:rPr>
          <w:sz w:val="20"/>
          <w:szCs w:val="20"/>
          <w:color w:val="auto"/>
        </w:rPr>
      </w:pPr>
      <w:r>
        <w:rPr>
          <w:rFonts w:ascii="Arial" w:cs="Arial" w:eastAsia="Arial" w:hAnsi="Arial"/>
          <w:sz w:val="18"/>
          <w:szCs w:val="18"/>
          <w:color w:val="auto"/>
        </w:rPr>
        <w:t>The Company’s marketable investments are classified as available-for-sale securities and are reported at fair value. Unrealized gains and losses are reported, net of tax, if any, in accumulated other comprehensive income, a component of shareholders’ equity. Realized gains and losses and declines in value judged to be other than temporary on available-for-sale securities are included in interest and other income, net.</w:t>
      </w:r>
    </w:p>
    <w:p>
      <w:pPr>
        <w:spacing w:after="0" w:line="181" w:lineRule="exact"/>
        <w:rPr>
          <w:sz w:val="20"/>
          <w:szCs w:val="20"/>
          <w:color w:val="auto"/>
        </w:rPr>
      </w:pPr>
    </w:p>
    <w:p>
      <w:pPr>
        <w:ind w:right="380" w:firstLine="324"/>
        <w:spacing w:after="0" w:line="277" w:lineRule="auto"/>
        <w:rPr>
          <w:sz w:val="20"/>
          <w:szCs w:val="20"/>
          <w:color w:val="auto"/>
        </w:rPr>
      </w:pPr>
      <w:r>
        <w:rPr>
          <w:rFonts w:ascii="Arial" w:cs="Arial" w:eastAsia="Arial" w:hAnsi="Arial"/>
          <w:sz w:val="18"/>
          <w:szCs w:val="18"/>
          <w:color w:val="auto"/>
        </w:rPr>
        <w:t>The Company also has equity investments in privately-held companies. These investments are recorded at cost and are included in other non-current assets.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Concentration of credit risk</w:t>
      </w:r>
    </w:p>
    <w:p>
      <w:pPr>
        <w:spacing w:after="0" w:line="229"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Financial instruments that potentially subject the Company to significant concentration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its served markets, as well as the limited customer base, located primarily in the Far East, are substantially mitigated by the Company’s credit evaluation process, relatively short collection terms and the high level of credit worthiness of its customers. The Company performs ongoing credit evaluation of its customers’ financial condition and limits the amount of credit extended when deemed necessary based upon payment history and the customer’s current credit worthiness, but generally require no collateral. The Company regularly reviews the allowance of bad debt and doubtful accounts by considering factors such as historical experience, credit quality, age of the account receivable balances and current economic conditions that may affect a customer’s ability to pay.</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229" w:lineRule="exact"/>
        <w:rPr>
          <w:sz w:val="20"/>
          <w:szCs w:val="20"/>
          <w:color w:val="auto"/>
        </w:rPr>
      </w:pPr>
    </w:p>
    <w:p>
      <w:pPr>
        <w:ind w:right="400" w:firstLine="324"/>
        <w:spacing w:after="0" w:line="277" w:lineRule="auto"/>
        <w:rPr>
          <w:sz w:val="20"/>
          <w:szCs w:val="20"/>
          <w:color w:val="auto"/>
        </w:rPr>
      </w:pPr>
      <w:r>
        <w:rPr>
          <w:rFonts w:ascii="Arial" w:cs="Arial" w:eastAsia="Arial" w:hAnsi="Arial"/>
          <w:sz w:val="18"/>
          <w:szCs w:val="18"/>
          <w:color w:val="auto"/>
        </w:rPr>
        <w:t>Inventories are stated at the lower of cost or market, cost being determined under the first-in, first-out method. Appropriate consideration is given to obsolescence, excessive levels, deterioration and other factors in evaluating net realizable value.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Property and equipment, net</w:t>
      </w:r>
    </w:p>
    <w:p>
      <w:pPr>
        <w:spacing w:after="0" w:line="229" w:lineRule="exact"/>
        <w:rPr>
          <w:sz w:val="20"/>
          <w:szCs w:val="20"/>
          <w:color w:val="auto"/>
        </w:rPr>
      </w:pPr>
    </w:p>
    <w:p>
      <w:pPr>
        <w:ind w:right="260" w:firstLine="324"/>
        <w:spacing w:after="0" w:line="302" w:lineRule="auto"/>
        <w:rPr>
          <w:sz w:val="20"/>
          <w:szCs w:val="20"/>
          <w:color w:val="auto"/>
        </w:rPr>
      </w:pPr>
      <w:r>
        <w:rPr>
          <w:rFonts w:ascii="Arial" w:cs="Arial" w:eastAsia="Arial" w:hAnsi="Arial"/>
          <w:sz w:val="16"/>
          <w:szCs w:val="16"/>
          <w:color w:val="auto"/>
        </w:rPr>
        <w:t>Property and equipment, including capital leases and leasehold improvements, are stated at cost less accumulated depreciation and amortization. Depreciation is computed using the straight-line method over the estimated useful lives of the assets, which ranges from three to five years. Buildings are depreciated over an estimated useful life of thirty years and building improvements are depreciated over estimated useful lives of fifteen years. Land is not depreciated. Assets held under capital leases and leasehold improvements are amortized over the shorter of term of lease or their estimated useful lives.</w:t>
      </w:r>
    </w:p>
    <w:p>
      <w:pPr>
        <w:spacing w:after="0" w:line="1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Goodwill and acquired intangible assets</w:t>
      </w:r>
    </w:p>
    <w:p>
      <w:pPr>
        <w:spacing w:after="0" w:line="229" w:lineRule="exact"/>
        <w:rPr>
          <w:sz w:val="20"/>
          <w:szCs w:val="20"/>
          <w:color w:val="auto"/>
        </w:rPr>
      </w:pPr>
    </w:p>
    <w:p>
      <w:pPr>
        <w:ind w:right="160" w:firstLine="324"/>
        <w:spacing w:after="0" w:line="264" w:lineRule="auto"/>
        <w:rPr>
          <w:sz w:val="20"/>
          <w:szCs w:val="20"/>
          <w:color w:val="auto"/>
        </w:rPr>
      </w:pPr>
      <w:r>
        <w:rPr>
          <w:rFonts w:ascii="Arial" w:cs="Arial" w:eastAsia="Arial" w:hAnsi="Arial"/>
          <w:sz w:val="18"/>
          <w:szCs w:val="18"/>
          <w:color w:val="auto"/>
        </w:rPr>
        <w:t>Goodwill is recorded when the consideration paid for an acquisition exceeds the fair value of net tangible and intangible assets acquired. Acquisition-related identified intangible assets are amortized on a straight-line basis over their estimated economic lives of one to seven years for purchased technology, one to eight years for core technology and four to seven years for customer contracts.</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324"/>
        <w:spacing w:after="0" w:line="289" w:lineRule="auto"/>
        <w:rPr>
          <w:sz w:val="20"/>
          <w:szCs w:val="20"/>
          <w:color w:val="auto"/>
        </w:rPr>
      </w:pPr>
      <w:r>
        <w:rPr>
          <w:rFonts w:ascii="Arial" w:cs="Arial" w:eastAsia="Arial" w:hAnsi="Arial"/>
          <w:sz w:val="16"/>
          <w:szCs w:val="16"/>
          <w:color w:val="auto"/>
        </w:rPr>
        <w:t>Goodwill is measured and tested for impairment on an annual basis or more frequently if the Company believes indicators of impairment exist. The performance of the test involves a two-step process. The first step requires comparing the fair value of the reporting unit to its net book value, including goodwill. The Company has one reporting unit. The fair value of the reporting unit is determined by taking the market capitalization of the reporting unit as determined through quoted market prices.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to the fair value of the reporting unit and if the difference is less than the net book value of goodwill, an impairment exists and is recorded. In the event that the Company determines that the value of goodwill has become impaired, the Company will record an accounting charge for the amount of impairment during the fiscal quarter in which the determination is made. The Company has not been required to perform this second step of the process since its implementation of SFAS 142 because the fair value of the reporting unit has exceeded its net book value at every measurement date.</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Impairment of long-lived assets</w:t>
      </w:r>
    </w:p>
    <w:p>
      <w:pPr>
        <w:spacing w:after="0" w:line="229" w:lineRule="exact"/>
        <w:rPr>
          <w:sz w:val="20"/>
          <w:szCs w:val="20"/>
          <w:color w:val="auto"/>
        </w:rPr>
      </w:pPr>
    </w:p>
    <w:p>
      <w:pPr>
        <w:ind w:right="180" w:firstLine="324"/>
        <w:spacing w:after="0" w:line="257" w:lineRule="auto"/>
        <w:rPr>
          <w:sz w:val="20"/>
          <w:szCs w:val="20"/>
          <w:color w:val="auto"/>
        </w:rPr>
      </w:pPr>
      <w:r>
        <w:rPr>
          <w:rFonts w:ascii="Arial" w:cs="Arial" w:eastAsia="Arial" w:hAnsi="Arial"/>
          <w:sz w:val="18"/>
          <w:szCs w:val="18"/>
          <w:color w:val="auto"/>
        </w:rPr>
        <w:t>Long-lived assets include equipment, furniture and fixtures, privately held equity investments and intangible assets. Whenever events or changes in circumstances indicate that the carrying amount of long-lived assets may not be recoverable, the Company estimate the future cash flows, undiscounted and without interest charges, expected to result from the use of those assets and their eventual cash position. If the sum of the expected future cash flows is less than the carrying amount of those assets, the Company recognizes an impairment loss based on the excess of the carrying amount over the fair value of the assets.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Reclassifications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6"/>
          <w:szCs w:val="16"/>
          <w:color w:val="auto"/>
        </w:rPr>
        <w:t>Certain reclassifications have been made to the Balance Sheet for the prior period balances in order to conform to the current period’s presentation.</w:t>
      </w:r>
    </w:p>
    <w:p>
      <w:pPr>
        <w:spacing w:after="0" w:line="24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29" w:lineRule="exact"/>
        <w:rPr>
          <w:sz w:val="20"/>
          <w:szCs w:val="20"/>
          <w:color w:val="auto"/>
        </w:rPr>
      </w:pPr>
    </w:p>
    <w:p>
      <w:pPr>
        <w:ind w:right="180" w:firstLine="324"/>
        <w:spacing w:after="0" w:line="264" w:lineRule="auto"/>
        <w:rPr>
          <w:sz w:val="20"/>
          <w:szCs w:val="20"/>
          <w:color w:val="auto"/>
        </w:rPr>
      </w:pPr>
      <w:r>
        <w:rPr>
          <w:rFonts w:ascii="Arial" w:cs="Arial" w:eastAsia="Arial" w:hAnsi="Arial"/>
          <w:sz w:val="18"/>
          <w:szCs w:val="18"/>
          <w:color w:val="auto"/>
        </w:rPr>
        <w:t>The Company accounts for its revenues under the provisions of Staff Accounting Bulletin (“SAB”) No. 104, “Revenue Recognition in Financial Statements.” Under this provision, the Company recognizes revenues when there is persuasive evidence of an arrangement, delivery has occurred, the fee is fixed or determinable, and collection is reasonably assured.</w:t>
      </w:r>
    </w:p>
    <w:p>
      <w:pPr>
        <w:spacing w:after="0" w:line="181" w:lineRule="exact"/>
        <w:rPr>
          <w:sz w:val="20"/>
          <w:szCs w:val="20"/>
          <w:color w:val="auto"/>
        </w:rPr>
      </w:pPr>
    </w:p>
    <w:p>
      <w:pPr>
        <w:ind w:right="160" w:firstLine="324"/>
        <w:spacing w:after="0" w:line="302"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and price protection is deferred until the distributors sell the product to end customers. The Company’s sales to direct customers are made primarily pursuant to standard purchase orders for delivery of products. The Company</w:t>
      </w:r>
    </w:p>
    <w:p>
      <w:pPr>
        <w:sectPr>
          <w:pgSz w:w="11900" w:h="16904" w:orient="portrait"/>
          <w:cols w:equalWidth="0" w:num="1">
            <w:col w:w="11400"/>
          </w:cols>
          <w:pgMar w:left="240" w:top="121" w:right="259" w:bottom="0" w:gutter="0" w:footer="0" w:header="0"/>
        </w:sectPr>
      </w:pPr>
    </w:p>
    <w:bookmarkStart w:id="5" w:name="page6"/>
    <w:bookmarkEnd w:id="5"/>
    <w:p>
      <w:pPr>
        <w:spacing w:after="0" w:line="32" w:lineRule="exact"/>
        <w:rPr>
          <w:sz w:val="20"/>
          <w:szCs w:val="20"/>
          <w:color w:val="auto"/>
        </w:rPr>
      </w:pPr>
    </w:p>
    <w:p>
      <w:pPr>
        <w:jc w:val="both"/>
        <w:ind w:right="180"/>
        <w:spacing w:after="0" w:line="288" w:lineRule="auto"/>
        <w:rPr>
          <w:sz w:val="20"/>
          <w:szCs w:val="20"/>
          <w:color w:val="auto"/>
        </w:rPr>
      </w:pPr>
      <w:r>
        <w:rPr>
          <w:rFonts w:ascii="Arial" w:cs="Arial" w:eastAsia="Arial" w:hAnsi="Arial"/>
          <w:sz w:val="16"/>
          <w:szCs w:val="16"/>
          <w:color w:val="auto"/>
        </w:rPr>
        <w:t>generally allows customers to cancel or change purchase orders with limited notice prior to the scheduled shipment dates and from time to time it also may request a customer to accept a shipment of product before its original requested delivery date, in which case, revenue is not recognized until there is written confirmation from the customer accepting early shipment, delivery has occurred, the fee is fixed or determinable, and collection is reasonably assured.</w:t>
      </w:r>
    </w:p>
    <w:p>
      <w:pPr>
        <w:jc w:val="both"/>
        <w:ind w:right="220"/>
        <w:spacing w:after="0" w:line="255" w:lineRule="auto"/>
        <w:rPr>
          <w:sz w:val="20"/>
          <w:szCs w:val="20"/>
          <w:color w:val="auto"/>
        </w:rPr>
      </w:pPr>
      <w:r>
        <w:rPr>
          <w:rFonts w:ascii="Arial" w:cs="Arial" w:eastAsia="Arial" w:hAnsi="Arial"/>
          <w:sz w:val="18"/>
          <w:szCs w:val="18"/>
          <w:color w:val="auto"/>
        </w:rPr>
        <w:t>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90" w:lineRule="exact"/>
        <w:rPr>
          <w:sz w:val="20"/>
          <w:szCs w:val="20"/>
          <w:color w:val="auto"/>
        </w:rPr>
      </w:pPr>
    </w:p>
    <w:p>
      <w:pPr>
        <w:jc w:val="both"/>
        <w:ind w:right="580" w:firstLine="324"/>
        <w:spacing w:after="0" w:line="342"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24" w:lineRule="exact"/>
        <w:rPr>
          <w:sz w:val="20"/>
          <w:szCs w:val="20"/>
          <w:color w:val="auto"/>
        </w:rPr>
      </w:pPr>
    </w:p>
    <w:p>
      <w:pPr>
        <w:ind w:right="80" w:firstLine="324"/>
        <w:spacing w:after="0" w:line="264" w:lineRule="auto"/>
        <w:rPr>
          <w:sz w:val="20"/>
          <w:szCs w:val="20"/>
          <w:color w:val="auto"/>
        </w:rPr>
      </w:pPr>
      <w:r>
        <w:rPr>
          <w:rFonts w:ascii="Arial" w:cs="Arial" w:eastAsia="Arial" w:hAnsi="Arial"/>
          <w:sz w:val="18"/>
          <w:szCs w:val="18"/>
          <w:color w:val="auto"/>
        </w:rPr>
        <w:t>The Company also enters into development agreements with some of its customers. Under these development agreements product revenue is recognized under the proportionate performance method. Revenue is recognized as related costs to complete the contract are incurred. These costs are included in research and development expense.</w:t>
      </w:r>
    </w:p>
    <w:p>
      <w:pPr>
        <w:spacing w:after="0" w:line="181" w:lineRule="exact"/>
        <w:rPr>
          <w:sz w:val="20"/>
          <w:szCs w:val="20"/>
          <w:color w:val="auto"/>
        </w:rPr>
      </w:pPr>
    </w:p>
    <w:p>
      <w:pPr>
        <w:ind w:right="160" w:firstLine="324"/>
        <w:spacing w:after="0" w:line="276" w:lineRule="auto"/>
        <w:rPr>
          <w:sz w:val="20"/>
          <w:szCs w:val="20"/>
          <w:color w:val="auto"/>
        </w:rPr>
      </w:pPr>
      <w:r>
        <w:rPr>
          <w:rFonts w:ascii="Arial" w:cs="Arial" w:eastAsia="Arial" w:hAnsi="Arial"/>
          <w:sz w:val="17"/>
          <w:szCs w:val="17"/>
          <w:color w:val="auto"/>
        </w:rPr>
        <w:t>The provisions of Emerging Issues Task Force (“EITF”) Issue No. 00-21 apply to sales arrangements with multiple arrangements that include a combination of hardware, software and /or services. For multiple element arrangements, revenue is allocated to the separate elements based on fair value. If an arrangement includes undelivered elements that are not essential to the functionality of the delivered elements, the Company defers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pacing w:after="0" w:line="38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firstLine="324"/>
        <w:spacing w:after="0" w:line="257" w:lineRule="auto"/>
        <w:rPr>
          <w:sz w:val="20"/>
          <w:szCs w:val="20"/>
          <w:color w:val="auto"/>
        </w:rPr>
      </w:pPr>
      <w:r>
        <w:rPr>
          <w:rFonts w:ascii="Arial" w:cs="Arial" w:eastAsia="Arial" w:hAnsi="Arial"/>
          <w:sz w:val="18"/>
          <w:szCs w:val="18"/>
          <w:color w:val="auto"/>
        </w:rPr>
        <w:t>In arrangements that include a combination of hardware and software products that are also sold separately, where software is more than incidental and essential to the functionality of the product being sold, the Company follows the guidance in EITF Issue No. 03-05, “Applicability of AICPA Statement of Position 97-2 to Non-Software Deliverables in an Arrangement Containing More-Than-Incidental Software,” accounts for the entire arrangement as a sale of software and software-related items and follows the revenue recognition criteria in SOP No. 97-2, “Software Revenue Recognition,” and related interpretations.</w:t>
      </w:r>
    </w:p>
    <w:p>
      <w:pPr>
        <w:spacing w:after="0" w:line="188" w:lineRule="exact"/>
        <w:rPr>
          <w:sz w:val="20"/>
          <w:szCs w:val="20"/>
          <w:color w:val="auto"/>
        </w:rPr>
      </w:pPr>
    </w:p>
    <w:p>
      <w:pPr>
        <w:jc w:val="both"/>
        <w:ind w:right="280" w:firstLine="324"/>
        <w:spacing w:after="0" w:line="264"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or determinable and collectibility is probable. Revenue from post-contract customer support and any other future deliverables is deferred and earned over the support period or as contract elements are delivered.</w:t>
      </w:r>
    </w:p>
    <w:p>
      <w:pPr>
        <w:spacing w:after="0" w:line="181" w:lineRule="exact"/>
        <w:rPr>
          <w:sz w:val="20"/>
          <w:szCs w:val="20"/>
          <w:color w:val="auto"/>
        </w:rPr>
      </w:pPr>
    </w:p>
    <w:p>
      <w:pPr>
        <w:ind w:firstLine="324"/>
        <w:spacing w:after="0" w:line="286" w:lineRule="auto"/>
        <w:rPr>
          <w:sz w:val="20"/>
          <w:szCs w:val="20"/>
          <w:color w:val="auto"/>
        </w:rPr>
      </w:pPr>
      <w:r>
        <w:rPr>
          <w:rFonts w:ascii="Arial" w:cs="Arial" w:eastAsia="Arial" w:hAnsi="Arial"/>
          <w:sz w:val="17"/>
          <w:szCs w:val="17"/>
          <w:color w:val="auto"/>
        </w:rPr>
        <w:t>The Company accounts for rebates in accordance with EITF Issue No. 01-9, Accounting for Consideration Given by a Vendor to a Customer (Including a Reseller of the Vendor’s Products</w:t>
      </w:r>
      <w:r>
        <w:rPr>
          <w:rFonts w:ascii="Arial" w:cs="Arial" w:eastAsia="Arial" w:hAnsi="Arial"/>
          <w:sz w:val="17"/>
          <w:szCs w:val="17"/>
          <w:i w:val="1"/>
          <w:iCs w:val="1"/>
          <w:color w:val="auto"/>
        </w:rPr>
        <w:t>)</w:t>
      </w:r>
      <w:r>
        <w:rPr>
          <w:rFonts w:ascii="Arial" w:cs="Arial" w:eastAsia="Arial" w:hAnsi="Arial"/>
          <w:sz w:val="17"/>
          <w:szCs w:val="17"/>
          <w:color w:val="auto"/>
        </w:rPr>
        <w:t>, and, accordingly, records reductions to revenue for rebates in the same period that the related revenue is recorded. The amount of these reductions is based upon the terms included in the Company’s various rebate agreements.</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 and other</w:t>
      </w:r>
    </w:p>
    <w:p>
      <w:pPr>
        <w:spacing w:after="0" w:line="229" w:lineRule="exact"/>
        <w:rPr>
          <w:sz w:val="20"/>
          <w:szCs w:val="20"/>
          <w:color w:val="auto"/>
        </w:rPr>
      </w:pPr>
    </w:p>
    <w:p>
      <w:pPr>
        <w:jc w:val="both"/>
        <w:ind w:firstLine="324"/>
        <w:spacing w:after="0" w:line="264" w:lineRule="auto"/>
        <w:rPr>
          <w:sz w:val="20"/>
          <w:szCs w:val="20"/>
          <w:color w:val="auto"/>
        </w:rPr>
      </w:pPr>
      <w:r>
        <w:rPr>
          <w:rFonts w:ascii="Arial" w:cs="Arial" w:eastAsia="Arial" w:hAnsi="Arial"/>
          <w:sz w:val="18"/>
          <w:szCs w:val="18"/>
          <w:color w:val="auto"/>
        </w:rPr>
        <w:t>Research and development and other costs consist primarily of $236.2 million and $152.6 million of research and development costs for the three months periods ended July 28, 2007 and July 29, 2006, respectively, and included $4.1 million and $2.7 million of costs related to patent investigation and filings for the three month periods ended July 28, 2007 and July 29, 2006, respectively.</w:t>
      </w:r>
    </w:p>
    <w:p>
      <w:pPr>
        <w:spacing w:after="0" w:line="181" w:lineRule="exact"/>
        <w:rPr>
          <w:sz w:val="20"/>
          <w:szCs w:val="20"/>
          <w:color w:val="auto"/>
        </w:rPr>
      </w:pPr>
    </w:p>
    <w:p>
      <w:pPr>
        <w:jc w:val="both"/>
        <w:ind w:right="60" w:firstLine="324"/>
        <w:spacing w:after="0" w:line="312" w:lineRule="auto"/>
        <w:rPr>
          <w:sz w:val="20"/>
          <w:szCs w:val="20"/>
          <w:color w:val="auto"/>
        </w:rPr>
      </w:pPr>
      <w:r>
        <w:rPr>
          <w:rFonts w:ascii="Arial" w:cs="Arial" w:eastAsia="Arial" w:hAnsi="Arial"/>
          <w:sz w:val="16"/>
          <w:szCs w:val="16"/>
          <w:color w:val="auto"/>
        </w:rPr>
        <w:t>Research and development and other costs consist primarily of $470.3 million and $281.9 million of research and development costs for the six months periods ended July 28, 2007 and July 29, 2006, respectively, and included $7.1 million and $5.1 million of costs related to patent investigation and filings for the six month periods ended July 28, 2007 and July 29, 2006, respectively. Research and development and other costs are expensed as incurred.</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Stock-based compensation</w:t>
      </w:r>
    </w:p>
    <w:p>
      <w:pPr>
        <w:spacing w:after="0" w:line="229" w:lineRule="exact"/>
        <w:rPr>
          <w:sz w:val="20"/>
          <w:szCs w:val="20"/>
          <w:color w:val="auto"/>
        </w:rPr>
      </w:pPr>
    </w:p>
    <w:p>
      <w:pPr>
        <w:jc w:val="both"/>
        <w:ind w:right="200" w:firstLine="324"/>
        <w:spacing w:after="0" w:line="264" w:lineRule="auto"/>
        <w:rPr>
          <w:sz w:val="20"/>
          <w:szCs w:val="20"/>
          <w:color w:val="auto"/>
        </w:rPr>
      </w:pPr>
      <w:r>
        <w:rPr>
          <w:rFonts w:ascii="Arial" w:cs="Arial" w:eastAsia="Arial" w:hAnsi="Arial"/>
          <w:sz w:val="18"/>
          <w:szCs w:val="18"/>
          <w:color w:val="auto"/>
        </w:rPr>
        <w:t>The Company has share-based payment awards to its employees and directors that are fully described in Notes 7 and 8. The stock-based compensation expenses are recorded in accordance with Financial Accounting Standards Board (“FASB”) Statement of Financial Accounting Standards No. 123 (revised 2004), “Share Based Payment” (“SFAS 123R”).</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Accounting for income taxes</w:t>
      </w:r>
    </w:p>
    <w:p>
      <w:pPr>
        <w:spacing w:after="0" w:line="229"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color w:val="auto"/>
        </w:rPr>
        <w:t>The Company accounts for income taxes in accordance with SFAS No. 109, “Accounting for Income Taxes” (“SFAS No. 109”). Under this method, the Company determines deferred tax assets and liabilities based upon the difference between the income tax bases of assets and liabilities and their respective financial reporting amounts at enacted tax rates in effect for the periods in which the differences are expected to reverse. The tax consequences of most events recognized in the current year’s financial statements are included in determining income taxes currently payable. However, because tax laws and financial accounting standards differ in their recognition and measurement of assets, liabilities, equity, revenues, expenses, gains and losses, differences arise between the amount of taxable income and pretax financial income for a year and between the tax bases of assets or liabilities and their reported amounts in the financial statements. Because it is assumed that the reported amounts of assets and liabilities will be recovered and settled, respectively, a difference between the tax basis of an asset or a liability and its reported amount in the balance sheet will result in a taxable or a deductible amount in some future years when the related liabilities are settled or the reported amounts of assets are recovered, hence giving rise to a deferred tax liability or asset, respectively. The Company then assesses the likelihood that its deferred tax assets will be recovered from future taxable income and to the extent the Company believes that recovery is not likely, the Company establish a valuation allowance. The Company accounts for uncertain tax positions in accordance with FASB Interpretation No. 48 “Accounting for Uncertainty in Tax Positions” (“FIN 48”). The Company classifies accrued interest and penalties as part of the accrued FIN No. 48 liability and records the expense within the provision for income taxes.</w:t>
      </w:r>
    </w:p>
    <w:p>
      <w:pPr>
        <w:spacing w:after="0" w:line="175" w:lineRule="exact"/>
        <w:rPr>
          <w:sz w:val="20"/>
          <w:szCs w:val="20"/>
          <w:color w:val="auto"/>
        </w:rPr>
      </w:pPr>
    </w:p>
    <w:p>
      <w:pPr>
        <w:ind w:right="40" w:firstLine="324"/>
        <w:spacing w:after="0" w:line="257" w:lineRule="auto"/>
        <w:rPr>
          <w:sz w:val="20"/>
          <w:szCs w:val="20"/>
          <w:color w:val="auto"/>
        </w:rPr>
      </w:pPr>
      <w:r>
        <w:rPr>
          <w:rFonts w:ascii="Arial" w:cs="Arial" w:eastAsia="Arial" w:hAnsi="Arial"/>
          <w:sz w:val="18"/>
          <w:szCs w:val="18"/>
          <w:color w:val="auto"/>
        </w:rPr>
        <w:t>The application of income tax law is inherently complex. Laws and regulations in this area are voluminous and are often ambiguous. As such, the Company is required to make many subjective assumptions and judgments regarding its income tax exposures. Interpretations of and guidance surrounding income tax laws and regulations are subject to change over time. As such, changes in its subjective assumptions and judgments can materially affect amounts recognized in the consolidated balance sheets and statements of income. See Note 9 - Income Taxes of the consolidated financial statements for additional detail on the Company’s uncertain tax positions.</w:t>
      </w:r>
    </w:p>
    <w:p>
      <w:pPr>
        <w:sectPr>
          <w:pgSz w:w="11900" w:h="16870" w:orient="portrait"/>
          <w:cols w:equalWidth="0" w:num="1">
            <w:col w:w="11380"/>
          </w:cols>
          <w:pgMar w:left="240" w:top="125" w:right="279" w:bottom="0" w:gutter="0" w:footer="0" w:header="0"/>
        </w:sectPr>
      </w:pPr>
    </w:p>
    <w:bookmarkStart w:id="6" w:name="page7"/>
    <w:bookmarkEnd w:id="6"/>
    <w:p>
      <w:pPr>
        <w:spacing w:after="0" w:line="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w:t>
      </w:r>
    </w:p>
    <w:p>
      <w:pPr>
        <w:spacing w:after="0" w:line="229" w:lineRule="exact"/>
        <w:rPr>
          <w:sz w:val="20"/>
          <w:szCs w:val="20"/>
          <w:color w:val="auto"/>
        </w:rPr>
      </w:pPr>
    </w:p>
    <w:p>
      <w:pPr>
        <w:ind w:right="100" w:firstLine="324"/>
        <w:spacing w:after="0" w:line="257"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in the accompanying statements of operations. The Company’s products typically carry a standard 90-day warranty with certain exceptions in which the warranty period can range from one to five years. The warranty accrual is estimated based on historical claims compared to historical revenues and assumes that the Company will have to replace products subject to a claim. For new products, the Company uses a historical percentage for the appropriate class of product.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29" w:lineRule="exact"/>
        <w:rPr>
          <w:sz w:val="20"/>
          <w:szCs w:val="20"/>
          <w:color w:val="auto"/>
        </w:rPr>
      </w:pPr>
    </w:p>
    <w:p>
      <w:pPr>
        <w:ind w:right="20" w:firstLine="324"/>
        <w:spacing w:after="0" w:line="272" w:lineRule="auto"/>
        <w:rPr>
          <w:sz w:val="20"/>
          <w:szCs w:val="20"/>
          <w:color w:val="auto"/>
        </w:rPr>
      </w:pPr>
      <w:r>
        <w:rPr>
          <w:rFonts w:ascii="Arial" w:cs="Arial" w:eastAsia="Arial" w:hAnsi="Arial"/>
          <w:sz w:val="17"/>
          <w:szCs w:val="17"/>
          <w:color w:val="auto"/>
        </w:rPr>
        <w:t>In June 2006, the FASB ratified EITF consensus on EITF Issue No. 06-2, “Accounting for Sabbatical Leave and Other Similar Benefits Pursuant to FASB Statement No. 43” (“EITF 06-2”). EITF 06-2 requires companies to accrue the cost of such compensated absences over the require service period. The Company currently accrues the cost of compensated absences for sabbatical programs when the eligible employee complete the requisite service period. The Company is required to apply the provision of EITF 06-2 at the beginning of fiscal 2008. EITF 06-02 allows for adoption through retrospective application to all prior periods or through a cumulative effect adjustment to retained earnings if it is impracticable to determine the period specific effects of the change on prior periods presented. The Company adopted EITF 06-2 in the first quarter of fiscal 2008. The adoption did not have a material impact on the Company’s financial position and results of operations.</w:t>
      </w:r>
    </w:p>
    <w:p>
      <w:pPr>
        <w:spacing w:after="0" w:line="178"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In July 2006, the FASB issued FIN 48, which clarifies the accounting for uncertainty in income tax positions. This Interpretation requires that the Company recognize in its financial statements the impact of a tax position if that position is more likely than not of being sustained on audit, based on the technical merits of the position. The provisions of FIN 48 are effective as of the beginning of the Company’s fiscal 2008, with the cumulative effect, if any, of the change in accounting principle recorded as an adjustment to opening retained earnings. On May 2, 2007, the FASB issued FASB Staff Position No. FIN 48-1 “Definition of Settlement in FASB Interpretation No. 48-1” (“FSP FIN 48-1”). FSP FIN 48-1 provides guidance on how an entity should determine whether a tax position is effectively settled for the purpose of recognizing previously unrecognized tax benefits. Effective January 28, 2007, the Company adopted FIN 48. See Note 9 – Income Taxes for further details.</w:t>
      </w:r>
    </w:p>
    <w:p>
      <w:pPr>
        <w:spacing w:after="0" w:line="189" w:lineRule="exact"/>
        <w:rPr>
          <w:sz w:val="20"/>
          <w:szCs w:val="20"/>
          <w:color w:val="auto"/>
        </w:rPr>
      </w:pPr>
    </w:p>
    <w:p>
      <w:pPr>
        <w:ind w:right="320" w:firstLine="324"/>
        <w:spacing w:after="0" w:line="259" w:lineRule="auto"/>
        <w:rPr>
          <w:sz w:val="20"/>
          <w:szCs w:val="20"/>
          <w:color w:val="auto"/>
        </w:rPr>
      </w:pPr>
      <w:r>
        <w:rPr>
          <w:rFonts w:ascii="Arial" w:cs="Arial" w:eastAsia="Arial" w:hAnsi="Arial"/>
          <w:sz w:val="18"/>
          <w:szCs w:val="18"/>
          <w:color w:val="auto"/>
        </w:rPr>
        <w:t>In September 2006, the FASB issued Statement of Financial Accounting Standards No. 157 (“SFAS 157”), Fair Value Measurements. The statement defines fair value, establishes a framework for measuring fair value in generally accepted accounting principles, and expands disclosures about fair value measurements. SFAS 157 is effective for financial statements issued for fiscal periods beginning after November 15, 2007. The Company is currently evaluating the impact of SFAS 157 on the Company’s consolidated financial statements.</w:t>
      </w:r>
    </w:p>
    <w:p>
      <w:pPr>
        <w:spacing w:after="0" w:line="187" w:lineRule="exact"/>
        <w:rPr>
          <w:sz w:val="20"/>
          <w:szCs w:val="20"/>
          <w:color w:val="auto"/>
        </w:rPr>
      </w:pPr>
    </w:p>
    <w:p>
      <w:pPr>
        <w:jc w:val="both"/>
        <w:ind w:right="180" w:firstLine="324"/>
        <w:spacing w:after="0" w:line="276" w:lineRule="auto"/>
        <w:rPr>
          <w:sz w:val="20"/>
          <w:szCs w:val="20"/>
          <w:color w:val="auto"/>
        </w:rPr>
      </w:pPr>
      <w:r>
        <w:rPr>
          <w:rFonts w:ascii="Arial" w:cs="Arial" w:eastAsia="Arial" w:hAnsi="Arial"/>
          <w:sz w:val="17"/>
          <w:szCs w:val="17"/>
          <w:color w:val="auto"/>
        </w:rPr>
        <w:t>In February 2007, the FASB issued Statement of Financial Accounting Standards No. 159, “The Fair Value Option for Financial Assets and Financial Liabilities — Including an Amendment of FASB Statement No. 115” which is effective for fiscal years beginning after November 15, 2007. This statement expands the standards under SFAS No. 157 which permits an entity to choose to measure many financial instruments and certain other items at fair value at specified election dates. Subsequent unrealized gains and losses on items for which the fair value option has been elected will be reported in earnings. The Company is currently evaluating the potential impact of this statement.</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Supplemental Financial Information</w:t>
      </w:r>
    </w:p>
    <w:p>
      <w:pPr>
        <w:spacing w:after="0" w:line="225"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Available-for-sale investments (in thousands)</w:t>
      </w:r>
    </w:p>
    <w:p>
      <w:pPr>
        <w:spacing w:after="0" w:line="207" w:lineRule="exact"/>
        <w:rPr>
          <w:sz w:val="20"/>
          <w:szCs w:val="20"/>
          <w:color w:val="auto"/>
        </w:rPr>
      </w:pPr>
    </w:p>
    <w:tbl>
      <w:tblPr>
        <w:tblLayout w:type="fixed"/>
        <w:tblInd w:w="720" w:type="dxa"/>
        <w:tblCellMar>
          <w:top w:w="0" w:type="dxa"/>
          <w:left w:w="0" w:type="dxa"/>
          <w:bottom w:w="0" w:type="dxa"/>
          <w:right w:w="0" w:type="dxa"/>
        </w:tblCellMar>
      </w:tblPr>
      <w:tr>
        <w:trPr>
          <w:trHeight w:val="171"/>
        </w:trPr>
        <w:tc>
          <w:tcPr>
            <w:tcW w:w="35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120" w:type="dxa"/>
            <w:vAlign w:val="bottom"/>
            <w:tcBorders>
              <w:bottom w:val="single" w:sz="8" w:color="auto"/>
            </w:tcBorders>
            <w:gridSpan w:val="5"/>
          </w:tcPr>
          <w:p>
            <w:pPr>
              <w:ind w:left="500"/>
              <w:spacing w:after="0"/>
              <w:rPr>
                <w:sz w:val="20"/>
                <w:szCs w:val="20"/>
                <w:color w:val="auto"/>
              </w:rPr>
            </w:pPr>
            <w:r>
              <w:rPr>
                <w:rFonts w:ascii="Arial" w:cs="Arial" w:eastAsia="Arial" w:hAnsi="Arial"/>
                <w:sz w:val="14"/>
                <w:szCs w:val="14"/>
                <w:b w:val="1"/>
                <w:bCs w:val="1"/>
                <w:color w:val="auto"/>
              </w:rPr>
              <w:t>July 28, 2007</w:t>
            </w:r>
          </w:p>
        </w:tc>
        <w:tc>
          <w:tcPr>
            <w:tcW w:w="12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35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0" w:type="dxa"/>
            <w:vAlign w:val="bottom"/>
            <w:gridSpan w:val="2"/>
            <w:vMerge w:val="restart"/>
          </w:tcPr>
          <w:p>
            <w:pPr>
              <w:jc w:val="center"/>
              <w:ind w:right="320"/>
              <w:spacing w:after="0"/>
              <w:rPr>
                <w:sz w:val="20"/>
                <w:szCs w:val="20"/>
                <w:color w:val="auto"/>
              </w:rPr>
            </w:pPr>
            <w:r>
              <w:rPr>
                <w:rFonts w:ascii="Arial" w:cs="Arial" w:eastAsia="Arial" w:hAnsi="Arial"/>
                <w:sz w:val="14"/>
                <w:szCs w:val="14"/>
                <w:b w:val="1"/>
                <w:bCs w:val="1"/>
                <w:color w:val="auto"/>
                <w:w w:val="93"/>
              </w:rPr>
              <w:t>Amortized</w:t>
            </w:r>
          </w:p>
        </w:tc>
        <w:tc>
          <w:tcPr>
            <w:tcW w:w="100" w:type="dxa"/>
            <w:vAlign w:val="bottom"/>
          </w:tcPr>
          <w:p>
            <w:pPr>
              <w:spacing w:after="0"/>
              <w:rPr>
                <w:sz w:val="8"/>
                <w:szCs w:val="8"/>
                <w:color w:val="auto"/>
              </w:rPr>
            </w:pPr>
          </w:p>
        </w:tc>
        <w:tc>
          <w:tcPr>
            <w:tcW w:w="1020" w:type="dxa"/>
            <w:vAlign w:val="bottom"/>
            <w:gridSpan w:val="2"/>
          </w:tcPr>
          <w:p>
            <w:pPr>
              <w:jc w:val="center"/>
              <w:ind w:right="340"/>
              <w:spacing w:after="0" w:line="102" w:lineRule="exact"/>
              <w:rPr>
                <w:sz w:val="20"/>
                <w:szCs w:val="20"/>
                <w:color w:val="auto"/>
              </w:rPr>
            </w:pPr>
            <w:r>
              <w:rPr>
                <w:rFonts w:ascii="Arial" w:cs="Arial" w:eastAsia="Arial" w:hAnsi="Arial"/>
                <w:sz w:val="11"/>
                <w:szCs w:val="11"/>
                <w:b w:val="1"/>
                <w:bCs w:val="1"/>
                <w:color w:val="auto"/>
              </w:rPr>
              <w:t>Gross</w:t>
            </w:r>
          </w:p>
        </w:tc>
        <w:tc>
          <w:tcPr>
            <w:tcW w:w="100" w:type="dxa"/>
            <w:vAlign w:val="bottom"/>
          </w:tcPr>
          <w:p>
            <w:pPr>
              <w:spacing w:after="0"/>
              <w:rPr>
                <w:sz w:val="8"/>
                <w:szCs w:val="8"/>
                <w:color w:val="auto"/>
              </w:rPr>
            </w:pPr>
          </w:p>
        </w:tc>
        <w:tc>
          <w:tcPr>
            <w:tcW w:w="1000" w:type="dxa"/>
            <w:vAlign w:val="bottom"/>
            <w:gridSpan w:val="2"/>
          </w:tcPr>
          <w:p>
            <w:pPr>
              <w:jc w:val="center"/>
              <w:ind w:right="240"/>
              <w:spacing w:after="0" w:line="102" w:lineRule="exact"/>
              <w:rPr>
                <w:sz w:val="20"/>
                <w:szCs w:val="20"/>
                <w:color w:val="auto"/>
              </w:rPr>
            </w:pPr>
            <w:r>
              <w:rPr>
                <w:rFonts w:ascii="Arial" w:cs="Arial" w:eastAsia="Arial" w:hAnsi="Arial"/>
                <w:sz w:val="11"/>
                <w:szCs w:val="11"/>
                <w:b w:val="1"/>
                <w:bCs w:val="1"/>
                <w:color w:val="auto"/>
              </w:rPr>
              <w:t>Gross</w:t>
            </w:r>
          </w:p>
        </w:tc>
        <w:tc>
          <w:tcPr>
            <w:tcW w:w="120" w:type="dxa"/>
            <w:vAlign w:val="bottom"/>
          </w:tcPr>
          <w:p>
            <w:pPr>
              <w:spacing w:after="0"/>
              <w:rPr>
                <w:sz w:val="8"/>
                <w:szCs w:val="8"/>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35"/>
        </w:trPr>
        <w:tc>
          <w:tcPr>
            <w:tcW w:w="3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0" w:type="dxa"/>
            <w:vAlign w:val="bottom"/>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3"/>
              </w:rPr>
              <w:t>Unrealized</w:t>
            </w:r>
          </w:p>
        </w:tc>
        <w:tc>
          <w:tcPr>
            <w:tcW w:w="100" w:type="dxa"/>
            <w:vAlign w:val="bottom"/>
          </w:tcPr>
          <w:p>
            <w:pPr>
              <w:spacing w:after="0"/>
              <w:rPr>
                <w:sz w:val="11"/>
                <w:szCs w:val="11"/>
                <w:color w:val="auto"/>
              </w:rPr>
            </w:pPr>
          </w:p>
        </w:tc>
        <w:tc>
          <w:tcPr>
            <w:tcW w:w="100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3"/>
              </w:rPr>
              <w:t>Unrealized</w:t>
            </w:r>
          </w:p>
        </w:tc>
        <w:tc>
          <w:tcPr>
            <w:tcW w:w="12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9"/>
              </w:rPr>
              <w:t>Cost</w:t>
            </w:r>
          </w:p>
        </w:tc>
        <w:tc>
          <w:tcPr>
            <w:tcW w:w="100" w:type="dxa"/>
            <w:vAlign w:val="bottom"/>
          </w:tcPr>
          <w:p>
            <w:pPr>
              <w:spacing w:after="0"/>
              <w:rPr>
                <w:sz w:val="14"/>
                <w:szCs w:val="14"/>
                <w:color w:val="auto"/>
              </w:rPr>
            </w:pPr>
          </w:p>
        </w:tc>
        <w:tc>
          <w:tcPr>
            <w:tcW w:w="102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2"/>
              </w:rPr>
              <w:t>Gains</w:t>
            </w:r>
          </w:p>
        </w:tc>
        <w:tc>
          <w:tcPr>
            <w:tcW w:w="100" w:type="dxa"/>
            <w:vAlign w:val="bottom"/>
          </w:tcPr>
          <w:p>
            <w:pPr>
              <w:spacing w:after="0"/>
              <w:rPr>
                <w:sz w:val="14"/>
                <w:szCs w:val="14"/>
                <w:color w:val="auto"/>
              </w:rPr>
            </w:pPr>
          </w:p>
        </w:tc>
        <w:tc>
          <w:tcPr>
            <w:tcW w:w="100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2"/>
              </w:rPr>
              <w:t>Losses</w:t>
            </w:r>
          </w:p>
        </w:tc>
        <w:tc>
          <w:tcPr>
            <w:tcW w:w="120" w:type="dxa"/>
            <w:vAlign w:val="bottom"/>
          </w:tcPr>
          <w:p>
            <w:pPr>
              <w:spacing w:after="0"/>
              <w:rPr>
                <w:sz w:val="14"/>
                <w:szCs w:val="14"/>
                <w:color w:val="auto"/>
              </w:rPr>
            </w:pPr>
          </w:p>
        </w:tc>
        <w:tc>
          <w:tcPr>
            <w:tcW w:w="84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35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3,535</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tcBorders>
            <w:shd w:val="clear" w:color="auto" w:fill="CCEEFF"/>
          </w:tcPr>
          <w:p>
            <w:pPr>
              <w:ind w:left="600"/>
              <w:spacing w:after="0"/>
              <w:rPr>
                <w:sz w:val="20"/>
                <w:szCs w:val="20"/>
                <w:color w:val="auto"/>
              </w:rPr>
            </w:pPr>
            <w:r>
              <w:rPr>
                <w:rFonts w:ascii="Arial" w:cs="Arial" w:eastAsia="Arial" w:hAnsi="Arial"/>
                <w:sz w:val="18"/>
                <w:szCs w:val="18"/>
                <w:color w:val="auto"/>
                <w:w w:val="99"/>
              </w:rPr>
              <w:t>—</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2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3,512</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6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68,709</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68,709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5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U.S. Federal, State, county and municipal</w:t>
            </w: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5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debt securities</w:t>
            </w:r>
          </w:p>
        </w:tc>
        <w:tc>
          <w:tcPr>
            <w:tcW w:w="100" w:type="dxa"/>
            <w:vAlign w:val="bottom"/>
            <w:shd w:val="clear" w:color="auto" w:fill="CCEEFF"/>
          </w:tcPr>
          <w:p>
            <w:pPr>
              <w:spacing w:after="0"/>
              <w:rPr>
                <w:sz w:val="20"/>
                <w:szCs w:val="20"/>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20,265</w:t>
            </w:r>
          </w:p>
        </w:tc>
        <w:tc>
          <w:tcPr>
            <w:tcW w:w="2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020" w:type="dxa"/>
            <w:vAlign w:val="bottom"/>
            <w:gridSpan w:val="2"/>
            <w:shd w:val="clear" w:color="auto" w:fill="CCEEFF"/>
          </w:tcPr>
          <w:p>
            <w:pPr>
              <w:ind w:left="6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p>
        </w:tc>
        <w:tc>
          <w:tcPr>
            <w:tcW w:w="10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(217)</w:t>
            </w:r>
          </w:p>
        </w:tc>
        <w:tc>
          <w:tcPr>
            <w:tcW w:w="120" w:type="dxa"/>
            <w:vAlign w:val="bottom"/>
            <w:shd w:val="clear" w:color="auto" w:fill="CCEEFF"/>
          </w:tcPr>
          <w:p>
            <w:pPr>
              <w:spacing w:after="0"/>
              <w:rPr>
                <w:sz w:val="20"/>
                <w:szCs w:val="20"/>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20,048</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3560" w:type="dxa"/>
            <w:vAlign w:val="bottom"/>
          </w:tcPr>
          <w:p>
            <w:pPr>
              <w:spacing w:after="0"/>
              <w:rPr>
                <w:sz w:val="20"/>
                <w:szCs w:val="20"/>
                <w:color w:val="auto"/>
              </w:rPr>
            </w:pPr>
            <w:r>
              <w:rPr>
                <w:rFonts w:ascii="Arial" w:cs="Arial" w:eastAsia="Arial" w:hAnsi="Arial"/>
                <w:sz w:val="18"/>
                <w:szCs w:val="18"/>
                <w:color w:val="auto"/>
              </w:rPr>
              <w:t>Short-term investments</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92,509</w:t>
            </w:r>
          </w:p>
        </w:tc>
        <w:tc>
          <w:tcPr>
            <w:tcW w:w="2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tcPr>
          <w:p>
            <w:pPr>
              <w:ind w:left="600"/>
              <w:spacing w:after="0"/>
              <w:rPr>
                <w:sz w:val="20"/>
                <w:szCs w:val="20"/>
                <w:color w:val="auto"/>
              </w:rPr>
            </w:pPr>
            <w:r>
              <w:rPr>
                <w:rFonts w:ascii="Arial" w:cs="Arial" w:eastAsia="Arial" w:hAnsi="Arial"/>
                <w:sz w:val="18"/>
                <w:szCs w:val="18"/>
                <w:color w:val="auto"/>
                <w:w w:val="99"/>
              </w:rPr>
              <w:t>—</w:t>
            </w:r>
          </w:p>
        </w:tc>
        <w:tc>
          <w:tcPr>
            <w:tcW w:w="2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(240</w:t>
            </w:r>
          </w:p>
        </w:tc>
        <w:tc>
          <w:tcPr>
            <w:tcW w:w="220" w:type="dxa"/>
            <w:vAlign w:val="bottom"/>
          </w:tcPr>
          <w:p>
            <w:pPr>
              <w:jc w:val="right"/>
              <w:ind w:right="80"/>
              <w:spacing w:after="0"/>
              <w:rPr>
                <w:sz w:val="20"/>
                <w:szCs w:val="20"/>
                <w:color w:val="auto"/>
              </w:rPr>
            </w:pPr>
            <w:r>
              <w:rPr>
                <w:rFonts w:ascii="Arial" w:cs="Arial" w:eastAsia="Arial" w:hAnsi="Arial"/>
                <w:sz w:val="16"/>
                <w:szCs w:val="16"/>
                <w:color w:val="auto"/>
                <w:w w:val="74"/>
              </w:rPr>
              <w:t>)</w:t>
            </w: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92,269</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5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80" w:type="dxa"/>
            <w:vAlign w:val="bottom"/>
            <w:tcBorders>
              <w:bottom w:val="single" w:sz="8" w:color="auto"/>
            </w:tcBorders>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6"/>
        </w:trPr>
        <w:tc>
          <w:tcPr>
            <w:tcW w:w="356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78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120" w:type="dxa"/>
            <w:vAlign w:val="bottom"/>
            <w:tcBorders>
              <w:bottom w:val="single" w:sz="8" w:color="auto"/>
            </w:tcBorders>
            <w:gridSpan w:val="5"/>
          </w:tcPr>
          <w:p>
            <w:pPr>
              <w:ind w:left="380"/>
              <w:spacing w:after="0"/>
              <w:rPr>
                <w:sz w:val="20"/>
                <w:szCs w:val="20"/>
                <w:color w:val="auto"/>
              </w:rPr>
            </w:pPr>
            <w:r>
              <w:rPr>
                <w:rFonts w:ascii="Arial" w:cs="Arial" w:eastAsia="Arial" w:hAnsi="Arial"/>
                <w:sz w:val="14"/>
                <w:szCs w:val="14"/>
                <w:b w:val="1"/>
                <w:bCs w:val="1"/>
                <w:color w:val="auto"/>
              </w:rPr>
              <w:t>January 27, 2007</w:t>
            </w:r>
          </w:p>
        </w:tc>
        <w:tc>
          <w:tcPr>
            <w:tcW w:w="120" w:type="dxa"/>
            <w:vAlign w:val="bottom"/>
            <w:tcBorders>
              <w:bottom w:val="single" w:sz="8" w:color="auto"/>
            </w:tcBorders>
          </w:tcPr>
          <w:p>
            <w:pPr>
              <w:spacing w:after="0"/>
              <w:rPr>
                <w:sz w:val="24"/>
                <w:szCs w:val="24"/>
                <w:color w:val="auto"/>
              </w:rPr>
            </w:pPr>
          </w:p>
        </w:tc>
        <w:tc>
          <w:tcPr>
            <w:tcW w:w="780" w:type="dxa"/>
            <w:vAlign w:val="bottom"/>
            <w:tcBorders>
              <w:bottom w:val="single" w:sz="8" w:color="auto"/>
            </w:tcBorders>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2"/>
        </w:trPr>
        <w:tc>
          <w:tcPr>
            <w:tcW w:w="35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0" w:type="dxa"/>
            <w:vAlign w:val="bottom"/>
            <w:gridSpan w:val="2"/>
            <w:vMerge w:val="restart"/>
          </w:tcPr>
          <w:p>
            <w:pPr>
              <w:jc w:val="center"/>
              <w:ind w:right="320"/>
              <w:spacing w:after="0"/>
              <w:rPr>
                <w:sz w:val="20"/>
                <w:szCs w:val="20"/>
                <w:color w:val="auto"/>
              </w:rPr>
            </w:pPr>
            <w:r>
              <w:rPr>
                <w:rFonts w:ascii="Arial" w:cs="Arial" w:eastAsia="Arial" w:hAnsi="Arial"/>
                <w:sz w:val="14"/>
                <w:szCs w:val="14"/>
                <w:b w:val="1"/>
                <w:bCs w:val="1"/>
                <w:color w:val="auto"/>
                <w:w w:val="93"/>
              </w:rPr>
              <w:t>Amortized</w:t>
            </w:r>
          </w:p>
        </w:tc>
        <w:tc>
          <w:tcPr>
            <w:tcW w:w="100" w:type="dxa"/>
            <w:vAlign w:val="bottom"/>
          </w:tcPr>
          <w:p>
            <w:pPr>
              <w:spacing w:after="0"/>
              <w:rPr>
                <w:sz w:val="8"/>
                <w:szCs w:val="8"/>
                <w:color w:val="auto"/>
              </w:rPr>
            </w:pPr>
          </w:p>
        </w:tc>
        <w:tc>
          <w:tcPr>
            <w:tcW w:w="1020" w:type="dxa"/>
            <w:vAlign w:val="bottom"/>
            <w:gridSpan w:val="2"/>
          </w:tcPr>
          <w:p>
            <w:pPr>
              <w:jc w:val="center"/>
              <w:ind w:right="340"/>
              <w:spacing w:after="0" w:line="102" w:lineRule="exact"/>
              <w:rPr>
                <w:sz w:val="20"/>
                <w:szCs w:val="20"/>
                <w:color w:val="auto"/>
              </w:rPr>
            </w:pPr>
            <w:r>
              <w:rPr>
                <w:rFonts w:ascii="Arial" w:cs="Arial" w:eastAsia="Arial" w:hAnsi="Arial"/>
                <w:sz w:val="11"/>
                <w:szCs w:val="11"/>
                <w:b w:val="1"/>
                <w:bCs w:val="1"/>
                <w:color w:val="auto"/>
              </w:rPr>
              <w:t>Gross</w:t>
            </w:r>
          </w:p>
        </w:tc>
        <w:tc>
          <w:tcPr>
            <w:tcW w:w="100" w:type="dxa"/>
            <w:vAlign w:val="bottom"/>
          </w:tcPr>
          <w:p>
            <w:pPr>
              <w:spacing w:after="0"/>
              <w:rPr>
                <w:sz w:val="8"/>
                <w:szCs w:val="8"/>
                <w:color w:val="auto"/>
              </w:rPr>
            </w:pPr>
          </w:p>
        </w:tc>
        <w:tc>
          <w:tcPr>
            <w:tcW w:w="1000" w:type="dxa"/>
            <w:vAlign w:val="bottom"/>
            <w:gridSpan w:val="2"/>
          </w:tcPr>
          <w:p>
            <w:pPr>
              <w:jc w:val="center"/>
              <w:ind w:right="240"/>
              <w:spacing w:after="0" w:line="102" w:lineRule="exact"/>
              <w:rPr>
                <w:sz w:val="20"/>
                <w:szCs w:val="20"/>
                <w:color w:val="auto"/>
              </w:rPr>
            </w:pPr>
            <w:r>
              <w:rPr>
                <w:rFonts w:ascii="Arial" w:cs="Arial" w:eastAsia="Arial" w:hAnsi="Arial"/>
                <w:sz w:val="11"/>
                <w:szCs w:val="11"/>
                <w:b w:val="1"/>
                <w:bCs w:val="1"/>
                <w:color w:val="auto"/>
              </w:rPr>
              <w:t>Gross</w:t>
            </w:r>
          </w:p>
        </w:tc>
        <w:tc>
          <w:tcPr>
            <w:tcW w:w="120" w:type="dxa"/>
            <w:vAlign w:val="bottom"/>
          </w:tcPr>
          <w:p>
            <w:pPr>
              <w:spacing w:after="0"/>
              <w:rPr>
                <w:sz w:val="8"/>
                <w:szCs w:val="8"/>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35"/>
        </w:trPr>
        <w:tc>
          <w:tcPr>
            <w:tcW w:w="3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0" w:type="dxa"/>
            <w:vAlign w:val="bottom"/>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3"/>
              </w:rPr>
              <w:t>Unrealized</w:t>
            </w:r>
          </w:p>
        </w:tc>
        <w:tc>
          <w:tcPr>
            <w:tcW w:w="100" w:type="dxa"/>
            <w:vAlign w:val="bottom"/>
          </w:tcPr>
          <w:p>
            <w:pPr>
              <w:spacing w:after="0"/>
              <w:rPr>
                <w:sz w:val="11"/>
                <w:szCs w:val="11"/>
                <w:color w:val="auto"/>
              </w:rPr>
            </w:pPr>
          </w:p>
        </w:tc>
        <w:tc>
          <w:tcPr>
            <w:tcW w:w="100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3"/>
              </w:rPr>
              <w:t>Unrealized</w:t>
            </w:r>
          </w:p>
        </w:tc>
        <w:tc>
          <w:tcPr>
            <w:tcW w:w="120" w:type="dxa"/>
            <w:vAlign w:val="bottom"/>
          </w:tcPr>
          <w:p>
            <w:pPr>
              <w:spacing w:after="0"/>
              <w:rPr>
                <w:sz w:val="11"/>
                <w:szCs w:val="11"/>
                <w:color w:val="auto"/>
              </w:rPr>
            </w:pPr>
          </w:p>
        </w:tc>
        <w:tc>
          <w:tcPr>
            <w:tcW w:w="8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9"/>
              </w:rPr>
              <w:t>Cost</w:t>
            </w:r>
          </w:p>
        </w:tc>
        <w:tc>
          <w:tcPr>
            <w:tcW w:w="100" w:type="dxa"/>
            <w:vAlign w:val="bottom"/>
          </w:tcPr>
          <w:p>
            <w:pPr>
              <w:spacing w:after="0"/>
              <w:rPr>
                <w:sz w:val="14"/>
                <w:szCs w:val="14"/>
                <w:color w:val="auto"/>
              </w:rPr>
            </w:pPr>
          </w:p>
        </w:tc>
        <w:tc>
          <w:tcPr>
            <w:tcW w:w="102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2"/>
              </w:rPr>
              <w:t>Gains</w:t>
            </w:r>
          </w:p>
        </w:tc>
        <w:tc>
          <w:tcPr>
            <w:tcW w:w="100" w:type="dxa"/>
            <w:vAlign w:val="bottom"/>
          </w:tcPr>
          <w:p>
            <w:pPr>
              <w:spacing w:after="0"/>
              <w:rPr>
                <w:sz w:val="14"/>
                <w:szCs w:val="14"/>
                <w:color w:val="auto"/>
              </w:rPr>
            </w:pPr>
          </w:p>
        </w:tc>
        <w:tc>
          <w:tcPr>
            <w:tcW w:w="100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2"/>
              </w:rPr>
              <w:t>Losses</w:t>
            </w:r>
          </w:p>
        </w:tc>
        <w:tc>
          <w:tcPr>
            <w:tcW w:w="120" w:type="dxa"/>
            <w:vAlign w:val="bottom"/>
          </w:tcPr>
          <w:p>
            <w:pPr>
              <w:spacing w:after="0"/>
              <w:rPr>
                <w:sz w:val="14"/>
                <w:szCs w:val="14"/>
                <w:color w:val="auto"/>
              </w:rPr>
            </w:pPr>
          </w:p>
        </w:tc>
        <w:tc>
          <w:tcPr>
            <w:tcW w:w="84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35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3,547</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tcBorders>
            <w:shd w:val="clear" w:color="auto" w:fill="CCEEFF"/>
          </w:tcPr>
          <w:p>
            <w:pPr>
              <w:ind w:left="600"/>
              <w:spacing w:after="0"/>
              <w:rPr>
                <w:sz w:val="20"/>
                <w:szCs w:val="20"/>
                <w:color w:val="auto"/>
              </w:rPr>
            </w:pPr>
            <w:r>
              <w:rPr>
                <w:rFonts w:ascii="Arial" w:cs="Arial" w:eastAsia="Arial" w:hAnsi="Arial"/>
                <w:sz w:val="18"/>
                <w:szCs w:val="18"/>
                <w:color w:val="auto"/>
                <w:w w:val="99"/>
              </w:rPr>
              <w:t>—</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2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3,491</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560" w:type="dxa"/>
            <w:vAlign w:val="bottom"/>
          </w:tcPr>
          <w:p>
            <w:pPr>
              <w:spacing w:after="0" w:line="201" w:lineRule="exact"/>
              <w:rPr>
                <w:sz w:val="20"/>
                <w:szCs w:val="20"/>
                <w:color w:val="auto"/>
              </w:rPr>
            </w:pPr>
            <w:r>
              <w:rPr>
                <w:rFonts w:ascii="Arial" w:cs="Arial" w:eastAsia="Arial" w:hAnsi="Arial"/>
                <w:sz w:val="18"/>
                <w:szCs w:val="18"/>
                <w:color w:val="auto"/>
              </w:rPr>
              <w:t>U.S. Federal, State, county and municipal</w:t>
            </w: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560" w:type="dxa"/>
            <w:vAlign w:val="bottom"/>
          </w:tcPr>
          <w:p>
            <w:pPr>
              <w:ind w:left="180"/>
              <w:spacing w:after="0"/>
              <w:rPr>
                <w:sz w:val="20"/>
                <w:szCs w:val="20"/>
                <w:color w:val="auto"/>
              </w:rPr>
            </w:pPr>
            <w:r>
              <w:rPr>
                <w:rFonts w:ascii="Arial" w:cs="Arial" w:eastAsia="Arial" w:hAnsi="Arial"/>
                <w:sz w:val="18"/>
                <w:szCs w:val="18"/>
                <w:color w:val="auto"/>
              </w:rPr>
              <w:t>debt securities</w:t>
            </w:r>
          </w:p>
        </w:tc>
        <w:tc>
          <w:tcPr>
            <w:tcW w:w="10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25,300</w:t>
            </w: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2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1000" w:type="dxa"/>
            <w:vAlign w:val="bottom"/>
            <w:gridSpan w:val="2"/>
          </w:tcPr>
          <w:p>
            <w:pPr>
              <w:jc w:val="right"/>
              <w:ind w:right="80"/>
              <w:spacing w:after="0"/>
              <w:rPr>
                <w:sz w:val="20"/>
                <w:szCs w:val="20"/>
                <w:color w:val="auto"/>
              </w:rPr>
            </w:pPr>
            <w:r>
              <w:rPr>
                <w:rFonts w:ascii="Arial" w:cs="Arial" w:eastAsia="Arial" w:hAnsi="Arial"/>
                <w:sz w:val="18"/>
                <w:szCs w:val="18"/>
                <w:color w:val="auto"/>
              </w:rPr>
              <w:t>(419)</w:t>
            </w:r>
          </w:p>
        </w:tc>
        <w:tc>
          <w:tcPr>
            <w:tcW w:w="12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24,881</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356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28,847</w:t>
            </w:r>
          </w:p>
        </w:tc>
        <w:tc>
          <w:tcPr>
            <w:tcW w:w="22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shd w:val="clear" w:color="auto" w:fill="CCEEFF"/>
          </w:tcPr>
          <w:p>
            <w:pPr>
              <w:ind w:left="600"/>
              <w:spacing w:after="0"/>
              <w:rPr>
                <w:sz w:val="20"/>
                <w:szCs w:val="20"/>
                <w:color w:val="auto"/>
              </w:rPr>
            </w:pPr>
            <w:r>
              <w:rPr>
                <w:rFonts w:ascii="Arial" w:cs="Arial" w:eastAsia="Arial" w:hAnsi="Arial"/>
                <w:sz w:val="18"/>
                <w:szCs w:val="18"/>
                <w:color w:val="auto"/>
                <w:w w:val="99"/>
              </w:rPr>
              <w:t>—</w:t>
            </w:r>
          </w:p>
        </w:tc>
        <w:tc>
          <w:tcPr>
            <w:tcW w:w="22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(475</w:t>
            </w:r>
          </w:p>
        </w:tc>
        <w:tc>
          <w:tcPr>
            <w:tcW w:w="220" w:type="dxa"/>
            <w:vAlign w:val="bottom"/>
            <w:tcBorders>
              <w:top w:val="single" w:sz="8" w:color="CCEEFF"/>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w w:val="74"/>
              </w:rPr>
              <w:t>)</w:t>
            </w: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28,372</w:t>
            </w:r>
          </w:p>
        </w:tc>
        <w:tc>
          <w:tcPr>
            <w:tcW w:w="60" w:type="dxa"/>
            <w:vAlign w:val="bottom"/>
            <w:tcBorders>
              <w:top w:val="single" w:sz="8" w:color="CCEEFF"/>
              <w:bottom w:val="single" w:sz="8" w:color="CCEEFF"/>
            </w:tcBorders>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5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35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0" w:type="dxa"/>
            <w:vAlign w:val="bottom"/>
          </w:tcPr>
          <w:p>
            <w:pPr>
              <w:ind w:left="140"/>
              <w:spacing w:after="0"/>
              <w:rPr>
                <w:sz w:val="20"/>
                <w:szCs w:val="20"/>
                <w:color w:val="auto"/>
              </w:rPr>
            </w:pPr>
            <w:r>
              <w:rPr>
                <w:rFonts w:ascii="Arial" w:cs="Arial" w:eastAsia="Arial" w:hAnsi="Arial"/>
                <w:sz w:val="18"/>
                <w:szCs w:val="18"/>
                <w:color w:val="auto"/>
              </w:rPr>
              <w:t>10</w:t>
            </w: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180" w:firstLine="259"/>
        <w:spacing w:after="0" w:line="264" w:lineRule="auto"/>
        <w:rPr>
          <w:sz w:val="20"/>
          <w:szCs w:val="20"/>
          <w:color w:val="auto"/>
        </w:rPr>
      </w:pPr>
      <w:r>
        <w:rPr>
          <w:rFonts w:ascii="Arial" w:cs="Arial" w:eastAsia="Arial" w:hAnsi="Arial"/>
          <w:sz w:val="18"/>
          <w:szCs w:val="18"/>
          <w:color w:val="auto"/>
        </w:rPr>
        <w:t>Auction rate securities are securities that are structured with short-term reset dates of generally less than 90 days but with legally stated maturities in excess of 90 days. At the end of the reset period, investors can sell or continue to hold the securities at par. These securities are classified in the table below based on their legal stated maturity dates.</w:t>
      </w:r>
    </w:p>
    <w:p>
      <w:pPr>
        <w:spacing w:after="0" w:line="181" w:lineRule="exact"/>
        <w:rPr>
          <w:sz w:val="20"/>
          <w:szCs w:val="20"/>
          <w:color w:val="auto"/>
        </w:rPr>
      </w:pPr>
    </w:p>
    <w:p>
      <w:pPr>
        <w:ind w:right="180" w:firstLine="324"/>
        <w:spacing w:after="0" w:line="277"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July 28, 2007 are presented in the following table (in thousands):</w:t>
      </w:r>
    </w:p>
    <w:p>
      <w:pPr>
        <w:sectPr>
          <w:pgSz w:w="11900" w:h="16935" w:orient="portrait"/>
          <w:cols w:equalWidth="0" w:num="1">
            <w:col w:w="11380"/>
          </w:cols>
          <w:pgMar w:left="240" w:top="125" w:right="279" w:bottom="0" w:gutter="0" w:footer="0" w:header="0"/>
        </w:sectPr>
      </w:pPr>
    </w:p>
    <w:p>
      <w:pPr>
        <w:spacing w:after="0" w:line="149" w:lineRule="exact"/>
        <w:rPr>
          <w:sz w:val="20"/>
          <w:szCs w:val="20"/>
          <w:color w:val="auto"/>
        </w:rPr>
      </w:pPr>
    </w:p>
    <w:tbl>
      <w:tblPr>
        <w:tblLayout w:type="fixed"/>
        <w:tblInd w:w="4900" w:type="dxa"/>
        <w:tblCellMar>
          <w:top w:w="0" w:type="dxa"/>
          <w:left w:w="0" w:type="dxa"/>
          <w:bottom w:w="0" w:type="dxa"/>
          <w:right w:w="0" w:type="dxa"/>
        </w:tblCellMar>
      </w:tblPr>
      <w:tr>
        <w:trPr>
          <w:trHeight w:val="171"/>
        </w:trPr>
        <w:tc>
          <w:tcPr>
            <w:tcW w:w="1820" w:type="dxa"/>
            <w:vAlign w:val="bottom"/>
            <w:gridSpan w:val="3"/>
          </w:tcPr>
          <w:p>
            <w:pPr>
              <w:ind w:left="400"/>
              <w:spacing w:after="0"/>
              <w:rPr>
                <w:sz w:val="20"/>
                <w:szCs w:val="20"/>
                <w:color w:val="auto"/>
              </w:rPr>
            </w:pPr>
            <w:r>
              <w:rPr>
                <w:rFonts w:ascii="Arial" w:cs="Arial" w:eastAsia="Arial" w:hAnsi="Arial"/>
                <w:sz w:val="14"/>
                <w:szCs w:val="14"/>
                <w:b w:val="1"/>
                <w:bCs w:val="1"/>
                <w:color w:val="auto"/>
              </w:rPr>
              <w:t>July 28, 2007</w:t>
            </w:r>
          </w:p>
        </w:tc>
        <w:tc>
          <w:tcPr>
            <w:tcW w:w="1640" w:type="dxa"/>
            <w:vAlign w:val="bottom"/>
            <w:gridSpan w:val="2"/>
          </w:tcPr>
          <w:p>
            <w:pPr>
              <w:ind w:left="280"/>
              <w:spacing w:after="0"/>
              <w:rPr>
                <w:sz w:val="20"/>
                <w:szCs w:val="20"/>
                <w:color w:val="auto"/>
              </w:rPr>
            </w:pPr>
            <w:r>
              <w:rPr>
                <w:rFonts w:ascii="Arial" w:cs="Arial" w:eastAsia="Arial" w:hAnsi="Arial"/>
                <w:sz w:val="14"/>
                <w:szCs w:val="14"/>
                <w:b w:val="1"/>
                <w:bCs w:val="1"/>
                <w:color w:val="auto"/>
              </w:rPr>
              <w:t>January 28, 2007</w:t>
            </w:r>
          </w:p>
        </w:tc>
      </w:tr>
      <w:tr>
        <w:trPr>
          <w:trHeight w:val="180"/>
        </w:trPr>
        <w:tc>
          <w:tcPr>
            <w:tcW w:w="800" w:type="dxa"/>
            <w:vAlign w:val="bottom"/>
            <w:tcBorders>
              <w:top w:val="single" w:sz="8" w:color="auto"/>
            </w:tcBorders>
          </w:tcPr>
          <w:p>
            <w:pPr>
              <w:ind w:left="20"/>
              <w:spacing w:after="0"/>
              <w:rPr>
                <w:sz w:val="20"/>
                <w:szCs w:val="20"/>
                <w:color w:val="auto"/>
              </w:rPr>
            </w:pPr>
            <w:r>
              <w:rPr>
                <w:rFonts w:ascii="Arial" w:cs="Arial" w:eastAsia="Arial" w:hAnsi="Arial"/>
                <w:sz w:val="14"/>
                <w:szCs w:val="14"/>
                <w:b w:val="1"/>
                <w:bCs w:val="1"/>
                <w:color w:val="auto"/>
              </w:rPr>
              <w:t>Amortized</w:t>
            </w:r>
          </w:p>
        </w:tc>
        <w:tc>
          <w:tcPr>
            <w:tcW w:w="800" w:type="dxa"/>
            <w:vAlign w:val="bottom"/>
            <w:tcBorders>
              <w:top w:val="single" w:sz="8" w:color="auto"/>
            </w:tcBorders>
          </w:tcPr>
          <w:p>
            <w:pPr>
              <w:ind w:left="140"/>
              <w:spacing w:after="0"/>
              <w:rPr>
                <w:sz w:val="20"/>
                <w:szCs w:val="20"/>
                <w:color w:val="auto"/>
              </w:rPr>
            </w:pPr>
            <w:r>
              <w:rPr>
                <w:rFonts w:ascii="Arial" w:cs="Arial" w:eastAsia="Arial" w:hAnsi="Arial"/>
                <w:sz w:val="14"/>
                <w:szCs w:val="14"/>
                <w:b w:val="1"/>
                <w:bCs w:val="1"/>
                <w:color w:val="auto"/>
                <w:w w:val="95"/>
              </w:rPr>
              <w:t>Estimated</w:t>
            </w:r>
          </w:p>
        </w:tc>
        <w:tc>
          <w:tcPr>
            <w:tcW w:w="220" w:type="dxa"/>
            <w:vAlign w:val="bottom"/>
          </w:tcPr>
          <w:p>
            <w:pPr>
              <w:spacing w:after="0"/>
              <w:rPr>
                <w:sz w:val="15"/>
                <w:szCs w:val="15"/>
                <w:color w:val="auto"/>
              </w:rPr>
            </w:pPr>
          </w:p>
        </w:tc>
        <w:tc>
          <w:tcPr>
            <w:tcW w:w="820" w:type="dxa"/>
            <w:vAlign w:val="bottom"/>
            <w:tcBorders>
              <w:top w:val="single" w:sz="8" w:color="auto"/>
            </w:tcBorders>
          </w:tcPr>
          <w:p>
            <w:pPr>
              <w:ind w:left="20"/>
              <w:spacing w:after="0"/>
              <w:rPr>
                <w:sz w:val="20"/>
                <w:szCs w:val="20"/>
                <w:color w:val="auto"/>
              </w:rPr>
            </w:pPr>
            <w:r>
              <w:rPr>
                <w:rFonts w:ascii="Arial" w:cs="Arial" w:eastAsia="Arial" w:hAnsi="Arial"/>
                <w:sz w:val="14"/>
                <w:szCs w:val="14"/>
                <w:b w:val="1"/>
                <w:bCs w:val="1"/>
                <w:color w:val="auto"/>
              </w:rPr>
              <w:t>Amortized</w:t>
            </w:r>
          </w:p>
        </w:tc>
        <w:tc>
          <w:tcPr>
            <w:tcW w:w="820" w:type="dxa"/>
            <w:vAlign w:val="bottom"/>
            <w:tcBorders>
              <w:top w:val="single" w:sz="8" w:color="auto"/>
            </w:tcBorders>
          </w:tcPr>
          <w:p>
            <w:pPr>
              <w:ind w:left="140"/>
              <w:spacing w:after="0"/>
              <w:rPr>
                <w:sz w:val="20"/>
                <w:szCs w:val="20"/>
                <w:color w:val="auto"/>
              </w:rPr>
            </w:pPr>
            <w:r>
              <w:rPr>
                <w:rFonts w:ascii="Arial" w:cs="Arial" w:eastAsia="Arial" w:hAnsi="Arial"/>
                <w:sz w:val="14"/>
                <w:szCs w:val="14"/>
                <w:b w:val="1"/>
                <w:bCs w:val="1"/>
                <w:color w:val="auto"/>
                <w:w w:val="98"/>
              </w:rPr>
              <w:t>Estimated</w:t>
            </w:r>
          </w:p>
        </w:tc>
      </w:tr>
    </w:tbl>
    <w:p>
      <w:pPr>
        <w:sectPr>
          <w:pgSz w:w="11900" w:h="16935" w:orient="portrait"/>
          <w:cols w:equalWidth="0" w:num="1">
            <w:col w:w="11380"/>
          </w:cols>
          <w:pgMar w:left="240" w:top="125" w:right="279" w:bottom="0" w:gutter="0" w:footer="0" w:header="0"/>
          <w:type w:val="continuous"/>
        </w:sectPr>
      </w:pPr>
    </w:p>
    <w:bookmarkStart w:id="7" w:name="page8"/>
    <w:bookmarkEnd w:id="7"/>
    <w:p>
      <w:pPr>
        <w:spacing w:after="0" w:line="1" w:lineRule="exact"/>
        <w:rPr>
          <w:sz w:val="20"/>
          <w:szCs w:val="20"/>
          <w:color w:val="auto"/>
        </w:rPr>
      </w:pPr>
    </w:p>
    <w:tbl>
      <w:tblPr>
        <w:tblLayout w:type="fixed"/>
        <w:tblInd w:w="720" w:type="dxa"/>
        <w:tblCellMar>
          <w:top w:w="0" w:type="dxa"/>
          <w:left w:w="0" w:type="dxa"/>
          <w:bottom w:w="0" w:type="dxa"/>
          <w:right w:w="0" w:type="dxa"/>
        </w:tblCellMar>
      </w:tblPr>
      <w:tr>
        <w:trPr>
          <w:trHeight w:val="171"/>
        </w:trPr>
        <w:tc>
          <w:tcPr>
            <w:tcW w:w="4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60" w:type="dxa"/>
            <w:vAlign w:val="bottom"/>
            <w:gridSpan w:val="2"/>
          </w:tcPr>
          <w:p>
            <w:pPr>
              <w:ind w:left="60"/>
              <w:spacing w:after="0"/>
              <w:rPr>
                <w:sz w:val="20"/>
                <w:szCs w:val="20"/>
                <w:color w:val="auto"/>
              </w:rPr>
            </w:pPr>
            <w:r>
              <w:rPr>
                <w:rFonts w:ascii="Arial" w:cs="Arial" w:eastAsia="Arial" w:hAnsi="Arial"/>
                <w:sz w:val="14"/>
                <w:szCs w:val="14"/>
                <w:b w:val="1"/>
                <w:bCs w:val="1"/>
                <w:color w:val="auto"/>
              </w:rPr>
              <w:t>Cost</w:t>
            </w:r>
          </w:p>
        </w:tc>
        <w:tc>
          <w:tcPr>
            <w:tcW w:w="920" w:type="dxa"/>
            <w:vAlign w:val="bottom"/>
            <w:gridSpan w:val="3"/>
          </w:tcPr>
          <w:p>
            <w:pPr>
              <w:ind w:left="40"/>
              <w:spacing w:after="0"/>
              <w:rPr>
                <w:sz w:val="20"/>
                <w:szCs w:val="20"/>
                <w:color w:val="auto"/>
              </w:rPr>
            </w:pPr>
            <w:r>
              <w:rPr>
                <w:rFonts w:ascii="Arial" w:cs="Arial" w:eastAsia="Arial" w:hAnsi="Arial"/>
                <w:sz w:val="14"/>
                <w:szCs w:val="14"/>
                <w:b w:val="1"/>
                <w:bCs w:val="1"/>
                <w:color w:val="auto"/>
              </w:rPr>
              <w:t>Fair Value</w:t>
            </w:r>
          </w:p>
        </w:tc>
        <w:tc>
          <w:tcPr>
            <w:tcW w:w="140" w:type="dxa"/>
            <w:vAlign w:val="bottom"/>
          </w:tcPr>
          <w:p>
            <w:pPr>
              <w:spacing w:after="0"/>
              <w:rPr>
                <w:sz w:val="14"/>
                <w:szCs w:val="14"/>
                <w:color w:val="auto"/>
              </w:rPr>
            </w:pPr>
          </w:p>
        </w:tc>
        <w:tc>
          <w:tcPr>
            <w:tcW w:w="780" w:type="dxa"/>
            <w:vAlign w:val="bottom"/>
            <w:gridSpan w:val="2"/>
          </w:tcPr>
          <w:p>
            <w:pPr>
              <w:ind w:left="60"/>
              <w:spacing w:after="0"/>
              <w:rPr>
                <w:sz w:val="20"/>
                <w:szCs w:val="20"/>
                <w:color w:val="auto"/>
              </w:rPr>
            </w:pPr>
            <w:r>
              <w:rPr>
                <w:rFonts w:ascii="Arial" w:cs="Arial" w:eastAsia="Arial" w:hAnsi="Arial"/>
                <w:sz w:val="14"/>
                <w:szCs w:val="14"/>
                <w:b w:val="1"/>
                <w:bCs w:val="1"/>
                <w:color w:val="auto"/>
              </w:rPr>
              <w:t>Cost</w:t>
            </w:r>
          </w:p>
        </w:tc>
        <w:tc>
          <w:tcPr>
            <w:tcW w:w="760" w:type="dxa"/>
            <w:vAlign w:val="bottom"/>
            <w:gridSpan w:val="3"/>
          </w:tcPr>
          <w:p>
            <w:pPr>
              <w:ind w:left="40"/>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41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18,715</w:t>
            </w:r>
          </w:p>
        </w:tc>
        <w:tc>
          <w:tcPr>
            <w:tcW w:w="2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18,542</w:t>
            </w:r>
          </w:p>
        </w:tc>
        <w:tc>
          <w:tcPr>
            <w:tcW w:w="2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8,581</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8,499</w:t>
            </w:r>
          </w:p>
        </w:tc>
        <w:tc>
          <w:tcPr>
            <w:tcW w:w="40" w:type="dxa"/>
            <w:vAlign w:val="bottom"/>
            <w:tcBorders>
              <w:top w:val="single" w:sz="8" w:color="CCEEFF"/>
            </w:tcBorders>
            <w:shd w:val="clear" w:color="auto" w:fill="CCEEFF"/>
          </w:tcPr>
          <w:p>
            <w:pPr>
              <w:spacing w:after="0"/>
              <w:rPr>
                <w:sz w:val="18"/>
                <w:szCs w:val="18"/>
                <w:color w:val="auto"/>
              </w:rPr>
            </w:pPr>
          </w:p>
        </w:tc>
      </w:tr>
      <w:tr>
        <w:trPr>
          <w:trHeight w:val="216"/>
        </w:trPr>
        <w:tc>
          <w:tcPr>
            <w:tcW w:w="418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5,085</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5,018</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20,266</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4"/>
              </w:rPr>
              <w:t>19,873</w:t>
            </w:r>
          </w:p>
        </w:tc>
        <w:tc>
          <w:tcPr>
            <w:tcW w:w="40" w:type="dxa"/>
            <w:vAlign w:val="bottom"/>
          </w:tcPr>
          <w:p>
            <w:pPr>
              <w:spacing w:after="0"/>
              <w:rPr>
                <w:sz w:val="18"/>
                <w:szCs w:val="18"/>
                <w:color w:val="auto"/>
              </w:rPr>
            </w:pPr>
          </w:p>
        </w:tc>
      </w:tr>
      <w:tr>
        <w:trPr>
          <w:trHeight w:val="216"/>
        </w:trPr>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68,709</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68,709</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r>
      <w:tr>
        <w:trPr>
          <w:trHeight w:val="210"/>
        </w:trPr>
        <w:tc>
          <w:tcPr>
            <w:tcW w:w="4180" w:type="dxa"/>
            <w:vAlign w:val="bottom"/>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4"/>
              </w:rPr>
              <w:t>92,509</w:t>
            </w:r>
          </w:p>
        </w:tc>
        <w:tc>
          <w:tcPr>
            <w:tcW w:w="220" w:type="dxa"/>
            <w:vAlign w:val="bottom"/>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92,269</w:t>
            </w:r>
          </w:p>
        </w:tc>
        <w:tc>
          <w:tcPr>
            <w:tcW w:w="220" w:type="dxa"/>
            <w:vAlign w:val="bottom"/>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28,847</w:t>
            </w:r>
          </w:p>
        </w:tc>
        <w:tc>
          <w:tcPr>
            <w:tcW w:w="220" w:type="dxa"/>
            <w:vAlign w:val="bottom"/>
          </w:tcPr>
          <w:p>
            <w:pPr>
              <w:spacing w:after="0"/>
              <w:rPr>
                <w:sz w:val="18"/>
                <w:szCs w:val="18"/>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4"/>
              </w:rPr>
              <w:t>28,372</w:t>
            </w:r>
          </w:p>
        </w:tc>
        <w:tc>
          <w:tcPr>
            <w:tcW w:w="40" w:type="dxa"/>
            <w:vAlign w:val="bottom"/>
          </w:tcPr>
          <w:p>
            <w:pPr>
              <w:spacing w:after="0"/>
              <w:rPr>
                <w:sz w:val="18"/>
                <w:szCs w:val="18"/>
                <w:color w:val="auto"/>
              </w:rPr>
            </w:pPr>
          </w:p>
        </w:tc>
      </w:tr>
      <w:tr>
        <w:trPr>
          <w:trHeight w:val="20"/>
        </w:trPr>
        <w:tc>
          <w:tcPr>
            <w:tcW w:w="41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56" w:lineRule="exact"/>
        <w:rPr>
          <w:sz w:val="20"/>
          <w:szCs w:val="20"/>
          <w:color w:val="auto"/>
        </w:rPr>
      </w:pPr>
    </w:p>
    <w:p>
      <w:pPr>
        <w:ind w:right="60" w:firstLine="243"/>
        <w:spacing w:after="0" w:line="271" w:lineRule="auto"/>
        <w:rPr>
          <w:sz w:val="20"/>
          <w:szCs w:val="20"/>
          <w:color w:val="auto"/>
        </w:rPr>
      </w:pPr>
      <w:r>
        <w:rPr>
          <w:rFonts w:ascii="Arial" w:cs="Arial" w:eastAsia="Arial" w:hAnsi="Arial"/>
          <w:sz w:val="17"/>
          <w:szCs w:val="17"/>
          <w:color w:val="auto"/>
        </w:rPr>
        <w:t>Included in the Company’s available-for-sale investments are fixed income securities. As market yields increase, those securities with a lower yield-at-cost show a mark-to-market unrealized loss. All unrealized losses are primarily due to changes in interest rates and bond yields. Investments are reviewed periodically to identify possible other-than-temporary impairment. When evaluating the investments, the Company reviews factors such as the length of time and extent to which fair value has been below cost basis and the Company’s ability and intent to hold the investment for a period of time which may be sufficient for anticipated recovery in market value. The Company has the intent and ability to hold these securities for a reasonable period of time sufficient for a forecasted recovery of fair value up to (or beyond) the initial cost of the investment. The Company expects to realize the full value of all of these investments upon maturity or sale. The following table shows the investments’ gross unrealized losses and fair value, aggregated by investment category and length of time that individual securities have been in a continuous unrealized loss position (in thousands):</w:t>
      </w:r>
    </w:p>
    <w:p>
      <w:pPr>
        <w:spacing w:after="0" w:line="15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20" w:type="dxa"/>
            <w:vAlign w:val="bottom"/>
          </w:tcPr>
          <w:p>
            <w:pPr>
              <w:spacing w:after="0"/>
              <w:rPr>
                <w:sz w:val="14"/>
                <w:szCs w:val="14"/>
                <w:color w:val="auto"/>
              </w:rPr>
            </w:pPr>
          </w:p>
        </w:tc>
        <w:tc>
          <w:tcPr>
            <w:tcW w:w="2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gridSpan w:val="9"/>
          </w:tcPr>
          <w:p>
            <w:pPr>
              <w:jc w:val="right"/>
              <w:ind w:right="67"/>
              <w:spacing w:after="0"/>
              <w:rPr>
                <w:sz w:val="20"/>
                <w:szCs w:val="20"/>
                <w:color w:val="auto"/>
              </w:rPr>
            </w:pPr>
            <w:r>
              <w:rPr>
                <w:rFonts w:ascii="Arial" w:cs="Arial" w:eastAsia="Arial" w:hAnsi="Arial"/>
                <w:sz w:val="14"/>
                <w:szCs w:val="14"/>
                <w:b w:val="1"/>
                <w:bCs w:val="1"/>
                <w:color w:val="auto"/>
              </w:rPr>
              <w:t>July 28, 2007</w:t>
            </w:r>
          </w:p>
        </w:tc>
        <w:tc>
          <w:tcPr>
            <w:tcW w:w="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20" w:type="dxa"/>
            <w:vAlign w:val="bottom"/>
          </w:tcPr>
          <w:p>
            <w:pPr>
              <w:spacing w:after="0"/>
              <w:rPr>
                <w:sz w:val="11"/>
                <w:szCs w:val="11"/>
                <w:color w:val="auto"/>
              </w:rPr>
            </w:pPr>
          </w:p>
        </w:tc>
        <w:tc>
          <w:tcPr>
            <w:tcW w:w="22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2520" w:type="dxa"/>
            <w:vAlign w:val="bottom"/>
            <w:gridSpan w:val="7"/>
          </w:tcPr>
          <w:p>
            <w:pPr>
              <w:ind w:left="340"/>
              <w:spacing w:after="0" w:line="129" w:lineRule="exact"/>
              <w:rPr>
                <w:sz w:val="20"/>
                <w:szCs w:val="20"/>
                <w:color w:val="auto"/>
              </w:rPr>
            </w:pPr>
            <w:r>
              <w:rPr>
                <w:rFonts w:ascii="Arial" w:cs="Arial" w:eastAsia="Arial" w:hAnsi="Arial"/>
                <w:sz w:val="14"/>
                <w:szCs w:val="14"/>
                <w:b w:val="1"/>
                <w:bCs w:val="1"/>
                <w:color w:val="auto"/>
              </w:rPr>
              <w:t>Less than 12 months</w:t>
            </w:r>
          </w:p>
        </w:tc>
        <w:tc>
          <w:tcPr>
            <w:tcW w:w="1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160" w:type="dxa"/>
            <w:vAlign w:val="bottom"/>
            <w:gridSpan w:val="16"/>
          </w:tcPr>
          <w:p>
            <w:pPr>
              <w:ind w:left="60"/>
              <w:spacing w:after="0" w:line="129" w:lineRule="exact"/>
              <w:rPr>
                <w:sz w:val="20"/>
                <w:szCs w:val="20"/>
                <w:color w:val="auto"/>
              </w:rPr>
            </w:pPr>
            <w:r>
              <w:rPr>
                <w:rFonts w:ascii="Arial" w:cs="Arial" w:eastAsia="Arial" w:hAnsi="Arial"/>
                <w:sz w:val="14"/>
                <w:szCs w:val="14"/>
                <w:b w:val="1"/>
                <w:bCs w:val="1"/>
                <w:color w:val="auto"/>
              </w:rPr>
              <w:t>12 months or more</w:t>
            </w:r>
          </w:p>
        </w:tc>
        <w:tc>
          <w:tcPr>
            <w:tcW w:w="240" w:type="dxa"/>
            <w:vAlign w:val="bottom"/>
          </w:tcPr>
          <w:p>
            <w:pPr>
              <w:spacing w:after="0"/>
              <w:rPr>
                <w:sz w:val="11"/>
                <w:szCs w:val="11"/>
                <w:color w:val="auto"/>
              </w:rPr>
            </w:pPr>
          </w:p>
        </w:tc>
        <w:tc>
          <w:tcPr>
            <w:tcW w:w="1300" w:type="dxa"/>
            <w:vAlign w:val="bottom"/>
            <w:gridSpan w:val="3"/>
          </w:tcPr>
          <w:p>
            <w:pPr>
              <w:jc w:val="right"/>
              <w:ind w:right="45"/>
              <w:spacing w:after="0" w:line="129" w:lineRule="exact"/>
              <w:rPr>
                <w:sz w:val="20"/>
                <w:szCs w:val="20"/>
                <w:color w:val="auto"/>
              </w:rPr>
            </w:pPr>
            <w:r>
              <w:rPr>
                <w:rFonts w:ascii="Arial" w:cs="Arial" w:eastAsia="Arial" w:hAnsi="Arial"/>
                <w:sz w:val="14"/>
                <w:szCs w:val="14"/>
                <w:b w:val="1"/>
                <w:bCs w:val="1"/>
                <w:color w:val="auto"/>
              </w:rPr>
              <w:t>Total</w:t>
            </w:r>
          </w:p>
        </w:tc>
        <w:tc>
          <w:tcPr>
            <w:tcW w:w="10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2"/>
        </w:trPr>
        <w:tc>
          <w:tcPr>
            <w:tcW w:w="720" w:type="dxa"/>
            <w:vAlign w:val="bottom"/>
          </w:tcPr>
          <w:p>
            <w:pPr>
              <w:spacing w:after="0"/>
              <w:rPr>
                <w:sz w:val="8"/>
                <w:szCs w:val="8"/>
                <w:color w:val="auto"/>
              </w:rPr>
            </w:pPr>
          </w:p>
        </w:tc>
        <w:tc>
          <w:tcPr>
            <w:tcW w:w="2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320" w:type="dxa"/>
            <w:vAlign w:val="bottom"/>
            <w:tcBorders>
              <w:top w:val="single" w:sz="8" w:color="auto"/>
            </w:tcBorders>
          </w:tcPr>
          <w:p>
            <w:pPr>
              <w:spacing w:after="0"/>
              <w:rPr>
                <w:sz w:val="8"/>
                <w:szCs w:val="8"/>
                <w:color w:val="auto"/>
              </w:rPr>
            </w:pPr>
          </w:p>
        </w:tc>
        <w:tc>
          <w:tcPr>
            <w:tcW w:w="1100" w:type="dxa"/>
            <w:vAlign w:val="bottom"/>
            <w:tcBorders>
              <w:top w:val="single" w:sz="8" w:color="auto"/>
            </w:tcBorders>
            <w:gridSpan w:val="2"/>
          </w:tcPr>
          <w:p>
            <w:pPr>
              <w:jc w:val="center"/>
              <w:ind w:right="560"/>
              <w:spacing w:after="0" w:line="102" w:lineRule="exact"/>
              <w:rPr>
                <w:sz w:val="20"/>
                <w:szCs w:val="20"/>
                <w:color w:val="auto"/>
              </w:rPr>
            </w:pPr>
            <w:r>
              <w:rPr>
                <w:rFonts w:ascii="Arial" w:cs="Arial" w:eastAsia="Arial" w:hAnsi="Arial"/>
                <w:sz w:val="11"/>
                <w:szCs w:val="11"/>
                <w:b w:val="1"/>
                <w:bCs w:val="1"/>
                <w:color w:val="auto"/>
              </w:rPr>
              <w:t>Fair</w:t>
            </w:r>
          </w:p>
        </w:tc>
        <w:tc>
          <w:tcPr>
            <w:tcW w:w="180" w:type="dxa"/>
            <w:vAlign w:val="bottom"/>
            <w:tcBorders>
              <w:top w:val="single" w:sz="8" w:color="auto"/>
            </w:tcBorders>
          </w:tcPr>
          <w:p>
            <w:pPr>
              <w:spacing w:after="0"/>
              <w:rPr>
                <w:sz w:val="8"/>
                <w:szCs w:val="8"/>
                <w:color w:val="auto"/>
              </w:rPr>
            </w:pPr>
          </w:p>
        </w:tc>
        <w:tc>
          <w:tcPr>
            <w:tcW w:w="1000" w:type="dxa"/>
            <w:vAlign w:val="bottom"/>
            <w:tcBorders>
              <w:top w:val="single" w:sz="8" w:color="auto"/>
            </w:tcBorders>
            <w:gridSpan w:val="2"/>
          </w:tcPr>
          <w:p>
            <w:pPr>
              <w:jc w:val="center"/>
              <w:ind w:right="97"/>
              <w:spacing w:after="0" w:line="102" w:lineRule="exact"/>
              <w:rPr>
                <w:sz w:val="20"/>
                <w:szCs w:val="20"/>
                <w:color w:val="auto"/>
              </w:rPr>
            </w:pPr>
            <w:r>
              <w:rPr>
                <w:rFonts w:ascii="Arial" w:cs="Arial" w:eastAsia="Arial" w:hAnsi="Arial"/>
                <w:sz w:val="11"/>
                <w:szCs w:val="11"/>
                <w:b w:val="1"/>
                <w:bCs w:val="1"/>
                <w:color w:val="auto"/>
              </w:rPr>
              <w:t>Unrealized</w:t>
            </w: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20" w:type="dxa"/>
            <w:vAlign w:val="bottom"/>
            <w:tcBorders>
              <w:top w:val="single" w:sz="8" w:color="auto"/>
            </w:tcBorders>
          </w:tcPr>
          <w:p>
            <w:pPr>
              <w:spacing w:after="0"/>
              <w:rPr>
                <w:sz w:val="8"/>
                <w:szCs w:val="8"/>
                <w:color w:val="auto"/>
              </w:rPr>
            </w:pPr>
          </w:p>
        </w:tc>
        <w:tc>
          <w:tcPr>
            <w:tcW w:w="600" w:type="dxa"/>
            <w:vAlign w:val="bottom"/>
            <w:tcBorders>
              <w:top w:val="single" w:sz="8" w:color="auto"/>
            </w:tcBorders>
            <w:gridSpan w:val="3"/>
          </w:tcPr>
          <w:p>
            <w:pPr>
              <w:jc w:val="center"/>
              <w:ind w:left="192"/>
              <w:spacing w:after="0" w:line="102" w:lineRule="exact"/>
              <w:rPr>
                <w:sz w:val="20"/>
                <w:szCs w:val="20"/>
                <w:color w:val="auto"/>
              </w:rPr>
            </w:pPr>
            <w:r>
              <w:rPr>
                <w:rFonts w:ascii="Arial" w:cs="Arial" w:eastAsia="Arial" w:hAnsi="Arial"/>
                <w:sz w:val="11"/>
                <w:szCs w:val="11"/>
                <w:b w:val="1"/>
                <w:bCs w:val="1"/>
                <w:color w:val="auto"/>
              </w:rPr>
              <w:t>Fair</w:t>
            </w:r>
          </w:p>
        </w:tc>
        <w:tc>
          <w:tcPr>
            <w:tcW w:w="120" w:type="dxa"/>
            <w:vAlign w:val="bottom"/>
            <w:tcBorders>
              <w:top w:val="single" w:sz="8" w:color="auto"/>
            </w:tcBorders>
          </w:tcPr>
          <w:p>
            <w:pPr>
              <w:spacing w:after="0"/>
              <w:rPr>
                <w:sz w:val="8"/>
                <w:szCs w:val="8"/>
                <w:color w:val="auto"/>
              </w:rPr>
            </w:pPr>
          </w:p>
        </w:tc>
        <w:tc>
          <w:tcPr>
            <w:tcW w:w="220" w:type="dxa"/>
            <w:vAlign w:val="bottom"/>
            <w:tcBorders>
              <w:top w:val="single" w:sz="8" w:color="auto"/>
            </w:tcBorders>
          </w:tcPr>
          <w:p>
            <w:pPr>
              <w:spacing w:after="0"/>
              <w:rPr>
                <w:sz w:val="8"/>
                <w:szCs w:val="8"/>
                <w:color w:val="auto"/>
              </w:rPr>
            </w:pPr>
          </w:p>
        </w:tc>
        <w:tc>
          <w:tcPr>
            <w:tcW w:w="8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20" w:type="dxa"/>
            <w:vAlign w:val="bottom"/>
            <w:tcBorders>
              <w:top w:val="single" w:sz="8" w:color="auto"/>
            </w:tcBorders>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20" w:type="dxa"/>
            <w:vAlign w:val="bottom"/>
            <w:tcBorders>
              <w:top w:val="single" w:sz="8" w:color="auto"/>
            </w:tcBorders>
          </w:tcPr>
          <w:p>
            <w:pPr>
              <w:spacing w:after="0"/>
              <w:rPr>
                <w:sz w:val="8"/>
                <w:szCs w:val="8"/>
                <w:color w:val="auto"/>
              </w:rPr>
            </w:pPr>
          </w:p>
        </w:tc>
        <w:tc>
          <w:tcPr>
            <w:tcW w:w="940" w:type="dxa"/>
            <w:vAlign w:val="bottom"/>
            <w:tcBorders>
              <w:top w:val="single" w:sz="8" w:color="auto"/>
            </w:tcBorders>
            <w:gridSpan w:val="6"/>
          </w:tcPr>
          <w:p>
            <w:pPr>
              <w:spacing w:after="0" w:line="102" w:lineRule="exact"/>
              <w:rPr>
                <w:sz w:val="20"/>
                <w:szCs w:val="20"/>
                <w:color w:val="auto"/>
              </w:rPr>
            </w:pPr>
            <w:r>
              <w:rPr>
                <w:rFonts w:ascii="Arial" w:cs="Arial" w:eastAsia="Arial" w:hAnsi="Arial"/>
                <w:sz w:val="11"/>
                <w:szCs w:val="11"/>
                <w:b w:val="1"/>
                <w:bCs w:val="1"/>
                <w:color w:val="auto"/>
              </w:rPr>
              <w:t>Unrealized</w:t>
            </w:r>
          </w:p>
        </w:tc>
        <w:tc>
          <w:tcPr>
            <w:tcW w:w="220" w:type="dxa"/>
            <w:vAlign w:val="bottom"/>
          </w:tcPr>
          <w:p>
            <w:pPr>
              <w:spacing w:after="0"/>
              <w:rPr>
                <w:sz w:val="8"/>
                <w:szCs w:val="8"/>
                <w:color w:val="auto"/>
              </w:rPr>
            </w:pPr>
          </w:p>
        </w:tc>
        <w:tc>
          <w:tcPr>
            <w:tcW w:w="240" w:type="dxa"/>
            <w:vAlign w:val="bottom"/>
            <w:tcBorders>
              <w:top w:val="single" w:sz="8" w:color="auto"/>
            </w:tcBorders>
          </w:tcPr>
          <w:p>
            <w:pPr>
              <w:spacing w:after="0"/>
              <w:rPr>
                <w:sz w:val="8"/>
                <w:szCs w:val="8"/>
                <w:color w:val="auto"/>
              </w:rPr>
            </w:pPr>
          </w:p>
        </w:tc>
        <w:tc>
          <w:tcPr>
            <w:tcW w:w="920" w:type="dxa"/>
            <w:vAlign w:val="bottom"/>
            <w:tcBorders>
              <w:top w:val="single" w:sz="8" w:color="auto"/>
            </w:tcBorders>
          </w:tcPr>
          <w:p>
            <w:pPr>
              <w:jc w:val="center"/>
              <w:ind w:right="182"/>
              <w:spacing w:after="0" w:line="102" w:lineRule="exact"/>
              <w:rPr>
                <w:sz w:val="20"/>
                <w:szCs w:val="20"/>
                <w:color w:val="auto"/>
              </w:rPr>
            </w:pPr>
            <w:r>
              <w:rPr>
                <w:rFonts w:ascii="Arial" w:cs="Arial" w:eastAsia="Arial" w:hAnsi="Arial"/>
                <w:sz w:val="11"/>
                <w:szCs w:val="11"/>
                <w:b w:val="1"/>
                <w:bCs w:val="1"/>
                <w:color w:val="auto"/>
              </w:rPr>
              <w:t>Fair</w:t>
            </w:r>
          </w:p>
        </w:tc>
        <w:tc>
          <w:tcPr>
            <w:tcW w:w="220" w:type="dxa"/>
            <w:vAlign w:val="bottom"/>
            <w:tcBorders>
              <w:top w:val="single" w:sz="8" w:color="auto"/>
            </w:tcBorders>
          </w:tcPr>
          <w:p>
            <w:pPr>
              <w:spacing w:after="0"/>
              <w:rPr>
                <w:sz w:val="8"/>
                <w:szCs w:val="8"/>
                <w:color w:val="auto"/>
              </w:rPr>
            </w:pPr>
          </w:p>
        </w:tc>
        <w:tc>
          <w:tcPr>
            <w:tcW w:w="160" w:type="dxa"/>
            <w:vAlign w:val="bottom"/>
            <w:tcBorders>
              <w:top w:val="single" w:sz="8" w:color="auto"/>
            </w:tcBorders>
          </w:tcPr>
          <w:p>
            <w:pPr>
              <w:spacing w:after="0"/>
              <w:rPr>
                <w:sz w:val="8"/>
                <w:szCs w:val="8"/>
                <w:color w:val="auto"/>
              </w:rPr>
            </w:pPr>
          </w:p>
        </w:tc>
        <w:tc>
          <w:tcPr>
            <w:tcW w:w="1000" w:type="dxa"/>
            <w:vAlign w:val="bottom"/>
            <w:tcBorders>
              <w:top w:val="single" w:sz="8" w:color="auto"/>
            </w:tcBorders>
          </w:tcPr>
          <w:p>
            <w:pPr>
              <w:jc w:val="center"/>
              <w:ind w:right="100"/>
              <w:spacing w:after="0" w:line="102" w:lineRule="exact"/>
              <w:rPr>
                <w:sz w:val="20"/>
                <w:szCs w:val="20"/>
                <w:color w:val="auto"/>
              </w:rPr>
            </w:pPr>
            <w:r>
              <w:rPr>
                <w:rFonts w:ascii="Arial" w:cs="Arial" w:eastAsia="Arial" w:hAnsi="Arial"/>
                <w:sz w:val="11"/>
                <w:szCs w:val="11"/>
                <w:b w:val="1"/>
                <w:bCs w:val="1"/>
                <w:color w:val="auto"/>
              </w:rPr>
              <w:t>Unrealized</w:t>
            </w:r>
          </w:p>
        </w:tc>
        <w:tc>
          <w:tcPr>
            <w:tcW w:w="8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720" w:type="dxa"/>
            <w:vAlign w:val="bottom"/>
          </w:tcPr>
          <w:p>
            <w:pPr>
              <w:spacing w:after="0"/>
              <w:rPr>
                <w:sz w:val="14"/>
                <w:szCs w:val="14"/>
                <w:color w:val="auto"/>
              </w:rPr>
            </w:pPr>
          </w:p>
        </w:tc>
        <w:tc>
          <w:tcPr>
            <w:tcW w:w="2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100" w:type="dxa"/>
            <w:vAlign w:val="bottom"/>
            <w:gridSpan w:val="2"/>
          </w:tcPr>
          <w:p>
            <w:pPr>
              <w:jc w:val="center"/>
              <w:ind w:right="560"/>
              <w:spacing w:after="0"/>
              <w:rPr>
                <w:sz w:val="20"/>
                <w:szCs w:val="20"/>
                <w:color w:val="auto"/>
              </w:rPr>
            </w:pPr>
            <w:r>
              <w:rPr>
                <w:rFonts w:ascii="Arial" w:cs="Arial" w:eastAsia="Arial" w:hAnsi="Arial"/>
                <w:sz w:val="14"/>
                <w:szCs w:val="14"/>
                <w:b w:val="1"/>
                <w:bCs w:val="1"/>
                <w:color w:val="auto"/>
                <w:w w:val="90"/>
              </w:rPr>
              <w:t>Value</w:t>
            </w:r>
          </w:p>
        </w:tc>
        <w:tc>
          <w:tcPr>
            <w:tcW w:w="1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60" w:type="dxa"/>
            <w:vAlign w:val="bottom"/>
            <w:gridSpan w:val="3"/>
          </w:tcPr>
          <w:p>
            <w:pPr>
              <w:jc w:val="center"/>
              <w:ind w:right="620"/>
              <w:spacing w:after="0"/>
              <w:rPr>
                <w:sz w:val="20"/>
                <w:szCs w:val="20"/>
                <w:color w:val="auto"/>
              </w:rPr>
            </w:pPr>
            <w:r>
              <w:rPr>
                <w:rFonts w:ascii="Arial" w:cs="Arial" w:eastAsia="Arial" w:hAnsi="Arial"/>
                <w:sz w:val="14"/>
                <w:szCs w:val="14"/>
                <w:b w:val="1"/>
                <w:bCs w:val="1"/>
                <w:color w:val="auto"/>
                <w:w w:val="82"/>
              </w:rPr>
              <w:t>Losses</w:t>
            </w: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0" w:type="dxa"/>
            <w:vAlign w:val="bottom"/>
            <w:gridSpan w:val="3"/>
          </w:tcPr>
          <w:p>
            <w:pPr>
              <w:jc w:val="center"/>
              <w:ind w:left="192"/>
              <w:spacing w:after="0"/>
              <w:rPr>
                <w:sz w:val="20"/>
                <w:szCs w:val="20"/>
                <w:color w:val="auto"/>
              </w:rPr>
            </w:pPr>
            <w:r>
              <w:rPr>
                <w:rFonts w:ascii="Arial" w:cs="Arial" w:eastAsia="Arial" w:hAnsi="Arial"/>
                <w:sz w:val="14"/>
                <w:szCs w:val="14"/>
                <w:b w:val="1"/>
                <w:bCs w:val="1"/>
                <w:color w:val="auto"/>
                <w:w w:val="90"/>
              </w:rPr>
              <w:t>Value</w:t>
            </w: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20" w:type="dxa"/>
            <w:vAlign w:val="bottom"/>
            <w:gridSpan w:val="6"/>
          </w:tcPr>
          <w:p>
            <w:pPr>
              <w:jc w:val="right"/>
              <w:ind w:right="540"/>
              <w:spacing w:after="0"/>
              <w:rPr>
                <w:sz w:val="20"/>
                <w:szCs w:val="20"/>
                <w:color w:val="auto"/>
              </w:rPr>
            </w:pPr>
            <w:r>
              <w:rPr>
                <w:rFonts w:ascii="Arial" w:cs="Arial" w:eastAsia="Arial" w:hAnsi="Arial"/>
                <w:sz w:val="14"/>
                <w:szCs w:val="14"/>
                <w:b w:val="1"/>
                <w:bCs w:val="1"/>
                <w:color w:val="auto"/>
                <w:w w:val="78"/>
              </w:rPr>
              <w:t>Losses</w:t>
            </w:r>
          </w:p>
        </w:tc>
        <w:tc>
          <w:tcPr>
            <w:tcW w:w="240" w:type="dxa"/>
            <w:vAlign w:val="bottom"/>
          </w:tcPr>
          <w:p>
            <w:pPr>
              <w:spacing w:after="0"/>
              <w:rPr>
                <w:sz w:val="14"/>
                <w:szCs w:val="14"/>
                <w:color w:val="auto"/>
              </w:rPr>
            </w:pPr>
          </w:p>
        </w:tc>
        <w:tc>
          <w:tcPr>
            <w:tcW w:w="920" w:type="dxa"/>
            <w:vAlign w:val="bottom"/>
          </w:tcPr>
          <w:p>
            <w:pPr>
              <w:jc w:val="center"/>
              <w:ind w:right="182"/>
              <w:spacing w:after="0"/>
              <w:rPr>
                <w:sz w:val="20"/>
                <w:szCs w:val="20"/>
                <w:color w:val="auto"/>
              </w:rPr>
            </w:pPr>
            <w:r>
              <w:rPr>
                <w:rFonts w:ascii="Arial" w:cs="Arial" w:eastAsia="Arial" w:hAnsi="Arial"/>
                <w:sz w:val="14"/>
                <w:szCs w:val="14"/>
                <w:b w:val="1"/>
                <w:bCs w:val="1"/>
                <w:color w:val="auto"/>
                <w:w w:val="90"/>
              </w:rPr>
              <w:t>Value</w:t>
            </w: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2"/>
              </w:rPr>
              <w:t>Losses</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96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8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shd w:val="clear" w:color="auto" w:fill="CCEEFF"/>
          </w:tcPr>
          <w:p>
            <w:pPr>
              <w:ind w:left="680"/>
              <w:spacing w:after="0"/>
              <w:rPr>
                <w:sz w:val="20"/>
                <w:szCs w:val="20"/>
                <w:color w:val="auto"/>
              </w:rPr>
            </w:pPr>
            <w:r>
              <w:rPr>
                <w:rFonts w:ascii="Arial" w:cs="Arial" w:eastAsia="Arial" w:hAnsi="Arial"/>
                <w:sz w:val="18"/>
                <w:szCs w:val="18"/>
                <w:color w:val="auto"/>
                <w:w w:val="88"/>
              </w:rPr>
              <w:t>—</w:t>
            </w: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80" w:type="dxa"/>
            <w:vAlign w:val="bottom"/>
            <w:tcBorders>
              <w:top w:val="single" w:sz="8" w:color="auto"/>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ind w:left="640"/>
              <w:spacing w:after="0"/>
              <w:rPr>
                <w:sz w:val="20"/>
                <w:szCs w:val="20"/>
                <w:color w:val="auto"/>
              </w:rPr>
            </w:pPr>
            <w:r>
              <w:rPr>
                <w:rFonts w:ascii="Arial" w:cs="Arial" w:eastAsia="Arial" w:hAnsi="Arial"/>
                <w:sz w:val="18"/>
                <w:szCs w:val="18"/>
                <w:color w:val="auto"/>
                <w:w w:val="88"/>
              </w:rPr>
              <w:t>—</w:t>
            </w:r>
          </w:p>
        </w:tc>
        <w:tc>
          <w:tcPr>
            <w:tcW w:w="18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2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2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8"/>
              </w:rPr>
              <w:t>3,512</w:t>
            </w:r>
          </w:p>
        </w:tc>
        <w:tc>
          <w:tcPr>
            <w:tcW w:w="1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gridSpan w:val="2"/>
            <w:shd w:val="clear" w:color="auto" w:fill="CCEEFF"/>
          </w:tcPr>
          <w:p>
            <w:pPr>
              <w:jc w:val="right"/>
              <w:ind w:right="140"/>
              <w:spacing w:after="0"/>
              <w:rPr>
                <w:sz w:val="20"/>
                <w:szCs w:val="20"/>
                <w:color w:val="auto"/>
              </w:rPr>
            </w:pPr>
            <w:r>
              <w:rPr>
                <w:rFonts w:ascii="Arial" w:cs="Arial" w:eastAsia="Arial" w:hAnsi="Arial"/>
                <w:sz w:val="15"/>
                <w:szCs w:val="15"/>
                <w:color w:val="auto"/>
                <w:w w:val="71"/>
              </w:rPr>
              <w:t>$</w:t>
            </w:r>
          </w:p>
        </w:tc>
        <w:tc>
          <w:tcPr>
            <w:tcW w:w="20" w:type="dxa"/>
            <w:vAlign w:val="bottom"/>
            <w:tcBorders>
              <w:top w:val="single" w:sz="8" w:color="auto"/>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800" w:type="dxa"/>
            <w:vAlign w:val="bottom"/>
            <w:tcBorders>
              <w:top w:val="single" w:sz="8" w:color="auto"/>
            </w:tcBorders>
            <w:gridSpan w:val="5"/>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2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3,512</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8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960" w:type="dxa"/>
            <w:vAlign w:val="bottom"/>
            <w:gridSpan w:val="2"/>
          </w:tcPr>
          <w:p>
            <w:pPr>
              <w:spacing w:after="0" w:line="201" w:lineRule="exact"/>
              <w:rPr>
                <w:sz w:val="20"/>
                <w:szCs w:val="20"/>
                <w:color w:val="auto"/>
              </w:rPr>
            </w:pPr>
            <w:r>
              <w:rPr>
                <w:rFonts w:ascii="Arial" w:cs="Arial" w:eastAsia="Arial" w:hAnsi="Arial"/>
                <w:sz w:val="18"/>
                <w:szCs w:val="18"/>
                <w:color w:val="auto"/>
              </w:rPr>
              <w:t>U.S. Federal, State, county and</w:t>
            </w:r>
          </w:p>
        </w:tc>
        <w:tc>
          <w:tcPr>
            <w:tcW w:w="1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960" w:type="dxa"/>
            <w:vAlign w:val="bottom"/>
            <w:gridSpan w:val="2"/>
          </w:tcPr>
          <w:p>
            <w:pPr>
              <w:ind w:left="180"/>
              <w:spacing w:after="0"/>
              <w:rPr>
                <w:sz w:val="20"/>
                <w:szCs w:val="20"/>
                <w:color w:val="auto"/>
              </w:rPr>
            </w:pPr>
            <w:r>
              <w:rPr>
                <w:rFonts w:ascii="Arial" w:cs="Arial" w:eastAsia="Arial" w:hAnsi="Arial"/>
                <w:sz w:val="18"/>
                <w:szCs w:val="18"/>
                <w:color w:val="auto"/>
              </w:rPr>
              <w:t>municipal debt securities</w:t>
            </w:r>
          </w:p>
        </w:tc>
        <w:tc>
          <w:tcPr>
            <w:tcW w:w="1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10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60" w:type="dxa"/>
            <w:vAlign w:val="bottom"/>
            <w:gridSpan w:val="3"/>
          </w:tcPr>
          <w:p>
            <w:pPr>
              <w:ind w:left="6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1040" w:type="dxa"/>
            <w:vAlign w:val="bottom"/>
            <w:gridSpan w:val="7"/>
          </w:tcPr>
          <w:p>
            <w:pPr>
              <w:jc w:val="right"/>
              <w:spacing w:after="0"/>
              <w:rPr>
                <w:sz w:val="20"/>
                <w:szCs w:val="20"/>
                <w:color w:val="auto"/>
              </w:rPr>
            </w:pPr>
            <w:r>
              <w:rPr>
                <w:rFonts w:ascii="Arial" w:cs="Arial" w:eastAsia="Arial" w:hAnsi="Arial"/>
                <w:sz w:val="18"/>
                <w:szCs w:val="18"/>
                <w:color w:val="auto"/>
              </w:rPr>
              <w:t>20,048</w:t>
            </w: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20" w:type="dxa"/>
            <w:vAlign w:val="bottom"/>
            <w:gridSpan w:val="6"/>
          </w:tcPr>
          <w:p>
            <w:pPr>
              <w:jc w:val="right"/>
              <w:ind w:right="80"/>
              <w:spacing w:after="0"/>
              <w:rPr>
                <w:sz w:val="20"/>
                <w:szCs w:val="20"/>
                <w:color w:val="auto"/>
              </w:rPr>
            </w:pPr>
            <w:r>
              <w:rPr>
                <w:rFonts w:ascii="Arial" w:cs="Arial" w:eastAsia="Arial" w:hAnsi="Arial"/>
                <w:sz w:val="18"/>
                <w:szCs w:val="18"/>
                <w:color w:val="auto"/>
              </w:rPr>
              <w:t>(217)</w:t>
            </w:r>
          </w:p>
        </w:tc>
        <w:tc>
          <w:tcPr>
            <w:tcW w:w="24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20,048</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(217)</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960" w:type="dxa"/>
            <w:vAlign w:val="bottom"/>
            <w:tcBorders>
              <w:top w:val="single" w:sz="8" w:color="CCEEFF"/>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Total temporarily impaired securities</w:t>
            </w: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320" w:type="dxa"/>
            <w:vAlign w:val="bottom"/>
            <w:tcBorders>
              <w:top w:val="single" w:sz="8" w:color="auto"/>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shd w:val="clear" w:color="auto" w:fill="CCEEFF"/>
          </w:tcPr>
          <w:p>
            <w:pPr>
              <w:ind w:left="680"/>
              <w:spacing w:after="0"/>
              <w:rPr>
                <w:sz w:val="20"/>
                <w:szCs w:val="20"/>
                <w:color w:val="auto"/>
              </w:rPr>
            </w:pPr>
            <w:r>
              <w:rPr>
                <w:rFonts w:ascii="Arial" w:cs="Arial" w:eastAsia="Arial" w:hAnsi="Arial"/>
                <w:sz w:val="18"/>
                <w:szCs w:val="18"/>
                <w:color w:val="auto"/>
                <w:w w:val="88"/>
              </w:rPr>
              <w:t>—</w:t>
            </w:r>
          </w:p>
        </w:tc>
        <w:tc>
          <w:tcPr>
            <w:tcW w:w="24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80" w:type="dxa"/>
            <w:vAlign w:val="bottom"/>
            <w:tcBorders>
              <w:top w:val="single" w:sz="8" w:color="auto"/>
              <w:bottom w:val="single" w:sz="8" w:color="auto"/>
            </w:tcBorders>
            <w:shd w:val="clear" w:color="auto" w:fill="CCEEFF"/>
          </w:tcPr>
          <w:p>
            <w:pPr>
              <w:spacing w:after="0"/>
              <w:rPr>
                <w:sz w:val="19"/>
                <w:szCs w:val="19"/>
                <w:color w:val="auto"/>
              </w:rPr>
            </w:pPr>
          </w:p>
        </w:tc>
        <w:tc>
          <w:tcPr>
            <w:tcW w:w="820" w:type="dxa"/>
            <w:vAlign w:val="bottom"/>
            <w:tcBorders>
              <w:top w:val="single" w:sz="8" w:color="auto"/>
              <w:bottom w:val="single" w:sz="8" w:color="auto"/>
            </w:tcBorders>
            <w:shd w:val="clear" w:color="auto" w:fill="CCEEFF"/>
          </w:tcPr>
          <w:p>
            <w:pPr>
              <w:ind w:left="640"/>
              <w:spacing w:after="0"/>
              <w:rPr>
                <w:sz w:val="20"/>
                <w:szCs w:val="20"/>
                <w:color w:val="auto"/>
              </w:rPr>
            </w:pPr>
            <w:r>
              <w:rPr>
                <w:rFonts w:ascii="Arial" w:cs="Arial" w:eastAsia="Arial" w:hAnsi="Arial"/>
                <w:sz w:val="18"/>
                <w:szCs w:val="18"/>
                <w:color w:val="auto"/>
                <w:w w:val="88"/>
              </w:rPr>
              <w:t>—</w:t>
            </w: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6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tcBorders>
              <w:top w:val="single" w:sz="8" w:color="auto"/>
              <w:bottom w:val="single" w:sz="8" w:color="auto"/>
            </w:tcBorders>
            <w:gridSpan w:val="7"/>
            <w:shd w:val="clear" w:color="auto" w:fill="CCEEFF"/>
          </w:tcPr>
          <w:p>
            <w:pPr>
              <w:jc w:val="right"/>
              <w:spacing w:after="0"/>
              <w:rPr>
                <w:sz w:val="20"/>
                <w:szCs w:val="20"/>
                <w:color w:val="auto"/>
              </w:rPr>
            </w:pPr>
            <w:r>
              <w:rPr>
                <w:rFonts w:ascii="Arial" w:cs="Arial" w:eastAsia="Arial" w:hAnsi="Arial"/>
                <w:sz w:val="18"/>
                <w:szCs w:val="18"/>
                <w:color w:val="auto"/>
              </w:rPr>
              <w:t>23,560</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220" w:type="dxa"/>
            <w:vAlign w:val="bottom"/>
            <w:tcBorders>
              <w:top w:val="single" w:sz="8" w:color="auto"/>
              <w:bottom w:val="single" w:sz="8" w:color="auto"/>
            </w:tcBorders>
            <w:gridSpan w:val="2"/>
            <w:shd w:val="clear" w:color="auto" w:fill="CCEEFF"/>
          </w:tcPr>
          <w:p>
            <w:pPr>
              <w:jc w:val="right"/>
              <w:ind w:right="140"/>
              <w:spacing w:after="0"/>
              <w:rPr>
                <w:sz w:val="20"/>
                <w:szCs w:val="20"/>
                <w:color w:val="auto"/>
              </w:rPr>
            </w:pPr>
            <w:r>
              <w:rPr>
                <w:rFonts w:ascii="Arial" w:cs="Arial" w:eastAsia="Arial" w:hAnsi="Arial"/>
                <w:sz w:val="15"/>
                <w:szCs w:val="15"/>
                <w:color w:val="auto"/>
                <w:w w:val="71"/>
              </w:rPr>
              <w:t>$</w:t>
            </w:r>
          </w:p>
        </w:tc>
        <w:tc>
          <w:tcPr>
            <w:tcW w:w="20" w:type="dxa"/>
            <w:vAlign w:val="bottom"/>
            <w:tcBorders>
              <w:top w:val="single" w:sz="8" w:color="auto"/>
              <w:bottom w:val="single" w:sz="8" w:color="auto"/>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spacing w:after="0"/>
              <w:rPr>
                <w:sz w:val="19"/>
                <w:szCs w:val="19"/>
                <w:color w:val="auto"/>
              </w:rPr>
            </w:pPr>
          </w:p>
        </w:tc>
        <w:tc>
          <w:tcPr>
            <w:tcW w:w="800" w:type="dxa"/>
            <w:vAlign w:val="bottom"/>
            <w:tcBorders>
              <w:top w:val="single" w:sz="8" w:color="auto"/>
              <w:bottom w:val="single" w:sz="8" w:color="auto"/>
            </w:tcBorders>
            <w:gridSpan w:val="5"/>
            <w:shd w:val="clear" w:color="auto" w:fill="CCEEFF"/>
          </w:tcPr>
          <w:p>
            <w:pPr>
              <w:jc w:val="right"/>
              <w:spacing w:after="0"/>
              <w:rPr>
                <w:sz w:val="20"/>
                <w:szCs w:val="20"/>
                <w:color w:val="auto"/>
              </w:rPr>
            </w:pPr>
            <w:r>
              <w:rPr>
                <w:rFonts w:ascii="Arial" w:cs="Arial" w:eastAsia="Arial" w:hAnsi="Arial"/>
                <w:sz w:val="18"/>
                <w:szCs w:val="18"/>
                <w:color w:val="auto"/>
              </w:rPr>
              <w:t>(240</w:t>
            </w:r>
          </w:p>
        </w:tc>
        <w:tc>
          <w:tcPr>
            <w:tcW w:w="220" w:type="dxa"/>
            <w:vAlign w:val="bottom"/>
            <w:tcBorders>
              <w:top w:val="single" w:sz="8" w:color="CCEEFF"/>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w w:val="74"/>
              </w:rPr>
              <w:t>)</w:t>
            </w:r>
          </w:p>
        </w:tc>
        <w:tc>
          <w:tcPr>
            <w:tcW w:w="240" w:type="dxa"/>
            <w:vAlign w:val="bottom"/>
            <w:tcBorders>
              <w:top w:val="single" w:sz="8" w:color="auto"/>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23,560</w:t>
            </w:r>
          </w:p>
        </w:tc>
        <w:tc>
          <w:tcPr>
            <w:tcW w:w="220" w:type="dxa"/>
            <w:vAlign w:val="bottom"/>
            <w:tcBorders>
              <w:top w:val="single" w:sz="8" w:color="CCEEFF"/>
              <w:bottom w:val="single" w:sz="8" w:color="CCEEFF"/>
            </w:tcBorders>
            <w:shd w:val="clear" w:color="auto" w:fill="CCEEFF"/>
          </w:tcPr>
          <w:p>
            <w:pPr>
              <w:spacing w:after="0"/>
              <w:rPr>
                <w:sz w:val="19"/>
                <w:szCs w:val="19"/>
                <w:color w:val="auto"/>
              </w:rPr>
            </w:pPr>
          </w:p>
        </w:tc>
        <w:tc>
          <w:tcPr>
            <w:tcW w:w="160" w:type="dxa"/>
            <w:vAlign w:val="bottom"/>
            <w:tcBorders>
              <w:top w:val="single" w:sz="8" w:color="auto"/>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(240</w:t>
            </w:r>
          </w:p>
        </w:tc>
        <w:tc>
          <w:tcPr>
            <w:tcW w:w="8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720" w:type="dxa"/>
            <w:vAlign w:val="bottom"/>
          </w:tcPr>
          <w:p>
            <w:pPr>
              <w:spacing w:after="0" w:line="20" w:lineRule="exact"/>
              <w:rPr>
                <w:sz w:val="1"/>
                <w:szCs w:val="1"/>
                <w:color w:val="auto"/>
              </w:rPr>
            </w:pPr>
          </w:p>
        </w:tc>
        <w:tc>
          <w:tcPr>
            <w:tcW w:w="2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gridSpan w:val="2"/>
          </w:tcPr>
          <w:p>
            <w:pPr>
              <w:spacing w:after="0" w:line="20" w:lineRule="exact"/>
              <w:rPr>
                <w:sz w:val="1"/>
                <w:szCs w:val="1"/>
                <w:color w:val="auto"/>
              </w:rPr>
            </w:pPr>
          </w:p>
        </w:tc>
        <w:tc>
          <w:tcPr>
            <w:tcW w:w="300" w:type="dxa"/>
            <w:vAlign w:val="bottom"/>
            <w:tcBorders>
              <w:bottom w:val="single" w:sz="8" w:color="auto"/>
            </w:tcBorders>
            <w:gridSpan w:val="2"/>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6"/>
        </w:trPr>
        <w:tc>
          <w:tcPr>
            <w:tcW w:w="720" w:type="dxa"/>
            <w:vAlign w:val="bottom"/>
          </w:tcPr>
          <w:p>
            <w:pPr>
              <w:spacing w:after="0"/>
              <w:rPr>
                <w:sz w:val="24"/>
                <w:szCs w:val="24"/>
                <w:color w:val="auto"/>
              </w:rPr>
            </w:pPr>
          </w:p>
        </w:tc>
        <w:tc>
          <w:tcPr>
            <w:tcW w:w="2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86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8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4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140" w:type="dxa"/>
            <w:vAlign w:val="bottom"/>
            <w:tcBorders>
              <w:bottom w:val="single" w:sz="8" w:color="auto"/>
            </w:tcBorders>
            <w:gridSpan w:val="10"/>
          </w:tcPr>
          <w:p>
            <w:pPr>
              <w:ind w:left="60"/>
              <w:spacing w:after="0"/>
              <w:rPr>
                <w:sz w:val="20"/>
                <w:szCs w:val="20"/>
                <w:color w:val="auto"/>
              </w:rPr>
            </w:pPr>
            <w:r>
              <w:rPr>
                <w:rFonts w:ascii="Arial" w:cs="Arial" w:eastAsia="Arial" w:hAnsi="Arial"/>
                <w:sz w:val="14"/>
                <w:szCs w:val="14"/>
                <w:b w:val="1"/>
                <w:bCs w:val="1"/>
                <w:color w:val="auto"/>
                <w:w w:val="94"/>
              </w:rPr>
              <w:t>January 27, 2007</w:t>
            </w:r>
          </w:p>
        </w:tc>
        <w:tc>
          <w:tcPr>
            <w:tcW w:w="8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92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000" w:type="dxa"/>
            <w:vAlign w:val="bottom"/>
            <w:tcBorders>
              <w:bottom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720" w:type="dxa"/>
            <w:vAlign w:val="bottom"/>
          </w:tcPr>
          <w:p>
            <w:pPr>
              <w:spacing w:after="0"/>
              <w:rPr>
                <w:sz w:val="11"/>
                <w:szCs w:val="11"/>
                <w:color w:val="auto"/>
              </w:rPr>
            </w:pPr>
          </w:p>
        </w:tc>
        <w:tc>
          <w:tcPr>
            <w:tcW w:w="22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2520" w:type="dxa"/>
            <w:vAlign w:val="bottom"/>
            <w:gridSpan w:val="7"/>
          </w:tcPr>
          <w:p>
            <w:pPr>
              <w:ind w:left="340"/>
              <w:spacing w:after="0" w:line="129" w:lineRule="exact"/>
              <w:rPr>
                <w:sz w:val="20"/>
                <w:szCs w:val="20"/>
                <w:color w:val="auto"/>
              </w:rPr>
            </w:pPr>
            <w:r>
              <w:rPr>
                <w:rFonts w:ascii="Arial" w:cs="Arial" w:eastAsia="Arial" w:hAnsi="Arial"/>
                <w:sz w:val="14"/>
                <w:szCs w:val="14"/>
                <w:b w:val="1"/>
                <w:bCs w:val="1"/>
                <w:color w:val="auto"/>
              </w:rPr>
              <w:t>Less than 12 months</w:t>
            </w:r>
          </w:p>
        </w:tc>
        <w:tc>
          <w:tcPr>
            <w:tcW w:w="1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160" w:type="dxa"/>
            <w:vAlign w:val="bottom"/>
            <w:gridSpan w:val="16"/>
          </w:tcPr>
          <w:p>
            <w:pPr>
              <w:ind w:left="60"/>
              <w:spacing w:after="0" w:line="129" w:lineRule="exact"/>
              <w:rPr>
                <w:sz w:val="20"/>
                <w:szCs w:val="20"/>
                <w:color w:val="auto"/>
              </w:rPr>
            </w:pPr>
            <w:r>
              <w:rPr>
                <w:rFonts w:ascii="Arial" w:cs="Arial" w:eastAsia="Arial" w:hAnsi="Arial"/>
                <w:sz w:val="14"/>
                <w:szCs w:val="14"/>
                <w:b w:val="1"/>
                <w:bCs w:val="1"/>
                <w:color w:val="auto"/>
              </w:rPr>
              <w:t>12 months or more</w:t>
            </w:r>
          </w:p>
        </w:tc>
        <w:tc>
          <w:tcPr>
            <w:tcW w:w="240" w:type="dxa"/>
            <w:vAlign w:val="bottom"/>
          </w:tcPr>
          <w:p>
            <w:pPr>
              <w:spacing w:after="0"/>
              <w:rPr>
                <w:sz w:val="11"/>
                <w:szCs w:val="11"/>
                <w:color w:val="auto"/>
              </w:rPr>
            </w:pPr>
          </w:p>
        </w:tc>
        <w:tc>
          <w:tcPr>
            <w:tcW w:w="1300" w:type="dxa"/>
            <w:vAlign w:val="bottom"/>
            <w:gridSpan w:val="3"/>
          </w:tcPr>
          <w:p>
            <w:pPr>
              <w:jc w:val="right"/>
              <w:ind w:right="45"/>
              <w:spacing w:after="0" w:line="129" w:lineRule="exact"/>
              <w:rPr>
                <w:sz w:val="20"/>
                <w:szCs w:val="20"/>
                <w:color w:val="auto"/>
              </w:rPr>
            </w:pPr>
            <w:r>
              <w:rPr>
                <w:rFonts w:ascii="Arial" w:cs="Arial" w:eastAsia="Arial" w:hAnsi="Arial"/>
                <w:sz w:val="14"/>
                <w:szCs w:val="14"/>
                <w:b w:val="1"/>
                <w:bCs w:val="1"/>
                <w:color w:val="auto"/>
              </w:rPr>
              <w:t>Total</w:t>
            </w:r>
          </w:p>
        </w:tc>
        <w:tc>
          <w:tcPr>
            <w:tcW w:w="10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2"/>
        </w:trPr>
        <w:tc>
          <w:tcPr>
            <w:tcW w:w="720" w:type="dxa"/>
            <w:vAlign w:val="bottom"/>
          </w:tcPr>
          <w:p>
            <w:pPr>
              <w:spacing w:after="0"/>
              <w:rPr>
                <w:sz w:val="8"/>
                <w:szCs w:val="8"/>
                <w:color w:val="auto"/>
              </w:rPr>
            </w:pPr>
          </w:p>
        </w:tc>
        <w:tc>
          <w:tcPr>
            <w:tcW w:w="2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320" w:type="dxa"/>
            <w:vAlign w:val="bottom"/>
            <w:tcBorders>
              <w:top w:val="single" w:sz="8" w:color="auto"/>
            </w:tcBorders>
          </w:tcPr>
          <w:p>
            <w:pPr>
              <w:spacing w:after="0"/>
              <w:rPr>
                <w:sz w:val="8"/>
                <w:szCs w:val="8"/>
                <w:color w:val="auto"/>
              </w:rPr>
            </w:pPr>
          </w:p>
        </w:tc>
        <w:tc>
          <w:tcPr>
            <w:tcW w:w="1100" w:type="dxa"/>
            <w:vAlign w:val="bottom"/>
            <w:tcBorders>
              <w:top w:val="single" w:sz="8" w:color="auto"/>
            </w:tcBorders>
            <w:gridSpan w:val="2"/>
          </w:tcPr>
          <w:p>
            <w:pPr>
              <w:jc w:val="center"/>
              <w:ind w:right="560"/>
              <w:spacing w:after="0" w:line="102" w:lineRule="exact"/>
              <w:rPr>
                <w:sz w:val="20"/>
                <w:szCs w:val="20"/>
                <w:color w:val="auto"/>
              </w:rPr>
            </w:pPr>
            <w:r>
              <w:rPr>
                <w:rFonts w:ascii="Arial" w:cs="Arial" w:eastAsia="Arial" w:hAnsi="Arial"/>
                <w:sz w:val="11"/>
                <w:szCs w:val="11"/>
                <w:b w:val="1"/>
                <w:bCs w:val="1"/>
                <w:color w:val="auto"/>
              </w:rPr>
              <w:t>Fair</w:t>
            </w:r>
          </w:p>
        </w:tc>
        <w:tc>
          <w:tcPr>
            <w:tcW w:w="180" w:type="dxa"/>
            <w:vAlign w:val="bottom"/>
            <w:tcBorders>
              <w:top w:val="single" w:sz="8" w:color="auto"/>
            </w:tcBorders>
          </w:tcPr>
          <w:p>
            <w:pPr>
              <w:spacing w:after="0"/>
              <w:rPr>
                <w:sz w:val="8"/>
                <w:szCs w:val="8"/>
                <w:color w:val="auto"/>
              </w:rPr>
            </w:pPr>
          </w:p>
        </w:tc>
        <w:tc>
          <w:tcPr>
            <w:tcW w:w="1000" w:type="dxa"/>
            <w:vAlign w:val="bottom"/>
            <w:tcBorders>
              <w:top w:val="single" w:sz="8" w:color="auto"/>
            </w:tcBorders>
            <w:gridSpan w:val="2"/>
          </w:tcPr>
          <w:p>
            <w:pPr>
              <w:jc w:val="center"/>
              <w:ind w:right="97"/>
              <w:spacing w:after="0" w:line="102" w:lineRule="exact"/>
              <w:rPr>
                <w:sz w:val="20"/>
                <w:szCs w:val="20"/>
                <w:color w:val="auto"/>
              </w:rPr>
            </w:pPr>
            <w:r>
              <w:rPr>
                <w:rFonts w:ascii="Arial" w:cs="Arial" w:eastAsia="Arial" w:hAnsi="Arial"/>
                <w:sz w:val="11"/>
                <w:szCs w:val="11"/>
                <w:b w:val="1"/>
                <w:bCs w:val="1"/>
                <w:color w:val="auto"/>
              </w:rPr>
              <w:t>Unrealized</w:t>
            </w: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20" w:type="dxa"/>
            <w:vAlign w:val="bottom"/>
            <w:tcBorders>
              <w:top w:val="single" w:sz="8" w:color="auto"/>
            </w:tcBorders>
          </w:tcPr>
          <w:p>
            <w:pPr>
              <w:spacing w:after="0"/>
              <w:rPr>
                <w:sz w:val="8"/>
                <w:szCs w:val="8"/>
                <w:color w:val="auto"/>
              </w:rPr>
            </w:pPr>
          </w:p>
        </w:tc>
        <w:tc>
          <w:tcPr>
            <w:tcW w:w="600" w:type="dxa"/>
            <w:vAlign w:val="bottom"/>
            <w:tcBorders>
              <w:top w:val="single" w:sz="8" w:color="auto"/>
            </w:tcBorders>
            <w:gridSpan w:val="3"/>
          </w:tcPr>
          <w:p>
            <w:pPr>
              <w:jc w:val="center"/>
              <w:ind w:left="192"/>
              <w:spacing w:after="0" w:line="102" w:lineRule="exact"/>
              <w:rPr>
                <w:sz w:val="20"/>
                <w:szCs w:val="20"/>
                <w:color w:val="auto"/>
              </w:rPr>
            </w:pPr>
            <w:r>
              <w:rPr>
                <w:rFonts w:ascii="Arial" w:cs="Arial" w:eastAsia="Arial" w:hAnsi="Arial"/>
                <w:sz w:val="11"/>
                <w:szCs w:val="11"/>
                <w:b w:val="1"/>
                <w:bCs w:val="1"/>
                <w:color w:val="auto"/>
              </w:rPr>
              <w:t>Fair</w:t>
            </w:r>
          </w:p>
        </w:tc>
        <w:tc>
          <w:tcPr>
            <w:tcW w:w="120" w:type="dxa"/>
            <w:vAlign w:val="bottom"/>
            <w:tcBorders>
              <w:top w:val="single" w:sz="8" w:color="auto"/>
            </w:tcBorders>
          </w:tcPr>
          <w:p>
            <w:pPr>
              <w:spacing w:after="0"/>
              <w:rPr>
                <w:sz w:val="8"/>
                <w:szCs w:val="8"/>
                <w:color w:val="auto"/>
              </w:rPr>
            </w:pPr>
          </w:p>
        </w:tc>
        <w:tc>
          <w:tcPr>
            <w:tcW w:w="220" w:type="dxa"/>
            <w:vAlign w:val="bottom"/>
            <w:tcBorders>
              <w:top w:val="single" w:sz="8" w:color="auto"/>
            </w:tcBorders>
          </w:tcPr>
          <w:p>
            <w:pPr>
              <w:spacing w:after="0"/>
              <w:rPr>
                <w:sz w:val="8"/>
                <w:szCs w:val="8"/>
                <w:color w:val="auto"/>
              </w:rPr>
            </w:pPr>
          </w:p>
        </w:tc>
        <w:tc>
          <w:tcPr>
            <w:tcW w:w="80" w:type="dxa"/>
            <w:vAlign w:val="bottom"/>
            <w:tcBorders>
              <w:top w:val="single" w:sz="8" w:color="auto"/>
            </w:tcBorders>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140" w:type="dxa"/>
            <w:vAlign w:val="bottom"/>
            <w:tcBorders>
              <w:top w:val="single" w:sz="8" w:color="auto"/>
            </w:tcBorders>
          </w:tcPr>
          <w:p>
            <w:pPr>
              <w:spacing w:after="0"/>
              <w:rPr>
                <w:sz w:val="8"/>
                <w:szCs w:val="8"/>
                <w:color w:val="auto"/>
              </w:rPr>
            </w:pPr>
          </w:p>
        </w:tc>
        <w:tc>
          <w:tcPr>
            <w:tcW w:w="20" w:type="dxa"/>
            <w:vAlign w:val="bottom"/>
            <w:tcBorders>
              <w:top w:val="single" w:sz="8" w:color="auto"/>
            </w:tcBorders>
          </w:tcPr>
          <w:p>
            <w:pPr>
              <w:spacing w:after="0"/>
              <w:rPr>
                <w:sz w:val="8"/>
                <w:szCs w:val="8"/>
                <w:color w:val="auto"/>
              </w:rPr>
            </w:pPr>
          </w:p>
        </w:tc>
        <w:tc>
          <w:tcPr>
            <w:tcW w:w="200" w:type="dxa"/>
            <w:vAlign w:val="bottom"/>
            <w:tcBorders>
              <w:top w:val="single" w:sz="8" w:color="auto"/>
            </w:tcBorders>
          </w:tcPr>
          <w:p>
            <w:pPr>
              <w:spacing w:after="0"/>
              <w:rPr>
                <w:sz w:val="8"/>
                <w:szCs w:val="8"/>
                <w:color w:val="auto"/>
              </w:rPr>
            </w:pPr>
          </w:p>
        </w:tc>
        <w:tc>
          <w:tcPr>
            <w:tcW w:w="20" w:type="dxa"/>
            <w:vAlign w:val="bottom"/>
            <w:tcBorders>
              <w:top w:val="single" w:sz="8" w:color="auto"/>
            </w:tcBorders>
          </w:tcPr>
          <w:p>
            <w:pPr>
              <w:spacing w:after="0"/>
              <w:rPr>
                <w:sz w:val="8"/>
                <w:szCs w:val="8"/>
                <w:color w:val="auto"/>
              </w:rPr>
            </w:pPr>
          </w:p>
        </w:tc>
        <w:tc>
          <w:tcPr>
            <w:tcW w:w="940" w:type="dxa"/>
            <w:vAlign w:val="bottom"/>
            <w:tcBorders>
              <w:top w:val="single" w:sz="8" w:color="auto"/>
            </w:tcBorders>
            <w:gridSpan w:val="6"/>
          </w:tcPr>
          <w:p>
            <w:pPr>
              <w:spacing w:after="0" w:line="102" w:lineRule="exact"/>
              <w:rPr>
                <w:sz w:val="20"/>
                <w:szCs w:val="20"/>
                <w:color w:val="auto"/>
              </w:rPr>
            </w:pPr>
            <w:r>
              <w:rPr>
                <w:rFonts w:ascii="Arial" w:cs="Arial" w:eastAsia="Arial" w:hAnsi="Arial"/>
                <w:sz w:val="11"/>
                <w:szCs w:val="11"/>
                <w:b w:val="1"/>
                <w:bCs w:val="1"/>
                <w:color w:val="auto"/>
              </w:rPr>
              <w:t>Unrealized</w:t>
            </w:r>
          </w:p>
        </w:tc>
        <w:tc>
          <w:tcPr>
            <w:tcW w:w="220" w:type="dxa"/>
            <w:vAlign w:val="bottom"/>
          </w:tcPr>
          <w:p>
            <w:pPr>
              <w:spacing w:after="0"/>
              <w:rPr>
                <w:sz w:val="8"/>
                <w:szCs w:val="8"/>
                <w:color w:val="auto"/>
              </w:rPr>
            </w:pPr>
          </w:p>
        </w:tc>
        <w:tc>
          <w:tcPr>
            <w:tcW w:w="240" w:type="dxa"/>
            <w:vAlign w:val="bottom"/>
            <w:tcBorders>
              <w:top w:val="single" w:sz="8" w:color="auto"/>
            </w:tcBorders>
          </w:tcPr>
          <w:p>
            <w:pPr>
              <w:spacing w:after="0"/>
              <w:rPr>
                <w:sz w:val="8"/>
                <w:szCs w:val="8"/>
                <w:color w:val="auto"/>
              </w:rPr>
            </w:pPr>
          </w:p>
        </w:tc>
        <w:tc>
          <w:tcPr>
            <w:tcW w:w="920" w:type="dxa"/>
            <w:vAlign w:val="bottom"/>
            <w:tcBorders>
              <w:top w:val="single" w:sz="8" w:color="auto"/>
            </w:tcBorders>
          </w:tcPr>
          <w:p>
            <w:pPr>
              <w:jc w:val="center"/>
              <w:ind w:right="182"/>
              <w:spacing w:after="0" w:line="102" w:lineRule="exact"/>
              <w:rPr>
                <w:sz w:val="20"/>
                <w:szCs w:val="20"/>
                <w:color w:val="auto"/>
              </w:rPr>
            </w:pPr>
            <w:r>
              <w:rPr>
                <w:rFonts w:ascii="Arial" w:cs="Arial" w:eastAsia="Arial" w:hAnsi="Arial"/>
                <w:sz w:val="11"/>
                <w:szCs w:val="11"/>
                <w:b w:val="1"/>
                <w:bCs w:val="1"/>
                <w:color w:val="auto"/>
              </w:rPr>
              <w:t>Fair</w:t>
            </w:r>
          </w:p>
        </w:tc>
        <w:tc>
          <w:tcPr>
            <w:tcW w:w="220" w:type="dxa"/>
            <w:vAlign w:val="bottom"/>
            <w:tcBorders>
              <w:top w:val="single" w:sz="8" w:color="auto"/>
            </w:tcBorders>
          </w:tcPr>
          <w:p>
            <w:pPr>
              <w:spacing w:after="0"/>
              <w:rPr>
                <w:sz w:val="8"/>
                <w:szCs w:val="8"/>
                <w:color w:val="auto"/>
              </w:rPr>
            </w:pPr>
          </w:p>
        </w:tc>
        <w:tc>
          <w:tcPr>
            <w:tcW w:w="160" w:type="dxa"/>
            <w:vAlign w:val="bottom"/>
            <w:tcBorders>
              <w:top w:val="single" w:sz="8" w:color="auto"/>
            </w:tcBorders>
          </w:tcPr>
          <w:p>
            <w:pPr>
              <w:spacing w:after="0"/>
              <w:rPr>
                <w:sz w:val="8"/>
                <w:szCs w:val="8"/>
                <w:color w:val="auto"/>
              </w:rPr>
            </w:pPr>
          </w:p>
        </w:tc>
        <w:tc>
          <w:tcPr>
            <w:tcW w:w="1000" w:type="dxa"/>
            <w:vAlign w:val="bottom"/>
            <w:tcBorders>
              <w:top w:val="single" w:sz="8" w:color="auto"/>
            </w:tcBorders>
          </w:tcPr>
          <w:p>
            <w:pPr>
              <w:jc w:val="center"/>
              <w:ind w:right="100"/>
              <w:spacing w:after="0" w:line="102" w:lineRule="exact"/>
              <w:rPr>
                <w:sz w:val="20"/>
                <w:szCs w:val="20"/>
                <w:color w:val="auto"/>
              </w:rPr>
            </w:pPr>
            <w:r>
              <w:rPr>
                <w:rFonts w:ascii="Arial" w:cs="Arial" w:eastAsia="Arial" w:hAnsi="Arial"/>
                <w:sz w:val="11"/>
                <w:szCs w:val="11"/>
                <w:b w:val="1"/>
                <w:bCs w:val="1"/>
                <w:color w:val="auto"/>
              </w:rPr>
              <w:t>Unrealized</w:t>
            </w:r>
          </w:p>
        </w:tc>
        <w:tc>
          <w:tcPr>
            <w:tcW w:w="80" w:type="dxa"/>
            <w:vAlign w:val="bottom"/>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720" w:type="dxa"/>
            <w:vAlign w:val="bottom"/>
          </w:tcPr>
          <w:p>
            <w:pPr>
              <w:spacing w:after="0"/>
              <w:rPr>
                <w:sz w:val="14"/>
                <w:szCs w:val="14"/>
                <w:color w:val="auto"/>
              </w:rPr>
            </w:pPr>
          </w:p>
        </w:tc>
        <w:tc>
          <w:tcPr>
            <w:tcW w:w="2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100" w:type="dxa"/>
            <w:vAlign w:val="bottom"/>
            <w:gridSpan w:val="2"/>
          </w:tcPr>
          <w:p>
            <w:pPr>
              <w:jc w:val="center"/>
              <w:ind w:right="560"/>
              <w:spacing w:after="0"/>
              <w:rPr>
                <w:sz w:val="20"/>
                <w:szCs w:val="20"/>
                <w:color w:val="auto"/>
              </w:rPr>
            </w:pPr>
            <w:r>
              <w:rPr>
                <w:rFonts w:ascii="Arial" w:cs="Arial" w:eastAsia="Arial" w:hAnsi="Arial"/>
                <w:sz w:val="14"/>
                <w:szCs w:val="14"/>
                <w:b w:val="1"/>
                <w:bCs w:val="1"/>
                <w:color w:val="auto"/>
                <w:w w:val="90"/>
              </w:rPr>
              <w:t>Value</w:t>
            </w:r>
          </w:p>
        </w:tc>
        <w:tc>
          <w:tcPr>
            <w:tcW w:w="1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60" w:type="dxa"/>
            <w:vAlign w:val="bottom"/>
            <w:gridSpan w:val="3"/>
          </w:tcPr>
          <w:p>
            <w:pPr>
              <w:jc w:val="center"/>
              <w:ind w:right="620"/>
              <w:spacing w:after="0"/>
              <w:rPr>
                <w:sz w:val="20"/>
                <w:szCs w:val="20"/>
                <w:color w:val="auto"/>
              </w:rPr>
            </w:pPr>
            <w:r>
              <w:rPr>
                <w:rFonts w:ascii="Arial" w:cs="Arial" w:eastAsia="Arial" w:hAnsi="Arial"/>
                <w:sz w:val="14"/>
                <w:szCs w:val="14"/>
                <w:b w:val="1"/>
                <w:bCs w:val="1"/>
                <w:color w:val="auto"/>
                <w:w w:val="82"/>
              </w:rPr>
              <w:t>Losses</w:t>
            </w: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0" w:type="dxa"/>
            <w:vAlign w:val="bottom"/>
            <w:gridSpan w:val="3"/>
          </w:tcPr>
          <w:p>
            <w:pPr>
              <w:jc w:val="center"/>
              <w:ind w:left="192"/>
              <w:spacing w:after="0"/>
              <w:rPr>
                <w:sz w:val="20"/>
                <w:szCs w:val="20"/>
                <w:color w:val="auto"/>
              </w:rPr>
            </w:pPr>
            <w:r>
              <w:rPr>
                <w:rFonts w:ascii="Arial" w:cs="Arial" w:eastAsia="Arial" w:hAnsi="Arial"/>
                <w:sz w:val="14"/>
                <w:szCs w:val="14"/>
                <w:b w:val="1"/>
                <w:bCs w:val="1"/>
                <w:color w:val="auto"/>
                <w:w w:val="90"/>
              </w:rPr>
              <w:t>Value</w:t>
            </w: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20" w:type="dxa"/>
            <w:vAlign w:val="bottom"/>
            <w:gridSpan w:val="6"/>
          </w:tcPr>
          <w:p>
            <w:pPr>
              <w:jc w:val="right"/>
              <w:ind w:right="540"/>
              <w:spacing w:after="0"/>
              <w:rPr>
                <w:sz w:val="20"/>
                <w:szCs w:val="20"/>
                <w:color w:val="auto"/>
              </w:rPr>
            </w:pPr>
            <w:r>
              <w:rPr>
                <w:rFonts w:ascii="Arial" w:cs="Arial" w:eastAsia="Arial" w:hAnsi="Arial"/>
                <w:sz w:val="14"/>
                <w:szCs w:val="14"/>
                <w:b w:val="1"/>
                <w:bCs w:val="1"/>
                <w:color w:val="auto"/>
                <w:w w:val="78"/>
              </w:rPr>
              <w:t>Losses</w:t>
            </w:r>
          </w:p>
        </w:tc>
        <w:tc>
          <w:tcPr>
            <w:tcW w:w="240" w:type="dxa"/>
            <w:vAlign w:val="bottom"/>
          </w:tcPr>
          <w:p>
            <w:pPr>
              <w:spacing w:after="0"/>
              <w:rPr>
                <w:sz w:val="14"/>
                <w:szCs w:val="14"/>
                <w:color w:val="auto"/>
              </w:rPr>
            </w:pPr>
          </w:p>
        </w:tc>
        <w:tc>
          <w:tcPr>
            <w:tcW w:w="920" w:type="dxa"/>
            <w:vAlign w:val="bottom"/>
          </w:tcPr>
          <w:p>
            <w:pPr>
              <w:jc w:val="center"/>
              <w:ind w:right="182"/>
              <w:spacing w:after="0"/>
              <w:rPr>
                <w:sz w:val="20"/>
                <w:szCs w:val="20"/>
                <w:color w:val="auto"/>
              </w:rPr>
            </w:pPr>
            <w:r>
              <w:rPr>
                <w:rFonts w:ascii="Arial" w:cs="Arial" w:eastAsia="Arial" w:hAnsi="Arial"/>
                <w:sz w:val="14"/>
                <w:szCs w:val="14"/>
                <w:b w:val="1"/>
                <w:bCs w:val="1"/>
                <w:color w:val="auto"/>
                <w:w w:val="90"/>
              </w:rPr>
              <w:t>Value</w:t>
            </w: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2"/>
              </w:rPr>
              <w:t>Losses</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96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8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shd w:val="clear" w:color="auto" w:fill="CCEEFF"/>
          </w:tcPr>
          <w:p>
            <w:pPr>
              <w:ind w:left="680"/>
              <w:spacing w:after="0"/>
              <w:rPr>
                <w:sz w:val="20"/>
                <w:szCs w:val="20"/>
                <w:color w:val="auto"/>
              </w:rPr>
            </w:pPr>
            <w:r>
              <w:rPr>
                <w:rFonts w:ascii="Arial" w:cs="Arial" w:eastAsia="Arial" w:hAnsi="Arial"/>
                <w:sz w:val="18"/>
                <w:szCs w:val="18"/>
                <w:color w:val="auto"/>
                <w:w w:val="88"/>
              </w:rPr>
              <w:t>—</w:t>
            </w: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80" w:type="dxa"/>
            <w:vAlign w:val="bottom"/>
            <w:tcBorders>
              <w:top w:val="single" w:sz="8" w:color="auto"/>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ind w:left="640"/>
              <w:spacing w:after="0"/>
              <w:rPr>
                <w:sz w:val="20"/>
                <w:szCs w:val="20"/>
                <w:color w:val="auto"/>
              </w:rPr>
            </w:pPr>
            <w:r>
              <w:rPr>
                <w:rFonts w:ascii="Arial" w:cs="Arial" w:eastAsia="Arial" w:hAnsi="Arial"/>
                <w:sz w:val="18"/>
                <w:szCs w:val="18"/>
                <w:color w:val="auto"/>
                <w:w w:val="88"/>
              </w:rPr>
              <w:t>—</w:t>
            </w:r>
          </w:p>
        </w:tc>
        <w:tc>
          <w:tcPr>
            <w:tcW w:w="18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2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2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8"/>
              </w:rPr>
              <w:t>3,491</w:t>
            </w:r>
          </w:p>
        </w:tc>
        <w:tc>
          <w:tcPr>
            <w:tcW w:w="1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gridSpan w:val="2"/>
            <w:shd w:val="clear" w:color="auto" w:fill="CCEEFF"/>
          </w:tcPr>
          <w:p>
            <w:pPr>
              <w:jc w:val="right"/>
              <w:ind w:right="140"/>
              <w:spacing w:after="0"/>
              <w:rPr>
                <w:sz w:val="20"/>
                <w:szCs w:val="20"/>
                <w:color w:val="auto"/>
              </w:rPr>
            </w:pPr>
            <w:r>
              <w:rPr>
                <w:rFonts w:ascii="Arial" w:cs="Arial" w:eastAsia="Arial" w:hAnsi="Arial"/>
                <w:sz w:val="15"/>
                <w:szCs w:val="15"/>
                <w:color w:val="auto"/>
                <w:w w:val="71"/>
              </w:rPr>
              <w:t>$</w:t>
            </w:r>
          </w:p>
        </w:tc>
        <w:tc>
          <w:tcPr>
            <w:tcW w:w="20" w:type="dxa"/>
            <w:vAlign w:val="bottom"/>
            <w:tcBorders>
              <w:top w:val="single" w:sz="8" w:color="auto"/>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800" w:type="dxa"/>
            <w:vAlign w:val="bottom"/>
            <w:tcBorders>
              <w:top w:val="single" w:sz="8" w:color="auto"/>
            </w:tcBorders>
            <w:gridSpan w:val="5"/>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2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3,491</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8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960" w:type="dxa"/>
            <w:vAlign w:val="bottom"/>
            <w:gridSpan w:val="2"/>
          </w:tcPr>
          <w:p>
            <w:pPr>
              <w:spacing w:after="0" w:line="201" w:lineRule="exact"/>
              <w:rPr>
                <w:sz w:val="20"/>
                <w:szCs w:val="20"/>
                <w:color w:val="auto"/>
              </w:rPr>
            </w:pPr>
            <w:r>
              <w:rPr>
                <w:rFonts w:ascii="Arial" w:cs="Arial" w:eastAsia="Arial" w:hAnsi="Arial"/>
                <w:sz w:val="18"/>
                <w:szCs w:val="18"/>
                <w:color w:val="auto"/>
              </w:rPr>
              <w:t>U.S. Federal, State, county and</w:t>
            </w:r>
          </w:p>
        </w:tc>
        <w:tc>
          <w:tcPr>
            <w:tcW w:w="1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960" w:type="dxa"/>
            <w:vAlign w:val="bottom"/>
            <w:gridSpan w:val="2"/>
          </w:tcPr>
          <w:p>
            <w:pPr>
              <w:ind w:left="180"/>
              <w:spacing w:after="0"/>
              <w:rPr>
                <w:sz w:val="20"/>
                <w:szCs w:val="20"/>
                <w:color w:val="auto"/>
              </w:rPr>
            </w:pPr>
            <w:r>
              <w:rPr>
                <w:rFonts w:ascii="Arial" w:cs="Arial" w:eastAsia="Arial" w:hAnsi="Arial"/>
                <w:sz w:val="18"/>
                <w:szCs w:val="18"/>
                <w:color w:val="auto"/>
              </w:rPr>
              <w:t>municipal debt securities</w:t>
            </w:r>
          </w:p>
        </w:tc>
        <w:tc>
          <w:tcPr>
            <w:tcW w:w="1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10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60" w:type="dxa"/>
            <w:vAlign w:val="bottom"/>
            <w:gridSpan w:val="3"/>
          </w:tcPr>
          <w:p>
            <w:pPr>
              <w:ind w:left="6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1040" w:type="dxa"/>
            <w:vAlign w:val="bottom"/>
            <w:gridSpan w:val="7"/>
          </w:tcPr>
          <w:p>
            <w:pPr>
              <w:jc w:val="right"/>
              <w:spacing w:after="0"/>
              <w:rPr>
                <w:sz w:val="20"/>
                <w:szCs w:val="20"/>
                <w:color w:val="auto"/>
              </w:rPr>
            </w:pPr>
            <w:r>
              <w:rPr>
                <w:rFonts w:ascii="Arial" w:cs="Arial" w:eastAsia="Arial" w:hAnsi="Arial"/>
                <w:sz w:val="18"/>
                <w:szCs w:val="18"/>
                <w:color w:val="auto"/>
              </w:rPr>
              <w:t>24,881</w:t>
            </w: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20" w:type="dxa"/>
            <w:vAlign w:val="bottom"/>
            <w:gridSpan w:val="6"/>
          </w:tcPr>
          <w:p>
            <w:pPr>
              <w:jc w:val="right"/>
              <w:ind w:right="80"/>
              <w:spacing w:after="0"/>
              <w:rPr>
                <w:sz w:val="20"/>
                <w:szCs w:val="20"/>
                <w:color w:val="auto"/>
              </w:rPr>
            </w:pPr>
            <w:r>
              <w:rPr>
                <w:rFonts w:ascii="Arial" w:cs="Arial" w:eastAsia="Arial" w:hAnsi="Arial"/>
                <w:sz w:val="18"/>
                <w:szCs w:val="18"/>
                <w:color w:val="auto"/>
              </w:rPr>
              <w:t>(419)</w:t>
            </w:r>
          </w:p>
        </w:tc>
        <w:tc>
          <w:tcPr>
            <w:tcW w:w="24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24,881</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(419)</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960" w:type="dxa"/>
            <w:vAlign w:val="bottom"/>
            <w:tcBorders>
              <w:top w:val="single" w:sz="8" w:color="CCEEFF"/>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Total temporarily impaired securities</w:t>
            </w: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320" w:type="dxa"/>
            <w:vAlign w:val="bottom"/>
            <w:tcBorders>
              <w:top w:val="single" w:sz="8" w:color="auto"/>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shd w:val="clear" w:color="auto" w:fill="CCEEFF"/>
          </w:tcPr>
          <w:p>
            <w:pPr>
              <w:ind w:left="680"/>
              <w:spacing w:after="0"/>
              <w:rPr>
                <w:sz w:val="20"/>
                <w:szCs w:val="20"/>
                <w:color w:val="auto"/>
              </w:rPr>
            </w:pPr>
            <w:r>
              <w:rPr>
                <w:rFonts w:ascii="Arial" w:cs="Arial" w:eastAsia="Arial" w:hAnsi="Arial"/>
                <w:sz w:val="18"/>
                <w:szCs w:val="18"/>
                <w:color w:val="auto"/>
                <w:w w:val="88"/>
              </w:rPr>
              <w:t>—</w:t>
            </w:r>
          </w:p>
        </w:tc>
        <w:tc>
          <w:tcPr>
            <w:tcW w:w="24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80" w:type="dxa"/>
            <w:vAlign w:val="bottom"/>
            <w:tcBorders>
              <w:top w:val="single" w:sz="8" w:color="auto"/>
              <w:bottom w:val="single" w:sz="8" w:color="auto"/>
            </w:tcBorders>
            <w:shd w:val="clear" w:color="auto" w:fill="CCEEFF"/>
          </w:tcPr>
          <w:p>
            <w:pPr>
              <w:spacing w:after="0"/>
              <w:rPr>
                <w:sz w:val="19"/>
                <w:szCs w:val="19"/>
                <w:color w:val="auto"/>
              </w:rPr>
            </w:pPr>
          </w:p>
        </w:tc>
        <w:tc>
          <w:tcPr>
            <w:tcW w:w="820" w:type="dxa"/>
            <w:vAlign w:val="bottom"/>
            <w:tcBorders>
              <w:top w:val="single" w:sz="8" w:color="auto"/>
              <w:bottom w:val="single" w:sz="8" w:color="auto"/>
            </w:tcBorders>
            <w:shd w:val="clear" w:color="auto" w:fill="CCEEFF"/>
          </w:tcPr>
          <w:p>
            <w:pPr>
              <w:ind w:left="640"/>
              <w:spacing w:after="0"/>
              <w:rPr>
                <w:sz w:val="20"/>
                <w:szCs w:val="20"/>
                <w:color w:val="auto"/>
              </w:rPr>
            </w:pPr>
            <w:r>
              <w:rPr>
                <w:rFonts w:ascii="Arial" w:cs="Arial" w:eastAsia="Arial" w:hAnsi="Arial"/>
                <w:sz w:val="18"/>
                <w:szCs w:val="18"/>
                <w:color w:val="auto"/>
                <w:w w:val="88"/>
              </w:rPr>
              <w:t>—</w:t>
            </w: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6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tcBorders>
              <w:top w:val="single" w:sz="8" w:color="auto"/>
              <w:bottom w:val="single" w:sz="8" w:color="auto"/>
            </w:tcBorders>
            <w:gridSpan w:val="7"/>
            <w:shd w:val="clear" w:color="auto" w:fill="CCEEFF"/>
          </w:tcPr>
          <w:p>
            <w:pPr>
              <w:jc w:val="right"/>
              <w:spacing w:after="0"/>
              <w:rPr>
                <w:sz w:val="20"/>
                <w:szCs w:val="20"/>
                <w:color w:val="auto"/>
              </w:rPr>
            </w:pPr>
            <w:r>
              <w:rPr>
                <w:rFonts w:ascii="Arial" w:cs="Arial" w:eastAsia="Arial" w:hAnsi="Arial"/>
                <w:sz w:val="18"/>
                <w:szCs w:val="18"/>
                <w:color w:val="auto"/>
              </w:rPr>
              <w:t>28,372</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220" w:type="dxa"/>
            <w:vAlign w:val="bottom"/>
            <w:tcBorders>
              <w:top w:val="single" w:sz="8" w:color="auto"/>
              <w:bottom w:val="single" w:sz="8" w:color="auto"/>
            </w:tcBorders>
            <w:gridSpan w:val="2"/>
            <w:shd w:val="clear" w:color="auto" w:fill="CCEEFF"/>
          </w:tcPr>
          <w:p>
            <w:pPr>
              <w:jc w:val="right"/>
              <w:ind w:right="140"/>
              <w:spacing w:after="0"/>
              <w:rPr>
                <w:sz w:val="20"/>
                <w:szCs w:val="20"/>
                <w:color w:val="auto"/>
              </w:rPr>
            </w:pPr>
            <w:r>
              <w:rPr>
                <w:rFonts w:ascii="Arial" w:cs="Arial" w:eastAsia="Arial" w:hAnsi="Arial"/>
                <w:sz w:val="15"/>
                <w:szCs w:val="15"/>
                <w:color w:val="auto"/>
                <w:w w:val="71"/>
              </w:rPr>
              <w:t>$</w:t>
            </w:r>
          </w:p>
        </w:tc>
        <w:tc>
          <w:tcPr>
            <w:tcW w:w="20" w:type="dxa"/>
            <w:vAlign w:val="bottom"/>
            <w:tcBorders>
              <w:top w:val="single" w:sz="8" w:color="auto"/>
              <w:bottom w:val="single" w:sz="8" w:color="auto"/>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spacing w:after="0"/>
              <w:rPr>
                <w:sz w:val="19"/>
                <w:szCs w:val="19"/>
                <w:color w:val="auto"/>
              </w:rPr>
            </w:pPr>
          </w:p>
        </w:tc>
        <w:tc>
          <w:tcPr>
            <w:tcW w:w="800" w:type="dxa"/>
            <w:vAlign w:val="bottom"/>
            <w:tcBorders>
              <w:top w:val="single" w:sz="8" w:color="auto"/>
              <w:bottom w:val="single" w:sz="8" w:color="auto"/>
            </w:tcBorders>
            <w:gridSpan w:val="5"/>
            <w:shd w:val="clear" w:color="auto" w:fill="CCEEFF"/>
          </w:tcPr>
          <w:p>
            <w:pPr>
              <w:jc w:val="right"/>
              <w:spacing w:after="0"/>
              <w:rPr>
                <w:sz w:val="20"/>
                <w:szCs w:val="20"/>
                <w:color w:val="auto"/>
              </w:rPr>
            </w:pPr>
            <w:r>
              <w:rPr>
                <w:rFonts w:ascii="Arial" w:cs="Arial" w:eastAsia="Arial" w:hAnsi="Arial"/>
                <w:sz w:val="18"/>
                <w:szCs w:val="18"/>
                <w:color w:val="auto"/>
              </w:rPr>
              <w:t>(475</w:t>
            </w:r>
          </w:p>
        </w:tc>
        <w:tc>
          <w:tcPr>
            <w:tcW w:w="220" w:type="dxa"/>
            <w:vAlign w:val="bottom"/>
            <w:tcBorders>
              <w:top w:val="single" w:sz="8" w:color="CCEEFF"/>
              <w:bottom w:val="single" w:sz="8" w:color="CCEEFF"/>
            </w:tcBorders>
            <w:shd w:val="clear" w:color="auto" w:fill="CCEEFF"/>
          </w:tcPr>
          <w:p>
            <w:pPr>
              <w:jc w:val="right"/>
              <w:ind w:right="80"/>
              <w:spacing w:after="0"/>
              <w:rPr>
                <w:sz w:val="20"/>
                <w:szCs w:val="20"/>
                <w:color w:val="auto"/>
              </w:rPr>
            </w:pPr>
            <w:r>
              <w:rPr>
                <w:rFonts w:ascii="Arial" w:cs="Arial" w:eastAsia="Arial" w:hAnsi="Arial"/>
                <w:sz w:val="16"/>
                <w:szCs w:val="16"/>
                <w:color w:val="auto"/>
                <w:w w:val="74"/>
              </w:rPr>
              <w:t>)</w:t>
            </w:r>
          </w:p>
        </w:tc>
        <w:tc>
          <w:tcPr>
            <w:tcW w:w="240" w:type="dxa"/>
            <w:vAlign w:val="bottom"/>
            <w:tcBorders>
              <w:top w:val="single" w:sz="8" w:color="auto"/>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28,372</w:t>
            </w:r>
          </w:p>
        </w:tc>
        <w:tc>
          <w:tcPr>
            <w:tcW w:w="220" w:type="dxa"/>
            <w:vAlign w:val="bottom"/>
            <w:tcBorders>
              <w:top w:val="single" w:sz="8" w:color="CCEEFF"/>
              <w:bottom w:val="single" w:sz="8" w:color="CCEEFF"/>
            </w:tcBorders>
            <w:shd w:val="clear" w:color="auto" w:fill="CCEEFF"/>
          </w:tcPr>
          <w:p>
            <w:pPr>
              <w:spacing w:after="0"/>
              <w:rPr>
                <w:sz w:val="19"/>
                <w:szCs w:val="19"/>
                <w:color w:val="auto"/>
              </w:rPr>
            </w:pPr>
          </w:p>
        </w:tc>
        <w:tc>
          <w:tcPr>
            <w:tcW w:w="160" w:type="dxa"/>
            <w:vAlign w:val="bottom"/>
            <w:tcBorders>
              <w:top w:val="single" w:sz="8" w:color="auto"/>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(475</w:t>
            </w:r>
          </w:p>
        </w:tc>
        <w:tc>
          <w:tcPr>
            <w:tcW w:w="8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960" w:type="dxa"/>
            <w:vAlign w:val="bottom"/>
            <w:gridSpan w:val="2"/>
            <w:vMerge w:val="restart"/>
          </w:tcPr>
          <w:p>
            <w:pPr>
              <w:ind w:left="260"/>
              <w:spacing w:after="0"/>
              <w:rPr>
                <w:sz w:val="20"/>
                <w:szCs w:val="20"/>
                <w:color w:val="auto"/>
              </w:rPr>
            </w:pPr>
            <w:r>
              <w:rPr>
                <w:rFonts w:ascii="Arial" w:cs="Arial" w:eastAsia="Arial" w:hAnsi="Arial"/>
                <w:sz w:val="18"/>
                <w:szCs w:val="18"/>
                <w:b w:val="1"/>
                <w:bCs w:val="1"/>
                <w:color w:val="auto"/>
              </w:rPr>
              <w:t>Inventories (in thousands)</w:t>
            </w:r>
          </w:p>
        </w:tc>
        <w:tc>
          <w:tcPr>
            <w:tcW w:w="18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2960" w:type="dxa"/>
            <w:vAlign w:val="bottom"/>
            <w:gridSpan w:val="2"/>
            <w:vMerge w:val="continue"/>
          </w:tcPr>
          <w:p>
            <w:pPr>
              <w:spacing w:after="0"/>
              <w:rPr>
                <w:sz w:val="24"/>
                <w:szCs w:val="24"/>
                <w:color w:val="auto"/>
              </w:rPr>
            </w:pPr>
          </w:p>
        </w:tc>
        <w:tc>
          <w:tcPr>
            <w:tcW w:w="1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720" w:type="dxa"/>
            <w:vAlign w:val="bottom"/>
          </w:tcPr>
          <w:p>
            <w:pPr>
              <w:spacing w:after="0"/>
              <w:rPr>
                <w:sz w:val="24"/>
                <w:szCs w:val="24"/>
                <w:color w:val="auto"/>
              </w:rPr>
            </w:pPr>
          </w:p>
        </w:tc>
        <w:tc>
          <w:tcPr>
            <w:tcW w:w="2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gridSpan w:val="4"/>
          </w:tcPr>
          <w:p>
            <w:pPr>
              <w:jc w:val="center"/>
              <w:spacing w:after="0"/>
              <w:rPr>
                <w:sz w:val="20"/>
                <w:szCs w:val="20"/>
                <w:color w:val="auto"/>
              </w:rPr>
            </w:pPr>
            <w:r>
              <w:rPr>
                <w:rFonts w:ascii="Arial" w:cs="Arial" w:eastAsia="Arial" w:hAnsi="Arial"/>
                <w:sz w:val="14"/>
                <w:szCs w:val="14"/>
                <w:b w:val="1"/>
                <w:bCs w:val="1"/>
                <w:color w:val="auto"/>
                <w:w w:val="93"/>
              </w:rPr>
              <w:t>July 28,</w:t>
            </w: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160" w:type="dxa"/>
            <w:vAlign w:val="bottom"/>
            <w:gridSpan w:val="7"/>
          </w:tcPr>
          <w:p>
            <w:pPr>
              <w:spacing w:after="0"/>
              <w:rPr>
                <w:sz w:val="20"/>
                <w:szCs w:val="20"/>
                <w:color w:val="auto"/>
              </w:rPr>
            </w:pPr>
            <w:r>
              <w:rPr>
                <w:rFonts w:ascii="Arial" w:cs="Arial" w:eastAsia="Arial" w:hAnsi="Arial"/>
                <w:sz w:val="14"/>
                <w:szCs w:val="14"/>
                <w:b w:val="1"/>
                <w:bCs w:val="1"/>
                <w:color w:val="auto"/>
              </w:rPr>
              <w:t>January 27,</w:t>
            </w: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720" w:type="dxa"/>
            <w:vAlign w:val="bottom"/>
          </w:tcPr>
          <w:p>
            <w:pPr>
              <w:spacing w:after="0"/>
              <w:rPr>
                <w:sz w:val="14"/>
                <w:szCs w:val="14"/>
                <w:color w:val="auto"/>
              </w:rPr>
            </w:pPr>
          </w:p>
        </w:tc>
        <w:tc>
          <w:tcPr>
            <w:tcW w:w="224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86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82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gridSpan w:val="3"/>
          </w:tcPr>
          <w:p>
            <w:pPr>
              <w:jc w:val="center"/>
              <w:ind w:left="16"/>
              <w:spacing w:after="0"/>
              <w:rPr>
                <w:sz w:val="20"/>
                <w:szCs w:val="20"/>
                <w:color w:val="auto"/>
              </w:rPr>
            </w:pPr>
            <w:r>
              <w:rPr>
                <w:rFonts w:ascii="Arial" w:cs="Arial" w:eastAsia="Arial" w:hAnsi="Arial"/>
                <w:sz w:val="14"/>
                <w:szCs w:val="14"/>
                <w:b w:val="1"/>
                <w:bCs w:val="1"/>
                <w:color w:val="auto"/>
                <w:w w:val="89"/>
              </w:rPr>
              <w:t>2007</w:t>
            </w:r>
          </w:p>
        </w:tc>
        <w:tc>
          <w:tcPr>
            <w:tcW w:w="1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gridSpan w:val="3"/>
          </w:tcPr>
          <w:p>
            <w:pPr>
              <w:jc w:val="right"/>
              <w:ind w:right="240"/>
              <w:spacing w:after="0"/>
              <w:rPr>
                <w:sz w:val="20"/>
                <w:szCs w:val="20"/>
                <w:color w:val="auto"/>
              </w:rPr>
            </w:pPr>
            <w:r>
              <w:rPr>
                <w:rFonts w:ascii="Arial" w:cs="Arial" w:eastAsia="Arial" w:hAnsi="Arial"/>
                <w:sz w:val="14"/>
                <w:szCs w:val="14"/>
                <w:b w:val="1"/>
                <w:bCs w:val="1"/>
                <w:color w:val="auto"/>
              </w:rPr>
              <w:t>2007</w:t>
            </w:r>
          </w:p>
        </w:tc>
        <w:tc>
          <w:tcPr>
            <w:tcW w:w="60" w:type="dxa"/>
            <w:vAlign w:val="bottom"/>
            <w:tcBorders>
              <w:bottom w:val="single" w:sz="8" w:color="CCEEFF"/>
            </w:tcBorders>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224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w w:val="95"/>
              </w:rPr>
              <w:t>177,786</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gridSpan w:val="2"/>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6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97,529</w:t>
            </w:r>
          </w:p>
        </w:tc>
        <w:tc>
          <w:tcPr>
            <w:tcW w:w="60" w:type="dxa"/>
            <w:vAlign w:val="bottom"/>
            <w:tcBorders>
              <w:right w:val="single" w:sz="8" w:color="CCEEFF"/>
            </w:tcBorders>
            <w:shd w:val="clear" w:color="auto" w:fill="CCEEFF"/>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2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Finished goods</w:t>
            </w:r>
          </w:p>
        </w:tc>
        <w:tc>
          <w:tcPr>
            <w:tcW w:w="180" w:type="dxa"/>
            <w:vAlign w:val="bottom"/>
            <w:tcBorders>
              <w:bottom w:val="single" w:sz="8" w:color="CCEEFF"/>
            </w:tcBorders>
          </w:tcPr>
          <w:p>
            <w:pPr>
              <w:spacing w:after="0"/>
              <w:rPr>
                <w:sz w:val="18"/>
                <w:szCs w:val="18"/>
                <w:color w:val="auto"/>
              </w:rPr>
            </w:pPr>
          </w:p>
        </w:tc>
        <w:tc>
          <w:tcPr>
            <w:tcW w:w="320" w:type="dxa"/>
            <w:vAlign w:val="bottom"/>
            <w:tcBorders>
              <w:bottom w:val="single" w:sz="8" w:color="CCEEFF"/>
            </w:tcBorders>
          </w:tcPr>
          <w:p>
            <w:pPr>
              <w:spacing w:after="0"/>
              <w:rPr>
                <w:sz w:val="18"/>
                <w:szCs w:val="18"/>
                <w:color w:val="auto"/>
              </w:rPr>
            </w:pPr>
          </w:p>
        </w:tc>
        <w:tc>
          <w:tcPr>
            <w:tcW w:w="860" w:type="dxa"/>
            <w:vAlign w:val="bottom"/>
            <w:tcBorders>
              <w:bottom w:val="single" w:sz="8" w:color="CCEEFF"/>
            </w:tcBorders>
          </w:tcPr>
          <w:p>
            <w:pPr>
              <w:spacing w:after="0"/>
              <w:rPr>
                <w:sz w:val="18"/>
                <w:szCs w:val="18"/>
                <w:color w:val="auto"/>
              </w:rPr>
            </w:pPr>
          </w:p>
        </w:tc>
        <w:tc>
          <w:tcPr>
            <w:tcW w:w="240" w:type="dxa"/>
            <w:vAlign w:val="bottom"/>
            <w:tcBorders>
              <w:bottom w:val="single" w:sz="8" w:color="CCEEFF"/>
            </w:tcBorders>
          </w:tcPr>
          <w:p>
            <w:pPr>
              <w:spacing w:after="0"/>
              <w:rPr>
                <w:sz w:val="18"/>
                <w:szCs w:val="18"/>
                <w:color w:val="auto"/>
              </w:rPr>
            </w:pPr>
          </w:p>
        </w:tc>
        <w:tc>
          <w:tcPr>
            <w:tcW w:w="180" w:type="dxa"/>
            <w:vAlign w:val="bottom"/>
            <w:tcBorders>
              <w:bottom w:val="single" w:sz="8" w:color="CCEEFF"/>
            </w:tcBorders>
          </w:tcPr>
          <w:p>
            <w:pPr>
              <w:spacing w:after="0"/>
              <w:rPr>
                <w:sz w:val="18"/>
                <w:szCs w:val="18"/>
                <w:color w:val="auto"/>
              </w:rPr>
            </w:pPr>
          </w:p>
        </w:tc>
        <w:tc>
          <w:tcPr>
            <w:tcW w:w="180" w:type="dxa"/>
            <w:vAlign w:val="bottom"/>
            <w:tcBorders>
              <w:bottom w:val="single" w:sz="8" w:color="CCEEFF"/>
            </w:tcBorders>
          </w:tcPr>
          <w:p>
            <w:pPr>
              <w:spacing w:after="0"/>
              <w:rPr>
                <w:sz w:val="18"/>
                <w:szCs w:val="18"/>
                <w:color w:val="auto"/>
              </w:rPr>
            </w:pPr>
          </w:p>
        </w:tc>
        <w:tc>
          <w:tcPr>
            <w:tcW w:w="820" w:type="dxa"/>
            <w:vAlign w:val="bottom"/>
            <w:tcBorders>
              <w:bottom w:val="single" w:sz="8" w:color="CCEEFF"/>
            </w:tcBorders>
          </w:tcPr>
          <w:p>
            <w:pPr>
              <w:spacing w:after="0"/>
              <w:rPr>
                <w:sz w:val="18"/>
                <w:szCs w:val="18"/>
                <w:color w:val="auto"/>
              </w:rPr>
            </w:pPr>
          </w:p>
        </w:tc>
        <w:tc>
          <w:tcPr>
            <w:tcW w:w="18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480" w:type="dxa"/>
            <w:vAlign w:val="bottom"/>
            <w:tcBorders>
              <w:bottom w:val="single" w:sz="8" w:color="CCEEFF"/>
            </w:tcBorders>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gridSpan w:val="5"/>
          </w:tcPr>
          <w:p>
            <w:pPr>
              <w:jc w:val="right"/>
              <w:spacing w:after="0"/>
              <w:rPr>
                <w:sz w:val="20"/>
                <w:szCs w:val="20"/>
                <w:color w:val="auto"/>
              </w:rPr>
            </w:pPr>
            <w:r>
              <w:rPr>
                <w:rFonts w:ascii="Arial" w:cs="Arial" w:eastAsia="Arial" w:hAnsi="Arial"/>
                <w:sz w:val="18"/>
                <w:szCs w:val="18"/>
                <w:color w:val="auto"/>
                <w:w w:val="95"/>
              </w:rPr>
              <w:t>117,506</w:t>
            </w:r>
          </w:p>
        </w:tc>
        <w:tc>
          <w:tcPr>
            <w:tcW w:w="20" w:type="dxa"/>
            <w:vAlign w:val="bottom"/>
            <w:tcBorders>
              <w:bottom w:val="single" w:sz="8" w:color="CCEEFF"/>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92"/>
              </w:rPr>
              <w:t>149,874</w:t>
            </w:r>
          </w:p>
        </w:tc>
        <w:tc>
          <w:tcPr>
            <w:tcW w:w="60" w:type="dxa"/>
            <w:vAlign w:val="bottom"/>
            <w:tcBorders>
              <w:bottom w:val="single" w:sz="8" w:color="CCEEFF"/>
            </w:tcBorders>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224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CCEEFF"/>
            </w:tcBorders>
            <w:shd w:val="clear" w:color="auto" w:fill="CCEEFF"/>
          </w:tcPr>
          <w:p>
            <w:pPr>
              <w:spacing w:after="0"/>
              <w:rPr>
                <w:sz w:val="18"/>
                <w:szCs w:val="18"/>
                <w:color w:val="auto"/>
              </w:rPr>
            </w:pPr>
          </w:p>
        </w:tc>
        <w:tc>
          <w:tcPr>
            <w:tcW w:w="320" w:type="dxa"/>
            <w:vAlign w:val="bottom"/>
            <w:tcBorders>
              <w:bottom w:val="single" w:sz="8" w:color="CCEEFF"/>
            </w:tcBorders>
            <w:shd w:val="clear" w:color="auto" w:fill="CCEEFF"/>
          </w:tcPr>
          <w:p>
            <w:pPr>
              <w:spacing w:after="0"/>
              <w:rPr>
                <w:sz w:val="18"/>
                <w:szCs w:val="18"/>
                <w:color w:val="auto"/>
              </w:rPr>
            </w:pPr>
          </w:p>
        </w:tc>
        <w:tc>
          <w:tcPr>
            <w:tcW w:w="860" w:type="dxa"/>
            <w:vAlign w:val="bottom"/>
            <w:tcBorders>
              <w:bottom w:val="single" w:sz="8" w:color="CCEEFF"/>
            </w:tcBorders>
            <w:shd w:val="clear" w:color="auto" w:fill="CCEEFF"/>
          </w:tcPr>
          <w:p>
            <w:pPr>
              <w:spacing w:after="0"/>
              <w:rPr>
                <w:sz w:val="18"/>
                <w:szCs w:val="18"/>
                <w:color w:val="auto"/>
              </w:rPr>
            </w:pPr>
          </w:p>
        </w:tc>
        <w:tc>
          <w:tcPr>
            <w:tcW w:w="24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CCEEFF"/>
            </w:tcBorders>
            <w:shd w:val="clear" w:color="auto" w:fill="CCEEFF"/>
          </w:tcPr>
          <w:p>
            <w:pPr>
              <w:spacing w:after="0"/>
              <w:rPr>
                <w:sz w:val="18"/>
                <w:szCs w:val="18"/>
                <w:color w:val="auto"/>
              </w:rPr>
            </w:pPr>
          </w:p>
        </w:tc>
        <w:tc>
          <w:tcPr>
            <w:tcW w:w="82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CCEEFF"/>
            </w:tcBorders>
            <w:shd w:val="clear" w:color="auto" w:fill="CCEEFF"/>
          </w:tcPr>
          <w:p>
            <w:pPr>
              <w:spacing w:after="0"/>
              <w:rPr>
                <w:sz w:val="18"/>
                <w:szCs w:val="18"/>
                <w:color w:val="auto"/>
              </w:rPr>
            </w:pPr>
          </w:p>
        </w:tc>
        <w:tc>
          <w:tcPr>
            <w:tcW w:w="60" w:type="dxa"/>
            <w:vAlign w:val="bottom"/>
            <w:tcBorders>
              <w:bottom w:val="single" w:sz="8" w:color="CCEEFF"/>
            </w:tcBorders>
            <w:shd w:val="clear" w:color="auto" w:fill="CCEEFF"/>
          </w:tcPr>
          <w:p>
            <w:pPr>
              <w:spacing w:after="0"/>
              <w:rPr>
                <w:sz w:val="18"/>
                <w:szCs w:val="18"/>
                <w:color w:val="auto"/>
              </w:rPr>
            </w:pPr>
          </w:p>
        </w:tc>
        <w:tc>
          <w:tcPr>
            <w:tcW w:w="140" w:type="dxa"/>
            <w:vAlign w:val="bottom"/>
            <w:tcBorders>
              <w:bottom w:val="single" w:sz="8" w:color="CCEEFF"/>
            </w:tcBorders>
            <w:shd w:val="clear" w:color="auto" w:fill="CCEEFF"/>
          </w:tcPr>
          <w:p>
            <w:pPr>
              <w:spacing w:after="0"/>
              <w:rPr>
                <w:sz w:val="18"/>
                <w:szCs w:val="18"/>
                <w:color w:val="auto"/>
              </w:rPr>
            </w:pPr>
          </w:p>
        </w:tc>
        <w:tc>
          <w:tcPr>
            <w:tcW w:w="20" w:type="dxa"/>
            <w:vAlign w:val="bottom"/>
            <w:tcBorders>
              <w:bottom w:val="single" w:sz="8" w:color="CCEEFF"/>
            </w:tcBorders>
            <w:shd w:val="clear" w:color="auto" w:fill="CCEEFF"/>
          </w:tcPr>
          <w:p>
            <w:pPr>
              <w:spacing w:after="0"/>
              <w:rPr>
                <w:sz w:val="18"/>
                <w:szCs w:val="18"/>
                <w:color w:val="auto"/>
              </w:rPr>
            </w:pPr>
          </w:p>
        </w:tc>
        <w:tc>
          <w:tcPr>
            <w:tcW w:w="48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bottom w:val="single" w:sz="8" w:color="auto"/>
            </w:tcBorders>
            <w:gridSpan w:val="5"/>
            <w:shd w:val="clear" w:color="auto" w:fill="CCEEFF"/>
          </w:tcPr>
          <w:p>
            <w:pPr>
              <w:jc w:val="right"/>
              <w:spacing w:after="0"/>
              <w:rPr>
                <w:sz w:val="20"/>
                <w:szCs w:val="20"/>
                <w:color w:val="auto"/>
              </w:rPr>
            </w:pPr>
            <w:r>
              <w:rPr>
                <w:rFonts w:ascii="Arial" w:cs="Arial" w:eastAsia="Arial" w:hAnsi="Arial"/>
                <w:sz w:val="18"/>
                <w:szCs w:val="18"/>
                <w:color w:val="auto"/>
                <w:w w:val="95"/>
              </w:rPr>
              <w:t>295,292</w:t>
            </w:r>
          </w:p>
        </w:tc>
        <w:tc>
          <w:tcPr>
            <w:tcW w:w="2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CCEEFF"/>
            </w:tcBorders>
            <w:shd w:val="clear" w:color="auto" w:fill="CCEEFF"/>
          </w:tcPr>
          <w:p>
            <w:pPr>
              <w:spacing w:after="0"/>
              <w:rPr>
                <w:sz w:val="18"/>
                <w:szCs w:val="18"/>
                <w:color w:val="auto"/>
              </w:rPr>
            </w:pPr>
          </w:p>
        </w:tc>
        <w:tc>
          <w:tcPr>
            <w:tcW w:w="160" w:type="dxa"/>
            <w:vAlign w:val="bottom"/>
            <w:tcBorders>
              <w:bottom w:val="single" w:sz="8" w:color="auto"/>
            </w:tcBorders>
            <w:gridSpan w:val="2"/>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62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92"/>
              </w:rPr>
              <w:t>247,403</w:t>
            </w:r>
          </w:p>
        </w:tc>
        <w:tc>
          <w:tcPr>
            <w:tcW w:w="60" w:type="dxa"/>
            <w:vAlign w:val="bottom"/>
            <w:tcBorders>
              <w:bottom w:val="single" w:sz="8" w:color="CCEEFF"/>
              <w:right w:val="single" w:sz="8" w:color="CCEEFF"/>
            </w:tcBorders>
            <w:shd w:val="clear" w:color="auto" w:fill="CCEEFF"/>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20" w:type="dxa"/>
            <w:vAlign w:val="bottom"/>
          </w:tcPr>
          <w:p>
            <w:pPr>
              <w:spacing w:after="0" w:line="20" w:lineRule="exact"/>
              <w:rPr>
                <w:sz w:val="1"/>
                <w:szCs w:val="1"/>
                <w:color w:val="auto"/>
              </w:rPr>
            </w:pPr>
          </w:p>
        </w:tc>
        <w:tc>
          <w:tcPr>
            <w:tcW w:w="2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180" w:type="dxa"/>
            <w:vAlign w:val="bottom"/>
            <w:gridSpan w:val="3"/>
            <w:vMerge w:val="restart"/>
          </w:tcPr>
          <w:p>
            <w:pPr>
              <w:jc w:val="right"/>
              <w:ind w:right="120"/>
              <w:spacing w:after="0"/>
              <w:rPr>
                <w:sz w:val="20"/>
                <w:szCs w:val="20"/>
                <w:color w:val="auto"/>
              </w:rPr>
            </w:pPr>
            <w:r>
              <w:rPr>
                <w:rFonts w:ascii="Arial" w:cs="Arial" w:eastAsia="Arial" w:hAnsi="Arial"/>
                <w:sz w:val="18"/>
                <w:szCs w:val="18"/>
                <w:color w:val="auto"/>
              </w:rPr>
              <w:t>11</w:t>
            </w: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720" w:type="dxa"/>
            <w:vAlign w:val="bottom"/>
          </w:tcPr>
          <w:p>
            <w:pPr>
              <w:spacing w:after="0"/>
              <w:rPr>
                <w:sz w:val="24"/>
                <w:szCs w:val="24"/>
                <w:color w:val="auto"/>
              </w:rPr>
            </w:pPr>
          </w:p>
        </w:tc>
        <w:tc>
          <w:tcPr>
            <w:tcW w:w="2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80" w:type="dxa"/>
            <w:vAlign w:val="bottom"/>
            <w:gridSpan w:val="3"/>
            <w:vMerge w:val="continue"/>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4740" w:type="dxa"/>
            <w:vAlign w:val="bottom"/>
            <w:tcBorders>
              <w:bottom w:val="single" w:sz="8" w:color="010101"/>
            </w:tcBorders>
            <w:gridSpan w:val="7"/>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820" w:type="dxa"/>
            <w:vAlign w:val="bottom"/>
            <w:tcBorders>
              <w:bottom w:val="single" w:sz="8" w:color="010101"/>
            </w:tcBorders>
          </w:tcPr>
          <w:p>
            <w:pPr>
              <w:spacing w:after="0"/>
              <w:rPr>
                <w:sz w:val="24"/>
                <w:szCs w:val="24"/>
                <w:color w:val="auto"/>
              </w:rPr>
            </w:pPr>
          </w:p>
        </w:tc>
        <w:tc>
          <w:tcPr>
            <w:tcW w:w="18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48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10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c>
          <w:tcPr>
            <w:tcW w:w="20" w:type="dxa"/>
            <w:vAlign w:val="bottom"/>
            <w:tcBorders>
              <w:bottom w:val="single" w:sz="8" w:color="010101"/>
            </w:tcBorders>
          </w:tcPr>
          <w:p>
            <w:pPr>
              <w:spacing w:after="0"/>
              <w:rPr>
                <w:sz w:val="24"/>
                <w:szCs w:val="24"/>
                <w:color w:val="auto"/>
              </w:rPr>
            </w:pPr>
          </w:p>
        </w:tc>
        <w:tc>
          <w:tcPr>
            <w:tcW w:w="14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460" w:type="dxa"/>
            <w:vAlign w:val="bottom"/>
            <w:tcBorders>
              <w:bottom w:val="single" w:sz="8" w:color="010101"/>
            </w:tcBorders>
          </w:tcPr>
          <w:p>
            <w:pPr>
              <w:spacing w:after="0"/>
              <w:rPr>
                <w:sz w:val="24"/>
                <w:szCs w:val="24"/>
                <w:color w:val="auto"/>
              </w:rPr>
            </w:pPr>
          </w:p>
        </w:tc>
        <w:tc>
          <w:tcPr>
            <w:tcW w:w="60" w:type="dxa"/>
            <w:vAlign w:val="bottom"/>
            <w:tcBorders>
              <w:bottom w:val="single" w:sz="8" w:color="010101"/>
            </w:tcBorders>
          </w:tcPr>
          <w:p>
            <w:pPr>
              <w:spacing w:after="0"/>
              <w:rPr>
                <w:sz w:val="24"/>
                <w:szCs w:val="24"/>
                <w:color w:val="auto"/>
              </w:rPr>
            </w:pPr>
          </w:p>
        </w:tc>
        <w:tc>
          <w:tcPr>
            <w:tcW w:w="12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240" w:type="dxa"/>
            <w:vAlign w:val="bottom"/>
            <w:tcBorders>
              <w:bottom w:val="single" w:sz="8" w:color="010101"/>
            </w:tcBorders>
          </w:tcPr>
          <w:p>
            <w:pPr>
              <w:spacing w:after="0"/>
              <w:rPr>
                <w:sz w:val="24"/>
                <w:szCs w:val="24"/>
                <w:color w:val="auto"/>
              </w:rPr>
            </w:pPr>
          </w:p>
        </w:tc>
        <w:tc>
          <w:tcPr>
            <w:tcW w:w="920" w:type="dxa"/>
            <w:vAlign w:val="bottom"/>
            <w:tcBorders>
              <w:bottom w:val="single" w:sz="8" w:color="010101"/>
            </w:tcBorders>
          </w:tcPr>
          <w:p>
            <w:pPr>
              <w:spacing w:after="0"/>
              <w:rPr>
                <w:sz w:val="24"/>
                <w:szCs w:val="24"/>
                <w:color w:val="auto"/>
              </w:rPr>
            </w:pPr>
          </w:p>
        </w:tc>
        <w:tc>
          <w:tcPr>
            <w:tcW w:w="22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1000" w:type="dxa"/>
            <w:vAlign w:val="bottom"/>
            <w:tcBorders>
              <w:bottom w:val="single" w:sz="8" w:color="010101"/>
            </w:tcBorders>
          </w:tcPr>
          <w:p>
            <w:pPr>
              <w:spacing w:after="0"/>
              <w:rPr>
                <w:sz w:val="24"/>
                <w:szCs w:val="24"/>
                <w:color w:val="auto"/>
              </w:rPr>
            </w:pPr>
          </w:p>
        </w:tc>
        <w:tc>
          <w:tcPr>
            <w:tcW w:w="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4740" w:type="dxa"/>
            <w:vAlign w:val="bottom"/>
            <w:gridSpan w:val="7"/>
          </w:tcPr>
          <w:p>
            <w:pPr>
              <w:ind w:left="260"/>
              <w:spacing w:after="0"/>
              <w:rPr>
                <w:sz w:val="20"/>
                <w:szCs w:val="20"/>
                <w:color w:val="auto"/>
              </w:rPr>
            </w:pPr>
            <w:r>
              <w:rPr>
                <w:rFonts w:ascii="Arial" w:cs="Arial" w:eastAsia="Arial" w:hAnsi="Arial"/>
                <w:sz w:val="18"/>
                <w:szCs w:val="18"/>
                <w:b w:val="1"/>
                <w:bCs w:val="1"/>
                <w:color w:val="auto"/>
                <w:w w:val="89"/>
              </w:rPr>
              <w:t>Prepaid expenses and other current assets (in thousands)</w:t>
            </w: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720" w:type="dxa"/>
            <w:vAlign w:val="bottom"/>
          </w:tcPr>
          <w:p>
            <w:pPr>
              <w:spacing w:after="0"/>
              <w:rPr>
                <w:sz w:val="24"/>
                <w:szCs w:val="24"/>
                <w:color w:val="auto"/>
              </w:rPr>
            </w:pPr>
          </w:p>
        </w:tc>
        <w:tc>
          <w:tcPr>
            <w:tcW w:w="2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gridSpan w:val="4"/>
          </w:tcPr>
          <w:p>
            <w:pPr>
              <w:jc w:val="center"/>
              <w:spacing w:after="0"/>
              <w:rPr>
                <w:sz w:val="20"/>
                <w:szCs w:val="20"/>
                <w:color w:val="auto"/>
              </w:rPr>
            </w:pPr>
            <w:r>
              <w:rPr>
                <w:rFonts w:ascii="Arial" w:cs="Arial" w:eastAsia="Arial" w:hAnsi="Arial"/>
                <w:sz w:val="14"/>
                <w:szCs w:val="14"/>
                <w:b w:val="1"/>
                <w:bCs w:val="1"/>
                <w:color w:val="auto"/>
                <w:w w:val="93"/>
              </w:rPr>
              <w:t>July 28,</w:t>
            </w: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160" w:type="dxa"/>
            <w:vAlign w:val="bottom"/>
            <w:gridSpan w:val="7"/>
          </w:tcPr>
          <w:p>
            <w:pPr>
              <w:ind w:left="20"/>
              <w:spacing w:after="0"/>
              <w:rPr>
                <w:sz w:val="20"/>
                <w:szCs w:val="20"/>
                <w:color w:val="auto"/>
              </w:rPr>
            </w:pPr>
            <w:r>
              <w:rPr>
                <w:rFonts w:ascii="Arial" w:cs="Arial" w:eastAsia="Arial" w:hAnsi="Arial"/>
                <w:sz w:val="14"/>
                <w:szCs w:val="14"/>
                <w:b w:val="1"/>
                <w:bCs w:val="1"/>
                <w:color w:val="auto"/>
              </w:rPr>
              <w:t>January 27,</w:t>
            </w: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720" w:type="dxa"/>
            <w:vAlign w:val="bottom"/>
          </w:tcPr>
          <w:p>
            <w:pPr>
              <w:spacing w:after="0"/>
              <w:rPr>
                <w:sz w:val="14"/>
                <w:szCs w:val="14"/>
                <w:color w:val="auto"/>
              </w:rPr>
            </w:pPr>
          </w:p>
        </w:tc>
        <w:tc>
          <w:tcPr>
            <w:tcW w:w="224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86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82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2007</w:t>
            </w:r>
          </w:p>
        </w:tc>
        <w:tc>
          <w:tcPr>
            <w:tcW w:w="1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gridSpan w:val="3"/>
          </w:tcPr>
          <w:p>
            <w:pPr>
              <w:jc w:val="right"/>
              <w:ind w:right="240"/>
              <w:spacing w:after="0"/>
              <w:rPr>
                <w:sz w:val="20"/>
                <w:szCs w:val="20"/>
                <w:color w:val="auto"/>
              </w:rPr>
            </w:pPr>
            <w:r>
              <w:rPr>
                <w:rFonts w:ascii="Arial" w:cs="Arial" w:eastAsia="Arial" w:hAnsi="Arial"/>
                <w:sz w:val="14"/>
                <w:szCs w:val="14"/>
                <w:b w:val="1"/>
                <w:bCs w:val="1"/>
                <w:color w:val="auto"/>
              </w:rPr>
              <w:t>2007</w:t>
            </w:r>
          </w:p>
        </w:tc>
        <w:tc>
          <w:tcPr>
            <w:tcW w:w="6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27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Prepayments for foundry capacity</w:t>
            </w:r>
          </w:p>
        </w:tc>
        <w:tc>
          <w:tcPr>
            <w:tcW w:w="8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00" w:type="dxa"/>
            <w:vAlign w:val="bottom"/>
            <w:gridSpan w:val="2"/>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27,500</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tcBorders>
              <w:right w:val="single" w:sz="8" w:color="CCEEFF"/>
            </w:tcBorders>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40,340</w:t>
            </w:r>
          </w:p>
        </w:tc>
        <w:tc>
          <w:tcPr>
            <w:tcW w:w="120" w:type="dxa"/>
            <w:vAlign w:val="bottom"/>
            <w:tcBorders>
              <w:left w:val="single" w:sz="8" w:color="CCEEFF"/>
            </w:tcBorders>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740" w:type="dxa"/>
            <w:vAlign w:val="bottom"/>
            <w:gridSpan w:val="3"/>
          </w:tcPr>
          <w:p>
            <w:pPr>
              <w:spacing w:after="0"/>
              <w:rPr>
                <w:sz w:val="20"/>
                <w:szCs w:val="20"/>
                <w:color w:val="auto"/>
              </w:rPr>
            </w:pPr>
            <w:r>
              <w:rPr>
                <w:rFonts w:ascii="Arial" w:cs="Arial" w:eastAsia="Arial" w:hAnsi="Arial"/>
                <w:sz w:val="18"/>
                <w:szCs w:val="18"/>
                <w:color w:val="auto"/>
                <w:w w:val="92"/>
              </w:rPr>
              <w:t>Prepayments for wafers (see Note 6)</w:t>
            </w:r>
          </w:p>
        </w:tc>
        <w:tc>
          <w:tcPr>
            <w:tcW w:w="8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6"/>
          </w:tcPr>
          <w:p>
            <w:pPr>
              <w:jc w:val="right"/>
              <w:spacing w:after="0"/>
              <w:rPr>
                <w:sz w:val="20"/>
                <w:szCs w:val="20"/>
                <w:color w:val="auto"/>
              </w:rPr>
            </w:pPr>
            <w:r>
              <w:rPr>
                <w:rFonts w:ascii="Arial" w:cs="Arial" w:eastAsia="Arial" w:hAnsi="Arial"/>
                <w:sz w:val="18"/>
                <w:szCs w:val="18"/>
                <w:color w:val="auto"/>
              </w:rPr>
              <w:t>49,613</w:t>
            </w:r>
          </w:p>
        </w:tc>
        <w:tc>
          <w:tcPr>
            <w:tcW w:w="200" w:type="dxa"/>
            <w:vAlign w:val="bottom"/>
          </w:tcPr>
          <w:p>
            <w:pPr>
              <w:spacing w:after="0"/>
              <w:rPr>
                <w:sz w:val="18"/>
                <w:szCs w:val="18"/>
                <w:color w:val="auto"/>
              </w:rPr>
            </w:pPr>
          </w:p>
        </w:tc>
        <w:tc>
          <w:tcPr>
            <w:tcW w:w="160" w:type="dxa"/>
            <w:vAlign w:val="bottom"/>
            <w:gridSpan w:val="2"/>
          </w:tcPr>
          <w:p>
            <w:pPr>
              <w:spacing w:after="0"/>
              <w:rPr>
                <w:sz w:val="20"/>
                <w:szCs w:val="20"/>
                <w:color w:val="auto"/>
              </w:rPr>
            </w:pPr>
            <w:r>
              <w:rPr>
                <w:rFonts w:ascii="Arial" w:cs="Arial" w:eastAsia="Arial" w:hAnsi="Arial"/>
                <w:sz w:val="18"/>
                <w:szCs w:val="18"/>
                <w:color w:val="auto"/>
              </w:rPr>
              <w:t>$</w:t>
            </w:r>
          </w:p>
        </w:tc>
        <w:tc>
          <w:tcPr>
            <w:tcW w:w="680" w:type="dxa"/>
            <w:vAlign w:val="bottom"/>
            <w:gridSpan w:val="4"/>
          </w:tcPr>
          <w:p>
            <w:pPr>
              <w:jc w:val="right"/>
              <w:ind w:right="40"/>
              <w:spacing w:after="0"/>
              <w:rPr>
                <w:sz w:val="20"/>
                <w:szCs w:val="20"/>
                <w:color w:val="auto"/>
              </w:rPr>
            </w:pPr>
            <w:r>
              <w:rPr>
                <w:rFonts w:ascii="Arial" w:cs="Arial" w:eastAsia="Arial" w:hAnsi="Arial"/>
                <w:sz w:val="18"/>
                <w:szCs w:val="18"/>
                <w:color w:val="auto"/>
              </w:rPr>
              <w:t>29,973</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240" w:type="dxa"/>
            <w:vAlign w:val="bottom"/>
            <w:shd w:val="clear" w:color="auto" w:fill="CCEEFF"/>
          </w:tcPr>
          <w:p>
            <w:pPr>
              <w:spacing w:after="0"/>
              <w:rPr>
                <w:sz w:val="20"/>
                <w:szCs w:val="20"/>
                <w:color w:val="auto"/>
              </w:rPr>
            </w:pPr>
            <w:r>
              <w:rPr>
                <w:rFonts w:ascii="Arial" w:cs="Arial" w:eastAsia="Arial" w:hAnsi="Arial"/>
                <w:sz w:val="18"/>
                <w:szCs w:val="18"/>
                <w:color w:val="auto"/>
              </w:rPr>
              <w:t>Receivable from foundry</w:t>
            </w:r>
          </w:p>
        </w:tc>
        <w:tc>
          <w:tcPr>
            <w:tcW w:w="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18,007</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tcBorders>
              <w:right w:val="single" w:sz="8" w:color="CCEEFF"/>
            </w:tcBorders>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19,336</w:t>
            </w:r>
          </w:p>
        </w:tc>
        <w:tc>
          <w:tcPr>
            <w:tcW w:w="120" w:type="dxa"/>
            <w:vAlign w:val="bottom"/>
            <w:tcBorders>
              <w:left w:val="single" w:sz="8" w:color="CCEEFF"/>
            </w:tcBorders>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2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Other</w:t>
            </w:r>
          </w:p>
        </w:tc>
        <w:tc>
          <w:tcPr>
            <w:tcW w:w="180" w:type="dxa"/>
            <w:vAlign w:val="bottom"/>
            <w:tcBorders>
              <w:bottom w:val="single" w:sz="8" w:color="CCEEFF"/>
            </w:tcBorders>
          </w:tcPr>
          <w:p>
            <w:pPr>
              <w:spacing w:after="0"/>
              <w:rPr>
                <w:sz w:val="18"/>
                <w:szCs w:val="18"/>
                <w:color w:val="auto"/>
              </w:rPr>
            </w:pPr>
          </w:p>
        </w:tc>
        <w:tc>
          <w:tcPr>
            <w:tcW w:w="320" w:type="dxa"/>
            <w:vAlign w:val="bottom"/>
            <w:tcBorders>
              <w:bottom w:val="single" w:sz="8" w:color="CCEEFF"/>
            </w:tcBorders>
          </w:tcPr>
          <w:p>
            <w:pPr>
              <w:spacing w:after="0"/>
              <w:rPr>
                <w:sz w:val="18"/>
                <w:szCs w:val="18"/>
                <w:color w:val="auto"/>
              </w:rPr>
            </w:pPr>
          </w:p>
        </w:tc>
        <w:tc>
          <w:tcPr>
            <w:tcW w:w="860" w:type="dxa"/>
            <w:vAlign w:val="bottom"/>
            <w:tcBorders>
              <w:bottom w:val="single" w:sz="8" w:color="CCEEFF"/>
            </w:tcBorders>
          </w:tcPr>
          <w:p>
            <w:pPr>
              <w:spacing w:after="0"/>
              <w:rPr>
                <w:sz w:val="18"/>
                <w:szCs w:val="18"/>
                <w:color w:val="auto"/>
              </w:rPr>
            </w:pPr>
          </w:p>
        </w:tc>
        <w:tc>
          <w:tcPr>
            <w:tcW w:w="240" w:type="dxa"/>
            <w:vAlign w:val="bottom"/>
            <w:tcBorders>
              <w:bottom w:val="single" w:sz="8" w:color="CCEEFF"/>
            </w:tcBorders>
          </w:tcPr>
          <w:p>
            <w:pPr>
              <w:spacing w:after="0"/>
              <w:rPr>
                <w:sz w:val="18"/>
                <w:szCs w:val="18"/>
                <w:color w:val="auto"/>
              </w:rPr>
            </w:pPr>
          </w:p>
        </w:tc>
        <w:tc>
          <w:tcPr>
            <w:tcW w:w="180" w:type="dxa"/>
            <w:vAlign w:val="bottom"/>
            <w:tcBorders>
              <w:bottom w:val="single" w:sz="8" w:color="CCEEFF"/>
            </w:tcBorders>
          </w:tcPr>
          <w:p>
            <w:pPr>
              <w:spacing w:after="0"/>
              <w:rPr>
                <w:sz w:val="18"/>
                <w:szCs w:val="18"/>
                <w:color w:val="auto"/>
              </w:rPr>
            </w:pPr>
          </w:p>
        </w:tc>
        <w:tc>
          <w:tcPr>
            <w:tcW w:w="180" w:type="dxa"/>
            <w:vAlign w:val="bottom"/>
            <w:tcBorders>
              <w:bottom w:val="single" w:sz="8" w:color="CCEEFF"/>
            </w:tcBorders>
          </w:tcPr>
          <w:p>
            <w:pPr>
              <w:spacing w:after="0"/>
              <w:rPr>
                <w:sz w:val="18"/>
                <w:szCs w:val="18"/>
                <w:color w:val="auto"/>
              </w:rPr>
            </w:pPr>
          </w:p>
        </w:tc>
        <w:tc>
          <w:tcPr>
            <w:tcW w:w="820" w:type="dxa"/>
            <w:vAlign w:val="bottom"/>
            <w:tcBorders>
              <w:bottom w:val="single" w:sz="8" w:color="CCEEFF"/>
            </w:tcBorders>
          </w:tcPr>
          <w:p>
            <w:pPr>
              <w:spacing w:after="0"/>
              <w:rPr>
                <w:sz w:val="18"/>
                <w:szCs w:val="18"/>
                <w:color w:val="auto"/>
              </w:rPr>
            </w:pPr>
          </w:p>
        </w:tc>
        <w:tc>
          <w:tcPr>
            <w:tcW w:w="18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48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gridSpan w:val="6"/>
          </w:tcPr>
          <w:p>
            <w:pPr>
              <w:jc w:val="right"/>
              <w:spacing w:after="0"/>
              <w:rPr>
                <w:sz w:val="20"/>
                <w:szCs w:val="20"/>
                <w:color w:val="auto"/>
              </w:rPr>
            </w:pPr>
            <w:r>
              <w:rPr>
                <w:rFonts w:ascii="Arial" w:cs="Arial" w:eastAsia="Arial" w:hAnsi="Arial"/>
                <w:sz w:val="18"/>
                <w:szCs w:val="18"/>
                <w:color w:val="auto"/>
              </w:rPr>
              <w:t>59,456</w:t>
            </w:r>
          </w:p>
        </w:tc>
        <w:tc>
          <w:tcPr>
            <w:tcW w:w="20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gridSpan w:val="4"/>
          </w:tcPr>
          <w:p>
            <w:pPr>
              <w:jc w:val="right"/>
              <w:ind w:right="40"/>
              <w:spacing w:after="0"/>
              <w:rPr>
                <w:sz w:val="20"/>
                <w:szCs w:val="20"/>
                <w:color w:val="auto"/>
              </w:rPr>
            </w:pPr>
            <w:r>
              <w:rPr>
                <w:rFonts w:ascii="Arial" w:cs="Arial" w:eastAsia="Arial" w:hAnsi="Arial"/>
                <w:sz w:val="18"/>
                <w:szCs w:val="18"/>
                <w:color w:val="auto"/>
              </w:rPr>
              <w:t>80,474</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224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CCEEFF"/>
            </w:tcBorders>
            <w:shd w:val="clear" w:color="auto" w:fill="CCEEFF"/>
          </w:tcPr>
          <w:p>
            <w:pPr>
              <w:spacing w:after="0"/>
              <w:rPr>
                <w:sz w:val="18"/>
                <w:szCs w:val="18"/>
                <w:color w:val="auto"/>
              </w:rPr>
            </w:pPr>
          </w:p>
        </w:tc>
        <w:tc>
          <w:tcPr>
            <w:tcW w:w="320" w:type="dxa"/>
            <w:vAlign w:val="bottom"/>
            <w:tcBorders>
              <w:bottom w:val="single" w:sz="8" w:color="CCEEFF"/>
            </w:tcBorders>
            <w:shd w:val="clear" w:color="auto" w:fill="CCEEFF"/>
          </w:tcPr>
          <w:p>
            <w:pPr>
              <w:spacing w:after="0"/>
              <w:rPr>
                <w:sz w:val="18"/>
                <w:szCs w:val="18"/>
                <w:color w:val="auto"/>
              </w:rPr>
            </w:pPr>
          </w:p>
        </w:tc>
        <w:tc>
          <w:tcPr>
            <w:tcW w:w="860" w:type="dxa"/>
            <w:vAlign w:val="bottom"/>
            <w:tcBorders>
              <w:bottom w:val="single" w:sz="8" w:color="CCEEFF"/>
            </w:tcBorders>
            <w:shd w:val="clear" w:color="auto" w:fill="CCEEFF"/>
          </w:tcPr>
          <w:p>
            <w:pPr>
              <w:spacing w:after="0"/>
              <w:rPr>
                <w:sz w:val="18"/>
                <w:szCs w:val="18"/>
                <w:color w:val="auto"/>
              </w:rPr>
            </w:pPr>
          </w:p>
        </w:tc>
        <w:tc>
          <w:tcPr>
            <w:tcW w:w="24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CCEEFF"/>
            </w:tcBorders>
            <w:shd w:val="clear" w:color="auto" w:fill="CCEEFF"/>
          </w:tcPr>
          <w:p>
            <w:pPr>
              <w:spacing w:after="0"/>
              <w:rPr>
                <w:sz w:val="18"/>
                <w:szCs w:val="18"/>
                <w:color w:val="auto"/>
              </w:rPr>
            </w:pPr>
          </w:p>
        </w:tc>
        <w:tc>
          <w:tcPr>
            <w:tcW w:w="82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CCEEFF"/>
            </w:tcBorders>
            <w:shd w:val="clear" w:color="auto" w:fill="CCEEFF"/>
          </w:tcPr>
          <w:p>
            <w:pPr>
              <w:spacing w:after="0"/>
              <w:rPr>
                <w:sz w:val="18"/>
                <w:szCs w:val="18"/>
                <w:color w:val="auto"/>
              </w:rPr>
            </w:pPr>
          </w:p>
        </w:tc>
        <w:tc>
          <w:tcPr>
            <w:tcW w:w="60" w:type="dxa"/>
            <w:vAlign w:val="bottom"/>
            <w:tcBorders>
              <w:bottom w:val="single" w:sz="8" w:color="CCEEFF"/>
            </w:tcBorders>
            <w:shd w:val="clear" w:color="auto" w:fill="CCEEFF"/>
          </w:tcPr>
          <w:p>
            <w:pPr>
              <w:spacing w:after="0"/>
              <w:rPr>
                <w:sz w:val="18"/>
                <w:szCs w:val="18"/>
                <w:color w:val="auto"/>
              </w:rPr>
            </w:pPr>
          </w:p>
        </w:tc>
        <w:tc>
          <w:tcPr>
            <w:tcW w:w="140" w:type="dxa"/>
            <w:vAlign w:val="bottom"/>
            <w:tcBorders>
              <w:bottom w:val="single" w:sz="8" w:color="CCEEFF"/>
            </w:tcBorders>
            <w:shd w:val="clear" w:color="auto" w:fill="CCEEFF"/>
          </w:tcPr>
          <w:p>
            <w:pPr>
              <w:spacing w:after="0"/>
              <w:rPr>
                <w:sz w:val="18"/>
                <w:szCs w:val="18"/>
                <w:color w:val="auto"/>
              </w:rPr>
            </w:pPr>
          </w:p>
        </w:tc>
        <w:tc>
          <w:tcPr>
            <w:tcW w:w="20" w:type="dxa"/>
            <w:vAlign w:val="bottom"/>
            <w:tcBorders>
              <w:bottom w:val="single" w:sz="8" w:color="CCEEFF"/>
            </w:tcBorders>
            <w:shd w:val="clear" w:color="auto" w:fill="CCEEFF"/>
          </w:tcPr>
          <w:p>
            <w:pPr>
              <w:spacing w:after="0"/>
              <w:rPr>
                <w:sz w:val="18"/>
                <w:szCs w:val="18"/>
                <w:color w:val="auto"/>
              </w:rPr>
            </w:pPr>
          </w:p>
        </w:tc>
        <w:tc>
          <w:tcPr>
            <w:tcW w:w="500" w:type="dxa"/>
            <w:vAlign w:val="bottom"/>
            <w:tcBorders>
              <w:bottom w:val="single" w:sz="8" w:color="CCEEFF"/>
            </w:tcBorders>
            <w:gridSpan w:val="2"/>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Borders>
              <w:bottom w:val="single" w:sz="8" w:color="auto"/>
            </w:tcBorders>
            <w:gridSpan w:val="6"/>
            <w:shd w:val="clear" w:color="auto" w:fill="CCEEFF"/>
          </w:tcPr>
          <w:p>
            <w:pPr>
              <w:jc w:val="right"/>
              <w:spacing w:after="0"/>
              <w:rPr>
                <w:sz w:val="20"/>
                <w:szCs w:val="20"/>
                <w:color w:val="auto"/>
              </w:rPr>
            </w:pPr>
            <w:r>
              <w:rPr>
                <w:rFonts w:ascii="Arial" w:cs="Arial" w:eastAsia="Arial" w:hAnsi="Arial"/>
                <w:sz w:val="18"/>
                <w:szCs w:val="18"/>
                <w:color w:val="auto"/>
                <w:w w:val="98"/>
              </w:rPr>
              <w:t>154,576</w:t>
            </w:r>
          </w:p>
        </w:tc>
        <w:tc>
          <w:tcPr>
            <w:tcW w:w="200" w:type="dxa"/>
            <w:vAlign w:val="bottom"/>
            <w:tcBorders>
              <w:bottom w:val="single" w:sz="8" w:color="CCEEFF"/>
            </w:tcBorders>
            <w:shd w:val="clear" w:color="auto" w:fill="CCEEFF"/>
          </w:tcPr>
          <w:p>
            <w:pPr>
              <w:spacing w:after="0"/>
              <w:rPr>
                <w:sz w:val="18"/>
                <w:szCs w:val="18"/>
                <w:color w:val="auto"/>
              </w:rPr>
            </w:pPr>
          </w:p>
        </w:tc>
        <w:tc>
          <w:tcPr>
            <w:tcW w:w="20" w:type="dxa"/>
            <w:vAlign w:val="bottom"/>
            <w:tcBorders>
              <w:bottom w:val="single" w:sz="8" w:color="CCEEFF"/>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tcBorders>
              <w:bottom w:val="single" w:sz="8" w:color="auto"/>
              <w:right w:val="single" w:sz="8" w:color="CCEEFF"/>
            </w:tcBorders>
            <w:gridSpan w:val="4"/>
            <w:shd w:val="clear" w:color="auto" w:fill="CCEEFF"/>
          </w:tcPr>
          <w:p>
            <w:pPr>
              <w:jc w:val="right"/>
              <w:ind w:right="40"/>
              <w:spacing w:after="0"/>
              <w:rPr>
                <w:sz w:val="20"/>
                <w:szCs w:val="20"/>
                <w:color w:val="auto"/>
              </w:rPr>
            </w:pPr>
            <w:r>
              <w:rPr>
                <w:rFonts w:ascii="Arial" w:cs="Arial" w:eastAsia="Arial" w:hAnsi="Arial"/>
                <w:sz w:val="18"/>
                <w:szCs w:val="18"/>
                <w:color w:val="auto"/>
                <w:w w:val="95"/>
              </w:rPr>
              <w:t>170,123</w:t>
            </w:r>
          </w:p>
        </w:tc>
        <w:tc>
          <w:tcPr>
            <w:tcW w:w="120" w:type="dxa"/>
            <w:vAlign w:val="bottom"/>
            <w:tcBorders>
              <w:left w:val="single" w:sz="8" w:color="CCEEFF"/>
            </w:tcBorders>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460" w:type="dxa"/>
            <w:vAlign w:val="bottom"/>
            <w:gridSpan w:val="4"/>
            <w:vMerge w:val="restart"/>
          </w:tcPr>
          <w:p>
            <w:pPr>
              <w:ind w:left="260"/>
              <w:spacing w:after="0"/>
              <w:rPr>
                <w:sz w:val="20"/>
                <w:szCs w:val="20"/>
                <w:color w:val="auto"/>
              </w:rPr>
            </w:pPr>
            <w:r>
              <w:rPr>
                <w:rFonts w:ascii="Arial" w:cs="Arial" w:eastAsia="Arial" w:hAnsi="Arial"/>
                <w:sz w:val="18"/>
                <w:szCs w:val="18"/>
                <w:b w:val="1"/>
                <w:bCs w:val="1"/>
                <w:color w:val="auto"/>
                <w:w w:val="94"/>
              </w:rPr>
              <w:t>Property and equipment (in thousands)</w:t>
            </w:r>
          </w:p>
        </w:tc>
        <w:tc>
          <w:tcPr>
            <w:tcW w:w="8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3460" w:type="dxa"/>
            <w:vAlign w:val="bottom"/>
            <w:gridSpan w:val="4"/>
            <w:vMerge w:val="continue"/>
          </w:tcPr>
          <w:p>
            <w:pPr>
              <w:spacing w:after="0"/>
              <w:rPr>
                <w:sz w:val="24"/>
                <w:szCs w:val="24"/>
                <w:color w:val="auto"/>
              </w:rPr>
            </w:pPr>
          </w:p>
        </w:tc>
        <w:tc>
          <w:tcPr>
            <w:tcW w:w="8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720" w:type="dxa"/>
            <w:vAlign w:val="bottom"/>
          </w:tcPr>
          <w:p>
            <w:pPr>
              <w:spacing w:after="0"/>
              <w:rPr>
                <w:sz w:val="24"/>
                <w:szCs w:val="24"/>
                <w:color w:val="auto"/>
              </w:rPr>
            </w:pPr>
          </w:p>
        </w:tc>
        <w:tc>
          <w:tcPr>
            <w:tcW w:w="2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gridSpan w:val="3"/>
          </w:tcPr>
          <w:p>
            <w:pPr>
              <w:jc w:val="right"/>
              <w:spacing w:after="0"/>
              <w:rPr>
                <w:sz w:val="20"/>
                <w:szCs w:val="20"/>
                <w:color w:val="auto"/>
              </w:rPr>
            </w:pPr>
            <w:r>
              <w:rPr>
                <w:rFonts w:ascii="Arial" w:cs="Arial" w:eastAsia="Arial" w:hAnsi="Arial"/>
                <w:sz w:val="14"/>
                <w:szCs w:val="14"/>
                <w:b w:val="1"/>
                <w:bCs w:val="1"/>
                <w:color w:val="auto"/>
              </w:rPr>
              <w:t>July 28,</w:t>
            </w: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720" w:type="dxa"/>
            <w:vAlign w:val="bottom"/>
            <w:gridSpan w:val="13"/>
          </w:tcPr>
          <w:p>
            <w:pPr>
              <w:jc w:val="right"/>
              <w:ind w:right="880"/>
              <w:spacing w:after="0"/>
              <w:rPr>
                <w:sz w:val="20"/>
                <w:szCs w:val="20"/>
                <w:color w:val="auto"/>
              </w:rPr>
            </w:pPr>
            <w:r>
              <w:rPr>
                <w:rFonts w:ascii="Arial" w:cs="Arial" w:eastAsia="Arial" w:hAnsi="Arial"/>
                <w:sz w:val="14"/>
                <w:szCs w:val="14"/>
                <w:b w:val="1"/>
                <w:bCs w:val="1"/>
                <w:color w:val="auto"/>
                <w:w w:val="95"/>
              </w:rPr>
              <w:t>January 27,</w:t>
            </w: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720" w:type="dxa"/>
            <w:vAlign w:val="bottom"/>
          </w:tcPr>
          <w:p>
            <w:pPr>
              <w:spacing w:after="0"/>
              <w:rPr>
                <w:sz w:val="14"/>
                <w:szCs w:val="14"/>
                <w:color w:val="auto"/>
              </w:rPr>
            </w:pPr>
          </w:p>
        </w:tc>
        <w:tc>
          <w:tcPr>
            <w:tcW w:w="224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86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82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620" w:type="dxa"/>
            <w:vAlign w:val="bottom"/>
            <w:tcBorders>
              <w:bottom w:val="single" w:sz="8" w:color="auto"/>
            </w:tcBorders>
            <w:gridSpan w:val="4"/>
          </w:tcPr>
          <w:p>
            <w:pPr>
              <w:jc w:val="right"/>
              <w:ind w:right="27"/>
              <w:spacing w:after="0"/>
              <w:rPr>
                <w:sz w:val="20"/>
                <w:szCs w:val="20"/>
                <w:color w:val="auto"/>
              </w:rPr>
            </w:pPr>
            <w:r>
              <w:rPr>
                <w:rFonts w:ascii="Arial" w:cs="Arial" w:eastAsia="Arial" w:hAnsi="Arial"/>
                <w:sz w:val="14"/>
                <w:szCs w:val="14"/>
                <w:b w:val="1"/>
                <w:bCs w:val="1"/>
                <w:color w:val="auto"/>
              </w:rPr>
              <w:t>2007</w:t>
            </w:r>
          </w:p>
        </w:tc>
        <w:tc>
          <w:tcPr>
            <w:tcW w:w="120" w:type="dxa"/>
            <w:vAlign w:val="bottom"/>
            <w:tcBorders>
              <w:bottom w:val="single" w:sz="8" w:color="auto"/>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2007</w:t>
            </w:r>
          </w:p>
        </w:tc>
        <w:tc>
          <w:tcPr>
            <w:tcW w:w="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4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720" w:type="dxa"/>
            <w:vAlign w:val="bottom"/>
          </w:tcPr>
          <w:p>
            <w:pPr>
              <w:spacing w:after="0"/>
              <w:rPr>
                <w:sz w:val="17"/>
                <w:szCs w:val="17"/>
                <w:color w:val="auto"/>
              </w:rPr>
            </w:pPr>
          </w:p>
        </w:tc>
        <w:tc>
          <w:tcPr>
            <w:tcW w:w="22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w:t>
            </w:r>
          </w:p>
        </w:tc>
        <w:tc>
          <w:tcPr>
            <w:tcW w:w="1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4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240" w:type="dxa"/>
            <w:vAlign w:val="bottom"/>
          </w:tcPr>
          <w:p>
            <w:pPr>
              <w:ind w:left="180"/>
              <w:spacing w:after="0"/>
              <w:rPr>
                <w:sz w:val="20"/>
                <w:szCs w:val="20"/>
                <w:color w:val="auto"/>
              </w:rPr>
            </w:pPr>
            <w:r>
              <w:rPr>
                <w:rFonts w:ascii="Arial" w:cs="Arial" w:eastAsia="Arial" w:hAnsi="Arial"/>
                <w:sz w:val="18"/>
                <w:szCs w:val="18"/>
                <w:color w:val="auto"/>
                <w:w w:val="98"/>
              </w:rPr>
              <w:t>Machinery and equipment</w:t>
            </w: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5"/>
          </w:tcPr>
          <w:p>
            <w:pPr>
              <w:jc w:val="right"/>
              <w:spacing w:after="0"/>
              <w:rPr>
                <w:sz w:val="20"/>
                <w:szCs w:val="20"/>
                <w:color w:val="auto"/>
              </w:rPr>
            </w:pPr>
            <w:r>
              <w:rPr>
                <w:rFonts w:ascii="Arial" w:cs="Arial" w:eastAsia="Arial" w:hAnsi="Arial"/>
                <w:sz w:val="18"/>
                <w:szCs w:val="18"/>
                <w:color w:val="auto"/>
                <w:w w:val="89"/>
              </w:rPr>
              <w:t>$ 308,671</w:t>
            </w:r>
          </w:p>
        </w:tc>
        <w:tc>
          <w:tcPr>
            <w:tcW w:w="220" w:type="dxa"/>
            <w:vAlign w:val="bottom"/>
          </w:tcPr>
          <w:p>
            <w:pPr>
              <w:spacing w:after="0"/>
              <w:rPr>
                <w:sz w:val="18"/>
                <w:szCs w:val="18"/>
                <w:color w:val="auto"/>
              </w:rPr>
            </w:pPr>
          </w:p>
        </w:tc>
        <w:tc>
          <w:tcPr>
            <w:tcW w:w="780" w:type="dxa"/>
            <w:vAlign w:val="bottom"/>
            <w:gridSpan w:val="8"/>
          </w:tcPr>
          <w:p>
            <w:pPr>
              <w:jc w:val="right"/>
              <w:spacing w:after="0"/>
              <w:rPr>
                <w:sz w:val="20"/>
                <w:szCs w:val="20"/>
                <w:color w:val="auto"/>
              </w:rPr>
            </w:pPr>
            <w:r>
              <w:rPr>
                <w:rFonts w:ascii="Arial" w:cs="Arial" w:eastAsia="Arial" w:hAnsi="Arial"/>
                <w:sz w:val="18"/>
                <w:szCs w:val="18"/>
                <w:color w:val="auto"/>
                <w:w w:val="92"/>
              </w:rPr>
              <w:t>$ 269,586</w:t>
            </w:r>
          </w:p>
        </w:tc>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2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Computer software</w:t>
            </w:r>
          </w:p>
        </w:tc>
        <w:tc>
          <w:tcPr>
            <w:tcW w:w="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101,417</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w w:val="86"/>
              </w:rPr>
              <w:t>131,869</w:t>
            </w:r>
          </w:p>
        </w:tc>
        <w:tc>
          <w:tcPr>
            <w:tcW w:w="80" w:type="dxa"/>
            <w:vAlign w:val="bottom"/>
            <w:shd w:val="clear" w:color="auto" w:fill="CCEEFF"/>
          </w:tcPr>
          <w:p>
            <w:pPr>
              <w:spacing w:after="0"/>
              <w:rPr>
                <w:sz w:val="18"/>
                <w:szCs w:val="18"/>
                <w:color w:val="auto"/>
              </w:rPr>
            </w:pPr>
          </w:p>
        </w:tc>
        <w:tc>
          <w:tcPr>
            <w:tcW w:w="4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240" w:type="dxa"/>
            <w:vAlign w:val="bottom"/>
          </w:tcPr>
          <w:p>
            <w:pPr>
              <w:ind w:left="180"/>
              <w:spacing w:after="0"/>
              <w:rPr>
                <w:sz w:val="20"/>
                <w:szCs w:val="20"/>
                <w:color w:val="auto"/>
              </w:rPr>
            </w:pPr>
            <w:r>
              <w:rPr>
                <w:rFonts w:ascii="Arial" w:cs="Arial" w:eastAsia="Arial" w:hAnsi="Arial"/>
                <w:sz w:val="18"/>
                <w:szCs w:val="18"/>
                <w:color w:val="auto"/>
              </w:rPr>
              <w:t>Furniture and fixtures</w:t>
            </w: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5"/>
          </w:tcPr>
          <w:p>
            <w:pPr>
              <w:jc w:val="right"/>
              <w:spacing w:after="0"/>
              <w:rPr>
                <w:sz w:val="20"/>
                <w:szCs w:val="20"/>
                <w:color w:val="auto"/>
              </w:rPr>
            </w:pPr>
            <w:r>
              <w:rPr>
                <w:rFonts w:ascii="Arial" w:cs="Arial" w:eastAsia="Arial" w:hAnsi="Arial"/>
                <w:sz w:val="18"/>
                <w:szCs w:val="18"/>
                <w:color w:val="auto"/>
              </w:rPr>
              <w:t>21,596</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6"/>
          </w:tcPr>
          <w:p>
            <w:pPr>
              <w:jc w:val="right"/>
              <w:spacing w:after="0"/>
              <w:rPr>
                <w:sz w:val="20"/>
                <w:szCs w:val="20"/>
                <w:color w:val="auto"/>
              </w:rPr>
            </w:pPr>
            <w:r>
              <w:rPr>
                <w:rFonts w:ascii="Arial" w:cs="Arial" w:eastAsia="Arial" w:hAnsi="Arial"/>
                <w:sz w:val="18"/>
                <w:szCs w:val="18"/>
                <w:color w:val="auto"/>
              </w:rPr>
              <w:t>20,551</w:t>
            </w:r>
          </w:p>
        </w:tc>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2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Leasehold improvements</w:t>
            </w:r>
          </w:p>
        </w:tc>
        <w:tc>
          <w:tcPr>
            <w:tcW w:w="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32,550</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12,283</w:t>
            </w:r>
          </w:p>
        </w:tc>
        <w:tc>
          <w:tcPr>
            <w:tcW w:w="80" w:type="dxa"/>
            <w:vAlign w:val="bottom"/>
            <w:shd w:val="clear" w:color="auto" w:fill="CCEEFF"/>
          </w:tcPr>
          <w:p>
            <w:pPr>
              <w:spacing w:after="0"/>
              <w:rPr>
                <w:sz w:val="18"/>
                <w:szCs w:val="18"/>
                <w:color w:val="auto"/>
              </w:rPr>
            </w:pPr>
          </w:p>
        </w:tc>
        <w:tc>
          <w:tcPr>
            <w:tcW w:w="4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240" w:type="dxa"/>
            <w:vAlign w:val="bottom"/>
          </w:tcPr>
          <w:p>
            <w:pPr>
              <w:ind w:left="180"/>
              <w:spacing w:after="0"/>
              <w:rPr>
                <w:sz w:val="20"/>
                <w:szCs w:val="20"/>
                <w:color w:val="auto"/>
              </w:rPr>
            </w:pPr>
            <w:r>
              <w:rPr>
                <w:rFonts w:ascii="Arial" w:cs="Arial" w:eastAsia="Arial" w:hAnsi="Arial"/>
                <w:sz w:val="18"/>
                <w:szCs w:val="18"/>
                <w:color w:val="auto"/>
              </w:rPr>
              <w:t>Buildings</w:t>
            </w: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5"/>
          </w:tcPr>
          <w:p>
            <w:pPr>
              <w:jc w:val="right"/>
              <w:spacing w:after="0"/>
              <w:rPr>
                <w:sz w:val="20"/>
                <w:szCs w:val="20"/>
                <w:color w:val="auto"/>
              </w:rPr>
            </w:pPr>
            <w:r>
              <w:rPr>
                <w:rFonts w:ascii="Arial" w:cs="Arial" w:eastAsia="Arial" w:hAnsi="Arial"/>
                <w:sz w:val="18"/>
                <w:szCs w:val="18"/>
                <w:color w:val="auto"/>
              </w:rPr>
              <w:t>97,720</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6"/>
          </w:tcPr>
          <w:p>
            <w:pPr>
              <w:jc w:val="right"/>
              <w:spacing w:after="0"/>
              <w:rPr>
                <w:sz w:val="20"/>
                <w:szCs w:val="20"/>
                <w:color w:val="auto"/>
              </w:rPr>
            </w:pPr>
            <w:r>
              <w:rPr>
                <w:rFonts w:ascii="Arial" w:cs="Arial" w:eastAsia="Arial" w:hAnsi="Arial"/>
                <w:sz w:val="18"/>
                <w:szCs w:val="18"/>
                <w:color w:val="auto"/>
              </w:rPr>
              <w:t>81,274</w:t>
            </w:r>
          </w:p>
        </w:tc>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2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Building improvements</w:t>
            </w:r>
          </w:p>
        </w:tc>
        <w:tc>
          <w:tcPr>
            <w:tcW w:w="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29,257</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36,098</w:t>
            </w:r>
          </w:p>
        </w:tc>
        <w:tc>
          <w:tcPr>
            <w:tcW w:w="80" w:type="dxa"/>
            <w:vAlign w:val="bottom"/>
            <w:shd w:val="clear" w:color="auto" w:fill="CCEEFF"/>
          </w:tcPr>
          <w:p>
            <w:pPr>
              <w:spacing w:after="0"/>
              <w:rPr>
                <w:sz w:val="18"/>
                <w:szCs w:val="18"/>
                <w:color w:val="auto"/>
              </w:rPr>
            </w:pPr>
          </w:p>
        </w:tc>
        <w:tc>
          <w:tcPr>
            <w:tcW w:w="4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240" w:type="dxa"/>
            <w:vAlign w:val="bottom"/>
          </w:tcPr>
          <w:p>
            <w:pPr>
              <w:ind w:left="180"/>
              <w:spacing w:after="0"/>
              <w:rPr>
                <w:sz w:val="20"/>
                <w:szCs w:val="20"/>
                <w:color w:val="auto"/>
              </w:rPr>
            </w:pPr>
            <w:r>
              <w:rPr>
                <w:rFonts w:ascii="Arial" w:cs="Arial" w:eastAsia="Arial" w:hAnsi="Arial"/>
                <w:sz w:val="18"/>
                <w:szCs w:val="18"/>
                <w:color w:val="auto"/>
              </w:rPr>
              <w:t>Land</w:t>
            </w: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5"/>
          </w:tcPr>
          <w:p>
            <w:pPr>
              <w:jc w:val="right"/>
              <w:spacing w:after="0"/>
              <w:rPr>
                <w:sz w:val="20"/>
                <w:szCs w:val="20"/>
                <w:color w:val="auto"/>
              </w:rPr>
            </w:pPr>
            <w:r>
              <w:rPr>
                <w:rFonts w:ascii="Arial" w:cs="Arial" w:eastAsia="Arial" w:hAnsi="Arial"/>
                <w:sz w:val="18"/>
                <w:szCs w:val="18"/>
                <w:color w:val="auto"/>
              </w:rPr>
              <w:t>51,500</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6"/>
          </w:tcPr>
          <w:p>
            <w:pPr>
              <w:jc w:val="right"/>
              <w:spacing w:after="0"/>
              <w:rPr>
                <w:sz w:val="20"/>
                <w:szCs w:val="20"/>
                <w:color w:val="auto"/>
              </w:rPr>
            </w:pPr>
            <w:r>
              <w:rPr>
                <w:rFonts w:ascii="Arial" w:cs="Arial" w:eastAsia="Arial" w:hAnsi="Arial"/>
                <w:sz w:val="18"/>
                <w:szCs w:val="18"/>
                <w:color w:val="auto"/>
              </w:rPr>
              <w:t>51,500</w:t>
            </w:r>
          </w:p>
        </w:tc>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22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Construction in progress</w:t>
            </w:r>
          </w:p>
        </w:tc>
        <w:tc>
          <w:tcPr>
            <w:tcW w:w="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tcBorders>
              <w:bottom w:val="single" w:sz="8" w:color="auto"/>
            </w:tcBorders>
            <w:gridSpan w:val="5"/>
            <w:shd w:val="clear" w:color="auto" w:fill="CCEEFF"/>
          </w:tcPr>
          <w:p>
            <w:pPr>
              <w:jc w:val="right"/>
              <w:spacing w:after="0"/>
              <w:rPr>
                <w:sz w:val="20"/>
                <w:szCs w:val="20"/>
                <w:color w:val="auto"/>
              </w:rPr>
            </w:pPr>
            <w:r>
              <w:rPr>
                <w:rFonts w:ascii="Arial" w:cs="Arial" w:eastAsia="Arial" w:hAnsi="Arial"/>
                <w:sz w:val="18"/>
                <w:szCs w:val="18"/>
                <w:color w:val="auto"/>
              </w:rPr>
              <w:t>51,479</w:t>
            </w:r>
          </w:p>
        </w:tc>
        <w:tc>
          <w:tcPr>
            <w:tcW w:w="2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gridSpan w:val="6"/>
            <w:shd w:val="clear" w:color="auto" w:fill="CCEEFF"/>
          </w:tcPr>
          <w:p>
            <w:pPr>
              <w:jc w:val="right"/>
              <w:spacing w:after="0"/>
              <w:rPr>
                <w:sz w:val="20"/>
                <w:szCs w:val="20"/>
                <w:color w:val="auto"/>
              </w:rPr>
            </w:pPr>
            <w:r>
              <w:rPr>
                <w:rFonts w:ascii="Arial" w:cs="Arial" w:eastAsia="Arial" w:hAnsi="Arial"/>
                <w:sz w:val="18"/>
                <w:szCs w:val="18"/>
                <w:color w:val="auto"/>
              </w:rPr>
              <w:t>78,579</w:t>
            </w:r>
          </w:p>
        </w:tc>
        <w:tc>
          <w:tcPr>
            <w:tcW w:w="80" w:type="dxa"/>
            <w:vAlign w:val="bottom"/>
            <w:shd w:val="clear" w:color="auto" w:fill="CCEEFF"/>
          </w:tcPr>
          <w:p>
            <w:pPr>
              <w:spacing w:after="0"/>
              <w:rPr>
                <w:sz w:val="18"/>
                <w:szCs w:val="18"/>
                <w:color w:val="auto"/>
              </w:rPr>
            </w:pPr>
          </w:p>
        </w:tc>
        <w:tc>
          <w:tcPr>
            <w:tcW w:w="4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2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5"/>
          </w:tcPr>
          <w:p>
            <w:pPr>
              <w:jc w:val="right"/>
              <w:spacing w:after="0"/>
              <w:rPr>
                <w:sz w:val="20"/>
                <w:szCs w:val="20"/>
                <w:color w:val="auto"/>
              </w:rPr>
            </w:pPr>
            <w:r>
              <w:rPr>
                <w:rFonts w:ascii="Arial" w:cs="Arial" w:eastAsia="Arial" w:hAnsi="Arial"/>
                <w:sz w:val="18"/>
                <w:szCs w:val="18"/>
                <w:color w:val="auto"/>
              </w:rPr>
              <w:t>694,190</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6"/>
          </w:tcPr>
          <w:p>
            <w:pPr>
              <w:jc w:val="right"/>
              <w:spacing w:after="0"/>
              <w:rPr>
                <w:sz w:val="20"/>
                <w:szCs w:val="20"/>
                <w:color w:val="auto"/>
              </w:rPr>
            </w:pPr>
            <w:r>
              <w:rPr>
                <w:rFonts w:ascii="Arial" w:cs="Arial" w:eastAsia="Arial" w:hAnsi="Arial"/>
                <w:sz w:val="18"/>
                <w:szCs w:val="18"/>
                <w:color w:val="auto"/>
                <w:w w:val="86"/>
              </w:rPr>
              <w:t>681,740</w:t>
            </w:r>
          </w:p>
        </w:tc>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 w:type="dxa"/>
            <w:vAlign w:val="bottom"/>
          </w:tcPr>
          <w:p>
            <w:pPr>
              <w:spacing w:after="0"/>
              <w:rPr>
                <w:sz w:val="18"/>
                <w:szCs w:val="18"/>
                <w:color w:val="auto"/>
              </w:rPr>
            </w:pPr>
          </w:p>
        </w:tc>
        <w:tc>
          <w:tcPr>
            <w:tcW w:w="3840" w:type="dxa"/>
            <w:vAlign w:val="bottom"/>
            <w:gridSpan w:val="5"/>
            <w:shd w:val="clear" w:color="auto" w:fill="CCEEFF"/>
          </w:tcPr>
          <w:p>
            <w:pPr>
              <w:ind w:left="180"/>
              <w:spacing w:after="0"/>
              <w:rPr>
                <w:sz w:val="20"/>
                <w:szCs w:val="20"/>
                <w:color w:val="auto"/>
              </w:rPr>
            </w:pPr>
            <w:r>
              <w:rPr>
                <w:rFonts w:ascii="Arial" w:cs="Arial" w:eastAsia="Arial" w:hAnsi="Arial"/>
                <w:sz w:val="18"/>
                <w:szCs w:val="18"/>
                <w:color w:val="auto"/>
                <w:w w:val="92"/>
              </w:rPr>
              <w:t>Less: Accumulated depreciation and amortization</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6"/>
            <w:shd w:val="clear" w:color="auto" w:fill="CCEEFF"/>
          </w:tcPr>
          <w:p>
            <w:pPr>
              <w:jc w:val="right"/>
              <w:ind w:right="140"/>
              <w:spacing w:after="0"/>
              <w:rPr>
                <w:sz w:val="20"/>
                <w:szCs w:val="20"/>
                <w:color w:val="auto"/>
              </w:rPr>
            </w:pPr>
            <w:r>
              <w:rPr>
                <w:rFonts w:ascii="Arial" w:cs="Arial" w:eastAsia="Arial" w:hAnsi="Arial"/>
                <w:sz w:val="18"/>
                <w:szCs w:val="18"/>
                <w:color w:val="auto"/>
              </w:rPr>
              <w:t>(268,013)</w:t>
            </w:r>
          </w:p>
        </w:tc>
        <w:tc>
          <w:tcPr>
            <w:tcW w:w="860" w:type="dxa"/>
            <w:vAlign w:val="bottom"/>
            <w:gridSpan w:val="9"/>
            <w:shd w:val="clear" w:color="auto" w:fill="CCEEFF"/>
          </w:tcPr>
          <w:p>
            <w:pPr>
              <w:jc w:val="right"/>
              <w:ind w:right="20"/>
              <w:spacing w:after="0"/>
              <w:rPr>
                <w:sz w:val="20"/>
                <w:szCs w:val="20"/>
                <w:color w:val="auto"/>
              </w:rPr>
            </w:pPr>
            <w:r>
              <w:rPr>
                <w:rFonts w:ascii="Arial" w:cs="Arial" w:eastAsia="Arial" w:hAnsi="Arial"/>
                <w:sz w:val="18"/>
                <w:szCs w:val="18"/>
                <w:color w:val="auto"/>
              </w:rPr>
              <w:t>(240,797)</w:t>
            </w:r>
          </w:p>
        </w:tc>
        <w:tc>
          <w:tcPr>
            <w:tcW w:w="4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20" w:type="dxa"/>
            <w:vAlign w:val="bottom"/>
          </w:tcPr>
          <w:p>
            <w:pPr>
              <w:spacing w:after="0"/>
              <w:rPr>
                <w:sz w:val="18"/>
                <w:szCs w:val="18"/>
                <w:color w:val="auto"/>
              </w:rPr>
            </w:pPr>
          </w:p>
        </w:tc>
        <w:tc>
          <w:tcPr>
            <w:tcW w:w="2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tcBorders>
              <w:top w:val="single" w:sz="8" w:color="auto"/>
              <w:bottom w:val="single" w:sz="8" w:color="auto"/>
            </w:tcBorders>
            <w:gridSpan w:val="5"/>
          </w:tcPr>
          <w:p>
            <w:pPr>
              <w:jc w:val="right"/>
              <w:spacing w:after="0"/>
              <w:rPr>
                <w:sz w:val="20"/>
                <w:szCs w:val="20"/>
                <w:color w:val="auto"/>
              </w:rPr>
            </w:pPr>
            <w:r>
              <w:rPr>
                <w:rFonts w:ascii="Arial" w:cs="Arial" w:eastAsia="Arial" w:hAnsi="Arial"/>
                <w:sz w:val="18"/>
                <w:szCs w:val="18"/>
                <w:color w:val="auto"/>
                <w:w w:val="89"/>
              </w:rPr>
              <w:t>$ 426,177</w:t>
            </w:r>
          </w:p>
        </w:tc>
        <w:tc>
          <w:tcPr>
            <w:tcW w:w="220" w:type="dxa"/>
            <w:vAlign w:val="bottom"/>
          </w:tcPr>
          <w:p>
            <w:pPr>
              <w:spacing w:after="0"/>
              <w:rPr>
                <w:sz w:val="18"/>
                <w:szCs w:val="18"/>
                <w:color w:val="auto"/>
              </w:rPr>
            </w:pPr>
          </w:p>
        </w:tc>
        <w:tc>
          <w:tcPr>
            <w:tcW w:w="780" w:type="dxa"/>
            <w:vAlign w:val="bottom"/>
            <w:tcBorders>
              <w:top w:val="single" w:sz="8" w:color="auto"/>
              <w:bottom w:val="single" w:sz="8" w:color="auto"/>
            </w:tcBorders>
            <w:gridSpan w:val="8"/>
          </w:tcPr>
          <w:p>
            <w:pPr>
              <w:jc w:val="right"/>
              <w:spacing w:after="0"/>
              <w:rPr>
                <w:sz w:val="20"/>
                <w:szCs w:val="20"/>
                <w:color w:val="auto"/>
              </w:rPr>
            </w:pPr>
            <w:r>
              <w:rPr>
                <w:rFonts w:ascii="Arial" w:cs="Arial" w:eastAsia="Arial" w:hAnsi="Arial"/>
                <w:sz w:val="18"/>
                <w:szCs w:val="18"/>
                <w:color w:val="auto"/>
                <w:w w:val="92"/>
              </w:rPr>
              <w:t>$ 440,943</w:t>
            </w:r>
          </w:p>
        </w:tc>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460" w:type="dxa"/>
            <w:vAlign w:val="bottom"/>
            <w:gridSpan w:val="4"/>
            <w:vMerge w:val="restart"/>
          </w:tcPr>
          <w:p>
            <w:pPr>
              <w:ind w:left="260"/>
              <w:spacing w:after="0"/>
              <w:rPr>
                <w:sz w:val="20"/>
                <w:szCs w:val="20"/>
                <w:color w:val="auto"/>
              </w:rPr>
            </w:pPr>
            <w:r>
              <w:rPr>
                <w:rFonts w:ascii="Arial" w:cs="Arial" w:eastAsia="Arial" w:hAnsi="Arial"/>
                <w:sz w:val="18"/>
                <w:szCs w:val="18"/>
                <w:b w:val="1"/>
                <w:bCs w:val="1"/>
                <w:color w:val="auto"/>
                <w:w w:val="92"/>
              </w:rPr>
              <w:t>Other non-current assets (in thousands)</w:t>
            </w:r>
          </w:p>
        </w:tc>
        <w:tc>
          <w:tcPr>
            <w:tcW w:w="8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3460" w:type="dxa"/>
            <w:vAlign w:val="bottom"/>
            <w:gridSpan w:val="4"/>
            <w:vMerge w:val="continue"/>
          </w:tcPr>
          <w:p>
            <w:pPr>
              <w:spacing w:after="0"/>
              <w:rPr>
                <w:sz w:val="24"/>
                <w:szCs w:val="24"/>
                <w:color w:val="auto"/>
              </w:rPr>
            </w:pPr>
          </w:p>
        </w:tc>
        <w:tc>
          <w:tcPr>
            <w:tcW w:w="8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720" w:type="dxa"/>
            <w:vAlign w:val="bottom"/>
          </w:tcPr>
          <w:p>
            <w:pPr>
              <w:spacing w:after="0"/>
              <w:rPr>
                <w:sz w:val="24"/>
                <w:szCs w:val="24"/>
                <w:color w:val="auto"/>
              </w:rPr>
            </w:pPr>
          </w:p>
        </w:tc>
        <w:tc>
          <w:tcPr>
            <w:tcW w:w="2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60" w:type="dxa"/>
            <w:vAlign w:val="bottom"/>
            <w:gridSpan w:val="3"/>
          </w:tcPr>
          <w:p>
            <w:pPr>
              <w:ind w:left="240"/>
              <w:spacing w:after="0"/>
              <w:rPr>
                <w:sz w:val="20"/>
                <w:szCs w:val="20"/>
                <w:color w:val="auto"/>
              </w:rPr>
            </w:pPr>
            <w:r>
              <w:rPr>
                <w:rFonts w:ascii="Arial" w:cs="Arial" w:eastAsia="Arial" w:hAnsi="Arial"/>
                <w:sz w:val="14"/>
                <w:szCs w:val="14"/>
                <w:b w:val="1"/>
                <w:bCs w:val="1"/>
                <w:color w:val="auto"/>
              </w:rPr>
              <w:t>July 28,</w:t>
            </w: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40" w:type="dxa"/>
            <w:vAlign w:val="bottom"/>
            <w:gridSpan w:val="5"/>
          </w:tcPr>
          <w:p>
            <w:pPr>
              <w:jc w:val="right"/>
              <w:ind w:right="80"/>
              <w:spacing w:after="0"/>
              <w:rPr>
                <w:sz w:val="20"/>
                <w:szCs w:val="20"/>
                <w:color w:val="auto"/>
              </w:rPr>
            </w:pPr>
            <w:r>
              <w:rPr>
                <w:rFonts w:ascii="Arial" w:cs="Arial" w:eastAsia="Arial" w:hAnsi="Arial"/>
                <w:sz w:val="14"/>
                <w:szCs w:val="14"/>
                <w:b w:val="1"/>
                <w:bCs w:val="1"/>
                <w:color w:val="auto"/>
              </w:rPr>
              <w:t>January 27,</w:t>
            </w: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720" w:type="dxa"/>
            <w:vAlign w:val="bottom"/>
          </w:tcPr>
          <w:p>
            <w:pPr>
              <w:spacing w:after="0"/>
              <w:rPr>
                <w:sz w:val="14"/>
                <w:szCs w:val="14"/>
                <w:color w:val="auto"/>
              </w:rPr>
            </w:pPr>
          </w:p>
        </w:tc>
        <w:tc>
          <w:tcPr>
            <w:tcW w:w="2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tcBorders>
              <w:bottom w:val="single" w:sz="8" w:color="auto"/>
            </w:tcBorders>
          </w:tcPr>
          <w:p>
            <w:pPr>
              <w:ind w:left="340"/>
              <w:spacing w:after="0"/>
              <w:rPr>
                <w:sz w:val="20"/>
                <w:szCs w:val="20"/>
                <w:color w:val="auto"/>
              </w:rPr>
            </w:pPr>
            <w:r>
              <w:rPr>
                <w:rFonts w:ascii="Arial" w:cs="Arial" w:eastAsia="Arial" w:hAnsi="Arial"/>
                <w:sz w:val="14"/>
                <w:szCs w:val="14"/>
                <w:b w:val="1"/>
                <w:bCs w:val="1"/>
                <w:color w:val="auto"/>
              </w:rPr>
              <w:t>2007</w:t>
            </w:r>
          </w:p>
        </w:tc>
        <w:tc>
          <w:tcPr>
            <w:tcW w:w="18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Borders>
              <w:bottom w:val="single" w:sz="8" w:color="auto"/>
            </w:tcBorders>
            <w:gridSpan w:val="4"/>
          </w:tcPr>
          <w:p>
            <w:pPr>
              <w:jc w:val="right"/>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-4358005</wp:posOffset>
            </wp:positionV>
            <wp:extent cx="12700"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-4358005</wp:posOffset>
            </wp:positionV>
            <wp:extent cx="12700"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04" w:right="199" w:bottom="0" w:gutter="0" w:footer="0" w:header="0"/>
        </w:sectPr>
      </w:pPr>
    </w:p>
    <w:bookmarkStart w:id="8" w:name="page9"/>
    <w:bookmarkEnd w:id="8"/>
    <w:tbl>
      <w:tblPr>
        <w:tblLayout w:type="fixed"/>
        <w:tblInd w:w="260" w:type="dxa"/>
        <w:tblCellMar>
          <w:top w:w="0" w:type="dxa"/>
          <w:left w:w="0" w:type="dxa"/>
          <w:bottom w:w="0" w:type="dxa"/>
          <w:right w:w="0" w:type="dxa"/>
        </w:tblCellMar>
      </w:tblPr>
      <w:tr>
        <w:trPr>
          <w:trHeight w:val="216"/>
        </w:trPr>
        <w:tc>
          <w:tcPr>
            <w:tcW w:w="660" w:type="dxa"/>
            <w:vAlign w:val="bottom"/>
          </w:tcPr>
          <w:p>
            <w:pPr>
              <w:spacing w:after="0"/>
              <w:rPr>
                <w:sz w:val="18"/>
                <w:szCs w:val="18"/>
                <w:color w:val="auto"/>
              </w:rPr>
            </w:pPr>
          </w:p>
        </w:tc>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Long-term prepayments for foundry capacity</w:t>
            </w:r>
          </w:p>
        </w:tc>
        <w:tc>
          <w:tcPr>
            <w:tcW w:w="560" w:type="dxa"/>
            <w:vAlign w:val="bottom"/>
            <w:gridSpan w:val="3"/>
            <w:shd w:val="clear" w:color="auto" w:fill="CCEEFF"/>
          </w:tcPr>
          <w:p>
            <w:pPr>
              <w:jc w:val="right"/>
              <w:ind w:right="5"/>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34,000</w:t>
            </w:r>
          </w:p>
        </w:tc>
        <w:tc>
          <w:tcPr>
            <w:tcW w:w="20" w:type="dxa"/>
            <w:vAlign w:val="bottom"/>
            <w:shd w:val="clear" w:color="auto" w:fill="CCEEFF"/>
          </w:tcPr>
          <w:p>
            <w:pPr>
              <w:spacing w:after="0"/>
              <w:rPr>
                <w:sz w:val="18"/>
                <w:szCs w:val="18"/>
                <w:color w:val="auto"/>
              </w:rPr>
            </w:pPr>
          </w:p>
        </w:tc>
        <w:tc>
          <w:tcPr>
            <w:tcW w:w="3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46,000</w:t>
            </w:r>
          </w:p>
        </w:tc>
        <w:tc>
          <w:tcPr>
            <w:tcW w:w="80" w:type="dxa"/>
            <w:vAlign w:val="bottom"/>
            <w:tcBorders>
              <w:right w:val="single" w:sz="8" w:color="CCEEFF"/>
            </w:tcBorders>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600" w:type="dxa"/>
            <w:vAlign w:val="bottom"/>
          </w:tcPr>
          <w:p>
            <w:pPr>
              <w:spacing w:after="0"/>
              <w:rPr>
                <w:sz w:val="20"/>
                <w:szCs w:val="20"/>
                <w:color w:val="auto"/>
              </w:rPr>
            </w:pPr>
            <w:r>
              <w:rPr>
                <w:rFonts w:ascii="Arial" w:cs="Arial" w:eastAsia="Arial" w:hAnsi="Arial"/>
                <w:sz w:val="18"/>
                <w:szCs w:val="18"/>
                <w:color w:val="auto"/>
              </w:rPr>
              <w:t>Equity investments in private companies</w:t>
            </w:r>
          </w:p>
        </w:tc>
        <w:tc>
          <w:tcPr>
            <w:tcW w:w="3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6,734</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11,679</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Severance fund</w:t>
            </w:r>
          </w:p>
        </w:tc>
        <w:tc>
          <w:tcPr>
            <w:tcW w:w="3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39,131</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32,161</w:t>
            </w:r>
          </w:p>
        </w:tc>
        <w:tc>
          <w:tcPr>
            <w:tcW w:w="80" w:type="dxa"/>
            <w:vAlign w:val="bottom"/>
            <w:tcBorders>
              <w:right w:val="single" w:sz="8" w:color="CCEEFF"/>
            </w:tcBorders>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600" w:type="dxa"/>
            <w:vAlign w:val="bottom"/>
          </w:tcPr>
          <w:p>
            <w:pPr>
              <w:spacing w:after="0"/>
              <w:rPr>
                <w:sz w:val="20"/>
                <w:szCs w:val="20"/>
                <w:color w:val="auto"/>
              </w:rPr>
            </w:pPr>
            <w:r>
              <w:rPr>
                <w:rFonts w:ascii="Arial" w:cs="Arial" w:eastAsia="Arial" w:hAnsi="Arial"/>
                <w:sz w:val="18"/>
                <w:szCs w:val="18"/>
                <w:color w:val="auto"/>
              </w:rPr>
              <w:t>Technology licenses</w:t>
            </w:r>
          </w:p>
        </w:tc>
        <w:tc>
          <w:tcPr>
            <w:tcW w:w="3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23,128</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26,680</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 non-current</w:t>
            </w:r>
          </w:p>
        </w:tc>
        <w:tc>
          <w:tcPr>
            <w:tcW w:w="3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17,950</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18,332</w:t>
            </w:r>
          </w:p>
        </w:tc>
        <w:tc>
          <w:tcPr>
            <w:tcW w:w="80" w:type="dxa"/>
            <w:vAlign w:val="bottom"/>
            <w:tcBorders>
              <w:right w:val="single" w:sz="8" w:color="CCEEFF"/>
            </w:tcBorders>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6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Other</w:t>
            </w:r>
          </w:p>
        </w:tc>
        <w:tc>
          <w:tcPr>
            <w:tcW w:w="38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34,055</w:t>
            </w:r>
          </w:p>
        </w:tc>
        <w:tc>
          <w:tcPr>
            <w:tcW w:w="20" w:type="dxa"/>
            <w:vAlign w:val="bottom"/>
            <w:tcBorders>
              <w:bottom w:val="single" w:sz="8" w:color="auto"/>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45,507</w:t>
            </w:r>
          </w:p>
        </w:tc>
        <w:tc>
          <w:tcPr>
            <w:tcW w:w="80" w:type="dxa"/>
            <w:vAlign w:val="bottom"/>
            <w:tcBorders>
              <w:bottom w:val="single" w:sz="8" w:color="auto"/>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3600" w:type="dxa"/>
            <w:vAlign w:val="bottom"/>
            <w:tcBorders>
              <w:bottom w:val="single" w:sz="8" w:color="CCEEFF"/>
            </w:tcBorders>
            <w:shd w:val="clear" w:color="auto" w:fill="CCEEFF"/>
          </w:tcPr>
          <w:p>
            <w:pPr>
              <w:spacing w:after="0"/>
              <w:rPr>
                <w:sz w:val="18"/>
                <w:szCs w:val="18"/>
                <w:color w:val="auto"/>
              </w:rPr>
            </w:pPr>
          </w:p>
        </w:tc>
        <w:tc>
          <w:tcPr>
            <w:tcW w:w="380" w:type="dxa"/>
            <w:vAlign w:val="bottom"/>
            <w:tcBorders>
              <w:bottom w:val="single" w:sz="8" w:color="CCEEFF"/>
            </w:tcBorders>
            <w:shd w:val="clear" w:color="auto" w:fill="CCEEFF"/>
          </w:tcPr>
          <w:p>
            <w:pPr>
              <w:spacing w:after="0"/>
              <w:rPr>
                <w:sz w:val="18"/>
                <w:szCs w:val="18"/>
                <w:color w:val="auto"/>
              </w:rPr>
            </w:pPr>
          </w:p>
        </w:tc>
        <w:tc>
          <w:tcPr>
            <w:tcW w:w="20" w:type="dxa"/>
            <w:vAlign w:val="bottom"/>
            <w:tcBorders>
              <w:bottom w:val="single" w:sz="8" w:color="CCEEFF"/>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154,998</w:t>
            </w:r>
          </w:p>
        </w:tc>
        <w:tc>
          <w:tcPr>
            <w:tcW w:w="20" w:type="dxa"/>
            <w:vAlign w:val="bottom"/>
            <w:tcBorders>
              <w:bottom w:val="single" w:sz="8" w:color="auto"/>
            </w:tcBorders>
            <w:shd w:val="clear" w:color="auto" w:fill="CCEEFF"/>
          </w:tcPr>
          <w:p>
            <w:pPr>
              <w:spacing w:after="0"/>
              <w:rPr>
                <w:sz w:val="18"/>
                <w:szCs w:val="18"/>
                <w:color w:val="auto"/>
              </w:rPr>
            </w:pPr>
          </w:p>
        </w:tc>
        <w:tc>
          <w:tcPr>
            <w:tcW w:w="200" w:type="dxa"/>
            <w:vAlign w:val="bottom"/>
            <w:tcBorders>
              <w:bottom w:val="single" w:sz="8" w:color="CCEEFF"/>
            </w:tcBorders>
            <w:shd w:val="clear" w:color="auto" w:fill="CCEEFF"/>
          </w:tcPr>
          <w:p>
            <w:pPr>
              <w:spacing w:after="0"/>
              <w:rPr>
                <w:sz w:val="18"/>
                <w:szCs w:val="18"/>
                <w:color w:val="auto"/>
              </w:rPr>
            </w:pPr>
          </w:p>
        </w:tc>
        <w:tc>
          <w:tcPr>
            <w:tcW w:w="2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180,359</w:t>
            </w:r>
          </w:p>
        </w:tc>
        <w:tc>
          <w:tcPr>
            <w:tcW w:w="80" w:type="dxa"/>
            <w:vAlign w:val="bottom"/>
            <w:tcBorders>
              <w:bottom w:val="single" w:sz="8" w:color="auto"/>
              <w:right w:val="single" w:sz="8" w:color="CCEEFF"/>
            </w:tcBorders>
            <w:shd w:val="clear" w:color="auto" w:fill="CCEEFF"/>
          </w:tcPr>
          <w:p>
            <w:pPr>
              <w:spacing w:after="0"/>
              <w:rPr>
                <w:sz w:val="18"/>
                <w:szCs w:val="18"/>
                <w:color w:val="auto"/>
              </w:rPr>
            </w:pPr>
          </w:p>
        </w:tc>
        <w:tc>
          <w:tcPr>
            <w:tcW w:w="2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26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Accrued liabilities (in thousands)</w:t>
            </w:r>
          </w:p>
        </w:tc>
        <w:tc>
          <w:tcPr>
            <w:tcW w:w="3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7"/>
        </w:trPr>
        <w:tc>
          <w:tcPr>
            <w:tcW w:w="4260" w:type="dxa"/>
            <w:vAlign w:val="bottom"/>
            <w:gridSpan w:val="2"/>
            <w:vMerge w:val="continue"/>
          </w:tcPr>
          <w:p>
            <w:pPr>
              <w:spacing w:after="0"/>
              <w:rPr>
                <w:sz w:val="24"/>
                <w:szCs w:val="24"/>
                <w:color w:val="auto"/>
              </w:rPr>
            </w:pPr>
          </w:p>
        </w:tc>
        <w:tc>
          <w:tcPr>
            <w:tcW w:w="3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660" w:type="dxa"/>
            <w:vAlign w:val="bottom"/>
          </w:tcPr>
          <w:p>
            <w:pPr>
              <w:spacing w:after="0"/>
              <w:rPr>
                <w:sz w:val="24"/>
                <w:szCs w:val="24"/>
                <w:color w:val="auto"/>
              </w:rPr>
            </w:pPr>
          </w:p>
        </w:tc>
        <w:tc>
          <w:tcPr>
            <w:tcW w:w="36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40" w:type="dxa"/>
            <w:vAlign w:val="bottom"/>
            <w:gridSpan w:val="2"/>
          </w:tcPr>
          <w:p>
            <w:pPr>
              <w:ind w:left="80"/>
              <w:spacing w:after="0"/>
              <w:rPr>
                <w:sz w:val="20"/>
                <w:szCs w:val="20"/>
                <w:color w:val="auto"/>
              </w:rPr>
            </w:pPr>
            <w:r>
              <w:rPr>
                <w:rFonts w:ascii="Arial" w:cs="Arial" w:eastAsia="Arial" w:hAnsi="Arial"/>
                <w:sz w:val="14"/>
                <w:szCs w:val="14"/>
                <w:b w:val="1"/>
                <w:bCs w:val="1"/>
                <w:color w:val="auto"/>
              </w:rPr>
              <w:t>July 28,</w:t>
            </w: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0" w:type="dxa"/>
            <w:vAlign w:val="bottom"/>
            <w:gridSpan w:val="3"/>
          </w:tcPr>
          <w:p>
            <w:pPr>
              <w:ind w:left="20"/>
              <w:spacing w:after="0"/>
              <w:rPr>
                <w:sz w:val="20"/>
                <w:szCs w:val="20"/>
                <w:color w:val="auto"/>
              </w:rPr>
            </w:pPr>
            <w:r>
              <w:rPr>
                <w:rFonts w:ascii="Arial" w:cs="Arial" w:eastAsia="Arial" w:hAnsi="Arial"/>
                <w:sz w:val="14"/>
                <w:szCs w:val="14"/>
                <w:b w:val="1"/>
                <w:bCs w:val="1"/>
                <w:color w:val="auto"/>
              </w:rPr>
              <w:t>January 27,</w:t>
            </w:r>
          </w:p>
        </w:tc>
        <w:tc>
          <w:tcPr>
            <w:tcW w:w="0" w:type="dxa"/>
            <w:vAlign w:val="bottom"/>
          </w:tcPr>
          <w:p>
            <w:pPr>
              <w:spacing w:after="0"/>
              <w:rPr>
                <w:sz w:val="1"/>
                <w:szCs w:val="1"/>
                <w:color w:val="auto"/>
              </w:rPr>
            </w:pPr>
          </w:p>
        </w:tc>
      </w:tr>
      <w:tr>
        <w:trPr>
          <w:trHeight w:val="162"/>
        </w:trPr>
        <w:tc>
          <w:tcPr>
            <w:tcW w:w="66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right"/>
              <w:ind w:right="272"/>
              <w:spacing w:after="0"/>
              <w:rPr>
                <w:sz w:val="20"/>
                <w:szCs w:val="20"/>
                <w:color w:val="auto"/>
              </w:rPr>
            </w:pPr>
            <w:r>
              <w:rPr>
                <w:rFonts w:ascii="Arial" w:cs="Arial" w:eastAsia="Arial" w:hAnsi="Arial"/>
                <w:sz w:val="14"/>
                <w:szCs w:val="14"/>
                <w:b w:val="1"/>
                <w:bCs w:val="1"/>
                <w:color w:val="auto"/>
              </w:rPr>
              <w:t>2007</w:t>
            </w: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right"/>
              <w:ind w:right="292"/>
              <w:spacing w:after="0"/>
              <w:rPr>
                <w:sz w:val="20"/>
                <w:szCs w:val="20"/>
                <w:color w:val="auto"/>
              </w:rPr>
            </w:pPr>
            <w:r>
              <w:rPr>
                <w:rFonts w:ascii="Arial" w:cs="Arial" w:eastAsia="Arial" w:hAnsi="Arial"/>
                <w:sz w:val="14"/>
                <w:szCs w:val="14"/>
                <w:b w:val="1"/>
                <w:bCs w:val="1"/>
                <w:color w:val="auto"/>
              </w:rPr>
              <w:t>2007</w:t>
            </w: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60" w:type="dxa"/>
            <w:vAlign w:val="bottom"/>
            <w:vMerge w:val="restart"/>
          </w:tcPr>
          <w:p>
            <w:pPr>
              <w:spacing w:after="0"/>
              <w:rPr>
                <w:sz w:val="18"/>
                <w:szCs w:val="18"/>
                <w:color w:val="auto"/>
              </w:rPr>
            </w:pPr>
          </w:p>
        </w:tc>
        <w:tc>
          <w:tcPr>
            <w:tcW w:w="36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vMerge w:val="continue"/>
          </w:tcPr>
          <w:p>
            <w:pPr>
              <w:spacing w:after="0"/>
              <w:rPr>
                <w:sz w:val="18"/>
                <w:szCs w:val="18"/>
                <w:color w:val="auto"/>
              </w:rPr>
            </w:pPr>
          </w:p>
        </w:tc>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Supply agreement liability (see below)</w:t>
            </w:r>
          </w:p>
        </w:tc>
        <w:tc>
          <w:tcPr>
            <w:tcW w:w="560" w:type="dxa"/>
            <w:vAlign w:val="bottom"/>
            <w:gridSpan w:val="3"/>
            <w:shd w:val="clear" w:color="auto" w:fill="CCEEFF"/>
          </w:tcPr>
          <w:p>
            <w:pPr>
              <w:jc w:val="right"/>
              <w:ind w:right="25"/>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58,542</w:t>
            </w:r>
          </w:p>
        </w:tc>
        <w:tc>
          <w:tcPr>
            <w:tcW w:w="20" w:type="dxa"/>
            <w:vAlign w:val="bottom"/>
            <w:shd w:val="clear" w:color="auto" w:fill="CCEEFF"/>
          </w:tcPr>
          <w:p>
            <w:pPr>
              <w:spacing w:after="0"/>
              <w:rPr>
                <w:sz w:val="18"/>
                <w:szCs w:val="18"/>
                <w:color w:val="auto"/>
              </w:rPr>
            </w:pPr>
          </w:p>
        </w:tc>
        <w:tc>
          <w:tcPr>
            <w:tcW w:w="3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174,724</w:t>
            </w:r>
          </w:p>
        </w:tc>
        <w:tc>
          <w:tcPr>
            <w:tcW w:w="80" w:type="dxa"/>
            <w:vAlign w:val="bottom"/>
            <w:tcBorders>
              <w:right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600" w:type="dxa"/>
            <w:vAlign w:val="bottom"/>
          </w:tcPr>
          <w:p>
            <w:pPr>
              <w:spacing w:after="0"/>
              <w:rPr>
                <w:sz w:val="20"/>
                <w:szCs w:val="20"/>
                <w:color w:val="auto"/>
              </w:rPr>
            </w:pPr>
            <w:r>
              <w:rPr>
                <w:rFonts w:ascii="Arial" w:cs="Arial" w:eastAsia="Arial" w:hAnsi="Arial"/>
                <w:sz w:val="18"/>
                <w:szCs w:val="18"/>
                <w:color w:val="auto"/>
              </w:rPr>
              <w:t>Term loan obligations, current portion</w:t>
            </w:r>
          </w:p>
        </w:tc>
        <w:tc>
          <w:tcPr>
            <w:tcW w:w="3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4,000</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4,000</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3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5,981</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7,791</w:t>
            </w:r>
          </w:p>
        </w:tc>
        <w:tc>
          <w:tcPr>
            <w:tcW w:w="80" w:type="dxa"/>
            <w:vAlign w:val="bottom"/>
            <w:tcBorders>
              <w:right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600" w:type="dxa"/>
            <w:vAlign w:val="bottom"/>
          </w:tcPr>
          <w:p>
            <w:pPr>
              <w:spacing w:after="0"/>
              <w:rPr>
                <w:sz w:val="20"/>
                <w:szCs w:val="20"/>
                <w:color w:val="auto"/>
              </w:rPr>
            </w:pPr>
            <w:r>
              <w:rPr>
                <w:rFonts w:ascii="Arial" w:cs="Arial" w:eastAsia="Arial" w:hAnsi="Arial"/>
                <w:sz w:val="18"/>
                <w:szCs w:val="18"/>
                <w:color w:val="auto"/>
              </w:rPr>
              <w:t>Accrued rebates</w:t>
            </w:r>
          </w:p>
        </w:tc>
        <w:tc>
          <w:tcPr>
            <w:tcW w:w="3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17,979</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8,877</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Accrued legal and professional services</w:t>
            </w:r>
          </w:p>
        </w:tc>
        <w:tc>
          <w:tcPr>
            <w:tcW w:w="3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9,158</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16,382</w:t>
            </w:r>
          </w:p>
        </w:tc>
        <w:tc>
          <w:tcPr>
            <w:tcW w:w="80" w:type="dxa"/>
            <w:vAlign w:val="bottom"/>
            <w:tcBorders>
              <w:right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6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Other</w:t>
            </w:r>
          </w:p>
        </w:tc>
        <w:tc>
          <w:tcPr>
            <w:tcW w:w="380" w:type="dxa"/>
            <w:vAlign w:val="bottom"/>
            <w:tcBorders>
              <w:bottom w:val="single" w:sz="8" w:color="CCEEFF"/>
            </w:tcBorders>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32,802</w:t>
            </w:r>
          </w:p>
        </w:tc>
        <w:tc>
          <w:tcPr>
            <w:tcW w:w="20" w:type="dxa"/>
            <w:vAlign w:val="bottom"/>
            <w:tcBorders>
              <w:bottom w:val="single" w:sz="8" w:color="CCEEFF"/>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57,075</w:t>
            </w:r>
          </w:p>
        </w:tc>
        <w:tc>
          <w:tcPr>
            <w:tcW w:w="80" w:type="dxa"/>
            <w:vAlign w:val="bottom"/>
            <w:tcBorders>
              <w:bottom w:val="single" w:sz="8" w:color="CCEEFF"/>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3600" w:type="dxa"/>
            <w:vAlign w:val="bottom"/>
            <w:tcBorders>
              <w:bottom w:val="single" w:sz="8" w:color="CCEEFF"/>
            </w:tcBorders>
            <w:shd w:val="clear" w:color="auto" w:fill="CCEEFF"/>
          </w:tcPr>
          <w:p>
            <w:pPr>
              <w:spacing w:after="0"/>
              <w:rPr>
                <w:sz w:val="18"/>
                <w:szCs w:val="18"/>
                <w:color w:val="auto"/>
              </w:rPr>
            </w:pPr>
          </w:p>
        </w:tc>
        <w:tc>
          <w:tcPr>
            <w:tcW w:w="38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gridSpan w:val="2"/>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128,462</w:t>
            </w:r>
          </w:p>
        </w:tc>
        <w:tc>
          <w:tcPr>
            <w:tcW w:w="2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268,849</w:t>
            </w:r>
          </w:p>
        </w:tc>
        <w:tc>
          <w:tcPr>
            <w:tcW w:w="80" w:type="dxa"/>
            <w:vAlign w:val="bottom"/>
            <w:tcBorders>
              <w:bottom w:val="single" w:sz="8" w:color="CCEEFF"/>
              <w:right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60" w:type="dxa"/>
            <w:vAlign w:val="bottom"/>
          </w:tcPr>
          <w:p>
            <w:pPr>
              <w:spacing w:after="0" w:line="20" w:lineRule="exact"/>
              <w:rPr>
                <w:sz w:val="1"/>
                <w:szCs w:val="1"/>
                <w:color w:val="auto"/>
              </w:rPr>
            </w:pPr>
          </w:p>
        </w:tc>
        <w:tc>
          <w:tcPr>
            <w:tcW w:w="36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3"/>
        </w:trPr>
        <w:tc>
          <w:tcPr>
            <w:tcW w:w="660" w:type="dxa"/>
            <w:vAlign w:val="bottom"/>
          </w:tcPr>
          <w:p>
            <w:pPr>
              <w:spacing w:after="0"/>
              <w:rPr>
                <w:sz w:val="24"/>
                <w:szCs w:val="24"/>
                <w:color w:val="auto"/>
              </w:rPr>
            </w:pPr>
          </w:p>
        </w:tc>
        <w:tc>
          <w:tcPr>
            <w:tcW w:w="36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20" w:type="dxa"/>
            <w:vAlign w:val="bottom"/>
          </w:tcPr>
          <w:p>
            <w:pPr>
              <w:jc w:val="right"/>
              <w:ind w:right="12"/>
              <w:spacing w:after="0"/>
              <w:rPr>
                <w:sz w:val="20"/>
                <w:szCs w:val="20"/>
                <w:color w:val="auto"/>
              </w:rPr>
            </w:pPr>
            <w:r>
              <w:rPr>
                <w:rFonts w:ascii="Arial" w:cs="Arial" w:eastAsia="Arial" w:hAnsi="Arial"/>
                <w:sz w:val="18"/>
                <w:szCs w:val="18"/>
                <w:color w:val="auto"/>
              </w:rPr>
              <w:t>12</w:t>
            </w: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left="260"/>
        <w:spacing w:after="0"/>
        <w:rPr>
          <w:sz w:val="20"/>
          <w:szCs w:val="20"/>
          <w:color w:val="auto"/>
        </w:rPr>
      </w:pPr>
      <w:r>
        <w:rPr>
          <w:rFonts w:ascii="Arial" w:cs="Arial" w:eastAsia="Arial" w:hAnsi="Arial"/>
          <w:sz w:val="17"/>
          <w:szCs w:val="17"/>
          <w:color w:val="auto"/>
        </w:rPr>
        <w:t>The following table presents the changes in the supply agreement liability during the three and six months ended July 28, 2007 (in thousands):</w:t>
      </w:r>
    </w:p>
    <w:p>
      <w:pPr>
        <w:spacing w:after="0" w:line="198"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5280" w:type="dxa"/>
            <w:vAlign w:val="bottom"/>
          </w:tcPr>
          <w:p>
            <w:pPr>
              <w:spacing w:after="0"/>
              <w:rPr>
                <w:sz w:val="14"/>
                <w:szCs w:val="14"/>
                <w:color w:val="auto"/>
              </w:rPr>
            </w:pPr>
          </w:p>
        </w:tc>
        <w:tc>
          <w:tcPr>
            <w:tcW w:w="112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95"/>
              </w:rPr>
              <w:t>Three Months</w:t>
            </w:r>
          </w:p>
        </w:tc>
        <w:tc>
          <w:tcPr>
            <w:tcW w:w="100" w:type="dxa"/>
            <w:vAlign w:val="bottom"/>
          </w:tcPr>
          <w:p>
            <w:pPr>
              <w:spacing w:after="0"/>
              <w:rPr>
                <w:sz w:val="14"/>
                <w:szCs w:val="14"/>
                <w:color w:val="auto"/>
              </w:rPr>
            </w:pPr>
          </w:p>
        </w:tc>
        <w:tc>
          <w:tcPr>
            <w:tcW w:w="92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3"/>
              </w:rPr>
              <w:t>Six Months</w:t>
            </w:r>
          </w:p>
        </w:tc>
      </w:tr>
      <w:tr>
        <w:trPr>
          <w:trHeight w:val="135"/>
        </w:trPr>
        <w:tc>
          <w:tcPr>
            <w:tcW w:w="5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3"/>
              </w:rPr>
              <w:t>Ended</w:t>
            </w:r>
          </w:p>
        </w:tc>
        <w:tc>
          <w:tcPr>
            <w:tcW w:w="100" w:type="dxa"/>
            <w:vAlign w:val="bottom"/>
          </w:tcPr>
          <w:p>
            <w:pPr>
              <w:spacing w:after="0"/>
              <w:rPr>
                <w:sz w:val="11"/>
                <w:szCs w:val="11"/>
                <w:color w:val="auto"/>
              </w:rPr>
            </w:pP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3"/>
              </w:rPr>
              <w:t>Ended</w:t>
            </w:r>
          </w:p>
        </w:tc>
      </w:tr>
      <w:tr>
        <w:trPr>
          <w:trHeight w:val="135"/>
        </w:trPr>
        <w:tc>
          <w:tcPr>
            <w:tcW w:w="5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3"/>
              </w:rPr>
              <w:t>July 28,</w:t>
            </w:r>
          </w:p>
        </w:tc>
        <w:tc>
          <w:tcPr>
            <w:tcW w:w="100" w:type="dxa"/>
            <w:vAlign w:val="bottom"/>
          </w:tcPr>
          <w:p>
            <w:pPr>
              <w:spacing w:after="0"/>
              <w:rPr>
                <w:sz w:val="11"/>
                <w:szCs w:val="11"/>
                <w:color w:val="auto"/>
              </w:rPr>
            </w:pP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3"/>
              </w:rPr>
              <w:t>July 28,</w:t>
            </w:r>
          </w:p>
        </w:tc>
      </w:tr>
      <w:tr>
        <w:trPr>
          <w:trHeight w:val="162"/>
        </w:trPr>
        <w:tc>
          <w:tcPr>
            <w:tcW w:w="52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center"/>
              <w:ind w:right="57"/>
              <w:spacing w:after="0"/>
              <w:rPr>
                <w:sz w:val="20"/>
                <w:szCs w:val="20"/>
                <w:color w:val="auto"/>
              </w:rPr>
            </w:pPr>
            <w:r>
              <w:rPr>
                <w:rFonts w:ascii="Arial" w:cs="Arial" w:eastAsia="Arial" w:hAnsi="Arial"/>
                <w:sz w:val="14"/>
                <w:szCs w:val="14"/>
                <w:b w:val="1"/>
                <w:bCs w:val="1"/>
                <w:color w:val="auto"/>
                <w:w w:val="89"/>
              </w:rPr>
              <w:t>2007</w:t>
            </w:r>
          </w:p>
        </w:tc>
        <w:tc>
          <w:tcPr>
            <w:tcW w:w="2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center"/>
              <w:ind w:right="18"/>
              <w:spacing w:after="0"/>
              <w:rPr>
                <w:sz w:val="20"/>
                <w:szCs w:val="20"/>
                <w:color w:val="auto"/>
              </w:rPr>
            </w:pPr>
            <w:r>
              <w:rPr>
                <w:rFonts w:ascii="Arial" w:cs="Arial" w:eastAsia="Arial" w:hAnsi="Arial"/>
                <w:sz w:val="14"/>
                <w:szCs w:val="14"/>
                <w:b w:val="1"/>
                <w:bCs w:val="1"/>
                <w:color w:val="auto"/>
                <w:w w:val="89"/>
              </w:rPr>
              <w:t>2007</w:t>
            </w:r>
          </w:p>
        </w:tc>
        <w:tc>
          <w:tcPr>
            <w:tcW w:w="100" w:type="dxa"/>
            <w:vAlign w:val="bottom"/>
            <w:tcBorders>
              <w:bottom w:val="single" w:sz="8" w:color="CCEEFF"/>
            </w:tcBorders>
          </w:tcPr>
          <w:p>
            <w:pPr>
              <w:spacing w:after="0"/>
              <w:rPr>
                <w:sz w:val="14"/>
                <w:szCs w:val="14"/>
                <w:color w:val="auto"/>
              </w:rPr>
            </w:pPr>
          </w:p>
        </w:tc>
      </w:tr>
      <w:tr>
        <w:trPr>
          <w:trHeight w:val="196"/>
        </w:trPr>
        <w:tc>
          <w:tcPr>
            <w:tcW w:w="52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Supply agreement liability (included in accrued liabilities):</w:t>
            </w:r>
          </w:p>
        </w:tc>
        <w:tc>
          <w:tcPr>
            <w:tcW w:w="16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5280" w:type="dxa"/>
            <w:vAlign w:val="bottom"/>
          </w:tcPr>
          <w:p>
            <w:pPr>
              <w:ind w:left="180"/>
              <w:spacing w:after="0"/>
              <w:rPr>
                <w:sz w:val="20"/>
                <w:szCs w:val="20"/>
                <w:color w:val="auto"/>
              </w:rPr>
            </w:pPr>
            <w:r>
              <w:rPr>
                <w:rFonts w:ascii="Arial" w:cs="Arial" w:eastAsia="Arial" w:hAnsi="Arial"/>
                <w:sz w:val="18"/>
                <w:szCs w:val="18"/>
                <w:color w:val="auto"/>
              </w:rPr>
              <w:t>Beginning balance</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134,462</w:t>
            </w:r>
          </w:p>
        </w:tc>
        <w:tc>
          <w:tcPr>
            <w:tcW w:w="2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174,724</w:t>
            </w:r>
          </w:p>
        </w:tc>
        <w:tc>
          <w:tcPr>
            <w:tcW w:w="100" w:type="dxa"/>
            <w:vAlign w:val="bottom"/>
          </w:tcPr>
          <w:p>
            <w:pPr>
              <w:spacing w:after="0"/>
              <w:rPr>
                <w:sz w:val="18"/>
                <w:szCs w:val="18"/>
                <w:color w:val="auto"/>
              </w:rPr>
            </w:pPr>
          </w:p>
        </w:tc>
      </w:tr>
      <w:tr>
        <w:trPr>
          <w:trHeight w:val="216"/>
        </w:trPr>
        <w:tc>
          <w:tcPr>
            <w:tcW w:w="52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Credit to cost of goods sold</w:t>
            </w:r>
          </w:p>
        </w:tc>
        <w:tc>
          <w:tcPr>
            <w:tcW w:w="16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(43,885)</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(77,641)</w:t>
            </w:r>
          </w:p>
        </w:tc>
      </w:tr>
      <w:tr>
        <w:trPr>
          <w:trHeight w:val="216"/>
        </w:trPr>
        <w:tc>
          <w:tcPr>
            <w:tcW w:w="5280" w:type="dxa"/>
            <w:vAlign w:val="bottom"/>
          </w:tcPr>
          <w:p>
            <w:pPr>
              <w:ind w:left="360"/>
              <w:spacing w:after="0"/>
              <w:rPr>
                <w:sz w:val="20"/>
                <w:szCs w:val="20"/>
                <w:color w:val="auto"/>
              </w:rPr>
            </w:pPr>
            <w:r>
              <w:rPr>
                <w:rFonts w:ascii="Arial" w:cs="Arial" w:eastAsia="Arial" w:hAnsi="Arial"/>
                <w:sz w:val="18"/>
                <w:szCs w:val="18"/>
                <w:color w:val="auto"/>
              </w:rPr>
              <w:t>Inventory write-down to fair market value</w:t>
            </w:r>
          </w:p>
        </w:tc>
        <w:tc>
          <w:tcPr>
            <w:tcW w:w="160" w:type="dxa"/>
            <w:vAlign w:val="bottom"/>
          </w:tcPr>
          <w:p>
            <w:pPr>
              <w:spacing w:after="0"/>
              <w:rPr>
                <w:sz w:val="18"/>
                <w:szCs w:val="18"/>
                <w:color w:val="auto"/>
              </w:rPr>
            </w:pPr>
          </w:p>
        </w:tc>
        <w:tc>
          <w:tcPr>
            <w:tcW w:w="960" w:type="dxa"/>
            <w:vAlign w:val="bottom"/>
            <w:gridSpan w:val="2"/>
          </w:tcPr>
          <w:p>
            <w:pPr>
              <w:jc w:val="right"/>
              <w:ind w:right="140"/>
              <w:spacing w:after="0"/>
              <w:rPr>
                <w:sz w:val="20"/>
                <w:szCs w:val="20"/>
                <w:color w:val="auto"/>
              </w:rPr>
            </w:pPr>
            <w:r>
              <w:rPr>
                <w:rFonts w:ascii="Arial" w:cs="Arial" w:eastAsia="Arial" w:hAnsi="Arial"/>
                <w:sz w:val="18"/>
                <w:szCs w:val="18"/>
                <w:color w:val="auto"/>
              </w:rPr>
              <w:t>(33,498)</w:t>
            </w:r>
          </w:p>
        </w:tc>
        <w:tc>
          <w:tcPr>
            <w:tcW w:w="100" w:type="dxa"/>
            <w:vAlign w:val="bottom"/>
          </w:tcPr>
          <w:p>
            <w:pPr>
              <w:spacing w:after="0"/>
              <w:rPr>
                <w:sz w:val="18"/>
                <w:szCs w:val="18"/>
                <w:color w:val="auto"/>
              </w:rPr>
            </w:pPr>
          </w:p>
        </w:tc>
        <w:tc>
          <w:tcPr>
            <w:tcW w:w="920" w:type="dxa"/>
            <w:vAlign w:val="bottom"/>
            <w:gridSpan w:val="2"/>
          </w:tcPr>
          <w:p>
            <w:pPr>
              <w:jc w:val="right"/>
              <w:ind w:right="40"/>
              <w:spacing w:after="0"/>
              <w:rPr>
                <w:sz w:val="20"/>
                <w:szCs w:val="20"/>
                <w:color w:val="auto"/>
              </w:rPr>
            </w:pPr>
            <w:r>
              <w:rPr>
                <w:rFonts w:ascii="Arial" w:cs="Arial" w:eastAsia="Arial" w:hAnsi="Arial"/>
                <w:sz w:val="18"/>
                <w:szCs w:val="18"/>
                <w:color w:val="auto"/>
              </w:rPr>
              <w:t>(41,564)</w:t>
            </w:r>
          </w:p>
        </w:tc>
      </w:tr>
      <w:tr>
        <w:trPr>
          <w:trHeight w:val="216"/>
        </w:trPr>
        <w:tc>
          <w:tcPr>
            <w:tcW w:w="52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Interest expense</w:t>
            </w:r>
          </w:p>
        </w:tc>
        <w:tc>
          <w:tcPr>
            <w:tcW w:w="16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1,463</w:t>
            </w: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3,023</w:t>
            </w:r>
          </w:p>
        </w:tc>
        <w:tc>
          <w:tcPr>
            <w:tcW w:w="100" w:type="dxa"/>
            <w:vAlign w:val="bottom"/>
            <w:shd w:val="clear" w:color="auto" w:fill="CCEEFF"/>
          </w:tcPr>
          <w:p>
            <w:pPr>
              <w:spacing w:after="0"/>
              <w:rPr>
                <w:sz w:val="18"/>
                <w:szCs w:val="18"/>
                <w:color w:val="auto"/>
              </w:rPr>
            </w:pPr>
          </w:p>
        </w:tc>
      </w:tr>
      <w:tr>
        <w:trPr>
          <w:trHeight w:val="210"/>
        </w:trPr>
        <w:tc>
          <w:tcPr>
            <w:tcW w:w="5280" w:type="dxa"/>
            <w:vAlign w:val="bottom"/>
          </w:tcPr>
          <w:p>
            <w:pPr>
              <w:ind w:left="180"/>
              <w:spacing w:after="0"/>
              <w:rPr>
                <w:sz w:val="20"/>
                <w:szCs w:val="20"/>
                <w:color w:val="auto"/>
              </w:rPr>
            </w:pPr>
            <w:r>
              <w:rPr>
                <w:rFonts w:ascii="Arial" w:cs="Arial" w:eastAsia="Arial" w:hAnsi="Arial"/>
                <w:sz w:val="18"/>
                <w:szCs w:val="18"/>
                <w:color w:val="auto"/>
              </w:rPr>
              <w:t>Ending balance</w:t>
            </w: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58,542</w:t>
            </w:r>
          </w:p>
        </w:tc>
        <w:tc>
          <w:tcPr>
            <w:tcW w:w="22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58,542</w:t>
            </w:r>
          </w:p>
        </w:tc>
        <w:tc>
          <w:tcPr>
            <w:tcW w:w="100" w:type="dxa"/>
            <w:vAlign w:val="bottom"/>
          </w:tcPr>
          <w:p>
            <w:pPr>
              <w:spacing w:after="0"/>
              <w:rPr>
                <w:sz w:val="18"/>
                <w:szCs w:val="18"/>
                <w:color w:val="auto"/>
              </w:rPr>
            </w:pPr>
          </w:p>
        </w:tc>
      </w:tr>
      <w:tr>
        <w:trPr>
          <w:trHeight w:val="20"/>
        </w:trPr>
        <w:tc>
          <w:tcPr>
            <w:tcW w:w="52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52"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Other long-term liabilities (in thousands)</w:t>
      </w:r>
    </w:p>
    <w:p>
      <w:pPr>
        <w:spacing w:after="0" w:line="191"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4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60" w:type="dxa"/>
            <w:vAlign w:val="bottom"/>
            <w:gridSpan w:val="2"/>
          </w:tcPr>
          <w:p>
            <w:pPr>
              <w:ind w:left="20"/>
              <w:spacing w:after="0"/>
              <w:rPr>
                <w:sz w:val="20"/>
                <w:szCs w:val="20"/>
                <w:color w:val="auto"/>
              </w:rPr>
            </w:pPr>
            <w:r>
              <w:rPr>
                <w:rFonts w:ascii="Arial" w:cs="Arial" w:eastAsia="Arial" w:hAnsi="Arial"/>
                <w:sz w:val="14"/>
                <w:szCs w:val="14"/>
                <w:b w:val="1"/>
                <w:bCs w:val="1"/>
                <w:color w:val="auto"/>
              </w:rPr>
              <w:t>July 28,</w:t>
            </w:r>
          </w:p>
        </w:tc>
        <w:tc>
          <w:tcPr>
            <w:tcW w:w="840" w:type="dxa"/>
            <w:vAlign w:val="bottom"/>
            <w:gridSpan w:val="3"/>
          </w:tcPr>
          <w:p>
            <w:pPr>
              <w:ind w:left="20"/>
              <w:spacing w:after="0"/>
              <w:rPr>
                <w:sz w:val="20"/>
                <w:szCs w:val="20"/>
                <w:color w:val="auto"/>
              </w:rPr>
            </w:pPr>
            <w:r>
              <w:rPr>
                <w:rFonts w:ascii="Arial" w:cs="Arial" w:eastAsia="Arial" w:hAnsi="Arial"/>
                <w:sz w:val="14"/>
                <w:szCs w:val="14"/>
                <w:b w:val="1"/>
                <w:bCs w:val="1"/>
                <w:color w:val="auto"/>
              </w:rPr>
              <w:t>January 27,</w:t>
            </w:r>
          </w:p>
        </w:tc>
      </w:tr>
      <w:tr>
        <w:trPr>
          <w:trHeight w:val="162"/>
        </w:trPr>
        <w:tc>
          <w:tcPr>
            <w:tcW w:w="48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2007</w:t>
            </w:r>
          </w:p>
        </w:tc>
        <w:tc>
          <w:tcPr>
            <w:tcW w:w="80" w:type="dxa"/>
            <w:vAlign w:val="bottom"/>
          </w:tcPr>
          <w:p>
            <w:pPr>
              <w:spacing w:after="0"/>
              <w:rPr>
                <w:sz w:val="14"/>
                <w:szCs w:val="14"/>
                <w:color w:val="auto"/>
              </w:rPr>
            </w:pPr>
          </w:p>
        </w:tc>
      </w:tr>
      <w:tr>
        <w:trPr>
          <w:trHeight w:val="210"/>
        </w:trPr>
        <w:tc>
          <w:tcPr>
            <w:tcW w:w="4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16"/>
        </w:trPr>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38,965</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34,326</w:t>
            </w:r>
          </w:p>
        </w:tc>
        <w:tc>
          <w:tcPr>
            <w:tcW w:w="80" w:type="dxa"/>
            <w:vAlign w:val="bottom"/>
            <w:shd w:val="clear" w:color="auto" w:fill="CCEEFF"/>
          </w:tcPr>
          <w:p>
            <w:pPr>
              <w:spacing w:after="0"/>
              <w:rPr>
                <w:sz w:val="18"/>
                <w:szCs w:val="18"/>
                <w:color w:val="auto"/>
              </w:rPr>
            </w:pPr>
          </w:p>
        </w:tc>
      </w:tr>
      <w:tr>
        <w:trPr>
          <w:trHeight w:val="216"/>
        </w:trPr>
        <w:tc>
          <w:tcPr>
            <w:tcW w:w="4880" w:type="dxa"/>
            <w:vAlign w:val="bottom"/>
          </w:tcPr>
          <w:p>
            <w:pPr>
              <w:spacing w:after="0"/>
              <w:rPr>
                <w:sz w:val="20"/>
                <w:szCs w:val="20"/>
                <w:color w:val="auto"/>
              </w:rPr>
            </w:pPr>
            <w:r>
              <w:rPr>
                <w:rFonts w:ascii="Arial" w:cs="Arial" w:eastAsia="Arial" w:hAnsi="Arial"/>
                <w:sz w:val="18"/>
                <w:szCs w:val="18"/>
                <w:color w:val="auto"/>
              </w:rPr>
              <w:t>Long-term facilities consolidation charge</w:t>
            </w: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1,652</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2,447</w:t>
            </w:r>
          </w:p>
        </w:tc>
        <w:tc>
          <w:tcPr>
            <w:tcW w:w="80" w:type="dxa"/>
            <w:vAlign w:val="bottom"/>
          </w:tcPr>
          <w:p>
            <w:pPr>
              <w:spacing w:after="0"/>
              <w:rPr>
                <w:sz w:val="18"/>
                <w:szCs w:val="18"/>
                <w:color w:val="auto"/>
              </w:rPr>
            </w:pPr>
          </w:p>
        </w:tc>
      </w:tr>
      <w:tr>
        <w:trPr>
          <w:trHeight w:val="216"/>
        </w:trPr>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2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1,728</w:t>
            </w:r>
          </w:p>
        </w:tc>
        <w:tc>
          <w:tcPr>
            <w:tcW w:w="2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23,934</w:t>
            </w:r>
          </w:p>
        </w:tc>
        <w:tc>
          <w:tcPr>
            <w:tcW w:w="80" w:type="dxa"/>
            <w:vAlign w:val="bottom"/>
            <w:shd w:val="clear" w:color="auto" w:fill="CCEEFF"/>
          </w:tcPr>
          <w:p>
            <w:pPr>
              <w:spacing w:after="0"/>
              <w:rPr>
                <w:sz w:val="18"/>
                <w:szCs w:val="18"/>
                <w:color w:val="auto"/>
              </w:rPr>
            </w:pPr>
          </w:p>
        </w:tc>
      </w:tr>
      <w:tr>
        <w:trPr>
          <w:trHeight w:val="210"/>
        </w:trPr>
        <w:tc>
          <w:tcPr>
            <w:tcW w:w="4880" w:type="dxa"/>
            <w:vAlign w:val="bottom"/>
          </w:tcPr>
          <w:p>
            <w:pPr>
              <w:spacing w:after="0"/>
              <w:rPr>
                <w:sz w:val="18"/>
                <w:szCs w:val="18"/>
                <w:color w:val="auto"/>
              </w:rPr>
            </w:pP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42,345</w:t>
            </w:r>
          </w:p>
        </w:tc>
        <w:tc>
          <w:tcPr>
            <w:tcW w:w="220" w:type="dxa"/>
            <w:vAlign w:val="bottom"/>
          </w:tcPr>
          <w:p>
            <w:pPr>
              <w:spacing w:after="0"/>
              <w:rPr>
                <w:sz w:val="18"/>
                <w:szCs w:val="18"/>
                <w:color w:val="auto"/>
              </w:rPr>
            </w:pPr>
          </w:p>
        </w:tc>
        <w:tc>
          <w:tcPr>
            <w:tcW w:w="16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60,707</w:t>
            </w:r>
          </w:p>
        </w:tc>
        <w:tc>
          <w:tcPr>
            <w:tcW w:w="80" w:type="dxa"/>
            <w:vAlign w:val="bottom"/>
          </w:tcPr>
          <w:p>
            <w:pPr>
              <w:spacing w:after="0"/>
              <w:rPr>
                <w:sz w:val="18"/>
                <w:szCs w:val="18"/>
                <w:color w:val="auto"/>
              </w:rPr>
            </w:pPr>
          </w:p>
        </w:tc>
      </w:tr>
      <w:tr>
        <w:trPr>
          <w:trHeight w:val="20"/>
        </w:trPr>
        <w:tc>
          <w:tcPr>
            <w:tcW w:w="48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52"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Net (loss) income per share</w:t>
      </w:r>
    </w:p>
    <w:p>
      <w:pPr>
        <w:spacing w:after="0" w:line="229" w:lineRule="exact"/>
        <w:rPr>
          <w:sz w:val="20"/>
          <w:szCs w:val="20"/>
          <w:color w:val="auto"/>
        </w:rPr>
      </w:pPr>
    </w:p>
    <w:p>
      <w:pPr>
        <w:ind w:firstLine="259"/>
        <w:spacing w:after="0" w:line="259" w:lineRule="auto"/>
        <w:rPr>
          <w:sz w:val="20"/>
          <w:szCs w:val="20"/>
          <w:color w:val="auto"/>
        </w:rPr>
      </w:pPr>
      <w:r>
        <w:rPr>
          <w:rFonts w:ascii="Arial" w:cs="Arial" w:eastAsia="Arial" w:hAnsi="Arial"/>
          <w:sz w:val="18"/>
          <w:szCs w:val="18"/>
          <w:color w:val="auto"/>
        </w:rPr>
        <w:t>The Company reports both basic net (loss) income per share, which is based upon the weighted average number of common shares outstanding excluding contingently issuable or returnable shares, and diluted net (loss) income per share, which is based on the weighted average number of common shares outstanding and dilutive potential common shares. The computations of basic and diluted net (loss) income per share are presented in the following table (in thousands, except per share amounts):</w:t>
      </w:r>
    </w:p>
    <w:p>
      <w:pPr>
        <w:spacing w:after="0" w:line="165" w:lineRule="exact"/>
        <w:rPr>
          <w:sz w:val="20"/>
          <w:szCs w:val="20"/>
          <w:color w:val="auto"/>
        </w:rPr>
      </w:pPr>
    </w:p>
    <w:tbl>
      <w:tblPr>
        <w:tblLayout w:type="fixed"/>
        <w:tblInd w:w="540" w:type="dxa"/>
        <w:tblCellMar>
          <w:top w:w="0" w:type="dxa"/>
          <w:left w:w="0" w:type="dxa"/>
          <w:bottom w:w="0" w:type="dxa"/>
          <w:right w:w="0" w:type="dxa"/>
        </w:tblCellMar>
      </w:tblPr>
      <w:tr>
        <w:trPr>
          <w:trHeight w:val="171"/>
        </w:trPr>
        <w:tc>
          <w:tcPr>
            <w:tcW w:w="44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40" w:type="dxa"/>
            <w:vAlign w:val="bottom"/>
            <w:gridSpan w:val="6"/>
          </w:tcPr>
          <w:p>
            <w:pPr>
              <w:ind w:left="10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1720" w:type="dxa"/>
            <w:vAlign w:val="bottom"/>
            <w:gridSpan w:val="6"/>
          </w:tcPr>
          <w:p>
            <w:pPr>
              <w:ind w:left="20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02"/>
        </w:trPr>
        <w:tc>
          <w:tcPr>
            <w:tcW w:w="444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780" w:type="dxa"/>
            <w:vAlign w:val="bottom"/>
            <w:tcBorders>
              <w:top w:val="single" w:sz="8" w:color="auto"/>
            </w:tcBorders>
            <w:gridSpan w:val="2"/>
          </w:tcPr>
          <w:p>
            <w:pPr>
              <w:jc w:val="right"/>
              <w:ind w:right="200"/>
              <w:spacing w:after="0" w:line="102" w:lineRule="exact"/>
              <w:rPr>
                <w:sz w:val="20"/>
                <w:szCs w:val="20"/>
                <w:color w:val="auto"/>
              </w:rPr>
            </w:pPr>
            <w:r>
              <w:rPr>
                <w:rFonts w:ascii="Arial" w:cs="Arial" w:eastAsia="Arial" w:hAnsi="Arial"/>
                <w:sz w:val="11"/>
                <w:szCs w:val="11"/>
                <w:b w:val="1"/>
                <w:bCs w:val="1"/>
                <w:color w:val="auto"/>
              </w:rPr>
              <w:t>July 28,</w:t>
            </w:r>
          </w:p>
        </w:tc>
        <w:tc>
          <w:tcPr>
            <w:tcW w:w="8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660" w:type="dxa"/>
            <w:vAlign w:val="bottom"/>
            <w:tcBorders>
              <w:top w:val="single" w:sz="8" w:color="auto"/>
            </w:tcBorders>
          </w:tcPr>
          <w:p>
            <w:pPr>
              <w:jc w:val="right"/>
              <w:ind w:right="74"/>
              <w:spacing w:after="0" w:line="102" w:lineRule="exact"/>
              <w:rPr>
                <w:sz w:val="20"/>
                <w:szCs w:val="20"/>
                <w:color w:val="auto"/>
              </w:rPr>
            </w:pPr>
            <w:r>
              <w:rPr>
                <w:rFonts w:ascii="Arial" w:cs="Arial" w:eastAsia="Arial" w:hAnsi="Arial"/>
                <w:sz w:val="11"/>
                <w:szCs w:val="11"/>
                <w:b w:val="1"/>
                <w:bCs w:val="1"/>
                <w:color w:val="auto"/>
              </w:rPr>
              <w:t>July 29,</w:t>
            </w:r>
          </w:p>
        </w:tc>
        <w:tc>
          <w:tcPr>
            <w:tcW w:w="20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820" w:type="dxa"/>
            <w:vAlign w:val="bottom"/>
            <w:tcBorders>
              <w:top w:val="single" w:sz="8" w:color="auto"/>
            </w:tcBorders>
            <w:gridSpan w:val="2"/>
          </w:tcPr>
          <w:p>
            <w:pPr>
              <w:jc w:val="right"/>
              <w:ind w:right="220"/>
              <w:spacing w:after="0" w:line="102" w:lineRule="exact"/>
              <w:rPr>
                <w:sz w:val="20"/>
                <w:szCs w:val="20"/>
                <w:color w:val="auto"/>
              </w:rPr>
            </w:pPr>
            <w:r>
              <w:rPr>
                <w:rFonts w:ascii="Arial" w:cs="Arial" w:eastAsia="Arial" w:hAnsi="Arial"/>
                <w:sz w:val="11"/>
                <w:szCs w:val="11"/>
                <w:b w:val="1"/>
                <w:bCs w:val="1"/>
                <w:color w:val="auto"/>
              </w:rPr>
              <w:t>July 28,</w:t>
            </w:r>
          </w:p>
        </w:tc>
        <w:tc>
          <w:tcPr>
            <w:tcW w:w="6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680" w:type="dxa"/>
            <w:vAlign w:val="bottom"/>
            <w:tcBorders>
              <w:top w:val="single" w:sz="8" w:color="auto"/>
            </w:tcBorders>
          </w:tcPr>
          <w:p>
            <w:pPr>
              <w:jc w:val="right"/>
              <w:ind w:right="74"/>
              <w:spacing w:after="0" w:line="102" w:lineRule="exact"/>
              <w:rPr>
                <w:sz w:val="20"/>
                <w:szCs w:val="20"/>
                <w:color w:val="auto"/>
              </w:rPr>
            </w:pPr>
            <w:r>
              <w:rPr>
                <w:rFonts w:ascii="Arial" w:cs="Arial" w:eastAsia="Arial" w:hAnsi="Arial"/>
                <w:sz w:val="11"/>
                <w:szCs w:val="11"/>
                <w:b w:val="1"/>
                <w:bCs w:val="1"/>
                <w:color w:val="auto"/>
              </w:rPr>
              <w:t>July 29,</w:t>
            </w: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444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2007</w:t>
            </w:r>
          </w:p>
        </w:tc>
        <w:tc>
          <w:tcPr>
            <w:tcW w:w="14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2006</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175"/>
              <w:spacing w:after="0"/>
              <w:rPr>
                <w:sz w:val="20"/>
                <w:szCs w:val="20"/>
                <w:color w:val="auto"/>
              </w:rPr>
            </w:pPr>
            <w:r>
              <w:rPr>
                <w:rFonts w:ascii="Arial" w:cs="Arial" w:eastAsia="Arial" w:hAnsi="Arial"/>
                <w:sz w:val="14"/>
                <w:szCs w:val="14"/>
                <w:b w:val="1"/>
                <w:bCs w:val="1"/>
                <w:color w:val="auto"/>
              </w:rPr>
              <w:t>2007</w:t>
            </w:r>
          </w:p>
        </w:tc>
        <w:tc>
          <w:tcPr>
            <w:tcW w:w="14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2006</w:t>
            </w:r>
          </w:p>
        </w:tc>
        <w:tc>
          <w:tcPr>
            <w:tcW w:w="4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4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4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4440" w:type="dxa"/>
            <w:vAlign w:val="bottom"/>
          </w:tcPr>
          <w:p>
            <w:pPr>
              <w:spacing w:after="0"/>
              <w:rPr>
                <w:sz w:val="20"/>
                <w:szCs w:val="20"/>
                <w:color w:val="auto"/>
              </w:rPr>
            </w:pPr>
            <w:r>
              <w:rPr>
                <w:rFonts w:ascii="Arial" w:cs="Arial" w:eastAsia="Arial" w:hAnsi="Arial"/>
                <w:sz w:val="18"/>
                <w:szCs w:val="18"/>
                <w:color w:val="auto"/>
              </w:rPr>
              <w:t>(Loss) income before change in accounting principle</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(56,456)</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44,881</w:t>
            </w:r>
          </w:p>
        </w:tc>
        <w:tc>
          <w:tcPr>
            <w:tcW w:w="200" w:type="dxa"/>
            <w:vAlign w:val="bottom"/>
          </w:tcPr>
          <w:p>
            <w:pPr>
              <w:spacing w:after="0"/>
              <w:rPr>
                <w:sz w:val="22"/>
                <w:szCs w:val="22"/>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gridSpan w:val="2"/>
          </w:tcPr>
          <w:p>
            <w:pPr>
              <w:jc w:val="right"/>
              <w:spacing w:after="0"/>
              <w:rPr>
                <w:sz w:val="20"/>
                <w:szCs w:val="20"/>
                <w:color w:val="auto"/>
              </w:rPr>
            </w:pPr>
            <w:r>
              <w:rPr>
                <w:rFonts w:ascii="Arial" w:cs="Arial" w:eastAsia="Arial" w:hAnsi="Arial"/>
                <w:sz w:val="18"/>
                <w:szCs w:val="18"/>
                <w:color w:val="auto"/>
                <w:w w:val="93"/>
              </w:rPr>
              <w:t>(109,284)</w:t>
            </w: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w w:val="98"/>
              </w:rPr>
              <w:t>113,598</w:t>
            </w:r>
          </w:p>
        </w:tc>
        <w:tc>
          <w:tcPr>
            <w:tcW w:w="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7"/>
        </w:trPr>
        <w:tc>
          <w:tcPr>
            <w:tcW w:w="4440" w:type="dxa"/>
            <w:vAlign w:val="bottom"/>
            <w:tcBorders>
              <w:top w:val="single" w:sz="8" w:color="CCEEFF"/>
              <w:bottom w:val="single" w:sz="8" w:color="CCEEFF"/>
            </w:tcBorders>
            <w:shd w:val="clear" w:color="auto" w:fill="CCEEFF"/>
          </w:tcPr>
          <w:p>
            <w:pPr>
              <w:spacing w:after="0" w:line="190" w:lineRule="exact"/>
              <w:rPr>
                <w:sz w:val="20"/>
                <w:szCs w:val="20"/>
                <w:color w:val="auto"/>
              </w:rPr>
            </w:pPr>
            <w:r>
              <w:rPr>
                <w:rFonts w:ascii="Arial" w:cs="Arial" w:eastAsia="Arial" w:hAnsi="Arial"/>
                <w:sz w:val="18"/>
                <w:szCs w:val="18"/>
                <w:color w:val="auto"/>
              </w:rPr>
              <w:t>Net (loss) income</w:t>
            </w:r>
          </w:p>
        </w:tc>
        <w:tc>
          <w:tcPr>
            <w:tcW w:w="480" w:type="dxa"/>
            <w:vAlign w:val="bottom"/>
            <w:tcBorders>
              <w:top w:val="single" w:sz="8" w:color="CCEEFF"/>
              <w:bottom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(56,456</w:t>
            </w:r>
          </w:p>
        </w:tc>
        <w:tc>
          <w:tcPr>
            <w:tcW w:w="1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8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44,881</w:t>
            </w:r>
          </w:p>
        </w:tc>
        <w:tc>
          <w:tcPr>
            <w:tcW w:w="20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90"/>
              </w:rPr>
              <w:t>(109,284</w:t>
            </w:r>
          </w:p>
        </w:tc>
        <w:tc>
          <w:tcPr>
            <w:tcW w:w="1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6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98"/>
              </w:rPr>
              <w:t>122,444</w:t>
            </w:r>
          </w:p>
        </w:tc>
        <w:tc>
          <w:tcPr>
            <w:tcW w:w="40" w:type="dxa"/>
            <w:vAlign w:val="bottom"/>
            <w:tcBorders>
              <w:top w:val="single" w:sz="8" w:color="CCEEFF"/>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4440" w:type="dxa"/>
            <w:vAlign w:val="bottom"/>
            <w:vMerge w:val="restart"/>
          </w:tcPr>
          <w:p>
            <w:pPr>
              <w:spacing w:after="0"/>
              <w:rPr>
                <w:sz w:val="20"/>
                <w:szCs w:val="20"/>
                <w:color w:val="auto"/>
              </w:rPr>
            </w:pPr>
            <w:r>
              <w:rPr>
                <w:rFonts w:ascii="Arial" w:cs="Arial" w:eastAsia="Arial" w:hAnsi="Arial"/>
                <w:sz w:val="18"/>
                <w:szCs w:val="18"/>
                <w:color w:val="auto"/>
              </w:rPr>
              <w:t>Denominator:</w:t>
            </w: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4440" w:type="dxa"/>
            <w:vAlign w:val="bottom"/>
            <w:vMerge w:val="continue"/>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w w:val="99"/>
              </w:rPr>
              <w:t>Weighted average shares of common stock outstanding</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587,534</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586,133</w:t>
            </w:r>
          </w:p>
        </w:tc>
        <w:tc>
          <w:tcPr>
            <w:tcW w:w="2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587,480</w:t>
            </w: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584,918</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440" w:type="dxa"/>
            <w:vAlign w:val="bottom"/>
          </w:tcPr>
          <w:p>
            <w:pPr>
              <w:ind w:left="180"/>
              <w:spacing w:after="0"/>
              <w:rPr>
                <w:sz w:val="20"/>
                <w:szCs w:val="20"/>
                <w:color w:val="auto"/>
              </w:rPr>
            </w:pPr>
            <w:r>
              <w:rPr>
                <w:rFonts w:ascii="Arial" w:cs="Arial" w:eastAsia="Arial" w:hAnsi="Arial"/>
                <w:sz w:val="18"/>
                <w:szCs w:val="18"/>
                <w:color w:val="auto"/>
              </w:rPr>
              <w:t>Weighted average shares — basic</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587,534</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5"/>
              </w:rPr>
              <w:t>586,133</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w w:val="98"/>
              </w:rPr>
              <w:t>587,480</w:t>
            </w: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w w:val="98"/>
              </w:rPr>
              <w:t>584,918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40" w:type="dxa"/>
            <w:vAlign w:val="bottom"/>
          </w:tcPr>
          <w:p>
            <w:pPr>
              <w:spacing w:after="0"/>
              <w:rPr>
                <w:sz w:val="20"/>
                <w:szCs w:val="20"/>
                <w:color w:val="auto"/>
              </w:rPr>
            </w:pPr>
            <w:r>
              <w:rPr>
                <w:rFonts w:ascii="Arial" w:cs="Arial" w:eastAsia="Arial" w:hAnsi="Arial"/>
                <w:sz w:val="18"/>
                <w:szCs w:val="18"/>
                <w:color w:val="auto"/>
              </w:rPr>
              <w:t>Warrants</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1,695</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1,741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Contingently issuable shares</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440" w:type="dxa"/>
            <w:vAlign w:val="bottom"/>
          </w:tcPr>
          <w:p>
            <w:pPr>
              <w:spacing w:after="0"/>
              <w:rPr>
                <w:sz w:val="20"/>
                <w:szCs w:val="20"/>
                <w:color w:val="auto"/>
              </w:rPr>
            </w:pPr>
            <w:r>
              <w:rPr>
                <w:rFonts w:ascii="Arial" w:cs="Arial" w:eastAsia="Arial" w:hAnsi="Arial"/>
                <w:sz w:val="18"/>
                <w:szCs w:val="18"/>
                <w:color w:val="auto"/>
              </w:rPr>
              <w:t>Common stock options and other</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45,705</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49,865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44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Weighted average shares — diluted</w:t>
            </w:r>
          </w:p>
        </w:tc>
        <w:tc>
          <w:tcPr>
            <w:tcW w:w="48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587,534</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6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633,533</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587,480</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636,524</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40" w:type="dxa"/>
            <w:vAlign w:val="bottom"/>
            <w:vMerge w:val="restart"/>
          </w:tcPr>
          <w:p>
            <w:pPr>
              <w:spacing w:after="0"/>
              <w:rPr>
                <w:sz w:val="20"/>
                <w:szCs w:val="20"/>
                <w:color w:val="auto"/>
              </w:rPr>
            </w:pPr>
            <w:r>
              <w:rPr>
                <w:rFonts w:ascii="Arial" w:cs="Arial" w:eastAsia="Arial" w:hAnsi="Arial"/>
                <w:sz w:val="18"/>
                <w:szCs w:val="18"/>
                <w:color w:val="auto"/>
              </w:rPr>
              <w:t>(Loss) income before change in accounting principle</w:t>
            </w: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4440" w:type="dxa"/>
            <w:vAlign w:val="bottom"/>
            <w:vMerge w:val="continue"/>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(0.10)</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40" w:type="dxa"/>
            <w:vAlign w:val="bottom"/>
            <w:tcBorders>
              <w:top w:val="single" w:sz="8" w:color="CCEEFF"/>
              <w:bottom w:val="single" w:sz="8" w:color="CCEEFF"/>
            </w:tcBorders>
            <w:vMerge w:val="restart"/>
          </w:tcPr>
          <w:p>
            <w:pPr>
              <w:ind w:left="180"/>
              <w:spacing w:after="0"/>
              <w:rPr>
                <w:sz w:val="20"/>
                <w:szCs w:val="20"/>
                <w:color w:val="auto"/>
              </w:rPr>
            </w:pPr>
            <w:r>
              <w:rPr>
                <w:rFonts w:ascii="Arial" w:cs="Arial" w:eastAsia="Arial" w:hAnsi="Arial"/>
                <w:sz w:val="18"/>
                <w:szCs w:val="18"/>
                <w:color w:val="auto"/>
              </w:rPr>
              <w:t>Diluted</w:t>
            </w:r>
          </w:p>
        </w:tc>
        <w:tc>
          <w:tcPr>
            <w:tcW w:w="480" w:type="dxa"/>
            <w:vAlign w:val="bottom"/>
            <w:tcBorders>
              <w:top w:val="single" w:sz="8" w:color="CCEEFF"/>
              <w:bottom w:val="single" w:sz="8" w:color="CCEEFF"/>
            </w:tcBorders>
            <w:vMerge w:val="restart"/>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bottom w:val="single" w:sz="8" w:color="CCEEFF"/>
            </w:tcBorders>
            <w:vMerge w:val="restart"/>
          </w:tcPr>
          <w:p>
            <w:pPr>
              <w:jc w:val="right"/>
              <w:spacing w:after="0"/>
              <w:rPr>
                <w:sz w:val="20"/>
                <w:szCs w:val="20"/>
                <w:color w:val="auto"/>
              </w:rPr>
            </w:pPr>
            <w:r>
              <w:rPr>
                <w:rFonts w:ascii="Arial" w:cs="Arial" w:eastAsia="Arial" w:hAnsi="Arial"/>
                <w:sz w:val="16"/>
                <w:szCs w:val="16"/>
                <w:color w:val="auto"/>
                <w:w w:val="74"/>
              </w:rPr>
              <w:t>)</w:t>
            </w:r>
          </w:p>
        </w:tc>
        <w:tc>
          <w:tcPr>
            <w:tcW w:w="80" w:type="dxa"/>
            <w:vAlign w:val="bottom"/>
            <w:tcBorders>
              <w:top w:val="single" w:sz="8" w:color="CCEEFF"/>
              <w:bottom w:val="single" w:sz="8" w:color="CCEEFF"/>
            </w:tcBorders>
            <w:vMerge w:val="restart"/>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bottom w:val="single" w:sz="8" w:color="CCEEFF"/>
            </w:tcBorders>
            <w:vMerge w:val="restart"/>
          </w:tcPr>
          <w:p>
            <w:pPr>
              <w:jc w:val="right"/>
              <w:spacing w:after="0"/>
              <w:rPr>
                <w:sz w:val="20"/>
                <w:szCs w:val="20"/>
                <w:color w:val="auto"/>
              </w:rPr>
            </w:pPr>
            <w:r>
              <w:rPr>
                <w:rFonts w:ascii="Arial" w:cs="Arial" w:eastAsia="Arial" w:hAnsi="Arial"/>
                <w:sz w:val="16"/>
                <w:szCs w:val="16"/>
                <w:color w:val="auto"/>
                <w:w w:val="74"/>
              </w:rPr>
              <w:t>)</w:t>
            </w:r>
          </w:p>
        </w:tc>
        <w:tc>
          <w:tcPr>
            <w:tcW w:w="60" w:type="dxa"/>
            <w:vAlign w:val="bottom"/>
            <w:tcBorders>
              <w:top w:val="single" w:sz="8" w:color="CCEEFF"/>
              <w:bottom w:val="single" w:sz="8" w:color="CCEEFF"/>
            </w:tcBorders>
            <w:vMerge w:val="restart"/>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4440" w:type="dxa"/>
            <w:vAlign w:val="bottom"/>
            <w:tcBorders>
              <w:bottom w:val="single" w:sz="8" w:color="CCEEFF"/>
            </w:tcBorders>
            <w:vMerge w:val="continue"/>
          </w:tcPr>
          <w:p>
            <w:pPr>
              <w:spacing w:after="0"/>
              <w:rPr>
                <w:sz w:val="20"/>
                <w:szCs w:val="20"/>
                <w:color w:val="auto"/>
              </w:rPr>
            </w:pPr>
          </w:p>
        </w:tc>
        <w:tc>
          <w:tcPr>
            <w:tcW w:w="480" w:type="dxa"/>
            <w:vAlign w:val="bottom"/>
            <w:tcBorders>
              <w:bottom w:val="single" w:sz="8" w:color="CCEEFF"/>
            </w:tcBorders>
            <w:vMerge w:val="continue"/>
          </w:tcPr>
          <w:p>
            <w:pPr>
              <w:spacing w:after="0"/>
              <w:rPr>
                <w:sz w:val="20"/>
                <w:szCs w:val="20"/>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(0.10</w:t>
            </w:r>
          </w:p>
        </w:tc>
        <w:tc>
          <w:tcPr>
            <w:tcW w:w="140" w:type="dxa"/>
            <w:vAlign w:val="bottom"/>
            <w:tcBorders>
              <w:bottom w:val="single" w:sz="8" w:color="CCEEFF"/>
            </w:tcBorders>
            <w:vMerge w:val="continue"/>
          </w:tcPr>
          <w:p>
            <w:pPr>
              <w:spacing w:after="0"/>
              <w:rPr>
                <w:sz w:val="20"/>
                <w:szCs w:val="20"/>
                <w:color w:val="auto"/>
              </w:rPr>
            </w:pPr>
          </w:p>
        </w:tc>
        <w:tc>
          <w:tcPr>
            <w:tcW w:w="80" w:type="dxa"/>
            <w:vAlign w:val="bottom"/>
            <w:tcBorders>
              <w:bottom w:val="single" w:sz="8" w:color="CCEEFF"/>
            </w:tcBorders>
            <w:vMerge w:val="continue"/>
          </w:tcPr>
          <w:p>
            <w:pPr>
              <w:spacing w:after="0"/>
              <w:rPr>
                <w:sz w:val="20"/>
                <w:szCs w:val="20"/>
                <w:color w:val="auto"/>
              </w:rPr>
            </w:pPr>
          </w:p>
        </w:tc>
        <w:tc>
          <w:tcPr>
            <w:tcW w:w="1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6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0.07</w:t>
            </w:r>
          </w:p>
        </w:tc>
        <w:tc>
          <w:tcPr>
            <w:tcW w:w="200" w:type="dxa"/>
            <w:vAlign w:val="bottom"/>
            <w:tcBorders>
              <w:bottom w:val="single" w:sz="8" w:color="CCEEFF"/>
            </w:tcBorders>
          </w:tcPr>
          <w:p>
            <w:pPr>
              <w:spacing w:after="0"/>
              <w:rPr>
                <w:sz w:val="20"/>
                <w:szCs w:val="20"/>
                <w:color w:val="auto"/>
              </w:rPr>
            </w:pPr>
          </w:p>
        </w:tc>
        <w:tc>
          <w:tcPr>
            <w:tcW w:w="1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6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(0.19</w:t>
            </w:r>
          </w:p>
        </w:tc>
        <w:tc>
          <w:tcPr>
            <w:tcW w:w="140" w:type="dxa"/>
            <w:vAlign w:val="bottom"/>
            <w:tcBorders>
              <w:bottom w:val="single" w:sz="8" w:color="CCEEFF"/>
            </w:tcBorders>
            <w:vMerge w:val="continue"/>
          </w:tcPr>
          <w:p>
            <w:pPr>
              <w:spacing w:after="0"/>
              <w:rPr>
                <w:sz w:val="20"/>
                <w:szCs w:val="20"/>
                <w:color w:val="auto"/>
              </w:rPr>
            </w:pPr>
          </w:p>
        </w:tc>
        <w:tc>
          <w:tcPr>
            <w:tcW w:w="60" w:type="dxa"/>
            <w:vAlign w:val="bottom"/>
            <w:tcBorders>
              <w:bottom w:val="single" w:sz="8" w:color="CCEEFF"/>
            </w:tcBorders>
            <w:vMerge w:val="continue"/>
          </w:tcPr>
          <w:p>
            <w:pPr>
              <w:spacing w:after="0"/>
              <w:rPr>
                <w:sz w:val="20"/>
                <w:szCs w:val="20"/>
                <w:color w:val="auto"/>
              </w:rPr>
            </w:pPr>
          </w:p>
        </w:tc>
        <w:tc>
          <w:tcPr>
            <w:tcW w:w="1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6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0.18</w:t>
            </w:r>
          </w:p>
        </w:tc>
        <w:tc>
          <w:tcPr>
            <w:tcW w:w="40" w:type="dxa"/>
            <w:vAlign w:val="bottom"/>
            <w:tcBorders>
              <w:bottom w:val="single" w:sz="8" w:color="CCEEFF"/>
            </w:tcBorders>
          </w:tcPr>
          <w:p>
            <w:pPr>
              <w:spacing w:after="0"/>
              <w:rPr>
                <w:sz w:val="20"/>
                <w:szCs w:val="20"/>
                <w:color w:val="auto"/>
              </w:rPr>
            </w:pPr>
          </w:p>
        </w:tc>
        <w:tc>
          <w:tcPr>
            <w:tcW w:w="0" w:type="dxa"/>
            <w:vAlign w:val="bottom"/>
          </w:tcPr>
          <w:p>
            <w:pPr>
              <w:spacing w:after="0"/>
              <w:rPr>
                <w:sz w:val="1"/>
                <w:szCs w:val="1"/>
                <w:color w:val="auto"/>
              </w:rPr>
            </w:pPr>
          </w:p>
        </w:tc>
      </w:tr>
      <w:tr>
        <w:trPr>
          <w:trHeight w:val="170"/>
        </w:trPr>
        <w:tc>
          <w:tcPr>
            <w:tcW w:w="4440" w:type="dxa"/>
            <w:vAlign w:val="bottom"/>
            <w:shd w:val="clear" w:color="auto" w:fill="CCEEFF"/>
          </w:tcPr>
          <w:p>
            <w:pPr>
              <w:spacing w:after="0" w:line="170" w:lineRule="exact"/>
              <w:rPr>
                <w:sz w:val="20"/>
                <w:szCs w:val="20"/>
                <w:color w:val="auto"/>
              </w:rPr>
            </w:pPr>
            <w:r>
              <w:rPr>
                <w:rFonts w:ascii="Arial" w:cs="Arial" w:eastAsia="Arial" w:hAnsi="Arial"/>
                <w:sz w:val="18"/>
                <w:szCs w:val="18"/>
                <w:color w:val="auto"/>
              </w:rPr>
              <w:t>Net (loss) income per share</w:t>
            </w:r>
          </w:p>
        </w:tc>
        <w:tc>
          <w:tcPr>
            <w:tcW w:w="4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4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66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68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680" w:type="dxa"/>
            <w:vAlign w:val="bottom"/>
            <w:shd w:val="clear" w:color="auto" w:fill="CCEEFF"/>
          </w:tcPr>
          <w:p>
            <w:pPr>
              <w:spacing w:after="0"/>
              <w:rPr>
                <w:sz w:val="14"/>
                <w:szCs w:val="14"/>
                <w:color w:val="auto"/>
              </w:rPr>
            </w:pPr>
          </w:p>
        </w:tc>
        <w:tc>
          <w:tcPr>
            <w:tcW w:w="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56"/>
        </w:trPr>
        <w:tc>
          <w:tcPr>
            <w:tcW w:w="4440" w:type="dxa"/>
            <w:vAlign w:val="bottom"/>
          </w:tcPr>
          <w:p>
            <w:pPr>
              <w:ind w:left="180"/>
              <w:spacing w:after="0"/>
              <w:rPr>
                <w:sz w:val="20"/>
                <w:szCs w:val="20"/>
                <w:color w:val="auto"/>
              </w:rPr>
            </w:pPr>
            <w:r>
              <w:rPr>
                <w:rFonts w:ascii="Arial" w:cs="Arial" w:eastAsia="Arial" w:hAnsi="Arial"/>
                <w:sz w:val="18"/>
                <w:szCs w:val="18"/>
                <w:color w:val="auto"/>
              </w:rPr>
              <w:t>Basic</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(0.10)</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0.08</w:t>
            </w:r>
          </w:p>
        </w:tc>
        <w:tc>
          <w:tcPr>
            <w:tcW w:w="200" w:type="dxa"/>
            <w:vAlign w:val="bottom"/>
          </w:tcPr>
          <w:p>
            <w:pPr>
              <w:spacing w:after="0"/>
              <w:rPr>
                <w:sz w:val="22"/>
                <w:szCs w:val="22"/>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(0.19)</w:t>
            </w: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0.21</w:t>
            </w:r>
          </w:p>
        </w:tc>
        <w:tc>
          <w:tcPr>
            <w:tcW w:w="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7"/>
        </w:trPr>
        <w:tc>
          <w:tcPr>
            <w:tcW w:w="4440" w:type="dxa"/>
            <w:vAlign w:val="bottom"/>
            <w:tcBorders>
              <w:top w:val="single" w:sz="8" w:color="CCEEFF"/>
              <w:bottom w:val="single" w:sz="8" w:color="CCEEFF"/>
            </w:tcBorders>
            <w:shd w:val="clear" w:color="auto" w:fill="CCEEFF"/>
          </w:tcPr>
          <w:p>
            <w:pPr>
              <w:ind w:left="180"/>
              <w:spacing w:after="0" w:line="190" w:lineRule="exact"/>
              <w:rPr>
                <w:sz w:val="20"/>
                <w:szCs w:val="20"/>
                <w:color w:val="auto"/>
              </w:rPr>
            </w:pPr>
            <w:r>
              <w:rPr>
                <w:rFonts w:ascii="Arial" w:cs="Arial" w:eastAsia="Arial" w:hAnsi="Arial"/>
                <w:sz w:val="18"/>
                <w:szCs w:val="18"/>
                <w:color w:val="auto"/>
              </w:rPr>
              <w:t>Diluted</w:t>
            </w:r>
          </w:p>
        </w:tc>
        <w:tc>
          <w:tcPr>
            <w:tcW w:w="480" w:type="dxa"/>
            <w:vAlign w:val="bottom"/>
            <w:tcBorders>
              <w:top w:val="single" w:sz="8" w:color="CCEEFF"/>
              <w:bottom w:val="single" w:sz="8" w:color="CCEEFF"/>
            </w:tcBorders>
            <w:shd w:val="clear" w:color="auto" w:fill="CCEEFF"/>
          </w:tcPr>
          <w:p>
            <w:pPr>
              <w:spacing w:after="0"/>
              <w:rPr>
                <w:sz w:val="17"/>
                <w:szCs w:val="17"/>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(0.10</w:t>
            </w:r>
          </w:p>
        </w:tc>
        <w:tc>
          <w:tcPr>
            <w:tcW w:w="1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8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0.07</w:t>
            </w:r>
          </w:p>
        </w:tc>
        <w:tc>
          <w:tcPr>
            <w:tcW w:w="20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(0.19</w:t>
            </w:r>
          </w:p>
        </w:tc>
        <w:tc>
          <w:tcPr>
            <w:tcW w:w="1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6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0.19</w:t>
            </w:r>
          </w:p>
        </w:tc>
        <w:tc>
          <w:tcPr>
            <w:tcW w:w="40" w:type="dxa"/>
            <w:vAlign w:val="bottom"/>
            <w:tcBorders>
              <w:top w:val="single" w:sz="8" w:color="CCEEFF"/>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44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320"/>
          </w:cols>
          <w:pgMar w:left="240" w:top="140" w:right="339" w:bottom="0" w:gutter="0" w:footer="0" w:header="0"/>
        </w:sectPr>
      </w:pPr>
    </w:p>
    <w:bookmarkStart w:id="9" w:name="page10"/>
    <w:bookmarkEnd w:id="9"/>
    <w:p>
      <w:pPr>
        <w:spacing w:after="0" w:line="33" w:lineRule="exact"/>
        <w:rPr>
          <w:sz w:val="20"/>
          <w:szCs w:val="20"/>
          <w:color w:val="auto"/>
        </w:rPr>
      </w:pPr>
    </w:p>
    <w:p>
      <w:pPr>
        <w:ind w:right="180" w:firstLine="259"/>
        <w:spacing w:after="0" w:line="259" w:lineRule="auto"/>
        <w:rPr>
          <w:sz w:val="20"/>
          <w:szCs w:val="20"/>
          <w:color w:val="auto"/>
        </w:rPr>
      </w:pPr>
      <w:r>
        <w:rPr>
          <w:rFonts w:ascii="Arial" w:cs="Arial" w:eastAsia="Arial" w:hAnsi="Arial"/>
          <w:sz w:val="18"/>
          <w:szCs w:val="18"/>
          <w:color w:val="auto"/>
        </w:rPr>
        <w:t>The anti-dilutive effects of warrants, common stock options, restricted stock and other securities totaling 41,056,440 shares were excluded from diluted net loss per share for the three months ended July 28, 2007. Options to purchase 34,197,280 common shares at a weighted average exercise price of $24.77 have been excluded from the computation of diluted net income per share for the three months ended July 29, 2006 using the treasury stock method calculation.</w:t>
      </w:r>
    </w:p>
    <w:p>
      <w:pPr>
        <w:spacing w:after="0" w:line="200" w:lineRule="exact"/>
        <w:rPr>
          <w:sz w:val="20"/>
          <w:szCs w:val="20"/>
          <w:color w:val="auto"/>
        </w:rPr>
      </w:pPr>
    </w:p>
    <w:p>
      <w:pPr>
        <w:spacing w:after="0" w:line="2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120" w:firstLine="259"/>
        <w:spacing w:after="0" w:line="312" w:lineRule="auto"/>
        <w:rPr>
          <w:sz w:val="20"/>
          <w:szCs w:val="20"/>
          <w:color w:val="auto"/>
        </w:rPr>
      </w:pPr>
      <w:r>
        <w:rPr>
          <w:rFonts w:ascii="Arial" w:cs="Arial" w:eastAsia="Arial" w:hAnsi="Arial"/>
          <w:sz w:val="16"/>
          <w:szCs w:val="16"/>
          <w:color w:val="auto"/>
        </w:rPr>
        <w:t>The anti-dilutive effects of warrants, common stock options, restricted stock and other securities totaling 42,493,261 were excluded from diluted net loss per share for the six months ended July 28, 2007. Options to purchase 26,643,184 common shares at a weighted average exercise price of $24.58 have been excluded from the computation of diluted net income per share for the six months ended July 29, 2006 using the treasury stock method calculation.</w:t>
      </w:r>
    </w:p>
    <w:p>
      <w:pPr>
        <w:spacing w:after="0" w:line="143"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Comprehensive (loss) income (in thousands)</w:t>
      </w:r>
    </w:p>
    <w:p>
      <w:pPr>
        <w:spacing w:after="0" w:line="207" w:lineRule="exact"/>
        <w:rPr>
          <w:sz w:val="20"/>
          <w:szCs w:val="20"/>
          <w:color w:val="auto"/>
        </w:rPr>
      </w:pPr>
    </w:p>
    <w:tbl>
      <w:tblPr>
        <w:tblLayout w:type="fixed"/>
        <w:tblInd w:w="54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8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60" w:type="dxa"/>
            <w:vAlign w:val="bottom"/>
            <w:gridSpan w:val="5"/>
          </w:tcPr>
          <w:p>
            <w:pPr>
              <w:ind w:left="100"/>
              <w:spacing w:after="0"/>
              <w:rPr>
                <w:sz w:val="20"/>
                <w:szCs w:val="20"/>
                <w:color w:val="auto"/>
              </w:rPr>
            </w:pPr>
            <w:r>
              <w:rPr>
                <w:rFonts w:ascii="Arial" w:cs="Arial" w:eastAsia="Arial" w:hAnsi="Arial"/>
                <w:sz w:val="14"/>
                <w:szCs w:val="14"/>
                <w:b w:val="1"/>
                <w:bCs w:val="1"/>
                <w:color w:val="auto"/>
              </w:rPr>
              <w:t>Three Months Ended</w:t>
            </w:r>
          </w:p>
        </w:tc>
        <w:tc>
          <w:tcPr>
            <w:tcW w:w="1860" w:type="dxa"/>
            <w:vAlign w:val="bottom"/>
            <w:gridSpan w:val="5"/>
          </w:tcPr>
          <w:p>
            <w:pPr>
              <w:ind w:left="3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880" w:type="dxa"/>
            <w:vAlign w:val="bottom"/>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860" w:type="dxa"/>
            <w:vAlign w:val="bottom"/>
            <w:tcBorders>
              <w:top w:val="single" w:sz="8" w:color="auto"/>
            </w:tcBorders>
            <w:gridSpan w:val="2"/>
          </w:tcPr>
          <w:p>
            <w:pPr>
              <w:jc w:val="right"/>
              <w:ind w:right="280"/>
              <w:spacing w:after="0" w:line="103" w:lineRule="exact"/>
              <w:rPr>
                <w:sz w:val="20"/>
                <w:szCs w:val="20"/>
                <w:color w:val="auto"/>
              </w:rPr>
            </w:pPr>
            <w:r>
              <w:rPr>
                <w:rFonts w:ascii="Arial" w:cs="Arial" w:eastAsia="Arial" w:hAnsi="Arial"/>
                <w:sz w:val="11"/>
                <w:szCs w:val="11"/>
                <w:b w:val="1"/>
                <w:bCs w:val="1"/>
                <w:color w:val="auto"/>
              </w:rPr>
              <w:t>July 28,</w:t>
            </w:r>
          </w:p>
        </w:tc>
        <w:tc>
          <w:tcPr>
            <w:tcW w:w="120" w:type="dxa"/>
            <w:vAlign w:val="bottom"/>
            <w:tcBorders>
              <w:top w:val="single" w:sz="8" w:color="auto"/>
            </w:tcBorders>
          </w:tcPr>
          <w:p>
            <w:pPr>
              <w:spacing w:after="0"/>
              <w:rPr>
                <w:sz w:val="8"/>
                <w:szCs w:val="8"/>
                <w:color w:val="auto"/>
              </w:rPr>
            </w:pPr>
          </w:p>
        </w:tc>
        <w:tc>
          <w:tcPr>
            <w:tcW w:w="660" w:type="dxa"/>
            <w:vAlign w:val="bottom"/>
            <w:tcBorders>
              <w:top w:val="single" w:sz="8" w:color="auto"/>
            </w:tcBorders>
          </w:tcPr>
          <w:p>
            <w:pPr>
              <w:jc w:val="right"/>
              <w:ind w:right="81"/>
              <w:spacing w:after="0" w:line="103"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1000" w:type="dxa"/>
            <w:vAlign w:val="bottom"/>
            <w:tcBorders>
              <w:top w:val="single" w:sz="8" w:color="auto"/>
            </w:tcBorders>
            <w:gridSpan w:val="2"/>
          </w:tcPr>
          <w:p>
            <w:pPr>
              <w:jc w:val="right"/>
              <w:ind w:right="300"/>
              <w:spacing w:after="0" w:line="103" w:lineRule="exact"/>
              <w:rPr>
                <w:sz w:val="20"/>
                <w:szCs w:val="20"/>
                <w:color w:val="auto"/>
              </w:rPr>
            </w:pPr>
            <w:r>
              <w:rPr>
                <w:rFonts w:ascii="Arial" w:cs="Arial" w:eastAsia="Arial" w:hAnsi="Arial"/>
                <w:sz w:val="11"/>
                <w:szCs w:val="11"/>
                <w:b w:val="1"/>
                <w:bCs w:val="1"/>
                <w:color w:val="auto"/>
              </w:rPr>
              <w:t>July 28,</w:t>
            </w:r>
          </w:p>
        </w:tc>
        <w:tc>
          <w:tcPr>
            <w:tcW w:w="120" w:type="dxa"/>
            <w:vAlign w:val="bottom"/>
            <w:tcBorders>
              <w:top w:val="single" w:sz="8" w:color="auto"/>
            </w:tcBorders>
          </w:tcPr>
          <w:p>
            <w:pPr>
              <w:spacing w:after="0"/>
              <w:rPr>
                <w:sz w:val="8"/>
                <w:szCs w:val="8"/>
                <w:color w:val="auto"/>
              </w:rPr>
            </w:pPr>
          </w:p>
        </w:tc>
        <w:tc>
          <w:tcPr>
            <w:tcW w:w="660" w:type="dxa"/>
            <w:vAlign w:val="bottom"/>
            <w:tcBorders>
              <w:top w:val="single" w:sz="8" w:color="auto"/>
            </w:tcBorders>
          </w:tcPr>
          <w:p>
            <w:pPr>
              <w:jc w:val="right"/>
              <w:ind w:right="81"/>
              <w:spacing w:after="0" w:line="103" w:lineRule="exact"/>
              <w:rPr>
                <w:sz w:val="20"/>
                <w:szCs w:val="20"/>
                <w:color w:val="auto"/>
              </w:rPr>
            </w:pPr>
            <w:r>
              <w:rPr>
                <w:rFonts w:ascii="Arial" w:cs="Arial" w:eastAsia="Arial" w:hAnsi="Arial"/>
                <w:sz w:val="11"/>
                <w:szCs w:val="11"/>
                <w:b w:val="1"/>
                <w:bCs w:val="1"/>
                <w:color w:val="auto"/>
              </w:rPr>
              <w:t>July 29,</w:t>
            </w:r>
          </w:p>
        </w:tc>
        <w:tc>
          <w:tcPr>
            <w:tcW w:w="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8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82"/>
              <w:spacing w:after="0"/>
              <w:rPr>
                <w:sz w:val="20"/>
                <w:szCs w:val="20"/>
                <w:color w:val="auto"/>
              </w:rPr>
            </w:pPr>
            <w:r>
              <w:rPr>
                <w:rFonts w:ascii="Arial" w:cs="Arial" w:eastAsia="Arial" w:hAnsi="Arial"/>
                <w:sz w:val="14"/>
                <w:szCs w:val="14"/>
                <w:b w:val="1"/>
                <w:bCs w:val="1"/>
                <w:color w:val="auto"/>
              </w:rPr>
              <w:t>2007</w:t>
            </w:r>
          </w:p>
        </w:tc>
        <w:tc>
          <w:tcPr>
            <w:tcW w:w="2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81"/>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780" w:type="dxa"/>
            <w:vAlign w:val="bottom"/>
            <w:tcBorders>
              <w:bottom w:val="single" w:sz="8" w:color="auto"/>
            </w:tcBorders>
          </w:tcPr>
          <w:p>
            <w:pPr>
              <w:jc w:val="right"/>
              <w:ind w:right="182"/>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81"/>
              <w:spacing w:after="0"/>
              <w:rPr>
                <w:sz w:val="20"/>
                <w:szCs w:val="20"/>
                <w:color w:val="auto"/>
              </w:rPr>
            </w:pPr>
            <w:r>
              <w:rPr>
                <w:rFonts w:ascii="Arial" w:cs="Arial" w:eastAsia="Arial" w:hAnsi="Arial"/>
                <w:sz w:val="14"/>
                <w:szCs w:val="14"/>
                <w:b w:val="1"/>
                <w:bCs w:val="1"/>
                <w:color w:val="auto"/>
              </w:rPr>
              <w:t>2006</w:t>
            </w: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48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Net (loss) income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(56,456)</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44,881</w:t>
            </w:r>
          </w:p>
        </w:tc>
        <w:tc>
          <w:tcPr>
            <w:tcW w:w="2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89"/>
              </w:rPr>
              <w:t>$ (109,284)</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122,444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Other comprehensive (loss) income:</w:t>
            </w: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8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5"/>
              </w:rPr>
              <w:t>Unrealized gain on available-for-sale investments and other, net</w:t>
            </w:r>
          </w:p>
        </w:tc>
        <w:tc>
          <w:tcPr>
            <w:tcW w:w="10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of tax</w:t>
            </w:r>
          </w:p>
        </w:tc>
        <w:tc>
          <w:tcPr>
            <w:tcW w:w="100" w:type="dxa"/>
            <w:vAlign w:val="bottom"/>
            <w:tcBorders>
              <w:bottom w:val="single" w:sz="8" w:color="auto"/>
            </w:tcBorders>
            <w:shd w:val="clear" w:color="auto" w:fill="CCEEFF"/>
          </w:tcPr>
          <w:p>
            <w:pPr>
              <w:spacing w:after="0"/>
              <w:rPr>
                <w:sz w:val="20"/>
                <w:szCs w:val="20"/>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129</w:t>
            </w:r>
          </w:p>
        </w:tc>
        <w:tc>
          <w:tcPr>
            <w:tcW w:w="200" w:type="dxa"/>
            <w:vAlign w:val="bottom"/>
            <w:shd w:val="clear" w:color="auto" w:fill="CCEEFF"/>
          </w:tcPr>
          <w:p>
            <w:pPr>
              <w:spacing w:after="0"/>
              <w:rPr>
                <w:sz w:val="20"/>
                <w:szCs w:val="20"/>
                <w:color w:val="auto"/>
              </w:rPr>
            </w:pPr>
          </w:p>
        </w:tc>
        <w:tc>
          <w:tcPr>
            <w:tcW w:w="120" w:type="dxa"/>
            <w:vAlign w:val="bottom"/>
            <w:tcBorders>
              <w:bottom w:val="single" w:sz="8" w:color="auto"/>
            </w:tcBorders>
            <w:shd w:val="clear" w:color="auto" w:fill="CCEEFF"/>
          </w:tcPr>
          <w:p>
            <w:pPr>
              <w:spacing w:after="0"/>
              <w:rPr>
                <w:sz w:val="20"/>
                <w:szCs w:val="20"/>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94</w:t>
            </w:r>
          </w:p>
        </w:tc>
        <w:tc>
          <w:tcPr>
            <w:tcW w:w="220" w:type="dxa"/>
            <w:vAlign w:val="bottom"/>
            <w:shd w:val="clear" w:color="auto" w:fill="CCEEFF"/>
          </w:tcPr>
          <w:p>
            <w:pPr>
              <w:spacing w:after="0"/>
              <w:rPr>
                <w:sz w:val="20"/>
                <w:szCs w:val="20"/>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324</w:t>
            </w:r>
          </w:p>
        </w:tc>
        <w:tc>
          <w:tcPr>
            <w:tcW w:w="220" w:type="dxa"/>
            <w:vAlign w:val="bottom"/>
            <w:shd w:val="clear" w:color="auto" w:fill="CCEEFF"/>
          </w:tcPr>
          <w:p>
            <w:pPr>
              <w:spacing w:after="0"/>
              <w:rPr>
                <w:sz w:val="20"/>
                <w:szCs w:val="20"/>
                <w:color w:val="auto"/>
              </w:rPr>
            </w:pPr>
          </w:p>
        </w:tc>
        <w:tc>
          <w:tcPr>
            <w:tcW w:w="120" w:type="dxa"/>
            <w:vAlign w:val="bottom"/>
            <w:tcBorders>
              <w:bottom w:val="single" w:sz="8" w:color="auto"/>
            </w:tcBorders>
            <w:shd w:val="clear" w:color="auto" w:fill="CCEEFF"/>
          </w:tcPr>
          <w:p>
            <w:pPr>
              <w:spacing w:after="0"/>
              <w:rPr>
                <w:sz w:val="20"/>
                <w:szCs w:val="20"/>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500</w:t>
            </w:r>
          </w:p>
        </w:tc>
        <w:tc>
          <w:tcPr>
            <w:tcW w:w="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Total comprehensive (loss) income</w:t>
            </w: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(56,327</w:t>
            </w:r>
          </w:p>
        </w:tc>
        <w:tc>
          <w:tcPr>
            <w:tcW w:w="200" w:type="dxa"/>
            <w:vAlign w:val="bottom"/>
          </w:tcPr>
          <w:p>
            <w:pPr>
              <w:jc w:val="right"/>
              <w:ind w:right="60"/>
              <w:spacing w:after="0"/>
              <w:rPr>
                <w:sz w:val="20"/>
                <w:szCs w:val="20"/>
                <w:color w:val="auto"/>
              </w:rPr>
            </w:pPr>
            <w:r>
              <w:rPr>
                <w:rFonts w:ascii="Arial" w:cs="Arial" w:eastAsia="Arial" w:hAnsi="Arial"/>
                <w:sz w:val="16"/>
                <w:szCs w:val="16"/>
                <w:color w:val="auto"/>
                <w:w w:val="74"/>
              </w:rPr>
              <w:t>)</w:t>
            </w: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44,975</w:t>
            </w:r>
          </w:p>
        </w:tc>
        <w:tc>
          <w:tcPr>
            <w:tcW w:w="220" w:type="dxa"/>
            <w:vAlign w:val="bottom"/>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5"/>
              </w:rPr>
              <w:t>$ (108,960</w:t>
            </w:r>
          </w:p>
        </w:tc>
        <w:tc>
          <w:tcPr>
            <w:tcW w:w="220" w:type="dxa"/>
            <w:vAlign w:val="bottom"/>
          </w:tcPr>
          <w:p>
            <w:pPr>
              <w:jc w:val="right"/>
              <w:ind w:right="80"/>
              <w:spacing w:after="0"/>
              <w:rPr>
                <w:sz w:val="20"/>
                <w:szCs w:val="20"/>
                <w:color w:val="auto"/>
              </w:rPr>
            </w:pPr>
            <w:r>
              <w:rPr>
                <w:rFonts w:ascii="Arial" w:cs="Arial" w:eastAsia="Arial" w:hAnsi="Arial"/>
                <w:sz w:val="16"/>
                <w:szCs w:val="16"/>
                <w:color w:val="auto"/>
                <w:w w:val="74"/>
              </w:rPr>
              <w:t>)</w:t>
            </w: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5"/>
              </w:rPr>
              <w:t>122,944</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6" w:lineRule="exact"/>
        <w:rPr>
          <w:sz w:val="20"/>
          <w:szCs w:val="20"/>
          <w:color w:val="auto"/>
        </w:rPr>
      </w:pPr>
    </w:p>
    <w:p>
      <w:pPr>
        <w:ind w:right="300" w:firstLine="259"/>
        <w:spacing w:after="0" w:line="277" w:lineRule="auto"/>
        <w:rPr>
          <w:sz w:val="20"/>
          <w:szCs w:val="20"/>
          <w:color w:val="auto"/>
        </w:rPr>
      </w:pPr>
      <w:r>
        <w:rPr>
          <w:rFonts w:ascii="Arial" w:cs="Arial" w:eastAsia="Arial" w:hAnsi="Arial"/>
          <w:sz w:val="18"/>
          <w:szCs w:val="18"/>
          <w:color w:val="auto"/>
        </w:rPr>
        <w:t>Accumulated other comprehensive (loss) income, as presented on the accompanying condensed consolidated balance sheets, consists of the unrealized gains and losses on available-for-sale investments and other, net of tax.</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Business Combinations</w:t>
      </w:r>
    </w:p>
    <w:p>
      <w:pPr>
        <w:spacing w:after="0" w:line="229"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The Company acquired the semiconductor division of UTStarcom, Inc (“UTStarcom Business”), the printer semiconductor division of Avago Technologies Limited (“Avago Business”), Intel’s communications and applications business (“ICAP Business”) and assets of two other businesses from unrelated parties during fiscal 2007. During the second quarter of fiscal 2008, the Company acquired an unrelated private company that designs and develops software for optical storage applications.</w:t>
      </w:r>
    </w:p>
    <w:p>
      <w:pPr>
        <w:spacing w:after="0" w:line="187" w:lineRule="exact"/>
        <w:rPr>
          <w:sz w:val="20"/>
          <w:szCs w:val="20"/>
          <w:color w:val="auto"/>
        </w:rPr>
      </w:pPr>
    </w:p>
    <w:p>
      <w:pPr>
        <w:ind w:left="340"/>
        <w:spacing w:after="0"/>
        <w:rPr>
          <w:sz w:val="20"/>
          <w:szCs w:val="20"/>
          <w:color w:val="auto"/>
        </w:rPr>
      </w:pPr>
      <w:r>
        <w:rPr>
          <w:rFonts w:ascii="Arial" w:cs="Arial" w:eastAsia="Arial" w:hAnsi="Arial"/>
          <w:sz w:val="18"/>
          <w:szCs w:val="18"/>
          <w:u w:val="single" w:color="auto"/>
          <w:color w:val="auto"/>
        </w:rPr>
        <w:t>UTStarcom Business</w:t>
      </w:r>
    </w:p>
    <w:p>
      <w:pPr>
        <w:spacing w:after="0" w:line="225" w:lineRule="exact"/>
        <w:rPr>
          <w:sz w:val="20"/>
          <w:szCs w:val="20"/>
          <w:color w:val="auto"/>
        </w:rPr>
      </w:pPr>
    </w:p>
    <w:p>
      <w:pPr>
        <w:ind w:firstLine="324"/>
        <w:spacing w:after="0" w:line="272" w:lineRule="auto"/>
        <w:rPr>
          <w:sz w:val="20"/>
          <w:szCs w:val="20"/>
          <w:color w:val="auto"/>
        </w:rPr>
      </w:pPr>
      <w:r>
        <w:rPr>
          <w:rFonts w:ascii="Arial" w:cs="Arial" w:eastAsia="Arial" w:hAnsi="Arial"/>
          <w:sz w:val="17"/>
          <w:szCs w:val="17"/>
          <w:color w:val="auto"/>
        </w:rPr>
        <w:t>The Company acquired the UTStarcom Business on February 16, 2006. The UTStarcom Business focused on the design and development of personal handyphone systems and next generation cellular communications technology. The primary reasons for the acquisition of the semiconductor division of UTStarcom were to strengthen and augment the Company’s software engineering workforce and enhance its technological capabilities for emerging cellular strategies, obtain an established product being utilized in wireless communications technology, reduce the time required to develop new products and bring them to market for next generation cellular technology and to complement the Company’s existing wireless offerings. These factors contributed to a purchase price that was in excess of the fair value of the UTStarcom Business net tangible and intangible assets acquired. The Company recorded goodwill, which is not deductible for tax purposes, in connection with this transaction.</w:t>
      </w:r>
    </w:p>
    <w:p>
      <w:pPr>
        <w:spacing w:after="0" w:line="178" w:lineRule="exact"/>
        <w:rPr>
          <w:sz w:val="20"/>
          <w:szCs w:val="20"/>
          <w:color w:val="auto"/>
        </w:rPr>
      </w:pPr>
    </w:p>
    <w:p>
      <w:pPr>
        <w:ind w:right="60" w:firstLine="324"/>
        <w:spacing w:after="0" w:line="264" w:lineRule="auto"/>
        <w:rPr>
          <w:sz w:val="20"/>
          <w:szCs w:val="20"/>
          <w:color w:val="auto"/>
        </w:rPr>
      </w:pPr>
      <w:r>
        <w:rPr>
          <w:rFonts w:ascii="Arial" w:cs="Arial" w:eastAsia="Arial" w:hAnsi="Arial"/>
          <w:sz w:val="18"/>
          <w:szCs w:val="18"/>
          <w:color w:val="auto"/>
        </w:rPr>
        <w:t>Under the terms of the agreement, the Company paid $24.0 million in cash and an additional $16.0 million based on the achievement of certain defined milestones. The purchase price of the acquisition was $40.8 million, including the contingent consideration recognized of $16.0 million, and was determined as follows (in thousands):</w:t>
      </w:r>
    </w:p>
    <w:p>
      <w:pPr>
        <w:spacing w:after="0" w:line="196" w:lineRule="exact"/>
        <w:rPr>
          <w:sz w:val="20"/>
          <w:szCs w:val="20"/>
          <w:color w:val="auto"/>
        </w:rPr>
      </w:pPr>
    </w:p>
    <w:tbl>
      <w:tblPr>
        <w:tblLayout w:type="fixed"/>
        <w:tblInd w:w="1260" w:type="dxa"/>
        <w:tblCellMar>
          <w:top w:w="0" w:type="dxa"/>
          <w:left w:w="0" w:type="dxa"/>
          <w:bottom w:w="0" w:type="dxa"/>
          <w:right w:w="0" w:type="dxa"/>
        </w:tblCellMar>
      </w:tblP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160" w:type="dxa"/>
            <w:vAlign w:val="bottom"/>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40,008</w:t>
            </w:r>
          </w:p>
        </w:tc>
        <w:tc>
          <w:tcPr>
            <w:tcW w:w="60" w:type="dxa"/>
            <w:vAlign w:val="bottom"/>
            <w:shd w:val="clear" w:color="auto" w:fill="CCEEFF"/>
          </w:tcPr>
          <w:p>
            <w:pPr>
              <w:spacing w:after="0"/>
              <w:rPr>
                <w:sz w:val="18"/>
                <w:szCs w:val="18"/>
                <w:color w:val="auto"/>
              </w:rPr>
            </w:pPr>
          </w:p>
        </w:tc>
      </w:tr>
      <w:tr>
        <w:trPr>
          <w:trHeight w:val="216"/>
        </w:trPr>
        <w:tc>
          <w:tcPr>
            <w:tcW w:w="586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Transaction costs</w:t>
            </w:r>
          </w:p>
        </w:tc>
        <w:tc>
          <w:tcPr>
            <w:tcW w:w="160" w:type="dxa"/>
            <w:vAlign w:val="bottom"/>
            <w:tcBorders>
              <w:bottom w:val="single" w:sz="8" w:color="auto"/>
            </w:tcBorders>
          </w:tcPr>
          <w:p>
            <w:pPr>
              <w:spacing w:after="0"/>
              <w:rPr>
                <w:sz w:val="18"/>
                <w:szCs w:val="18"/>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792</w:t>
            </w:r>
          </w:p>
        </w:tc>
        <w:tc>
          <w:tcPr>
            <w:tcW w:w="60" w:type="dxa"/>
            <w:vAlign w:val="bottom"/>
            <w:tcBorders>
              <w:bottom w:val="single" w:sz="8" w:color="CCEEFF"/>
            </w:tcBorders>
          </w:tcPr>
          <w:p>
            <w:pPr>
              <w:spacing w:after="0"/>
              <w:rPr>
                <w:sz w:val="18"/>
                <w:szCs w:val="18"/>
                <w:color w:val="auto"/>
              </w:rPr>
            </w:pPr>
          </w:p>
        </w:tc>
      </w:tr>
      <w:tr>
        <w:trPr>
          <w:trHeight w:val="210"/>
        </w:trPr>
        <w:tc>
          <w:tcPr>
            <w:tcW w:w="586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Total purchase price</w:t>
            </w:r>
          </w:p>
        </w:tc>
        <w:tc>
          <w:tcPr>
            <w:tcW w:w="160" w:type="dxa"/>
            <w:vAlign w:val="bottom"/>
            <w:tcBorders>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40,800</w:t>
            </w:r>
          </w:p>
        </w:tc>
        <w:tc>
          <w:tcPr>
            <w:tcW w:w="60" w:type="dxa"/>
            <w:vAlign w:val="bottom"/>
            <w:tcBorders>
              <w:bottom w:val="single" w:sz="8" w:color="CCEEFF"/>
            </w:tcBorders>
            <w:shd w:val="clear" w:color="auto" w:fill="CCEEFF"/>
          </w:tcPr>
          <w:p>
            <w:pPr>
              <w:spacing w:after="0"/>
              <w:rPr>
                <w:sz w:val="18"/>
                <w:szCs w:val="18"/>
                <w:color w:val="auto"/>
              </w:rPr>
            </w:pPr>
          </w:p>
        </w:tc>
      </w:tr>
      <w:tr>
        <w:trPr>
          <w:trHeight w:val="20"/>
        </w:trPr>
        <w:tc>
          <w:tcPr>
            <w:tcW w:w="58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350" w:lineRule="exact"/>
        <w:rPr>
          <w:sz w:val="20"/>
          <w:szCs w:val="20"/>
          <w:color w:val="auto"/>
        </w:rPr>
      </w:pPr>
    </w:p>
    <w:p>
      <w:pPr>
        <w:ind w:right="200" w:firstLine="324"/>
        <w:spacing w:after="0" w:line="259" w:lineRule="auto"/>
        <w:rPr>
          <w:sz w:val="20"/>
          <w:szCs w:val="20"/>
          <w:color w:val="auto"/>
        </w:rPr>
      </w:pPr>
      <w:r>
        <w:rPr>
          <w:rFonts w:ascii="Arial" w:cs="Arial" w:eastAsia="Arial" w:hAnsi="Arial"/>
          <w:sz w:val="18"/>
          <w:szCs w:val="18"/>
          <w:color w:val="auto"/>
        </w:rPr>
        <w:t>In the third quarter of fiscal 2007, the Company recorded additional purchase consideration of $16.0 million upon the achievement of the contingent milestones as defined in the purchase agreement. Approximately $8.7 million was preliminarily allocated as negative goodwill, calculated as the excess of the fair value of net tangible and intangible assets acquired over the purchase price. As a result of the contingent consideration, additional goodwill of $7.3 million was recorded.</w:t>
      </w:r>
    </w:p>
    <w:p>
      <w:pPr>
        <w:spacing w:after="0" w:line="200" w:lineRule="exact"/>
        <w:rPr>
          <w:sz w:val="20"/>
          <w:szCs w:val="20"/>
          <w:color w:val="auto"/>
        </w:rPr>
      </w:pPr>
    </w:p>
    <w:p>
      <w:pPr>
        <w:spacing w:after="0" w:line="2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firstLine="324"/>
        <w:spacing w:after="0" w:line="308" w:lineRule="auto"/>
        <w:rPr>
          <w:sz w:val="20"/>
          <w:szCs w:val="20"/>
          <w:color w:val="auto"/>
        </w:rPr>
      </w:pPr>
      <w:r>
        <w:rPr>
          <w:rFonts w:ascii="Arial" w:cs="Arial" w:eastAsia="Arial" w:hAnsi="Arial"/>
          <w:sz w:val="17"/>
          <w:szCs w:val="17"/>
          <w:color w:val="auto"/>
        </w:rPr>
        <w:t>Under the purchase method of accounting, the total purchase price (including the contingent consideration recognized of $16.0 million) was allocated to net tangible and intangible assets based on their fair values as of the date of the completion of the acquisition as follows (in thousands):</w:t>
      </w:r>
    </w:p>
    <w:p>
      <w:pPr>
        <w:spacing w:after="0" w:line="161" w:lineRule="exact"/>
        <w:rPr>
          <w:sz w:val="20"/>
          <w:szCs w:val="20"/>
          <w:color w:val="auto"/>
        </w:rPr>
      </w:pPr>
    </w:p>
    <w:tbl>
      <w:tblPr>
        <w:tblLayout w:type="fixed"/>
        <w:tblInd w:w="1080" w:type="dxa"/>
        <w:tblCellMar>
          <w:top w:w="0" w:type="dxa"/>
          <w:left w:w="0" w:type="dxa"/>
          <w:bottom w:w="0" w:type="dxa"/>
          <w:right w:w="0" w:type="dxa"/>
        </w:tblCellMar>
      </w:tblPr>
      <w:tr>
        <w:trPr>
          <w:trHeight w:val="216"/>
        </w:trPr>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   2,097</w:t>
            </w:r>
          </w:p>
        </w:tc>
        <w:tc>
          <w:tcPr>
            <w:tcW w:w="40" w:type="dxa"/>
            <w:vAlign w:val="bottom"/>
            <w:shd w:val="clear" w:color="auto" w:fill="CCEEFF"/>
          </w:tcPr>
          <w:p>
            <w:pPr>
              <w:spacing w:after="0"/>
              <w:rPr>
                <w:sz w:val="18"/>
                <w:szCs w:val="18"/>
                <w:color w:val="auto"/>
              </w:rPr>
            </w:pPr>
          </w:p>
        </w:tc>
      </w:tr>
      <w:tr>
        <w:trPr>
          <w:trHeight w:val="216"/>
        </w:trPr>
        <w:tc>
          <w:tcPr>
            <w:tcW w:w="65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Fixed assets</w:t>
            </w: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611</w:t>
            </w:r>
          </w:p>
        </w:tc>
        <w:tc>
          <w:tcPr>
            <w:tcW w:w="40" w:type="dxa"/>
            <w:vAlign w:val="bottom"/>
            <w:tcBorders>
              <w:bottom w:val="single" w:sz="8" w:color="CCEEFF"/>
            </w:tcBorders>
          </w:tcPr>
          <w:p>
            <w:pPr>
              <w:spacing w:after="0"/>
              <w:rPr>
                <w:sz w:val="18"/>
                <w:szCs w:val="18"/>
                <w:color w:val="auto"/>
              </w:rPr>
            </w:pPr>
          </w:p>
        </w:tc>
      </w:tr>
      <w:tr>
        <w:trPr>
          <w:trHeight w:val="210"/>
        </w:trPr>
        <w:tc>
          <w:tcPr>
            <w:tcW w:w="65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2,708</w:t>
            </w:r>
          </w:p>
        </w:tc>
        <w:tc>
          <w:tcPr>
            <w:tcW w:w="40" w:type="dxa"/>
            <w:vAlign w:val="bottom"/>
            <w:shd w:val="clear" w:color="auto" w:fill="CCEEFF"/>
          </w:tcPr>
          <w:p>
            <w:pPr>
              <w:spacing w:after="0"/>
              <w:rPr>
                <w:sz w:val="18"/>
                <w:szCs w:val="18"/>
                <w:color w:val="auto"/>
              </w:rPr>
            </w:pPr>
          </w:p>
        </w:tc>
      </w:tr>
      <w:tr>
        <w:trPr>
          <w:trHeight w:val="216"/>
        </w:trPr>
        <w:tc>
          <w:tcPr>
            <w:tcW w:w="658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74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6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11,900</w:t>
            </w:r>
          </w:p>
        </w:tc>
        <w:tc>
          <w:tcPr>
            <w:tcW w:w="40" w:type="dxa"/>
            <w:vAlign w:val="bottom"/>
            <w:shd w:val="clear" w:color="auto" w:fill="CCEEFF"/>
          </w:tcPr>
          <w:p>
            <w:pPr>
              <w:spacing w:after="0"/>
              <w:rPr>
                <w:sz w:val="18"/>
                <w:szCs w:val="18"/>
                <w:color w:val="auto"/>
              </w:rPr>
            </w:pPr>
          </w:p>
        </w:tc>
      </w:tr>
      <w:tr>
        <w:trPr>
          <w:trHeight w:val="216"/>
        </w:trPr>
        <w:tc>
          <w:tcPr>
            <w:tcW w:w="658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740" w:type="dxa"/>
            <w:vAlign w:val="bottom"/>
          </w:tcPr>
          <w:p>
            <w:pPr>
              <w:jc w:val="right"/>
              <w:spacing w:after="0"/>
              <w:rPr>
                <w:sz w:val="20"/>
                <w:szCs w:val="20"/>
                <w:color w:val="auto"/>
              </w:rPr>
            </w:pPr>
            <w:r>
              <w:rPr>
                <w:rFonts w:ascii="Arial" w:cs="Arial" w:eastAsia="Arial" w:hAnsi="Arial"/>
                <w:sz w:val="18"/>
                <w:szCs w:val="18"/>
                <w:color w:val="auto"/>
              </w:rPr>
              <w:t>4,100</w:t>
            </w:r>
          </w:p>
        </w:tc>
        <w:tc>
          <w:tcPr>
            <w:tcW w:w="40" w:type="dxa"/>
            <w:vAlign w:val="bottom"/>
          </w:tcPr>
          <w:p>
            <w:pPr>
              <w:spacing w:after="0"/>
              <w:rPr>
                <w:sz w:val="18"/>
                <w:szCs w:val="18"/>
                <w:color w:val="auto"/>
              </w:rPr>
            </w:pPr>
          </w:p>
        </w:tc>
      </w:tr>
      <w:tr>
        <w:trPr>
          <w:trHeight w:val="216"/>
        </w:trPr>
        <w:tc>
          <w:tcPr>
            <w:tcW w:w="6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Supply contract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40" w:type="dxa"/>
            <w:vAlign w:val="bottom"/>
            <w:shd w:val="clear" w:color="auto" w:fill="CCEEFF"/>
          </w:tcPr>
          <w:p>
            <w:pPr>
              <w:spacing w:after="0"/>
              <w:rPr>
                <w:sz w:val="18"/>
                <w:szCs w:val="18"/>
                <w:color w:val="auto"/>
              </w:rPr>
            </w:pPr>
          </w:p>
        </w:tc>
      </w:tr>
      <w:tr>
        <w:trPr>
          <w:trHeight w:val="230"/>
        </w:trPr>
        <w:tc>
          <w:tcPr>
            <w:tcW w:w="6580" w:type="dxa"/>
            <w:vAlign w:val="bottom"/>
          </w:tcPr>
          <w:p>
            <w:pPr>
              <w:ind w:left="180"/>
              <w:spacing w:after="0"/>
              <w:rPr>
                <w:sz w:val="20"/>
                <w:szCs w:val="20"/>
                <w:color w:val="auto"/>
              </w:rPr>
            </w:pPr>
            <w:r>
              <w:rPr>
                <w:rFonts w:ascii="Arial" w:cs="Arial" w:eastAsia="Arial" w:hAnsi="Arial"/>
                <w:sz w:val="18"/>
                <w:szCs w:val="18"/>
                <w:color w:val="auto"/>
              </w:rPr>
              <w:t>Customer relationships</w:t>
            </w:r>
          </w:p>
        </w:tc>
        <w:tc>
          <w:tcPr>
            <w:tcW w:w="740" w:type="dxa"/>
            <w:vAlign w:val="bottom"/>
          </w:tcPr>
          <w:p>
            <w:pPr>
              <w:jc w:val="right"/>
              <w:spacing w:after="0"/>
              <w:rPr>
                <w:sz w:val="20"/>
                <w:szCs w:val="20"/>
                <w:color w:val="auto"/>
              </w:rPr>
            </w:pPr>
            <w:r>
              <w:rPr>
                <w:rFonts w:ascii="Arial" w:cs="Arial" w:eastAsia="Arial" w:hAnsi="Arial"/>
                <w:sz w:val="18"/>
                <w:szCs w:val="18"/>
                <w:color w:val="auto"/>
              </w:rPr>
              <w:t>13,900</w:t>
            </w:r>
          </w:p>
        </w:tc>
        <w:tc>
          <w:tcPr>
            <w:tcW w:w="40" w:type="dxa"/>
            <w:vAlign w:val="bottom"/>
          </w:tcPr>
          <w:p>
            <w:pPr>
              <w:spacing w:after="0"/>
              <w:rPr>
                <w:sz w:val="20"/>
                <w:szCs w:val="20"/>
                <w:color w:val="auto"/>
              </w:rPr>
            </w:pPr>
          </w:p>
        </w:tc>
      </w:tr>
    </w:tbl>
    <w:p>
      <w:pPr>
        <w:sectPr>
          <w:pgSz w:w="11900" w:h="16871" w:orient="portrait"/>
          <w:cols w:equalWidth="0" w:num="1">
            <w:col w:w="11400"/>
          </w:cols>
          <w:pgMar w:left="240" w:top="125" w:right="259" w:bottom="0" w:gutter="0" w:footer="0" w:header="0"/>
        </w:sectPr>
      </w:pPr>
    </w:p>
    <w:bookmarkStart w:id="10" w:name="page11"/>
    <w:bookmarkEnd w:id="10"/>
    <w:p>
      <w:pPr>
        <w:spacing w:after="0" w:line="1" w:lineRule="exact"/>
        <w:rPr>
          <w:sz w:val="20"/>
          <w:szCs w:val="20"/>
          <w:color w:val="auto"/>
        </w:rPr>
      </w:pPr>
    </w:p>
    <w:tbl>
      <w:tblPr>
        <w:tblLayout w:type="fixed"/>
        <w:tblInd w:w="1080" w:type="dxa"/>
        <w:tblCellMar>
          <w:top w:w="0" w:type="dxa"/>
          <w:left w:w="0" w:type="dxa"/>
          <w:bottom w:w="0" w:type="dxa"/>
          <w:right w:w="0" w:type="dxa"/>
        </w:tblCellMar>
      </w:tblPr>
      <w:tr>
        <w:trPr>
          <w:trHeight w:val="216"/>
        </w:trPr>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7,292</w:t>
            </w:r>
          </w:p>
        </w:tc>
        <w:tc>
          <w:tcPr>
            <w:tcW w:w="40" w:type="dxa"/>
            <w:vAlign w:val="bottom"/>
            <w:shd w:val="clear" w:color="auto" w:fill="CCEEFF"/>
          </w:tcPr>
          <w:p>
            <w:pPr>
              <w:spacing w:after="0"/>
              <w:rPr>
                <w:sz w:val="18"/>
                <w:szCs w:val="18"/>
                <w:color w:val="auto"/>
              </w:rPr>
            </w:pPr>
          </w:p>
        </w:tc>
      </w:tr>
      <w:tr>
        <w:trPr>
          <w:trHeight w:val="210"/>
        </w:trPr>
        <w:tc>
          <w:tcPr>
            <w:tcW w:w="6580" w:type="dxa"/>
            <w:vAlign w:val="bottom"/>
          </w:tcPr>
          <w:p>
            <w:pPr>
              <w:ind w:left="360"/>
              <w:spacing w:after="0"/>
              <w:rPr>
                <w:sz w:val="20"/>
                <w:szCs w:val="20"/>
                <w:color w:val="auto"/>
              </w:rPr>
            </w:pPr>
            <w:r>
              <w:rPr>
                <w:rFonts w:ascii="Arial" w:cs="Arial" w:eastAsia="Arial" w:hAnsi="Arial"/>
                <w:sz w:val="18"/>
                <w:szCs w:val="18"/>
                <w:color w:val="auto"/>
              </w:rPr>
              <w:t>Total purchase price allocation</w:t>
            </w: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3"/>
              </w:rPr>
              <w:t>$  40,800</w:t>
            </w:r>
          </w:p>
        </w:tc>
        <w:tc>
          <w:tcPr>
            <w:tcW w:w="40" w:type="dxa"/>
            <w:vAlign w:val="bottom"/>
          </w:tcPr>
          <w:p>
            <w:pPr>
              <w:spacing w:after="0"/>
              <w:rPr>
                <w:sz w:val="18"/>
                <w:szCs w:val="18"/>
                <w:color w:val="auto"/>
              </w:rPr>
            </w:pPr>
          </w:p>
        </w:tc>
      </w:tr>
      <w:tr>
        <w:trPr>
          <w:trHeight w:val="20"/>
        </w:trPr>
        <w:tc>
          <w:tcPr>
            <w:tcW w:w="658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350"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The amortizable intangible assets of $30.8 million were determined based on valuation techniques such as discounted cash flows and weighted average cost of capital methods used in the high technology industry using assumptions and estimates from management. The amortizable intangible assets will be amortized over useful lives ranging from three to four years. The existing technology represents personal handyphone systems technology and other technology that UTStarcom has developed. Core technology represents the combination of processes, patents, and trade secrets that are the building blocks for current and planned new products. Customer relationships represent future projected revenue that will be derived from sales of future versions of existing products that will be sold to existing customers. The value determined for the supply contract with UTStarcom represents the fair value of estimated revenues and net operating cash flows to be derived from the supply contract for the duration of the four-year contract.</w:t>
      </w:r>
    </w:p>
    <w:p>
      <w:pPr>
        <w:spacing w:after="0" w:line="167" w:lineRule="exact"/>
        <w:rPr>
          <w:sz w:val="20"/>
          <w:szCs w:val="20"/>
          <w:color w:val="auto"/>
        </w:rPr>
      </w:pPr>
    </w:p>
    <w:p>
      <w:pPr>
        <w:ind w:right="680" w:firstLine="324"/>
        <w:spacing w:after="0" w:line="277" w:lineRule="auto"/>
        <w:rPr>
          <w:sz w:val="20"/>
          <w:szCs w:val="20"/>
          <w:color w:val="auto"/>
        </w:rPr>
      </w:pPr>
      <w:r>
        <w:rPr>
          <w:rFonts w:ascii="Arial" w:cs="Arial" w:eastAsia="Arial" w:hAnsi="Arial"/>
          <w:sz w:val="18"/>
          <w:szCs w:val="18"/>
          <w:color w:val="auto"/>
        </w:rPr>
        <w:t>The weighted average useful lives of acquired intangibles from the UTStarcom Business are 3.0 years for existing technology, 4.0 years for core technology, 4.0 years for the supply contract, and 4.0 years for customer relationships.</w:t>
      </w:r>
    </w:p>
    <w:p>
      <w:pPr>
        <w:spacing w:after="0" w:line="170" w:lineRule="exact"/>
        <w:rPr>
          <w:sz w:val="20"/>
          <w:szCs w:val="20"/>
          <w:color w:val="auto"/>
        </w:rPr>
      </w:pPr>
    </w:p>
    <w:p>
      <w:pPr>
        <w:ind w:left="340"/>
        <w:spacing w:after="0"/>
        <w:rPr>
          <w:sz w:val="20"/>
          <w:szCs w:val="20"/>
          <w:color w:val="auto"/>
        </w:rPr>
      </w:pPr>
      <w:r>
        <w:rPr>
          <w:rFonts w:ascii="Arial" w:cs="Arial" w:eastAsia="Arial" w:hAnsi="Arial"/>
          <w:sz w:val="18"/>
          <w:szCs w:val="18"/>
          <w:u w:val="single" w:color="auto"/>
          <w:color w:val="auto"/>
        </w:rPr>
        <w:t>Avago Business</w:t>
      </w:r>
    </w:p>
    <w:p>
      <w:pPr>
        <w:spacing w:after="0" w:line="225" w:lineRule="exact"/>
        <w:rPr>
          <w:sz w:val="20"/>
          <w:szCs w:val="20"/>
          <w:color w:val="auto"/>
        </w:rPr>
      </w:pPr>
    </w:p>
    <w:p>
      <w:pPr>
        <w:ind w:right="40" w:firstLine="324"/>
        <w:spacing w:after="0" w:line="276" w:lineRule="auto"/>
        <w:rPr>
          <w:sz w:val="20"/>
          <w:szCs w:val="20"/>
          <w:color w:val="auto"/>
        </w:rPr>
      </w:pPr>
      <w:r>
        <w:rPr>
          <w:rFonts w:ascii="Arial" w:cs="Arial" w:eastAsia="Arial" w:hAnsi="Arial"/>
          <w:sz w:val="17"/>
          <w:szCs w:val="17"/>
          <w:color w:val="auto"/>
        </w:rPr>
        <w:t>The Company acquired the Avago Business on May 1, 2006. The Avago Business focused on the design and development of system-on-chip and system level solutions for both inkjet and laser jet printer systems. The primary purpose and benefits of the acquisition were to obtain, accelerate and strengthen the Company’s entry into the printer market, leverage its portfolio of complementary technology and obtain important printer systems level knowledge. These factors contributed to a purchase price that was in excess of the fair value of the Avago Business net tangible and intangible assets acquired. The Company recorded goodwill, which is not deductible for tax purposes, in connection with this transaction.</w:t>
      </w:r>
    </w:p>
    <w:p>
      <w:pPr>
        <w:spacing w:after="0" w:line="173" w:lineRule="exact"/>
        <w:rPr>
          <w:sz w:val="20"/>
          <w:szCs w:val="20"/>
          <w:color w:val="auto"/>
        </w:rPr>
      </w:pPr>
    </w:p>
    <w:p>
      <w:pPr>
        <w:ind w:right="200" w:firstLine="324"/>
        <w:spacing w:after="0" w:line="264" w:lineRule="auto"/>
        <w:rPr>
          <w:sz w:val="20"/>
          <w:szCs w:val="20"/>
          <w:color w:val="auto"/>
        </w:rPr>
      </w:pPr>
      <w:r>
        <w:rPr>
          <w:rFonts w:ascii="Arial" w:cs="Arial" w:eastAsia="Arial" w:hAnsi="Arial"/>
          <w:sz w:val="18"/>
          <w:szCs w:val="18"/>
          <w:color w:val="auto"/>
        </w:rPr>
        <w:t>Under the terms of the agreement, the Company paid $249.6 million in cash and may pay up to an additional $35.0 million in cash if certain defined milestones are achieved. The purchase price of the acquisition, including the contingent consideration recognized of $10.0 million, was $263.0 million and was determined as follows (in thousands):</w:t>
      </w:r>
    </w:p>
    <w:p>
      <w:pPr>
        <w:spacing w:after="0" w:line="196" w:lineRule="exact"/>
        <w:rPr>
          <w:sz w:val="20"/>
          <w:szCs w:val="20"/>
          <w:color w:val="auto"/>
        </w:rPr>
      </w:pPr>
    </w:p>
    <w:tbl>
      <w:tblPr>
        <w:tblLayout w:type="fixed"/>
        <w:tblInd w:w="1080" w:type="dxa"/>
        <w:tblCellMar>
          <w:top w:w="0" w:type="dxa"/>
          <w:left w:w="0" w:type="dxa"/>
          <w:bottom w:w="0" w:type="dxa"/>
          <w:right w:w="0" w:type="dxa"/>
        </w:tblCellMar>
      </w:tblPr>
      <w:tr>
        <w:trPr>
          <w:trHeight w:val="216"/>
        </w:trPr>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$ 259,591</w:t>
            </w:r>
          </w:p>
        </w:tc>
        <w:tc>
          <w:tcPr>
            <w:tcW w:w="40" w:type="dxa"/>
            <w:vAlign w:val="bottom"/>
            <w:shd w:val="clear" w:color="auto" w:fill="CCEEFF"/>
          </w:tcPr>
          <w:p>
            <w:pPr>
              <w:spacing w:after="0"/>
              <w:rPr>
                <w:sz w:val="18"/>
                <w:szCs w:val="18"/>
                <w:color w:val="auto"/>
              </w:rPr>
            </w:pPr>
          </w:p>
        </w:tc>
      </w:tr>
      <w:tr>
        <w:trPr>
          <w:trHeight w:val="216"/>
        </w:trPr>
        <w:tc>
          <w:tcPr>
            <w:tcW w:w="65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Transaction costs</w:t>
            </w: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3,388</w:t>
            </w:r>
          </w:p>
        </w:tc>
        <w:tc>
          <w:tcPr>
            <w:tcW w:w="40" w:type="dxa"/>
            <w:vAlign w:val="bottom"/>
            <w:tcBorders>
              <w:bottom w:val="single" w:sz="8" w:color="CCEEFF"/>
            </w:tcBorders>
          </w:tcPr>
          <w:p>
            <w:pPr>
              <w:spacing w:after="0"/>
              <w:rPr>
                <w:sz w:val="18"/>
                <w:szCs w:val="18"/>
                <w:color w:val="auto"/>
              </w:rPr>
            </w:pPr>
          </w:p>
        </w:tc>
      </w:tr>
      <w:tr>
        <w:trPr>
          <w:trHeight w:val="210"/>
        </w:trPr>
        <w:tc>
          <w:tcPr>
            <w:tcW w:w="658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Total purchase price</w:t>
            </w: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$ 262,979</w:t>
            </w:r>
          </w:p>
        </w:tc>
        <w:tc>
          <w:tcPr>
            <w:tcW w:w="40" w:type="dxa"/>
            <w:vAlign w:val="bottom"/>
            <w:tcBorders>
              <w:bottom w:val="single" w:sz="8" w:color="CCEEFF"/>
            </w:tcBorders>
            <w:shd w:val="clear" w:color="auto" w:fill="CCEEFF"/>
          </w:tcPr>
          <w:p>
            <w:pPr>
              <w:spacing w:after="0"/>
              <w:rPr>
                <w:sz w:val="18"/>
                <w:szCs w:val="18"/>
                <w:color w:val="auto"/>
              </w:rPr>
            </w:pPr>
          </w:p>
        </w:tc>
      </w:tr>
      <w:tr>
        <w:trPr>
          <w:trHeight w:val="20"/>
        </w:trPr>
        <w:tc>
          <w:tcPr>
            <w:tcW w:w="658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350"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In the third quarter of fiscal 2007, the Company recorded additional purchase consideration with a corresponding increase in goodwill of $10.0 million based on the achievement of certain levels of revenue of the past year. The remaining contingent consideration of up to $25.0 million is still outstanding and may result in the recognition of additional purchase consideration in the future. The remaining contingent consideration is based on the achievement of a certain level of revenue over a one year period ending October 2007. Additionally, in the third quarter of fiscal 2007, the Company recorded an adjustment of $1.9 million relating to inventory acquired at the acquisition date, resulting in a corresponding reduction in goodwill. In the first quarter of fiscal 2008, the Company recorded an adjustment of $1.3 million relating to a reduction of an accrued liability recorded in the original purchase accounting resulting in a corresponding decrease in goodwill.</w:t>
      </w: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20" w:firstLine="324"/>
        <w:spacing w:after="0" w:line="342" w:lineRule="auto"/>
        <w:rPr>
          <w:sz w:val="20"/>
          <w:szCs w:val="20"/>
          <w:color w:val="auto"/>
        </w:rPr>
      </w:pPr>
      <w:r>
        <w:rPr>
          <w:rFonts w:ascii="Arial" w:cs="Arial" w:eastAsia="Arial" w:hAnsi="Arial"/>
          <w:sz w:val="16"/>
          <w:szCs w:val="16"/>
          <w:color w:val="auto"/>
        </w:rPr>
        <w:t>Under the purchase method of accounting, the total purchase price (including the contingent consideration recognized of $10.0 million) was allocated to net tangible and intangible assets based on their fair values as of the date of completion of the acquisition, as adjusted, as follows (in thousands):</w:t>
      </w:r>
    </w:p>
    <w:p>
      <w:pPr>
        <w:spacing w:after="0" w:line="138" w:lineRule="exact"/>
        <w:rPr>
          <w:sz w:val="20"/>
          <w:szCs w:val="20"/>
          <w:color w:val="auto"/>
        </w:rPr>
      </w:pPr>
    </w:p>
    <w:tbl>
      <w:tblPr>
        <w:tblLayout w:type="fixed"/>
        <w:tblInd w:w="1080" w:type="dxa"/>
        <w:tblCellMar>
          <w:top w:w="0" w:type="dxa"/>
          <w:left w:w="0" w:type="dxa"/>
          <w:bottom w:w="0" w:type="dxa"/>
          <w:right w:w="0" w:type="dxa"/>
        </w:tblCellMar>
      </w:tblPr>
      <w:tr>
        <w:trPr>
          <w:trHeight w:val="216"/>
        </w:trPr>
        <w:tc>
          <w:tcPr>
            <w:tcW w:w="65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Accounts receivable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1,871</w:t>
            </w:r>
          </w:p>
        </w:tc>
        <w:tc>
          <w:tcPr>
            <w:tcW w:w="80" w:type="dxa"/>
            <w:vAlign w:val="bottom"/>
            <w:shd w:val="clear" w:color="auto" w:fill="CCEEFF"/>
          </w:tcPr>
          <w:p>
            <w:pPr>
              <w:spacing w:after="0"/>
              <w:rPr>
                <w:sz w:val="18"/>
                <w:szCs w:val="18"/>
                <w:color w:val="auto"/>
              </w:rPr>
            </w:pPr>
          </w:p>
        </w:tc>
      </w:tr>
      <w:tr>
        <w:trPr>
          <w:trHeight w:val="216"/>
        </w:trPr>
        <w:tc>
          <w:tcPr>
            <w:tcW w:w="6540" w:type="dxa"/>
            <w:vAlign w:val="bottom"/>
          </w:tcPr>
          <w:p>
            <w:pPr>
              <w:ind w:left="180"/>
              <w:spacing w:after="0"/>
              <w:rPr>
                <w:sz w:val="20"/>
                <w:szCs w:val="20"/>
                <w:color w:val="auto"/>
              </w:rPr>
            </w:pPr>
            <w:r>
              <w:rPr>
                <w:rFonts w:ascii="Arial" w:cs="Arial" w:eastAsia="Arial" w:hAnsi="Arial"/>
                <w:sz w:val="18"/>
                <w:szCs w:val="18"/>
                <w:color w:val="auto"/>
              </w:rPr>
              <w:t>Current assets</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3,704</w:t>
            </w:r>
          </w:p>
        </w:tc>
        <w:tc>
          <w:tcPr>
            <w:tcW w:w="80" w:type="dxa"/>
            <w:vAlign w:val="bottom"/>
          </w:tcPr>
          <w:p>
            <w:pPr>
              <w:spacing w:after="0"/>
              <w:rPr>
                <w:sz w:val="18"/>
                <w:szCs w:val="18"/>
                <w:color w:val="auto"/>
              </w:rPr>
            </w:pPr>
          </w:p>
        </w:tc>
      </w:tr>
      <w:tr>
        <w:trPr>
          <w:trHeight w:val="216"/>
        </w:trPr>
        <w:tc>
          <w:tcPr>
            <w:tcW w:w="65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tax asset</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2,183</w:t>
            </w:r>
          </w:p>
        </w:tc>
        <w:tc>
          <w:tcPr>
            <w:tcW w:w="80" w:type="dxa"/>
            <w:vAlign w:val="bottom"/>
            <w:shd w:val="clear" w:color="auto" w:fill="CCEEFF"/>
          </w:tcPr>
          <w:p>
            <w:pPr>
              <w:spacing w:after="0"/>
              <w:rPr>
                <w:sz w:val="18"/>
                <w:szCs w:val="18"/>
                <w:color w:val="auto"/>
              </w:rPr>
            </w:pPr>
          </w:p>
        </w:tc>
      </w:tr>
      <w:tr>
        <w:trPr>
          <w:trHeight w:val="216"/>
        </w:trPr>
        <w:tc>
          <w:tcPr>
            <w:tcW w:w="6540" w:type="dxa"/>
            <w:vAlign w:val="bottom"/>
          </w:tcPr>
          <w:p>
            <w:pPr>
              <w:ind w:left="180"/>
              <w:spacing w:after="0"/>
              <w:rPr>
                <w:sz w:val="20"/>
                <w:szCs w:val="20"/>
                <w:color w:val="auto"/>
              </w:rPr>
            </w:pPr>
            <w:r>
              <w:rPr>
                <w:rFonts w:ascii="Arial" w:cs="Arial" w:eastAsia="Arial" w:hAnsi="Arial"/>
                <w:sz w:val="18"/>
                <w:szCs w:val="18"/>
                <w:color w:val="auto"/>
              </w:rPr>
              <w:t>Inventories</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23,896</w:t>
            </w:r>
          </w:p>
        </w:tc>
        <w:tc>
          <w:tcPr>
            <w:tcW w:w="80" w:type="dxa"/>
            <w:vAlign w:val="bottom"/>
          </w:tcPr>
          <w:p>
            <w:pPr>
              <w:spacing w:after="0"/>
              <w:rPr>
                <w:sz w:val="18"/>
                <w:szCs w:val="18"/>
                <w:color w:val="auto"/>
              </w:rPr>
            </w:pPr>
          </w:p>
        </w:tc>
      </w:tr>
      <w:tr>
        <w:trPr>
          <w:trHeight w:val="216"/>
        </w:trPr>
        <w:tc>
          <w:tcPr>
            <w:tcW w:w="65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Fixed assets</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14,305</w:t>
            </w:r>
          </w:p>
        </w:tc>
        <w:tc>
          <w:tcPr>
            <w:tcW w:w="80" w:type="dxa"/>
            <w:vAlign w:val="bottom"/>
            <w:shd w:val="clear" w:color="auto" w:fill="CCEEFF"/>
          </w:tcPr>
          <w:p>
            <w:pPr>
              <w:spacing w:after="0"/>
              <w:rPr>
                <w:sz w:val="18"/>
                <w:szCs w:val="18"/>
                <w:color w:val="auto"/>
              </w:rPr>
            </w:pPr>
          </w:p>
        </w:tc>
      </w:tr>
      <w:tr>
        <w:trPr>
          <w:trHeight w:val="216"/>
        </w:trPr>
        <w:tc>
          <w:tcPr>
            <w:tcW w:w="6540" w:type="dxa"/>
            <w:vAlign w:val="bottom"/>
          </w:tcPr>
          <w:p>
            <w:pPr>
              <w:ind w:left="180"/>
              <w:spacing w:after="0"/>
              <w:rPr>
                <w:sz w:val="20"/>
                <w:szCs w:val="20"/>
                <w:color w:val="auto"/>
              </w:rPr>
            </w:pPr>
            <w:r>
              <w:rPr>
                <w:rFonts w:ascii="Arial" w:cs="Arial" w:eastAsia="Arial" w:hAnsi="Arial"/>
                <w:sz w:val="18"/>
                <w:szCs w:val="18"/>
                <w:color w:val="auto"/>
              </w:rPr>
              <w:t>Other current assets</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2,750</w:t>
            </w:r>
          </w:p>
        </w:tc>
        <w:tc>
          <w:tcPr>
            <w:tcW w:w="80" w:type="dxa"/>
            <w:vAlign w:val="bottom"/>
          </w:tcPr>
          <w:p>
            <w:pPr>
              <w:spacing w:after="0"/>
              <w:rPr>
                <w:sz w:val="18"/>
                <w:szCs w:val="18"/>
                <w:color w:val="auto"/>
              </w:rPr>
            </w:pPr>
          </w:p>
        </w:tc>
      </w:tr>
      <w:tr>
        <w:trPr>
          <w:trHeight w:val="216"/>
        </w:trPr>
        <w:tc>
          <w:tcPr>
            <w:tcW w:w="65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Accrued liabilities</w:t>
            </w: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(11,940)</w:t>
            </w:r>
          </w:p>
        </w:tc>
      </w:tr>
      <w:tr>
        <w:trPr>
          <w:trHeight w:val="216"/>
        </w:trPr>
        <w:tc>
          <w:tcPr>
            <w:tcW w:w="6540" w:type="dxa"/>
            <w:vAlign w:val="bottom"/>
          </w:tcPr>
          <w:p>
            <w:pPr>
              <w:ind w:left="180"/>
              <w:spacing w:after="0"/>
              <w:rPr>
                <w:sz w:val="20"/>
                <w:szCs w:val="20"/>
                <w:color w:val="auto"/>
              </w:rPr>
            </w:pPr>
            <w:r>
              <w:rPr>
                <w:rFonts w:ascii="Arial" w:cs="Arial" w:eastAsia="Arial" w:hAnsi="Arial"/>
                <w:sz w:val="18"/>
                <w:szCs w:val="18"/>
                <w:color w:val="auto"/>
              </w:rPr>
              <w:t>Accrued employee benefits</w:t>
            </w:r>
          </w:p>
        </w:tc>
        <w:tc>
          <w:tcPr>
            <w:tcW w:w="120" w:type="dxa"/>
            <w:vAlign w:val="bottom"/>
          </w:tcPr>
          <w:p>
            <w:pPr>
              <w:spacing w:after="0"/>
              <w:rPr>
                <w:sz w:val="18"/>
                <w:szCs w:val="18"/>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(3,998)</w:t>
            </w:r>
          </w:p>
        </w:tc>
      </w:tr>
      <w:tr>
        <w:trPr>
          <w:trHeight w:val="210"/>
        </w:trPr>
        <w:tc>
          <w:tcPr>
            <w:tcW w:w="65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32,771</w:t>
            </w:r>
          </w:p>
        </w:tc>
        <w:tc>
          <w:tcPr>
            <w:tcW w:w="80" w:type="dxa"/>
            <w:vAlign w:val="bottom"/>
            <w:tcBorders>
              <w:top w:val="single" w:sz="8" w:color="CCEEFF"/>
            </w:tcBorders>
            <w:shd w:val="clear" w:color="auto" w:fill="CCEEFF"/>
          </w:tcPr>
          <w:p>
            <w:pPr>
              <w:spacing w:after="0"/>
              <w:rPr>
                <w:sz w:val="18"/>
                <w:szCs w:val="18"/>
                <w:color w:val="auto"/>
              </w:rPr>
            </w:pPr>
          </w:p>
        </w:tc>
      </w:tr>
      <w:tr>
        <w:trPr>
          <w:trHeight w:val="216"/>
        </w:trPr>
        <w:tc>
          <w:tcPr>
            <w:tcW w:w="654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16"/>
        </w:trPr>
        <w:tc>
          <w:tcPr>
            <w:tcW w:w="65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55,800</w:t>
            </w:r>
          </w:p>
        </w:tc>
        <w:tc>
          <w:tcPr>
            <w:tcW w:w="80" w:type="dxa"/>
            <w:vAlign w:val="bottom"/>
            <w:shd w:val="clear" w:color="auto" w:fill="CCEEFF"/>
          </w:tcPr>
          <w:p>
            <w:pPr>
              <w:spacing w:after="0"/>
              <w:rPr>
                <w:sz w:val="18"/>
                <w:szCs w:val="18"/>
                <w:color w:val="auto"/>
              </w:rPr>
            </w:pPr>
          </w:p>
        </w:tc>
      </w:tr>
      <w:tr>
        <w:trPr>
          <w:trHeight w:val="216"/>
        </w:trPr>
        <w:tc>
          <w:tcPr>
            <w:tcW w:w="654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40,200</w:t>
            </w:r>
          </w:p>
        </w:tc>
        <w:tc>
          <w:tcPr>
            <w:tcW w:w="80" w:type="dxa"/>
            <w:vAlign w:val="bottom"/>
          </w:tcPr>
          <w:p>
            <w:pPr>
              <w:spacing w:after="0"/>
              <w:rPr>
                <w:sz w:val="18"/>
                <w:szCs w:val="18"/>
                <w:color w:val="auto"/>
              </w:rPr>
            </w:pPr>
          </w:p>
        </w:tc>
      </w:tr>
      <w:tr>
        <w:trPr>
          <w:trHeight w:val="216"/>
        </w:trPr>
        <w:tc>
          <w:tcPr>
            <w:tcW w:w="65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Customer relationships</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53,400</w:t>
            </w:r>
          </w:p>
        </w:tc>
        <w:tc>
          <w:tcPr>
            <w:tcW w:w="80" w:type="dxa"/>
            <w:vAlign w:val="bottom"/>
            <w:shd w:val="clear" w:color="auto" w:fill="CCEEFF"/>
          </w:tcPr>
          <w:p>
            <w:pPr>
              <w:spacing w:after="0"/>
              <w:rPr>
                <w:sz w:val="18"/>
                <w:szCs w:val="18"/>
                <w:color w:val="auto"/>
              </w:rPr>
            </w:pPr>
          </w:p>
        </w:tc>
      </w:tr>
      <w:tr>
        <w:trPr>
          <w:trHeight w:val="216"/>
        </w:trPr>
        <w:tc>
          <w:tcPr>
            <w:tcW w:w="65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Goodwill</w:t>
            </w:r>
          </w:p>
        </w:tc>
        <w:tc>
          <w:tcPr>
            <w:tcW w:w="12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80,808</w:t>
            </w:r>
          </w:p>
        </w:tc>
        <w:tc>
          <w:tcPr>
            <w:tcW w:w="80" w:type="dxa"/>
            <w:vAlign w:val="bottom"/>
            <w:tcBorders>
              <w:bottom w:val="single" w:sz="8" w:color="CCEEFF"/>
            </w:tcBorders>
          </w:tcPr>
          <w:p>
            <w:pPr>
              <w:spacing w:after="0"/>
              <w:rPr>
                <w:sz w:val="18"/>
                <w:szCs w:val="18"/>
                <w:color w:val="auto"/>
              </w:rPr>
            </w:pPr>
          </w:p>
        </w:tc>
      </w:tr>
      <w:tr>
        <w:trPr>
          <w:trHeight w:val="210"/>
        </w:trPr>
        <w:tc>
          <w:tcPr>
            <w:tcW w:w="654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Total purchase price allocation</w:t>
            </w: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262,979</w:t>
            </w:r>
          </w:p>
        </w:tc>
        <w:tc>
          <w:tcPr>
            <w:tcW w:w="80" w:type="dxa"/>
            <w:vAlign w:val="bottom"/>
            <w:tcBorders>
              <w:bottom w:val="single" w:sz="8" w:color="CCEEFF"/>
            </w:tcBorders>
            <w:shd w:val="clear" w:color="auto" w:fill="CCEEFF"/>
          </w:tcPr>
          <w:p>
            <w:pPr>
              <w:spacing w:after="0"/>
              <w:rPr>
                <w:sz w:val="18"/>
                <w:szCs w:val="18"/>
                <w:color w:val="auto"/>
              </w:rPr>
            </w:pPr>
          </w:p>
        </w:tc>
      </w:tr>
      <w:tr>
        <w:trPr>
          <w:trHeight w:val="20"/>
        </w:trPr>
        <w:tc>
          <w:tcPr>
            <w:tcW w:w="65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350" w:lineRule="exact"/>
        <w:rPr>
          <w:sz w:val="20"/>
          <w:szCs w:val="20"/>
          <w:color w:val="auto"/>
        </w:rPr>
      </w:pPr>
    </w:p>
    <w:p>
      <w:pPr>
        <w:ind w:right="80" w:firstLine="324"/>
        <w:spacing w:after="0" w:line="273" w:lineRule="auto"/>
        <w:rPr>
          <w:sz w:val="20"/>
          <w:szCs w:val="20"/>
          <w:color w:val="auto"/>
        </w:rPr>
      </w:pPr>
      <w:r>
        <w:rPr>
          <w:rFonts w:ascii="Arial" w:cs="Arial" w:eastAsia="Arial" w:hAnsi="Arial"/>
          <w:sz w:val="17"/>
          <w:szCs w:val="17"/>
          <w:color w:val="auto"/>
        </w:rPr>
        <w:t>The amortizable intangible assets of $149.4 million were determined based on valuation techniques such as discounted cash flows and weighted average cost of capital methods used in the high technology industry using assumptions and estimates from management. The amortizable intangible assets will be amortized over useful lives ranging from three to six years. The existing technology represents personal laser jet, laser jet systems technology and other technology that the Avago Business has developed. Core technology represents the combination of processes, patents, and trade secrets that are the building blocks for current and planned new products. Customer relationships represent future projected revenue that will be derived from sales of future versions of existing products that will be sold to existing customers.</w:t>
      </w:r>
    </w:p>
    <w:p>
      <w:pPr>
        <w:spacing w:after="0" w:line="178" w:lineRule="exact"/>
        <w:rPr>
          <w:sz w:val="20"/>
          <w:szCs w:val="20"/>
          <w:color w:val="auto"/>
        </w:rPr>
      </w:pPr>
    </w:p>
    <w:p>
      <w:pPr>
        <w:ind w:right="200" w:firstLine="324"/>
        <w:spacing w:after="0" w:line="277" w:lineRule="auto"/>
        <w:rPr>
          <w:sz w:val="20"/>
          <w:szCs w:val="20"/>
          <w:color w:val="auto"/>
        </w:rPr>
      </w:pPr>
      <w:r>
        <w:rPr>
          <w:rFonts w:ascii="Arial" w:cs="Arial" w:eastAsia="Arial" w:hAnsi="Arial"/>
          <w:sz w:val="18"/>
          <w:szCs w:val="18"/>
          <w:color w:val="auto"/>
        </w:rPr>
        <w:t>The weighted average useful lives of acquired intangibles from the Avago Business are 3.2 years for existing technology, 4.9 years for core technology and 5.0 years for customer relationships.</w:t>
      </w:r>
    </w:p>
    <w:p>
      <w:pPr>
        <w:spacing w:after="0" w:line="170" w:lineRule="exact"/>
        <w:rPr>
          <w:sz w:val="20"/>
          <w:szCs w:val="20"/>
          <w:color w:val="auto"/>
        </w:rPr>
      </w:pPr>
    </w:p>
    <w:p>
      <w:pPr>
        <w:ind w:left="340"/>
        <w:spacing w:after="0"/>
        <w:rPr>
          <w:sz w:val="20"/>
          <w:szCs w:val="20"/>
          <w:color w:val="auto"/>
        </w:rPr>
      </w:pPr>
      <w:r>
        <w:rPr>
          <w:rFonts w:ascii="Arial" w:cs="Arial" w:eastAsia="Arial" w:hAnsi="Arial"/>
          <w:sz w:val="18"/>
          <w:szCs w:val="18"/>
          <w:u w:val="single" w:color="auto"/>
          <w:color w:val="auto"/>
        </w:rPr>
        <w:t>ICAP Business</w:t>
      </w:r>
    </w:p>
    <w:p>
      <w:pPr>
        <w:sectPr>
          <w:pgSz w:w="11900" w:h="16838" w:orient="portrait"/>
          <w:cols w:equalWidth="0" w:num="1">
            <w:col w:w="11400"/>
          </w:cols>
          <w:pgMar w:left="240" w:top="140" w:right="259" w:bottom="0" w:gutter="0" w:footer="0" w:header="0"/>
        </w:sectPr>
      </w:pPr>
    </w:p>
    <w:bookmarkStart w:id="11" w:name="page12"/>
    <w:bookmarkEnd w:id="11"/>
    <w:p>
      <w:pPr>
        <w:ind w:right="60" w:firstLine="324"/>
        <w:spacing w:after="0" w:line="255" w:lineRule="auto"/>
        <w:rPr>
          <w:sz w:val="20"/>
          <w:szCs w:val="20"/>
          <w:color w:val="auto"/>
        </w:rPr>
      </w:pPr>
      <w:r>
        <w:rPr>
          <w:rFonts w:ascii="Arial" w:cs="Arial" w:eastAsia="Arial" w:hAnsi="Arial"/>
          <w:sz w:val="18"/>
          <w:szCs w:val="18"/>
          <w:color w:val="auto"/>
        </w:rPr>
        <w:t>The Company acquired the ICAP Business on November 8, 2006. The ICAP Business designed, manufactured, and marketed applications and communications processors for cellular phones, personal digital assistants, and other personal devices. The primary purpose and benefits of the acquisition were to obtain, accelerate and strengthen the Company’s entry into the wireless handheld device market, leverage its portfolio of complementary technology and obtain important wireless systems level knowledge. These factors contributed to a purchase price that was in excess of the fair value of the ICAP Business net tangible and intangible assets acquired. The Company recorded goodwill, which is not deductible for tax purposes, in connection with this transaction.</w:t>
      </w:r>
    </w:p>
    <w:p>
      <w:pPr>
        <w:spacing w:after="0" w:line="19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purchase price of the acquisition was $605.9 million, determined as follows (in thousands):</w:t>
      </w:r>
    </w:p>
    <w:p>
      <w:pPr>
        <w:spacing w:after="0" w:line="240" w:lineRule="exact"/>
        <w:rPr>
          <w:sz w:val="20"/>
          <w:szCs w:val="20"/>
          <w:color w:val="auto"/>
        </w:rPr>
      </w:pPr>
    </w:p>
    <w:tbl>
      <w:tblPr>
        <w:tblLayout w:type="fixed"/>
        <w:tblInd w:w="1080" w:type="dxa"/>
        <w:tblCellMar>
          <w:top w:w="0" w:type="dxa"/>
          <w:left w:w="0" w:type="dxa"/>
          <w:bottom w:w="0" w:type="dxa"/>
          <w:right w:w="0" w:type="dxa"/>
        </w:tblCellMar>
      </w:tblPr>
      <w:tr>
        <w:trPr>
          <w:trHeight w:val="216"/>
        </w:trPr>
        <w:tc>
          <w:tcPr>
            <w:tcW w:w="310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4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$ 600,000</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00" w:type="dxa"/>
            <w:vAlign w:val="bottom"/>
          </w:tcPr>
          <w:p>
            <w:pPr>
              <w:spacing w:after="0"/>
              <w:rPr>
                <w:sz w:val="20"/>
                <w:szCs w:val="20"/>
                <w:color w:val="auto"/>
              </w:rPr>
            </w:pPr>
            <w:r>
              <w:rPr>
                <w:rFonts w:ascii="Arial" w:cs="Arial" w:eastAsia="Arial" w:hAnsi="Arial"/>
                <w:sz w:val="18"/>
                <w:szCs w:val="18"/>
                <w:color w:val="auto"/>
              </w:rPr>
              <w:t>Transaction costs</w:t>
            </w:r>
          </w:p>
        </w:tc>
        <w:tc>
          <w:tcPr>
            <w:tcW w:w="4220" w:type="dxa"/>
            <w:vAlign w:val="bottom"/>
            <w:gridSpan w:val="2"/>
          </w:tcPr>
          <w:p>
            <w:pPr>
              <w:jc w:val="right"/>
              <w:spacing w:after="0"/>
              <w:rPr>
                <w:sz w:val="20"/>
                <w:szCs w:val="20"/>
                <w:color w:val="auto"/>
              </w:rPr>
            </w:pPr>
            <w:r>
              <w:rPr>
                <w:rFonts w:ascii="Arial" w:cs="Arial" w:eastAsia="Arial" w:hAnsi="Arial"/>
                <w:sz w:val="18"/>
                <w:szCs w:val="18"/>
                <w:color w:val="auto"/>
              </w:rPr>
              <w:t>5,857</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10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Total purchase price</w:t>
            </w:r>
          </w:p>
        </w:tc>
        <w:tc>
          <w:tcPr>
            <w:tcW w:w="3480" w:type="dxa"/>
            <w:vAlign w:val="bottom"/>
            <w:tcBorders>
              <w:top w:val="single" w:sz="8" w:color="CCEEFF"/>
              <w:bottom w:val="single" w:sz="8" w:color="CCEEFF"/>
            </w:tcBorders>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$ 605,857</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100" w:type="dxa"/>
            <w:vAlign w:val="bottom"/>
          </w:tcPr>
          <w:p>
            <w:pPr>
              <w:spacing w:after="0" w:line="20" w:lineRule="exact"/>
              <w:rPr>
                <w:sz w:val="1"/>
                <w:szCs w:val="1"/>
                <w:color w:val="auto"/>
              </w:rPr>
            </w:pPr>
          </w:p>
        </w:tc>
        <w:tc>
          <w:tcPr>
            <w:tcW w:w="3480" w:type="dxa"/>
            <w:vAlign w:val="bottom"/>
            <w:vMerge w:val="restart"/>
          </w:tcPr>
          <w:p>
            <w:pPr>
              <w:jc w:val="right"/>
              <w:ind w:right="1770"/>
              <w:spacing w:after="0"/>
              <w:rPr>
                <w:sz w:val="20"/>
                <w:szCs w:val="20"/>
                <w:color w:val="auto"/>
              </w:rPr>
            </w:pPr>
            <w:r>
              <w:rPr>
                <w:rFonts w:ascii="Arial" w:cs="Arial" w:eastAsia="Arial" w:hAnsi="Arial"/>
                <w:sz w:val="18"/>
                <w:szCs w:val="18"/>
                <w:color w:val="auto"/>
              </w:rPr>
              <w:t>16</w:t>
            </w:r>
          </w:p>
        </w:tc>
        <w:tc>
          <w:tcPr>
            <w:tcW w:w="7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777"/>
        </w:trPr>
        <w:tc>
          <w:tcPr>
            <w:tcW w:w="3100" w:type="dxa"/>
            <w:vAlign w:val="bottom"/>
          </w:tcPr>
          <w:p>
            <w:pPr>
              <w:spacing w:after="0"/>
              <w:rPr>
                <w:sz w:val="24"/>
                <w:szCs w:val="24"/>
                <w:color w:val="auto"/>
              </w:rPr>
            </w:pPr>
          </w:p>
        </w:tc>
        <w:tc>
          <w:tcPr>
            <w:tcW w:w="3480" w:type="dxa"/>
            <w:vAlign w:val="bottom"/>
            <w:vMerge w:val="continue"/>
          </w:tcPr>
          <w:p>
            <w:pPr>
              <w:spacing w:after="0"/>
              <w:rPr>
                <w:sz w:val="24"/>
                <w:szCs w:val="24"/>
                <w:color w:val="auto"/>
              </w:rPr>
            </w:pPr>
          </w:p>
        </w:tc>
        <w:tc>
          <w:tcPr>
            <w:tcW w:w="7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right="100" w:firstLine="324"/>
        <w:spacing w:after="0" w:line="277" w:lineRule="auto"/>
        <w:rPr>
          <w:sz w:val="20"/>
          <w:szCs w:val="20"/>
          <w:color w:val="auto"/>
        </w:rPr>
      </w:pPr>
      <w:r>
        <w:rPr>
          <w:rFonts w:ascii="Arial" w:cs="Arial" w:eastAsia="Arial" w:hAnsi="Arial"/>
          <w:sz w:val="18"/>
          <w:szCs w:val="18"/>
          <w:color w:val="auto"/>
        </w:rPr>
        <w:t>Under the purchase method of accounting, the total purchase price was allocated to net tangible and intangible assets based on their fair values as of the date of completion of the acquisition as follows (in thousands):</w:t>
      </w:r>
    </w:p>
    <w:p>
      <w:pPr>
        <w:spacing w:after="0" w:line="185" w:lineRule="exact"/>
        <w:rPr>
          <w:sz w:val="20"/>
          <w:szCs w:val="20"/>
          <w:color w:val="auto"/>
        </w:rPr>
      </w:pPr>
    </w:p>
    <w:tbl>
      <w:tblPr>
        <w:tblLayout w:type="fixed"/>
        <w:tblInd w:w="1080" w:type="dxa"/>
        <w:tblCellMar>
          <w:top w:w="0" w:type="dxa"/>
          <w:left w:w="0" w:type="dxa"/>
          <w:bottom w:w="0" w:type="dxa"/>
          <w:right w:w="0" w:type="dxa"/>
        </w:tblCellMar>
      </w:tblPr>
      <w:tr>
        <w:trPr>
          <w:trHeight w:val="216"/>
        </w:trPr>
        <w:tc>
          <w:tcPr>
            <w:tcW w:w="65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Prepaid expenses</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3,847</w:t>
            </w:r>
          </w:p>
        </w:tc>
        <w:tc>
          <w:tcPr>
            <w:tcW w:w="80" w:type="dxa"/>
            <w:vAlign w:val="bottom"/>
            <w:shd w:val="clear" w:color="auto" w:fill="CCEEFF"/>
          </w:tcPr>
          <w:p>
            <w:pPr>
              <w:spacing w:after="0"/>
              <w:rPr>
                <w:sz w:val="18"/>
                <w:szCs w:val="18"/>
                <w:color w:val="auto"/>
              </w:rPr>
            </w:pPr>
          </w:p>
        </w:tc>
      </w:tr>
      <w:tr>
        <w:trPr>
          <w:trHeight w:val="216"/>
        </w:trPr>
        <w:tc>
          <w:tcPr>
            <w:tcW w:w="6540" w:type="dxa"/>
            <w:vAlign w:val="bottom"/>
          </w:tcPr>
          <w:p>
            <w:pPr>
              <w:ind w:left="180"/>
              <w:spacing w:after="0"/>
              <w:rPr>
                <w:sz w:val="20"/>
                <w:szCs w:val="20"/>
                <w:color w:val="auto"/>
              </w:rPr>
            </w:pPr>
            <w:r>
              <w:rPr>
                <w:rFonts w:ascii="Arial" w:cs="Arial" w:eastAsia="Arial" w:hAnsi="Arial"/>
                <w:sz w:val="18"/>
                <w:szCs w:val="18"/>
                <w:color w:val="auto"/>
              </w:rPr>
              <w:t>Fixed assets</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45,076</w:t>
            </w:r>
          </w:p>
        </w:tc>
        <w:tc>
          <w:tcPr>
            <w:tcW w:w="80" w:type="dxa"/>
            <w:vAlign w:val="bottom"/>
          </w:tcPr>
          <w:p>
            <w:pPr>
              <w:spacing w:after="0"/>
              <w:rPr>
                <w:sz w:val="18"/>
                <w:szCs w:val="18"/>
                <w:color w:val="auto"/>
              </w:rPr>
            </w:pPr>
          </w:p>
        </w:tc>
      </w:tr>
      <w:tr>
        <w:trPr>
          <w:trHeight w:val="216"/>
        </w:trPr>
        <w:tc>
          <w:tcPr>
            <w:tcW w:w="65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tax asset</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4,550</w:t>
            </w:r>
          </w:p>
        </w:tc>
        <w:tc>
          <w:tcPr>
            <w:tcW w:w="80" w:type="dxa"/>
            <w:vAlign w:val="bottom"/>
            <w:shd w:val="clear" w:color="auto" w:fill="CCEEFF"/>
          </w:tcPr>
          <w:p>
            <w:pPr>
              <w:spacing w:after="0"/>
              <w:rPr>
                <w:sz w:val="18"/>
                <w:szCs w:val="18"/>
                <w:color w:val="auto"/>
              </w:rPr>
            </w:pPr>
          </w:p>
        </w:tc>
      </w:tr>
      <w:tr>
        <w:trPr>
          <w:trHeight w:val="216"/>
        </w:trPr>
        <w:tc>
          <w:tcPr>
            <w:tcW w:w="6540" w:type="dxa"/>
            <w:vAlign w:val="bottom"/>
          </w:tcPr>
          <w:p>
            <w:pPr>
              <w:ind w:left="180"/>
              <w:spacing w:after="0"/>
              <w:rPr>
                <w:sz w:val="20"/>
                <w:szCs w:val="20"/>
                <w:color w:val="auto"/>
              </w:rPr>
            </w:pPr>
            <w:r>
              <w:rPr>
                <w:rFonts w:ascii="Arial" w:cs="Arial" w:eastAsia="Arial" w:hAnsi="Arial"/>
                <w:sz w:val="18"/>
                <w:szCs w:val="18"/>
                <w:color w:val="auto"/>
              </w:rPr>
              <w:t>Other assets</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4,864</w:t>
            </w:r>
          </w:p>
        </w:tc>
        <w:tc>
          <w:tcPr>
            <w:tcW w:w="80" w:type="dxa"/>
            <w:vAlign w:val="bottom"/>
          </w:tcPr>
          <w:p>
            <w:pPr>
              <w:spacing w:after="0"/>
              <w:rPr>
                <w:sz w:val="18"/>
                <w:szCs w:val="18"/>
                <w:color w:val="auto"/>
              </w:rPr>
            </w:pPr>
          </w:p>
        </w:tc>
      </w:tr>
      <w:tr>
        <w:trPr>
          <w:trHeight w:val="216"/>
        </w:trPr>
        <w:tc>
          <w:tcPr>
            <w:tcW w:w="65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Severance pay fund</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13,301</w:t>
            </w:r>
          </w:p>
        </w:tc>
        <w:tc>
          <w:tcPr>
            <w:tcW w:w="80" w:type="dxa"/>
            <w:vAlign w:val="bottom"/>
            <w:shd w:val="clear" w:color="auto" w:fill="CCEEFF"/>
          </w:tcPr>
          <w:p>
            <w:pPr>
              <w:spacing w:after="0"/>
              <w:rPr>
                <w:sz w:val="18"/>
                <w:szCs w:val="18"/>
                <w:color w:val="auto"/>
              </w:rPr>
            </w:pPr>
          </w:p>
        </w:tc>
      </w:tr>
      <w:tr>
        <w:trPr>
          <w:trHeight w:val="216"/>
        </w:trPr>
        <w:tc>
          <w:tcPr>
            <w:tcW w:w="6540" w:type="dxa"/>
            <w:vAlign w:val="bottom"/>
          </w:tcPr>
          <w:p>
            <w:pPr>
              <w:ind w:left="180"/>
              <w:spacing w:after="0"/>
              <w:rPr>
                <w:sz w:val="20"/>
                <w:szCs w:val="20"/>
                <w:color w:val="auto"/>
              </w:rPr>
            </w:pPr>
            <w:r>
              <w:rPr>
                <w:rFonts w:ascii="Arial" w:cs="Arial" w:eastAsia="Arial" w:hAnsi="Arial"/>
                <w:sz w:val="18"/>
                <w:szCs w:val="18"/>
                <w:color w:val="auto"/>
              </w:rPr>
              <w:t>Long-term deferred tax asset</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813</w:t>
            </w:r>
          </w:p>
        </w:tc>
        <w:tc>
          <w:tcPr>
            <w:tcW w:w="80" w:type="dxa"/>
            <w:vAlign w:val="bottom"/>
          </w:tcPr>
          <w:p>
            <w:pPr>
              <w:spacing w:after="0"/>
              <w:rPr>
                <w:sz w:val="18"/>
                <w:szCs w:val="18"/>
                <w:color w:val="auto"/>
              </w:rPr>
            </w:pPr>
          </w:p>
        </w:tc>
      </w:tr>
      <w:tr>
        <w:trPr>
          <w:trHeight w:val="216"/>
        </w:trPr>
        <w:tc>
          <w:tcPr>
            <w:tcW w:w="65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Accrued liabilities</w:t>
            </w: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(6,577)</w:t>
            </w:r>
          </w:p>
        </w:tc>
      </w:tr>
      <w:tr>
        <w:trPr>
          <w:trHeight w:val="216"/>
        </w:trPr>
        <w:tc>
          <w:tcPr>
            <w:tcW w:w="6540" w:type="dxa"/>
            <w:vAlign w:val="bottom"/>
          </w:tcPr>
          <w:p>
            <w:pPr>
              <w:ind w:left="180"/>
              <w:spacing w:after="0"/>
              <w:rPr>
                <w:sz w:val="20"/>
                <w:szCs w:val="20"/>
                <w:color w:val="auto"/>
              </w:rPr>
            </w:pPr>
            <w:r>
              <w:rPr>
                <w:rFonts w:ascii="Arial" w:cs="Arial" w:eastAsia="Arial" w:hAnsi="Arial"/>
                <w:sz w:val="18"/>
                <w:szCs w:val="18"/>
                <w:color w:val="auto"/>
              </w:rPr>
              <w:t>Accrued compensation</w:t>
            </w:r>
          </w:p>
        </w:tc>
        <w:tc>
          <w:tcPr>
            <w:tcW w:w="120" w:type="dxa"/>
            <w:vAlign w:val="bottom"/>
          </w:tcPr>
          <w:p>
            <w:pPr>
              <w:spacing w:after="0"/>
              <w:rPr>
                <w:sz w:val="18"/>
                <w:szCs w:val="18"/>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(12,236)</w:t>
            </w:r>
          </w:p>
        </w:tc>
      </w:tr>
      <w:tr>
        <w:trPr>
          <w:trHeight w:val="216"/>
        </w:trPr>
        <w:tc>
          <w:tcPr>
            <w:tcW w:w="65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Accrued supply agreement</w:t>
            </w:r>
          </w:p>
        </w:tc>
        <w:tc>
          <w:tcPr>
            <w:tcW w:w="8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(219,000)</w:t>
            </w:r>
          </w:p>
        </w:tc>
      </w:tr>
      <w:tr>
        <w:trPr>
          <w:trHeight w:val="216"/>
        </w:trPr>
        <w:tc>
          <w:tcPr>
            <w:tcW w:w="6540" w:type="dxa"/>
            <w:vAlign w:val="bottom"/>
          </w:tcPr>
          <w:p>
            <w:pPr>
              <w:ind w:left="180"/>
              <w:spacing w:after="0"/>
              <w:rPr>
                <w:sz w:val="20"/>
                <w:szCs w:val="20"/>
                <w:color w:val="auto"/>
              </w:rPr>
            </w:pPr>
            <w:r>
              <w:rPr>
                <w:rFonts w:ascii="Arial" w:cs="Arial" w:eastAsia="Arial" w:hAnsi="Arial"/>
                <w:sz w:val="18"/>
                <w:szCs w:val="18"/>
                <w:color w:val="auto"/>
              </w:rPr>
              <w:t>Long-term liabilities</w:t>
            </w:r>
          </w:p>
        </w:tc>
        <w:tc>
          <w:tcPr>
            <w:tcW w:w="120" w:type="dxa"/>
            <w:vAlign w:val="bottom"/>
          </w:tcPr>
          <w:p>
            <w:pPr>
              <w:spacing w:after="0"/>
              <w:rPr>
                <w:sz w:val="18"/>
                <w:szCs w:val="18"/>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(14,831)</w:t>
            </w:r>
          </w:p>
        </w:tc>
      </w:tr>
      <w:tr>
        <w:trPr>
          <w:trHeight w:val="210"/>
        </w:trPr>
        <w:tc>
          <w:tcPr>
            <w:tcW w:w="654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3"/>
              </w:rPr>
              <w:t>(180,193)</w:t>
            </w:r>
          </w:p>
        </w:tc>
        <w:tc>
          <w:tcPr>
            <w:tcW w:w="80" w:type="dxa"/>
            <w:vAlign w:val="bottom"/>
            <w:tcBorders>
              <w:top w:val="single" w:sz="8" w:color="CCEEFF"/>
            </w:tcBorders>
            <w:shd w:val="clear" w:color="auto" w:fill="CCEEFF"/>
          </w:tcPr>
          <w:p>
            <w:pPr>
              <w:spacing w:after="0"/>
              <w:rPr>
                <w:sz w:val="18"/>
                <w:szCs w:val="18"/>
                <w:color w:val="auto"/>
              </w:rPr>
            </w:pPr>
          </w:p>
        </w:tc>
      </w:tr>
      <w:tr>
        <w:trPr>
          <w:trHeight w:val="216"/>
        </w:trPr>
        <w:tc>
          <w:tcPr>
            <w:tcW w:w="654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r>
      <w:tr>
        <w:trPr>
          <w:trHeight w:val="216"/>
        </w:trPr>
        <w:tc>
          <w:tcPr>
            <w:tcW w:w="65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Existing technology</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190,700</w:t>
            </w:r>
          </w:p>
        </w:tc>
        <w:tc>
          <w:tcPr>
            <w:tcW w:w="80" w:type="dxa"/>
            <w:vAlign w:val="bottom"/>
            <w:shd w:val="clear" w:color="auto" w:fill="CCEEFF"/>
          </w:tcPr>
          <w:p>
            <w:pPr>
              <w:spacing w:after="0"/>
              <w:rPr>
                <w:sz w:val="18"/>
                <w:szCs w:val="18"/>
                <w:color w:val="auto"/>
              </w:rPr>
            </w:pPr>
          </w:p>
        </w:tc>
      </w:tr>
      <w:tr>
        <w:trPr>
          <w:trHeight w:val="216"/>
        </w:trPr>
        <w:tc>
          <w:tcPr>
            <w:tcW w:w="6540" w:type="dxa"/>
            <w:vAlign w:val="bottom"/>
          </w:tcPr>
          <w:p>
            <w:pPr>
              <w:ind w:left="180"/>
              <w:spacing w:after="0"/>
              <w:rPr>
                <w:sz w:val="20"/>
                <w:szCs w:val="20"/>
                <w:color w:val="auto"/>
              </w:rPr>
            </w:pPr>
            <w:r>
              <w:rPr>
                <w:rFonts w:ascii="Arial" w:cs="Arial" w:eastAsia="Arial" w:hAnsi="Arial"/>
                <w:sz w:val="18"/>
                <w:szCs w:val="18"/>
                <w:color w:val="auto"/>
              </w:rPr>
              <w:t>Core technology</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89"/>
              </w:rPr>
              <w:t>136,300</w:t>
            </w:r>
          </w:p>
        </w:tc>
        <w:tc>
          <w:tcPr>
            <w:tcW w:w="80" w:type="dxa"/>
            <w:vAlign w:val="bottom"/>
          </w:tcPr>
          <w:p>
            <w:pPr>
              <w:spacing w:after="0"/>
              <w:rPr>
                <w:sz w:val="18"/>
                <w:szCs w:val="18"/>
                <w:color w:val="auto"/>
              </w:rPr>
            </w:pPr>
          </w:p>
        </w:tc>
      </w:tr>
      <w:tr>
        <w:trPr>
          <w:trHeight w:val="216"/>
        </w:trPr>
        <w:tc>
          <w:tcPr>
            <w:tcW w:w="65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Customer relationships</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59,900</w:t>
            </w:r>
          </w:p>
        </w:tc>
        <w:tc>
          <w:tcPr>
            <w:tcW w:w="80" w:type="dxa"/>
            <w:vAlign w:val="bottom"/>
            <w:shd w:val="clear" w:color="auto" w:fill="CCEEFF"/>
          </w:tcPr>
          <w:p>
            <w:pPr>
              <w:spacing w:after="0"/>
              <w:rPr>
                <w:sz w:val="18"/>
                <w:szCs w:val="18"/>
                <w:color w:val="auto"/>
              </w:rPr>
            </w:pPr>
          </w:p>
        </w:tc>
      </w:tr>
      <w:tr>
        <w:trPr>
          <w:trHeight w:val="216"/>
        </w:trPr>
        <w:tc>
          <w:tcPr>
            <w:tcW w:w="6540" w:type="dxa"/>
            <w:vAlign w:val="bottom"/>
          </w:tcPr>
          <w:p>
            <w:pPr>
              <w:spacing w:after="0"/>
              <w:rPr>
                <w:sz w:val="20"/>
                <w:szCs w:val="20"/>
                <w:color w:val="auto"/>
              </w:rPr>
            </w:pPr>
            <w:r>
              <w:rPr>
                <w:rFonts w:ascii="Arial" w:cs="Arial" w:eastAsia="Arial" w:hAnsi="Arial"/>
                <w:sz w:val="18"/>
                <w:szCs w:val="18"/>
                <w:color w:val="auto"/>
              </w:rPr>
              <w:t>In-process research and development</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77,800</w:t>
            </w:r>
          </w:p>
        </w:tc>
        <w:tc>
          <w:tcPr>
            <w:tcW w:w="80" w:type="dxa"/>
            <w:vAlign w:val="bottom"/>
          </w:tcPr>
          <w:p>
            <w:pPr>
              <w:spacing w:after="0"/>
              <w:rPr>
                <w:sz w:val="18"/>
                <w:szCs w:val="18"/>
                <w:color w:val="auto"/>
              </w:rPr>
            </w:pPr>
          </w:p>
        </w:tc>
      </w:tr>
      <w:tr>
        <w:trPr>
          <w:trHeight w:val="216"/>
        </w:trPr>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321,350</w:t>
            </w:r>
          </w:p>
        </w:tc>
        <w:tc>
          <w:tcPr>
            <w:tcW w:w="80" w:type="dxa"/>
            <w:vAlign w:val="bottom"/>
            <w:shd w:val="clear" w:color="auto" w:fill="CCEEFF"/>
          </w:tcPr>
          <w:p>
            <w:pPr>
              <w:spacing w:after="0"/>
              <w:rPr>
                <w:sz w:val="18"/>
                <w:szCs w:val="18"/>
                <w:color w:val="auto"/>
              </w:rPr>
            </w:pPr>
          </w:p>
        </w:tc>
      </w:tr>
      <w:tr>
        <w:trPr>
          <w:trHeight w:val="210"/>
        </w:trPr>
        <w:tc>
          <w:tcPr>
            <w:tcW w:w="6540" w:type="dxa"/>
            <w:vAlign w:val="bottom"/>
          </w:tcPr>
          <w:p>
            <w:pPr>
              <w:ind w:left="180"/>
              <w:spacing w:after="0"/>
              <w:rPr>
                <w:sz w:val="20"/>
                <w:szCs w:val="20"/>
                <w:color w:val="auto"/>
              </w:rPr>
            </w:pPr>
            <w:r>
              <w:rPr>
                <w:rFonts w:ascii="Arial" w:cs="Arial" w:eastAsia="Arial" w:hAnsi="Arial"/>
                <w:sz w:val="18"/>
                <w:szCs w:val="18"/>
                <w:color w:val="auto"/>
              </w:rPr>
              <w:t>Total purchase price allocation</w:t>
            </w: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605,857</w:t>
            </w:r>
          </w:p>
        </w:tc>
        <w:tc>
          <w:tcPr>
            <w:tcW w:w="80" w:type="dxa"/>
            <w:vAlign w:val="bottom"/>
          </w:tcPr>
          <w:p>
            <w:pPr>
              <w:spacing w:after="0"/>
              <w:rPr>
                <w:sz w:val="18"/>
                <w:szCs w:val="18"/>
                <w:color w:val="auto"/>
              </w:rPr>
            </w:pPr>
          </w:p>
        </w:tc>
      </w:tr>
      <w:tr>
        <w:trPr>
          <w:trHeight w:val="20"/>
        </w:trPr>
        <w:tc>
          <w:tcPr>
            <w:tcW w:w="65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350"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The amortizable intangible assets of $386.9 million were determined based on valuation techniques such as discounted cash flows and weighted average cost of capital methods used in the high technology industry using assumptions and estimates from management. The amortizable intangible assets will be amortized over useful lives ranging from one to seven years. The existing technology comprises of products which have reached technological feasibility and includes the chipsets which have been completed and shipping in volume to customers. Core technology and patents represent a combination of processes, patents and trade secrets developed though years of experience in design and development of the products. Customer relationships represent future projected revenue that will be derived from sales of future versions of existing products that will be sold to existing customers. The Company has not provided a deferred tax liability on $386.9 million of purchased intangibles during the year as the intangibles are recorded in jurisdictions with a zero tax rate.</w:t>
      </w:r>
    </w:p>
    <w:p>
      <w:pPr>
        <w:spacing w:after="0" w:line="167" w:lineRule="exact"/>
        <w:rPr>
          <w:sz w:val="20"/>
          <w:szCs w:val="20"/>
          <w:color w:val="auto"/>
        </w:rPr>
      </w:pPr>
    </w:p>
    <w:p>
      <w:pPr>
        <w:ind w:firstLine="324"/>
        <w:spacing w:after="0" w:line="269" w:lineRule="auto"/>
        <w:rPr>
          <w:sz w:val="20"/>
          <w:szCs w:val="20"/>
          <w:color w:val="auto"/>
        </w:rPr>
      </w:pPr>
      <w:r>
        <w:rPr>
          <w:rFonts w:ascii="Arial" w:cs="Arial" w:eastAsia="Arial" w:hAnsi="Arial"/>
          <w:sz w:val="17"/>
          <w:szCs w:val="17"/>
          <w:color w:val="auto"/>
        </w:rPr>
        <w:t>Of the total purchase price, $77.8 million was allocated to in-process research and development (“IPRD”) based upon the fair values of assets acquired and was charged to expense in the fourth quarter of fiscal 2007. The ICAP Business was developing new products that had not reached technological feasibility and which had no alternative use and therefore was immediately written-off. The projects in process consisted of the development of new features and functionalities for sophisticated processors necessary to address customer needs, drive market acceptance and fuel the overall revenue growth profile of the acquired products. The values assigned to IPRD were determined by considering the importance of products under development to the overall development plan, estimating costs to develop 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 cash flows to present value. The discount rates used in the present value calculations were derived from a weighted-average cost of capital analysis, adjusted to reflect additional risks related to the product’s development and success as well as the product’s stage of completion. Discount rates ranging from 24.0% to 27.0% were used for IPRD. At the time of the acquisition, there were three significant projects in progress that were approximately 56.0% complete with aggregate costs to complete of $31.0 million. Two of the projects have been completed and the third project is expected to be completed by the third quarter of fiscal 2008.</w:t>
      </w:r>
    </w:p>
    <w:p>
      <w:pPr>
        <w:spacing w:after="0" w:line="180" w:lineRule="exact"/>
        <w:rPr>
          <w:sz w:val="20"/>
          <w:szCs w:val="20"/>
          <w:color w:val="auto"/>
        </w:rPr>
      </w:pPr>
    </w:p>
    <w:p>
      <w:pPr>
        <w:jc w:val="both"/>
        <w:ind w:right="300" w:firstLine="324"/>
        <w:spacing w:after="0" w:line="264" w:lineRule="auto"/>
        <w:rPr>
          <w:sz w:val="20"/>
          <w:szCs w:val="20"/>
          <w:color w:val="auto"/>
        </w:rPr>
      </w:pPr>
      <w:r>
        <w:rPr>
          <w:rFonts w:ascii="Arial" w:cs="Arial" w:eastAsia="Arial" w:hAnsi="Arial"/>
          <w:sz w:val="18"/>
          <w:szCs w:val="18"/>
          <w:color w:val="auto"/>
        </w:rPr>
        <w:t>The estimates used in valuing in-process research and development were based upon assumptions believed to be reasonable but which are inherently uncertain and unpredictable. Assumptions may be incomplete or inaccurate, and unanticipated events and circumstances may occur. Accordingly, actual results may vary from the projected results.</w:t>
      </w:r>
    </w:p>
    <w:p>
      <w:pPr>
        <w:spacing w:after="0" w:line="181" w:lineRule="exact"/>
        <w:rPr>
          <w:sz w:val="20"/>
          <w:szCs w:val="20"/>
          <w:color w:val="auto"/>
        </w:rPr>
      </w:pPr>
    </w:p>
    <w:p>
      <w:pPr>
        <w:ind w:right="200" w:firstLine="324"/>
        <w:spacing w:after="0" w:line="277" w:lineRule="auto"/>
        <w:rPr>
          <w:sz w:val="20"/>
          <w:szCs w:val="20"/>
          <w:color w:val="auto"/>
        </w:rPr>
      </w:pPr>
      <w:r>
        <w:rPr>
          <w:rFonts w:ascii="Arial" w:cs="Arial" w:eastAsia="Arial" w:hAnsi="Arial"/>
          <w:sz w:val="18"/>
          <w:szCs w:val="18"/>
          <w:color w:val="auto"/>
        </w:rPr>
        <w:t>The weighted average useful lives of acquired intangibles from the ICAP Business are 4.2 years for existing technology, 7.0 years for core technology and 7.0 years for customer relationships.</w:t>
      </w:r>
    </w:p>
    <w:p>
      <w:pPr>
        <w:spacing w:after="0" w:line="170" w:lineRule="exact"/>
        <w:rPr>
          <w:sz w:val="20"/>
          <w:szCs w:val="20"/>
          <w:color w:val="auto"/>
        </w:rPr>
      </w:pPr>
    </w:p>
    <w:p>
      <w:pPr>
        <w:ind w:right="60" w:firstLine="324"/>
        <w:spacing w:after="0" w:line="276" w:lineRule="auto"/>
        <w:rPr>
          <w:sz w:val="20"/>
          <w:szCs w:val="20"/>
          <w:color w:val="auto"/>
        </w:rPr>
      </w:pPr>
      <w:r>
        <w:rPr>
          <w:rFonts w:ascii="Arial" w:cs="Arial" w:eastAsia="Arial" w:hAnsi="Arial"/>
          <w:sz w:val="17"/>
          <w:szCs w:val="17"/>
          <w:color w:val="auto"/>
        </w:rPr>
        <w:t>In conjunction with the acquisition of the ICAP Business, the Company entered into a supply agreement with Intel. The supply agreement obligates the Company to purchase certain finished product and sorted wafers at a contracted price from Intel for a contracted period of time. The contracted period of time can differ between finished products and sorted wafers. Intel’s pricing to the Company was greater than comparable prices available to the Company in the market in almost all cases. In accordance with purchase accounting, the Company recorded a liability at contract signing representing the difference between Intel prices and comparable market prices for those products for which the Company had a contractual</w:t>
      </w:r>
    </w:p>
    <w:p>
      <w:pPr>
        <w:sectPr>
          <w:pgSz w:w="11900" w:h="16838" w:orient="portrait"/>
          <w:cols w:equalWidth="0" w:num="1">
            <w:col w:w="11340"/>
          </w:cols>
          <w:pgMar w:left="240" w:top="125" w:right="319" w:bottom="0" w:gutter="0" w:footer="0" w:header="0"/>
        </w:sectPr>
      </w:pPr>
    </w:p>
    <w:bookmarkStart w:id="12" w:name="page13"/>
    <w:bookmarkEnd w:id="12"/>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86" w:lineRule="auto"/>
        <w:rPr>
          <w:sz w:val="20"/>
          <w:szCs w:val="20"/>
          <w:color w:val="auto"/>
        </w:rPr>
      </w:pPr>
      <w:r>
        <w:rPr>
          <w:rFonts w:ascii="Arial" w:cs="Arial" w:eastAsia="Arial" w:hAnsi="Arial"/>
          <w:sz w:val="17"/>
          <w:szCs w:val="17"/>
          <w:color w:val="auto"/>
        </w:rPr>
        <w:t>obligation. Once that obligation ends, the Company can purchase products from its own foundries and subcontractors or continue to use Intel until the products have transitioned to the Company’s foundries and subcontractors. If these transitions do not occur in a timely fashion and the Company continues to purchase sorted wafers and finished products from Intel, then the Company’s gross margins could be adversely impacted.</w:t>
      </w:r>
    </w:p>
    <w:p>
      <w:pPr>
        <w:spacing w:after="0" w:line="166" w:lineRule="exact"/>
        <w:rPr>
          <w:sz w:val="20"/>
          <w:szCs w:val="20"/>
          <w:color w:val="auto"/>
        </w:rPr>
      </w:pPr>
    </w:p>
    <w:p>
      <w:pPr>
        <w:ind w:right="140" w:firstLine="324"/>
        <w:spacing w:after="0" w:line="276" w:lineRule="auto"/>
        <w:rPr>
          <w:sz w:val="20"/>
          <w:szCs w:val="20"/>
          <w:color w:val="auto"/>
        </w:rPr>
      </w:pPr>
      <w:r>
        <w:rPr>
          <w:rFonts w:ascii="Arial" w:cs="Arial" w:eastAsia="Arial" w:hAnsi="Arial"/>
          <w:sz w:val="17"/>
          <w:szCs w:val="17"/>
          <w:color w:val="auto"/>
        </w:rPr>
        <w:t>The Company reduces its liability and credits its cost of goods sold as product is sold or scrapped. Since the Company is obligated to purchase finished products and sorted wafers at prices above which a market participant could obtain from independent foundries and assembly/test subcontractors, the Company writes down inventory on hand to fair value. The Company also imputes and records interest expense on the supply agreement since the supply agreement liability will be incurred over multiple quarters into the future and thus the liability was initially recorded at net present value. See Note 3 for changes in the supply contract liability and Note 6 for the contractual commitments of the supply agreement.</w:t>
      </w:r>
    </w:p>
    <w:p>
      <w:pPr>
        <w:spacing w:after="0" w:line="173" w:lineRule="exact"/>
        <w:rPr>
          <w:sz w:val="20"/>
          <w:szCs w:val="20"/>
          <w:color w:val="auto"/>
        </w:rPr>
      </w:pPr>
    </w:p>
    <w:p>
      <w:pPr>
        <w:ind w:firstLine="324"/>
        <w:spacing w:after="0" w:line="312" w:lineRule="auto"/>
        <w:rPr>
          <w:sz w:val="20"/>
          <w:szCs w:val="20"/>
          <w:color w:val="auto"/>
        </w:rPr>
      </w:pPr>
      <w:r>
        <w:rPr>
          <w:rFonts w:ascii="Arial" w:cs="Arial" w:eastAsia="Arial" w:hAnsi="Arial"/>
          <w:sz w:val="16"/>
          <w:szCs w:val="16"/>
          <w:color w:val="auto"/>
        </w:rPr>
        <w:t>The results of operations of the Avago Business and the ICAP Business have been included in the Company’s consolidated statements of operations since their respective acquisition dates. The following unaudited pro forma information presents a summary of the results of operations of the Company assuming the acquisition of these business occurred at the beginning of the period presented (in thousands, except for per share amounts):</w:t>
      </w:r>
    </w:p>
    <w:p>
      <w:pPr>
        <w:spacing w:after="0" w:line="108" w:lineRule="exact"/>
        <w:rPr>
          <w:sz w:val="20"/>
          <w:szCs w:val="20"/>
          <w:color w:val="auto"/>
        </w:rPr>
      </w:pPr>
    </w:p>
    <w:tbl>
      <w:tblPr>
        <w:tblLayout w:type="fixed"/>
        <w:tblInd w:w="340" w:type="dxa"/>
        <w:tblCellMar>
          <w:top w:w="0" w:type="dxa"/>
          <w:left w:w="0" w:type="dxa"/>
          <w:bottom w:w="0" w:type="dxa"/>
          <w:right w:w="0" w:type="dxa"/>
        </w:tblCellMar>
      </w:tblPr>
      <w:tr>
        <w:trPr>
          <w:trHeight w:val="161"/>
        </w:trPr>
        <w:tc>
          <w:tcPr>
            <w:tcW w:w="6040" w:type="dxa"/>
            <w:vAlign w:val="bottom"/>
          </w:tcPr>
          <w:p>
            <w:pPr>
              <w:spacing w:after="0"/>
              <w:rPr>
                <w:sz w:val="14"/>
                <w:szCs w:val="14"/>
                <w:color w:val="auto"/>
              </w:rPr>
            </w:pPr>
          </w:p>
        </w:tc>
        <w:tc>
          <w:tcPr>
            <w:tcW w:w="1040" w:type="dxa"/>
            <w:vAlign w:val="bottom"/>
            <w:gridSpan w:val="3"/>
          </w:tcPr>
          <w:p>
            <w:pPr>
              <w:ind w:left="20"/>
              <w:spacing w:after="0"/>
              <w:rPr>
                <w:sz w:val="20"/>
                <w:szCs w:val="20"/>
                <w:color w:val="auto"/>
              </w:rPr>
            </w:pPr>
            <w:r>
              <w:rPr>
                <w:rFonts w:ascii="Arial" w:cs="Arial" w:eastAsia="Arial" w:hAnsi="Arial"/>
                <w:sz w:val="14"/>
                <w:szCs w:val="14"/>
                <w:b w:val="1"/>
                <w:bCs w:val="1"/>
                <w:color w:val="auto"/>
              </w:rPr>
              <w:t>Three Months</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3"/>
              </w:rPr>
              <w:t>Six Months</w:t>
            </w:r>
          </w:p>
        </w:tc>
      </w:tr>
      <w:tr>
        <w:trPr>
          <w:trHeight w:val="135"/>
        </w:trPr>
        <w:tc>
          <w:tcPr>
            <w:tcW w:w="60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gridSpan w:val="2"/>
          </w:tcPr>
          <w:p>
            <w:pPr>
              <w:jc w:val="right"/>
              <w:ind w:right="400"/>
              <w:spacing w:after="0" w:line="135" w:lineRule="exact"/>
              <w:rPr>
                <w:sz w:val="20"/>
                <w:szCs w:val="20"/>
                <w:color w:val="auto"/>
              </w:rPr>
            </w:pPr>
            <w:r>
              <w:rPr>
                <w:rFonts w:ascii="Arial" w:cs="Arial" w:eastAsia="Arial" w:hAnsi="Arial"/>
                <w:sz w:val="14"/>
                <w:szCs w:val="14"/>
                <w:b w:val="1"/>
                <w:bCs w:val="1"/>
                <w:color w:val="auto"/>
              </w:rPr>
              <w:t>Ended</w:t>
            </w: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3"/>
              </w:rPr>
              <w:t>Ended</w:t>
            </w:r>
          </w:p>
        </w:tc>
      </w:tr>
      <w:tr>
        <w:trPr>
          <w:trHeight w:val="162"/>
        </w:trPr>
        <w:tc>
          <w:tcPr>
            <w:tcW w:w="6040" w:type="dxa"/>
            <w:vAlign w:val="bottom"/>
          </w:tcPr>
          <w:p>
            <w:pPr>
              <w:spacing w:after="0"/>
              <w:rPr>
                <w:sz w:val="14"/>
                <w:szCs w:val="14"/>
                <w:color w:val="auto"/>
              </w:rPr>
            </w:pPr>
          </w:p>
        </w:tc>
        <w:tc>
          <w:tcPr>
            <w:tcW w:w="1040" w:type="dxa"/>
            <w:vAlign w:val="bottom"/>
            <w:gridSpan w:val="3"/>
          </w:tcPr>
          <w:p>
            <w:pPr>
              <w:ind w:left="40"/>
              <w:spacing w:after="0"/>
              <w:rPr>
                <w:sz w:val="20"/>
                <w:szCs w:val="20"/>
                <w:color w:val="auto"/>
              </w:rPr>
            </w:pPr>
            <w:r>
              <w:rPr>
                <w:rFonts w:ascii="Arial" w:cs="Arial" w:eastAsia="Arial" w:hAnsi="Arial"/>
                <w:sz w:val="14"/>
                <w:szCs w:val="14"/>
                <w:b w:val="1"/>
                <w:bCs w:val="1"/>
                <w:color w:val="auto"/>
              </w:rPr>
              <w:t>July 29, 2006</w:t>
            </w:r>
          </w:p>
        </w:tc>
        <w:tc>
          <w:tcPr>
            <w:tcW w:w="80" w:type="dxa"/>
            <w:vAlign w:val="bottom"/>
          </w:tcPr>
          <w:p>
            <w:pPr>
              <w:spacing w:after="0"/>
              <w:rPr>
                <w:sz w:val="14"/>
                <w:szCs w:val="14"/>
                <w:color w:val="auto"/>
              </w:rPr>
            </w:pPr>
          </w:p>
        </w:tc>
        <w:tc>
          <w:tcPr>
            <w:tcW w:w="102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2"/>
              </w:rPr>
              <w:t>July 29, 2006</w:t>
            </w:r>
          </w:p>
        </w:tc>
      </w:tr>
      <w:tr>
        <w:trPr>
          <w:trHeight w:val="210"/>
        </w:trPr>
        <w:tc>
          <w:tcPr>
            <w:tcW w:w="60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revenue</w:t>
            </w:r>
          </w:p>
        </w:tc>
        <w:tc>
          <w:tcPr>
            <w:tcW w:w="1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685,241</w:t>
            </w: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1,317,692</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040" w:type="dxa"/>
            <w:vAlign w:val="bottom"/>
          </w:tcPr>
          <w:p>
            <w:pPr>
              <w:spacing w:after="0"/>
              <w:rPr>
                <w:sz w:val="20"/>
                <w:szCs w:val="20"/>
                <w:color w:val="auto"/>
              </w:rPr>
            </w:pPr>
            <w:r>
              <w:rPr>
                <w:rFonts w:ascii="Arial" w:cs="Arial" w:eastAsia="Arial" w:hAnsi="Arial"/>
                <w:sz w:val="18"/>
                <w:szCs w:val="18"/>
                <w:color w:val="auto"/>
              </w:rPr>
              <w:t>Net loss</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80"/>
              <w:spacing w:after="0"/>
              <w:rPr>
                <w:sz w:val="20"/>
                <w:szCs w:val="20"/>
                <w:color w:val="auto"/>
              </w:rPr>
            </w:pPr>
            <w:r>
              <w:rPr>
                <w:rFonts w:ascii="Arial" w:cs="Arial" w:eastAsia="Arial" w:hAnsi="Arial"/>
                <w:sz w:val="18"/>
                <w:szCs w:val="18"/>
                <w:color w:val="auto"/>
              </w:rPr>
              <w:t>(95,653)</w:t>
            </w: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40"/>
              <w:spacing w:after="0"/>
              <w:rPr>
                <w:sz w:val="20"/>
                <w:szCs w:val="20"/>
                <w:color w:val="auto"/>
              </w:rPr>
            </w:pPr>
            <w:r>
              <w:rPr>
                <w:rFonts w:ascii="Arial" w:cs="Arial" w:eastAsia="Arial" w:hAnsi="Arial"/>
                <w:sz w:val="18"/>
                <w:szCs w:val="18"/>
                <w:color w:val="auto"/>
              </w:rPr>
              <w:t>(158,624)</w:t>
            </w:r>
          </w:p>
        </w:tc>
      </w:tr>
      <w:tr>
        <w:trPr>
          <w:trHeight w:val="216"/>
        </w:trPr>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Basic net loss per share</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(0.19)</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(0.32)</w:t>
            </w:r>
          </w:p>
        </w:tc>
      </w:tr>
      <w:tr>
        <w:trPr>
          <w:trHeight w:val="230"/>
        </w:trPr>
        <w:tc>
          <w:tcPr>
            <w:tcW w:w="6040" w:type="dxa"/>
            <w:vAlign w:val="bottom"/>
          </w:tcPr>
          <w:p>
            <w:pPr>
              <w:spacing w:after="0"/>
              <w:rPr>
                <w:sz w:val="20"/>
                <w:szCs w:val="20"/>
                <w:color w:val="auto"/>
              </w:rPr>
            </w:pPr>
            <w:r>
              <w:rPr>
                <w:rFonts w:ascii="Arial" w:cs="Arial" w:eastAsia="Arial" w:hAnsi="Arial"/>
                <w:sz w:val="18"/>
                <w:szCs w:val="18"/>
                <w:color w:val="auto"/>
              </w:rPr>
              <w:t>Diluted net loss per share</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80"/>
              <w:spacing w:after="0"/>
              <w:rPr>
                <w:sz w:val="20"/>
                <w:szCs w:val="20"/>
                <w:color w:val="auto"/>
              </w:rPr>
            </w:pPr>
            <w:r>
              <w:rPr>
                <w:rFonts w:ascii="Arial" w:cs="Arial" w:eastAsia="Arial" w:hAnsi="Arial"/>
                <w:sz w:val="18"/>
                <w:szCs w:val="18"/>
                <w:color w:val="auto"/>
              </w:rPr>
              <w:t>(0.19)</w:t>
            </w: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40"/>
              <w:spacing w:after="0"/>
              <w:rPr>
                <w:sz w:val="20"/>
                <w:szCs w:val="20"/>
                <w:color w:val="auto"/>
              </w:rPr>
            </w:pPr>
            <w:r>
              <w:rPr>
                <w:rFonts w:ascii="Arial" w:cs="Arial" w:eastAsia="Arial" w:hAnsi="Arial"/>
                <w:sz w:val="18"/>
                <w:szCs w:val="18"/>
                <w:color w:val="auto"/>
              </w:rPr>
              <w:t>(0.32)</w:t>
            </w:r>
          </w:p>
        </w:tc>
      </w:tr>
    </w:tbl>
    <w:p>
      <w:pPr>
        <w:spacing w:after="0" w:line="241" w:lineRule="exact"/>
        <w:rPr>
          <w:sz w:val="20"/>
          <w:szCs w:val="20"/>
          <w:color w:val="auto"/>
        </w:rPr>
      </w:pPr>
    </w:p>
    <w:p>
      <w:pPr>
        <w:ind w:left="340"/>
        <w:spacing w:after="0"/>
        <w:rPr>
          <w:sz w:val="20"/>
          <w:szCs w:val="20"/>
          <w:color w:val="auto"/>
        </w:rPr>
      </w:pPr>
      <w:r>
        <w:rPr>
          <w:rFonts w:ascii="Arial" w:cs="Arial" w:eastAsia="Arial" w:hAnsi="Arial"/>
          <w:sz w:val="18"/>
          <w:szCs w:val="18"/>
          <w:u w:val="single" w:color="auto"/>
          <w:color w:val="auto"/>
        </w:rPr>
        <w:t>Other acquisitions</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7"/>
          <w:szCs w:val="17"/>
          <w:color w:val="auto"/>
        </w:rPr>
        <w:t>During fiscal 2007, the Company completed the acquisition of the assets of two other businesses from unrelated parties with purchase prices totaling</w:t>
      </w:r>
    </w:p>
    <w:p>
      <w:pPr>
        <w:spacing w:after="0" w:line="35" w:lineRule="exact"/>
        <w:rPr>
          <w:sz w:val="20"/>
          <w:szCs w:val="20"/>
          <w:color w:val="auto"/>
        </w:rPr>
      </w:pPr>
    </w:p>
    <w:p>
      <w:pPr>
        <w:ind w:right="20"/>
        <w:spacing w:after="0" w:line="254" w:lineRule="auto"/>
        <w:rPr>
          <w:sz w:val="20"/>
          <w:szCs w:val="20"/>
          <w:color w:val="auto"/>
        </w:rPr>
      </w:pPr>
      <w:r>
        <w:rPr>
          <w:rFonts w:ascii="Arial" w:cs="Arial" w:eastAsia="Arial" w:hAnsi="Arial"/>
          <w:sz w:val="18"/>
          <w:szCs w:val="18"/>
          <w:color w:val="auto"/>
        </w:rPr>
        <w:t>$16.7 million. Under the purchase method of accounting, the total purchase price was allocated to net tangible and intangible assets based on their fair values as of the date of the completion of the respective acquisitions. The Company recorded acquired net tangible assets of $0.4 million, deferred tax liability of $3.0 million, amortizable intangible assets of $10.1 million and goodwill of $9.2 million. The intangible assets are being amortized over their useful lives ranging from one to eight years.</w:t>
      </w:r>
    </w:p>
    <w:p>
      <w:pPr>
        <w:spacing w:after="0" w:line="190" w:lineRule="exact"/>
        <w:rPr>
          <w:sz w:val="20"/>
          <w:szCs w:val="20"/>
          <w:color w:val="auto"/>
        </w:rPr>
      </w:pPr>
    </w:p>
    <w:p>
      <w:pPr>
        <w:ind w:right="20" w:firstLine="324"/>
        <w:spacing w:after="0" w:line="257" w:lineRule="auto"/>
        <w:rPr>
          <w:sz w:val="20"/>
          <w:szCs w:val="20"/>
          <w:color w:val="auto"/>
        </w:rPr>
      </w:pPr>
      <w:r>
        <w:rPr>
          <w:rFonts w:ascii="Arial" w:cs="Arial" w:eastAsia="Arial" w:hAnsi="Arial"/>
          <w:sz w:val="18"/>
          <w:szCs w:val="18"/>
          <w:color w:val="auto"/>
        </w:rPr>
        <w:t>During the second quarter of fiscal 2008, the Company completed the acquisition of an unrelated private company that designs and develops software for optical storage applications for a purchase price of $9.6 million. Under the purchase method of accounting, the total purchase price was allocated to net tangible and intangible assets based on their fair value as of the date of the completion of the acquisition. The Company recorded acquired net tangible assets of $3.5 million, deferred tax liability of $0.5 million, amortizable intangible assets of $1.3 million and goodwill of $5.3 million. The intangible assets are being amortized over their useful lives ranging from three to five years.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Goodwill and Acquired Intangible Assets</w:t>
      </w:r>
    </w:p>
    <w:p>
      <w:pPr>
        <w:spacing w:after="0" w:line="207" w:lineRule="exact"/>
        <w:rPr>
          <w:sz w:val="20"/>
          <w:szCs w:val="20"/>
          <w:color w:val="auto"/>
        </w:rPr>
      </w:pPr>
    </w:p>
    <w:tbl>
      <w:tblPr>
        <w:tblLayout w:type="fixed"/>
        <w:tblInd w:w="340" w:type="dxa"/>
        <w:tblCellMar>
          <w:top w:w="0" w:type="dxa"/>
          <w:left w:w="0" w:type="dxa"/>
          <w:bottom w:w="0" w:type="dxa"/>
          <w:right w:w="0" w:type="dxa"/>
        </w:tblCellMar>
      </w:tblPr>
      <w:tr>
        <w:trPr>
          <w:trHeight w:val="171"/>
        </w:trPr>
        <w:tc>
          <w:tcPr>
            <w:tcW w:w="15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gridSpan w:val="4"/>
          </w:tcPr>
          <w:p>
            <w:pPr>
              <w:jc w:val="right"/>
              <w:ind w:right="80"/>
              <w:spacing w:after="0"/>
              <w:rPr>
                <w:sz w:val="20"/>
                <w:szCs w:val="20"/>
                <w:color w:val="auto"/>
              </w:rPr>
            </w:pPr>
            <w:r>
              <w:rPr>
                <w:rFonts w:ascii="Arial" w:cs="Arial" w:eastAsia="Arial" w:hAnsi="Arial"/>
                <w:sz w:val="14"/>
                <w:szCs w:val="14"/>
                <w:b w:val="1"/>
                <w:bCs w:val="1"/>
                <w:color w:val="auto"/>
                <w:w w:val="95"/>
              </w:rPr>
              <w:t>As of July 28, 2007</w:t>
            </w:r>
          </w:p>
        </w:tc>
        <w:tc>
          <w:tcPr>
            <w:tcW w:w="12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200" w:type="dxa"/>
            <w:vAlign w:val="bottom"/>
            <w:tcBorders>
              <w:bottom w:val="single" w:sz="8" w:color="auto"/>
            </w:tcBorders>
            <w:gridSpan w:val="7"/>
          </w:tcPr>
          <w:p>
            <w:pPr>
              <w:jc w:val="right"/>
              <w:ind w:right="80"/>
              <w:spacing w:after="0"/>
              <w:rPr>
                <w:sz w:val="20"/>
                <w:szCs w:val="20"/>
                <w:color w:val="auto"/>
              </w:rPr>
            </w:pPr>
            <w:r>
              <w:rPr>
                <w:rFonts w:ascii="Arial" w:cs="Arial" w:eastAsia="Arial" w:hAnsi="Arial"/>
                <w:sz w:val="14"/>
                <w:szCs w:val="14"/>
                <w:b w:val="1"/>
                <w:bCs w:val="1"/>
                <w:color w:val="auto"/>
              </w:rPr>
              <w:t>As of January 27, 2007</w:t>
            </w:r>
          </w:p>
        </w:tc>
        <w:tc>
          <w:tcPr>
            <w:tcW w:w="82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1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760" w:type="dxa"/>
            <w:vAlign w:val="bottom"/>
          </w:tcPr>
          <w:p>
            <w:pPr>
              <w:jc w:val="center"/>
              <w:ind w:right="37"/>
              <w:spacing w:after="0" w:line="102" w:lineRule="exact"/>
              <w:rPr>
                <w:sz w:val="20"/>
                <w:szCs w:val="20"/>
                <w:color w:val="auto"/>
              </w:rPr>
            </w:pPr>
            <w:r>
              <w:rPr>
                <w:rFonts w:ascii="Arial" w:cs="Arial" w:eastAsia="Arial" w:hAnsi="Arial"/>
                <w:sz w:val="11"/>
                <w:szCs w:val="11"/>
                <w:b w:val="1"/>
                <w:bCs w:val="1"/>
                <w:color w:val="auto"/>
              </w:rPr>
              <w:t>Gross</w:t>
            </w:r>
          </w:p>
        </w:tc>
        <w:tc>
          <w:tcPr>
            <w:tcW w:w="220" w:type="dxa"/>
            <w:vAlign w:val="bottom"/>
          </w:tcPr>
          <w:p>
            <w:pPr>
              <w:spacing w:after="0"/>
              <w:rPr>
                <w:sz w:val="8"/>
                <w:szCs w:val="8"/>
                <w:color w:val="auto"/>
              </w:rPr>
            </w:pPr>
          </w:p>
        </w:tc>
        <w:tc>
          <w:tcPr>
            <w:tcW w:w="108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Accumulated</w:t>
            </w:r>
          </w:p>
        </w:tc>
        <w:tc>
          <w:tcPr>
            <w:tcW w:w="120" w:type="dxa"/>
            <w:vAlign w:val="bottom"/>
          </w:tcPr>
          <w:p>
            <w:pPr>
              <w:spacing w:after="0"/>
              <w:rPr>
                <w:sz w:val="8"/>
                <w:szCs w:val="8"/>
                <w:color w:val="auto"/>
              </w:rPr>
            </w:pPr>
          </w:p>
        </w:tc>
        <w:tc>
          <w:tcPr>
            <w:tcW w:w="740" w:type="dxa"/>
            <w:vAlign w:val="bottom"/>
          </w:tcPr>
          <w:p>
            <w:pPr>
              <w:jc w:val="center"/>
              <w:ind w:right="57"/>
              <w:spacing w:after="0" w:line="102" w:lineRule="exact"/>
              <w:rPr>
                <w:sz w:val="20"/>
                <w:szCs w:val="20"/>
                <w:color w:val="auto"/>
              </w:rPr>
            </w:pPr>
            <w:r>
              <w:rPr>
                <w:rFonts w:ascii="Arial" w:cs="Arial" w:eastAsia="Arial" w:hAnsi="Arial"/>
                <w:sz w:val="11"/>
                <w:szCs w:val="11"/>
                <w:b w:val="1"/>
                <w:bCs w:val="1"/>
                <w:color w:val="auto"/>
              </w:rPr>
              <w:t>Net</w:t>
            </w:r>
          </w:p>
        </w:tc>
        <w:tc>
          <w:tcPr>
            <w:tcW w:w="220" w:type="dxa"/>
            <w:vAlign w:val="bottom"/>
          </w:tcPr>
          <w:p>
            <w:pPr>
              <w:spacing w:after="0"/>
              <w:rPr>
                <w:sz w:val="8"/>
                <w:szCs w:val="8"/>
                <w:color w:val="auto"/>
              </w:rPr>
            </w:pPr>
          </w:p>
        </w:tc>
        <w:tc>
          <w:tcPr>
            <w:tcW w:w="120" w:type="dxa"/>
            <w:vAlign w:val="bottom"/>
          </w:tcPr>
          <w:p>
            <w:pPr>
              <w:spacing w:after="0"/>
              <w:rPr>
                <w:sz w:val="8"/>
                <w:szCs w:val="8"/>
                <w:color w:val="auto"/>
              </w:rPr>
            </w:pPr>
          </w:p>
        </w:tc>
        <w:tc>
          <w:tcPr>
            <w:tcW w:w="760" w:type="dxa"/>
            <w:vAlign w:val="bottom"/>
          </w:tcPr>
          <w:p>
            <w:pPr>
              <w:jc w:val="center"/>
              <w:ind w:right="58"/>
              <w:spacing w:after="0" w:line="102" w:lineRule="exact"/>
              <w:rPr>
                <w:sz w:val="20"/>
                <w:szCs w:val="20"/>
                <w:color w:val="auto"/>
              </w:rPr>
            </w:pPr>
            <w:r>
              <w:rPr>
                <w:rFonts w:ascii="Arial" w:cs="Arial" w:eastAsia="Arial" w:hAnsi="Arial"/>
                <w:sz w:val="11"/>
                <w:szCs w:val="11"/>
                <w:b w:val="1"/>
                <w:bCs w:val="1"/>
                <w:color w:val="auto"/>
              </w:rPr>
              <w:t>Gross</w:t>
            </w:r>
          </w:p>
        </w:tc>
        <w:tc>
          <w:tcPr>
            <w:tcW w:w="220" w:type="dxa"/>
            <w:vAlign w:val="bottom"/>
          </w:tcPr>
          <w:p>
            <w:pPr>
              <w:spacing w:after="0"/>
              <w:rPr>
                <w:sz w:val="8"/>
                <w:szCs w:val="8"/>
                <w:color w:val="auto"/>
              </w:rPr>
            </w:pPr>
          </w:p>
        </w:tc>
        <w:tc>
          <w:tcPr>
            <w:tcW w:w="1020" w:type="dxa"/>
            <w:vAlign w:val="bottom"/>
            <w:gridSpan w:val="3"/>
            <w:vMerge w:val="restart"/>
          </w:tcPr>
          <w:p>
            <w:pPr>
              <w:jc w:val="right"/>
              <w:ind w:right="180"/>
              <w:spacing w:after="0"/>
              <w:rPr>
                <w:sz w:val="20"/>
                <w:szCs w:val="20"/>
                <w:color w:val="auto"/>
              </w:rPr>
            </w:pPr>
            <w:r>
              <w:rPr>
                <w:rFonts w:ascii="Arial" w:cs="Arial" w:eastAsia="Arial" w:hAnsi="Arial"/>
                <w:sz w:val="14"/>
                <w:szCs w:val="14"/>
                <w:b w:val="1"/>
                <w:bCs w:val="1"/>
                <w:color w:val="auto"/>
                <w:w w:val="93"/>
              </w:rPr>
              <w:t>Accumulated</w:t>
            </w: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820" w:type="dxa"/>
            <w:vAlign w:val="bottom"/>
          </w:tcPr>
          <w:p>
            <w:pPr>
              <w:jc w:val="center"/>
              <w:ind w:right="117"/>
              <w:spacing w:after="0" w:line="102" w:lineRule="exact"/>
              <w:rPr>
                <w:sz w:val="20"/>
                <w:szCs w:val="20"/>
                <w:color w:val="auto"/>
              </w:rPr>
            </w:pPr>
            <w:r>
              <w:rPr>
                <w:rFonts w:ascii="Arial" w:cs="Arial" w:eastAsia="Arial" w:hAnsi="Arial"/>
                <w:sz w:val="11"/>
                <w:szCs w:val="11"/>
                <w:b w:val="1"/>
                <w:bCs w:val="1"/>
                <w:color w:val="auto"/>
              </w:rPr>
              <w:t>Net</w:t>
            </w:r>
          </w:p>
        </w:tc>
        <w:tc>
          <w:tcPr>
            <w:tcW w:w="0" w:type="dxa"/>
            <w:vAlign w:val="bottom"/>
          </w:tcPr>
          <w:p>
            <w:pPr>
              <w:spacing w:after="0"/>
              <w:rPr>
                <w:sz w:val="1"/>
                <w:szCs w:val="1"/>
                <w:color w:val="auto"/>
              </w:rPr>
            </w:pPr>
          </w:p>
        </w:tc>
      </w:tr>
      <w:tr>
        <w:trPr>
          <w:trHeight w:val="135"/>
        </w:trPr>
        <w:tc>
          <w:tcPr>
            <w:tcW w:w="15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60" w:type="dxa"/>
            <w:vAlign w:val="bottom"/>
          </w:tcPr>
          <w:p>
            <w:pPr>
              <w:jc w:val="center"/>
              <w:ind w:right="37"/>
              <w:spacing w:after="0" w:line="135" w:lineRule="exact"/>
              <w:rPr>
                <w:sz w:val="20"/>
                <w:szCs w:val="20"/>
                <w:color w:val="auto"/>
              </w:rPr>
            </w:pPr>
            <w:r>
              <w:rPr>
                <w:rFonts w:ascii="Arial" w:cs="Arial" w:eastAsia="Arial" w:hAnsi="Arial"/>
                <w:sz w:val="14"/>
                <w:szCs w:val="14"/>
                <w:b w:val="1"/>
                <w:bCs w:val="1"/>
                <w:color w:val="auto"/>
                <w:w w:val="97"/>
              </w:rPr>
              <w:t>Carrying</w:t>
            </w:r>
          </w:p>
        </w:tc>
        <w:tc>
          <w:tcPr>
            <w:tcW w:w="220" w:type="dxa"/>
            <w:vAlign w:val="bottom"/>
          </w:tcPr>
          <w:p>
            <w:pPr>
              <w:spacing w:after="0"/>
              <w:rPr>
                <w:sz w:val="11"/>
                <w:szCs w:val="11"/>
                <w:color w:val="auto"/>
              </w:rPr>
            </w:pPr>
          </w:p>
        </w:tc>
        <w:tc>
          <w:tcPr>
            <w:tcW w:w="1080" w:type="dxa"/>
            <w:vAlign w:val="bottom"/>
            <w:gridSpan w:val="3"/>
            <w:vMerge w:val="continue"/>
          </w:tcPr>
          <w:p>
            <w:pPr>
              <w:spacing w:after="0"/>
              <w:rPr>
                <w:sz w:val="11"/>
                <w:szCs w:val="11"/>
                <w:color w:val="auto"/>
              </w:rPr>
            </w:pPr>
          </w:p>
        </w:tc>
        <w:tc>
          <w:tcPr>
            <w:tcW w:w="120" w:type="dxa"/>
            <w:vAlign w:val="bottom"/>
          </w:tcPr>
          <w:p>
            <w:pPr>
              <w:spacing w:after="0"/>
              <w:rPr>
                <w:sz w:val="11"/>
                <w:szCs w:val="11"/>
                <w:color w:val="auto"/>
              </w:rPr>
            </w:pPr>
          </w:p>
        </w:tc>
        <w:tc>
          <w:tcPr>
            <w:tcW w:w="96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7"/>
              </w:rPr>
              <w:t>Carrying</w:t>
            </w:r>
          </w:p>
        </w:tc>
        <w:tc>
          <w:tcPr>
            <w:tcW w:w="120" w:type="dxa"/>
            <w:vAlign w:val="bottom"/>
          </w:tcPr>
          <w:p>
            <w:pPr>
              <w:spacing w:after="0"/>
              <w:rPr>
                <w:sz w:val="11"/>
                <w:szCs w:val="11"/>
                <w:color w:val="auto"/>
              </w:rPr>
            </w:pPr>
          </w:p>
        </w:tc>
        <w:tc>
          <w:tcPr>
            <w:tcW w:w="760" w:type="dxa"/>
            <w:vAlign w:val="bottom"/>
          </w:tcPr>
          <w:p>
            <w:pPr>
              <w:jc w:val="center"/>
              <w:ind w:right="58"/>
              <w:spacing w:after="0" w:line="135" w:lineRule="exact"/>
              <w:rPr>
                <w:sz w:val="20"/>
                <w:szCs w:val="20"/>
                <w:color w:val="auto"/>
              </w:rPr>
            </w:pPr>
            <w:r>
              <w:rPr>
                <w:rFonts w:ascii="Arial" w:cs="Arial" w:eastAsia="Arial" w:hAnsi="Arial"/>
                <w:sz w:val="14"/>
                <w:szCs w:val="14"/>
                <w:b w:val="1"/>
                <w:bCs w:val="1"/>
                <w:color w:val="auto"/>
              </w:rPr>
              <w:t>Carrying</w:t>
            </w:r>
          </w:p>
        </w:tc>
        <w:tc>
          <w:tcPr>
            <w:tcW w:w="220" w:type="dxa"/>
            <w:vAlign w:val="bottom"/>
          </w:tcPr>
          <w:p>
            <w:pPr>
              <w:spacing w:after="0"/>
              <w:rPr>
                <w:sz w:val="11"/>
                <w:szCs w:val="11"/>
                <w:color w:val="auto"/>
              </w:rPr>
            </w:pPr>
          </w:p>
        </w:tc>
        <w:tc>
          <w:tcPr>
            <w:tcW w:w="1020" w:type="dxa"/>
            <w:vAlign w:val="bottom"/>
            <w:gridSpan w:val="3"/>
            <w:vMerge w:val="continue"/>
          </w:tcPr>
          <w:p>
            <w:pPr>
              <w:spacing w:after="0"/>
              <w:rPr>
                <w:sz w:val="11"/>
                <w:szCs w:val="11"/>
                <w:color w:val="auto"/>
              </w:rPr>
            </w:pPr>
          </w:p>
        </w:tc>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jc w:val="center"/>
              <w:ind w:right="97"/>
              <w:spacing w:after="0" w:line="135" w:lineRule="exact"/>
              <w:rPr>
                <w:sz w:val="20"/>
                <w:szCs w:val="20"/>
                <w:color w:val="auto"/>
              </w:rPr>
            </w:pPr>
            <w:r>
              <w:rPr>
                <w:rFonts w:ascii="Arial" w:cs="Arial" w:eastAsia="Arial" w:hAnsi="Arial"/>
                <w:sz w:val="14"/>
                <w:szCs w:val="14"/>
                <w:b w:val="1"/>
                <w:bCs w:val="1"/>
                <w:color w:val="auto"/>
                <w:w w:val="97"/>
              </w:rPr>
              <w:t>Carrying</w:t>
            </w:r>
          </w:p>
        </w:tc>
        <w:tc>
          <w:tcPr>
            <w:tcW w:w="0" w:type="dxa"/>
            <w:vAlign w:val="bottom"/>
          </w:tcPr>
          <w:p>
            <w:pPr>
              <w:spacing w:after="0"/>
              <w:rPr>
                <w:sz w:val="1"/>
                <w:szCs w:val="1"/>
                <w:color w:val="auto"/>
              </w:rPr>
            </w:pPr>
          </w:p>
        </w:tc>
      </w:tr>
      <w:tr>
        <w:trPr>
          <w:trHeight w:val="162"/>
        </w:trPr>
        <w:tc>
          <w:tcPr>
            <w:tcW w:w="15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jc w:val="center"/>
              <w:ind w:right="37"/>
              <w:spacing w:after="0"/>
              <w:rPr>
                <w:sz w:val="20"/>
                <w:szCs w:val="20"/>
                <w:color w:val="auto"/>
              </w:rPr>
            </w:pPr>
            <w:r>
              <w:rPr>
                <w:rFonts w:ascii="Arial" w:cs="Arial" w:eastAsia="Arial" w:hAnsi="Arial"/>
                <w:sz w:val="14"/>
                <w:szCs w:val="14"/>
                <w:b w:val="1"/>
                <w:bCs w:val="1"/>
                <w:color w:val="auto"/>
                <w:w w:val="98"/>
              </w:rPr>
              <w:t>Amount</w:t>
            </w:r>
          </w:p>
        </w:tc>
        <w:tc>
          <w:tcPr>
            <w:tcW w:w="220" w:type="dxa"/>
            <w:vAlign w:val="bottom"/>
          </w:tcPr>
          <w:p>
            <w:pPr>
              <w:spacing w:after="0"/>
              <w:rPr>
                <w:sz w:val="14"/>
                <w:szCs w:val="14"/>
                <w:color w:val="auto"/>
              </w:rPr>
            </w:pPr>
          </w:p>
        </w:tc>
        <w:tc>
          <w:tcPr>
            <w:tcW w:w="1080" w:type="dxa"/>
            <w:vAlign w:val="bottom"/>
            <w:gridSpan w:val="3"/>
          </w:tcPr>
          <w:p>
            <w:pPr>
              <w:spacing w:after="0"/>
              <w:rPr>
                <w:sz w:val="20"/>
                <w:szCs w:val="20"/>
                <w:color w:val="auto"/>
              </w:rPr>
            </w:pPr>
            <w:r>
              <w:rPr>
                <w:rFonts w:ascii="Arial" w:cs="Arial" w:eastAsia="Arial" w:hAnsi="Arial"/>
                <w:sz w:val="14"/>
                <w:szCs w:val="14"/>
                <w:b w:val="1"/>
                <w:bCs w:val="1"/>
                <w:color w:val="auto"/>
              </w:rPr>
              <w:t>Amortization</w:t>
            </w:r>
          </w:p>
        </w:tc>
        <w:tc>
          <w:tcPr>
            <w:tcW w:w="120" w:type="dxa"/>
            <w:vAlign w:val="bottom"/>
          </w:tcPr>
          <w:p>
            <w:pPr>
              <w:spacing w:after="0"/>
              <w:rPr>
                <w:sz w:val="14"/>
                <w:szCs w:val="14"/>
                <w:color w:val="auto"/>
              </w:rPr>
            </w:pPr>
          </w:p>
        </w:tc>
        <w:tc>
          <w:tcPr>
            <w:tcW w:w="96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8"/>
              </w:rPr>
              <w:t>Amount</w:t>
            </w:r>
          </w:p>
        </w:tc>
        <w:tc>
          <w:tcPr>
            <w:tcW w:w="120" w:type="dxa"/>
            <w:vAlign w:val="bottom"/>
          </w:tcPr>
          <w:p>
            <w:pPr>
              <w:spacing w:after="0"/>
              <w:rPr>
                <w:sz w:val="14"/>
                <w:szCs w:val="14"/>
                <w:color w:val="auto"/>
              </w:rPr>
            </w:pPr>
          </w:p>
        </w:tc>
        <w:tc>
          <w:tcPr>
            <w:tcW w:w="760" w:type="dxa"/>
            <w:vAlign w:val="bottom"/>
          </w:tcPr>
          <w:p>
            <w:pPr>
              <w:jc w:val="center"/>
              <w:ind w:right="58"/>
              <w:spacing w:after="0"/>
              <w:rPr>
                <w:sz w:val="20"/>
                <w:szCs w:val="20"/>
                <w:color w:val="auto"/>
              </w:rPr>
            </w:pPr>
            <w:r>
              <w:rPr>
                <w:rFonts w:ascii="Arial" w:cs="Arial" w:eastAsia="Arial" w:hAnsi="Arial"/>
                <w:sz w:val="14"/>
                <w:szCs w:val="14"/>
                <w:b w:val="1"/>
                <w:bCs w:val="1"/>
                <w:color w:val="auto"/>
                <w:w w:val="94"/>
              </w:rPr>
              <w:t>Amount</w:t>
            </w:r>
          </w:p>
        </w:tc>
        <w:tc>
          <w:tcPr>
            <w:tcW w:w="220" w:type="dxa"/>
            <w:vAlign w:val="bottom"/>
          </w:tcPr>
          <w:p>
            <w:pPr>
              <w:spacing w:after="0"/>
              <w:rPr>
                <w:sz w:val="14"/>
                <w:szCs w:val="14"/>
                <w:color w:val="auto"/>
              </w:rPr>
            </w:pPr>
          </w:p>
        </w:tc>
        <w:tc>
          <w:tcPr>
            <w:tcW w:w="1020" w:type="dxa"/>
            <w:vAlign w:val="bottom"/>
            <w:gridSpan w:val="3"/>
          </w:tcPr>
          <w:p>
            <w:pPr>
              <w:jc w:val="right"/>
              <w:ind w:right="180"/>
              <w:spacing w:after="0"/>
              <w:rPr>
                <w:sz w:val="20"/>
                <w:szCs w:val="20"/>
                <w:color w:val="auto"/>
              </w:rPr>
            </w:pPr>
            <w:r>
              <w:rPr>
                <w:rFonts w:ascii="Arial" w:cs="Arial" w:eastAsia="Arial" w:hAnsi="Arial"/>
                <w:sz w:val="14"/>
                <w:szCs w:val="14"/>
                <w:b w:val="1"/>
                <w:bCs w:val="1"/>
                <w:color w:val="auto"/>
                <w:w w:val="95"/>
              </w:rPr>
              <w:t>Amortization</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tcPr>
          <w:p>
            <w:pPr>
              <w:jc w:val="center"/>
              <w:ind w:right="117"/>
              <w:spacing w:after="0"/>
              <w:rPr>
                <w:sz w:val="20"/>
                <w:szCs w:val="20"/>
                <w:color w:val="auto"/>
              </w:rPr>
            </w:pPr>
            <w:r>
              <w:rPr>
                <w:rFonts w:ascii="Arial" w:cs="Arial" w:eastAsia="Arial" w:hAnsi="Arial"/>
                <w:sz w:val="14"/>
                <w:szCs w:val="14"/>
                <w:b w:val="1"/>
                <w:bCs w:val="1"/>
                <w:color w:val="auto"/>
                <w:w w:val="94"/>
              </w:rPr>
              <w:t>Amount</w:t>
            </w:r>
          </w:p>
        </w:tc>
        <w:tc>
          <w:tcPr>
            <w:tcW w:w="0" w:type="dxa"/>
            <w:vAlign w:val="bottom"/>
          </w:tcPr>
          <w:p>
            <w:pPr>
              <w:spacing w:after="0"/>
              <w:rPr>
                <w:sz w:val="1"/>
                <w:szCs w:val="1"/>
                <w:color w:val="auto"/>
              </w:rPr>
            </w:pPr>
          </w:p>
        </w:tc>
      </w:tr>
      <w:tr>
        <w:trPr>
          <w:trHeight w:val="182"/>
        </w:trPr>
        <w:tc>
          <w:tcPr>
            <w:tcW w:w="158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Purchased</w:t>
            </w:r>
          </w:p>
        </w:tc>
        <w:tc>
          <w:tcPr>
            <w:tcW w:w="20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auto"/>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right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74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auto"/>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160" w:type="dxa"/>
            <w:vAlign w:val="bottom"/>
            <w:tcBorders>
              <w:top w:val="single" w:sz="8" w:color="CCEEFF"/>
            </w:tcBorders>
            <w:shd w:val="clear" w:color="auto" w:fill="CCEEFF"/>
          </w:tcPr>
          <w:p>
            <w:pPr>
              <w:spacing w:after="0"/>
              <w:rPr>
                <w:sz w:val="15"/>
                <w:szCs w:val="15"/>
                <w:color w:val="auto"/>
              </w:rPr>
            </w:pPr>
          </w:p>
        </w:tc>
        <w:tc>
          <w:tcPr>
            <w:tcW w:w="8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820" w:type="dxa"/>
            <w:vAlign w:val="bottom"/>
            <w:tcBorders>
              <w:top w:val="single" w:sz="8" w:color="auto"/>
              <w:right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1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technology</w:t>
            </w:r>
          </w:p>
        </w:tc>
        <w:tc>
          <w:tcPr>
            <w:tcW w:w="3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703,798</w:t>
            </w:r>
          </w:p>
        </w:tc>
        <w:tc>
          <w:tcPr>
            <w:tcW w:w="3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940" w:type="dxa"/>
            <w:vAlign w:val="bottom"/>
            <w:tcBorders>
              <w:right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8"/>
              </w:rPr>
              <w:t>(499,509)</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204,289</w:t>
            </w:r>
          </w:p>
        </w:tc>
        <w:tc>
          <w:tcPr>
            <w:tcW w:w="220" w:type="dxa"/>
            <w:vAlign w:val="bottom"/>
            <w:shd w:val="clear" w:color="auto" w:fill="CCEEFF"/>
          </w:tcPr>
          <w:p>
            <w:pPr>
              <w:spacing w:after="0"/>
              <w:rPr>
                <w:sz w:val="20"/>
                <w:szCs w:val="20"/>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703,398</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8"/>
              </w:rPr>
              <w:t>(462,403)</w:t>
            </w:r>
          </w:p>
        </w:tc>
        <w:tc>
          <w:tcPr>
            <w:tcW w:w="2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8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240,995</w:t>
            </w:r>
          </w:p>
        </w:tc>
        <w:tc>
          <w:tcPr>
            <w:tcW w:w="0" w:type="dxa"/>
            <w:vAlign w:val="bottom"/>
          </w:tcPr>
          <w:p>
            <w:pPr>
              <w:spacing w:after="0"/>
              <w:rPr>
                <w:sz w:val="1"/>
                <w:szCs w:val="1"/>
                <w:color w:val="auto"/>
              </w:rPr>
            </w:pPr>
          </w:p>
        </w:tc>
      </w:tr>
      <w:tr>
        <w:trPr>
          <w:trHeight w:val="216"/>
        </w:trPr>
        <w:tc>
          <w:tcPr>
            <w:tcW w:w="1580" w:type="dxa"/>
            <w:vAlign w:val="bottom"/>
          </w:tcPr>
          <w:p>
            <w:pPr>
              <w:spacing w:after="0"/>
              <w:rPr>
                <w:sz w:val="20"/>
                <w:szCs w:val="20"/>
                <w:color w:val="auto"/>
              </w:rPr>
            </w:pPr>
            <w:r>
              <w:rPr>
                <w:rFonts w:ascii="Arial" w:cs="Arial" w:eastAsia="Arial" w:hAnsi="Arial"/>
                <w:sz w:val="18"/>
                <w:szCs w:val="18"/>
                <w:color w:val="auto"/>
              </w:rPr>
              <w:t>Core technology</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209,700</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(42,702)</w:t>
            </w:r>
          </w:p>
        </w:tc>
        <w:tc>
          <w:tcPr>
            <w:tcW w:w="1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166,998</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209,700</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(23,508)</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186,192</w:t>
            </w:r>
          </w:p>
        </w:tc>
        <w:tc>
          <w:tcPr>
            <w:tcW w:w="0" w:type="dxa"/>
            <w:vAlign w:val="bottom"/>
          </w:tcPr>
          <w:p>
            <w:pPr>
              <w:spacing w:after="0"/>
              <w:rPr>
                <w:sz w:val="1"/>
                <w:szCs w:val="1"/>
                <w:color w:val="auto"/>
              </w:rPr>
            </w:pPr>
          </w:p>
        </w:tc>
      </w:tr>
      <w:tr>
        <w:trPr>
          <w:trHeight w:val="216"/>
        </w:trPr>
        <w:tc>
          <w:tcPr>
            <w:tcW w:w="158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tcBorders>
              <w:right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(108)</w:t>
            </w: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(100)</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1580" w:type="dxa"/>
            <w:vAlign w:val="bottom"/>
          </w:tcPr>
          <w:p>
            <w:pPr>
              <w:spacing w:after="0"/>
              <w:rPr>
                <w:sz w:val="20"/>
                <w:szCs w:val="20"/>
                <w:color w:val="auto"/>
              </w:rPr>
            </w:pPr>
            <w:r>
              <w:rPr>
                <w:rFonts w:ascii="Arial" w:cs="Arial" w:eastAsia="Arial" w:hAnsi="Arial"/>
                <w:sz w:val="18"/>
                <w:szCs w:val="18"/>
                <w:color w:val="auto"/>
                <w:w w:val="99"/>
              </w:rPr>
              <w:t>Customer contracts</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183,000</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(48,574)</w:t>
            </w:r>
          </w:p>
        </w:tc>
        <w:tc>
          <w:tcPr>
            <w:tcW w:w="1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134,426</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183,000</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(30,318)</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152,682</w:t>
            </w:r>
          </w:p>
        </w:tc>
        <w:tc>
          <w:tcPr>
            <w:tcW w:w="0" w:type="dxa"/>
            <w:vAlign w:val="bottom"/>
          </w:tcPr>
          <w:p>
            <w:pPr>
              <w:spacing w:after="0"/>
              <w:rPr>
                <w:sz w:val="1"/>
                <w:szCs w:val="1"/>
                <w:color w:val="auto"/>
              </w:rPr>
            </w:pPr>
          </w:p>
        </w:tc>
      </w:tr>
      <w:tr>
        <w:trPr>
          <w:trHeight w:val="216"/>
        </w:trPr>
        <w:tc>
          <w:tcPr>
            <w:tcW w:w="1580" w:type="dxa"/>
            <w:vAlign w:val="bottom"/>
            <w:shd w:val="clear" w:color="auto" w:fill="CCEEFF"/>
          </w:tcPr>
          <w:p>
            <w:pPr>
              <w:spacing w:after="0"/>
              <w:rPr>
                <w:sz w:val="20"/>
                <w:szCs w:val="20"/>
                <w:color w:val="auto"/>
              </w:rPr>
            </w:pPr>
            <w:r>
              <w:rPr>
                <w:rFonts w:ascii="Arial" w:cs="Arial" w:eastAsia="Arial" w:hAnsi="Arial"/>
                <w:sz w:val="18"/>
                <w:szCs w:val="18"/>
                <w:color w:val="auto"/>
              </w:rPr>
              <w:t>Supply contract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tcBorders>
              <w:right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(323)</w:t>
            </w: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577</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(211)</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689</w:t>
            </w:r>
          </w:p>
        </w:tc>
        <w:tc>
          <w:tcPr>
            <w:tcW w:w="0" w:type="dxa"/>
            <w:vAlign w:val="bottom"/>
          </w:tcPr>
          <w:p>
            <w:pPr>
              <w:spacing w:after="0"/>
              <w:rPr>
                <w:sz w:val="1"/>
                <w:szCs w:val="1"/>
                <w:color w:val="auto"/>
              </w:rPr>
            </w:pPr>
          </w:p>
        </w:tc>
      </w:tr>
      <w:tr>
        <w:trPr>
          <w:trHeight w:val="216"/>
        </w:trPr>
        <w:tc>
          <w:tcPr>
            <w:tcW w:w="1580" w:type="dxa"/>
            <w:vAlign w:val="bottom"/>
          </w:tcPr>
          <w:p>
            <w:pPr>
              <w:spacing w:after="0"/>
              <w:rPr>
                <w:sz w:val="20"/>
                <w:szCs w:val="20"/>
                <w:color w:val="auto"/>
              </w:rPr>
            </w:pPr>
            <w:r>
              <w:rPr>
                <w:rFonts w:ascii="Arial" w:cs="Arial" w:eastAsia="Arial" w:hAnsi="Arial"/>
                <w:sz w:val="18"/>
                <w:szCs w:val="18"/>
                <w:color w:val="auto"/>
              </w:rPr>
              <w:t>Non-competition</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700</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(49)</w:t>
            </w:r>
          </w:p>
        </w:tc>
        <w:tc>
          <w:tcPr>
            <w:tcW w:w="1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651</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1580" w:type="dxa"/>
            <w:vAlign w:val="bottom"/>
            <w:vMerge w:val="restart"/>
            <w:shd w:val="clear" w:color="auto" w:fill="CCEEFF"/>
          </w:tcPr>
          <w:p>
            <w:pPr>
              <w:ind w:left="180"/>
              <w:spacing w:after="0" w:line="201" w:lineRule="exact"/>
              <w:rPr>
                <w:sz w:val="20"/>
                <w:szCs w:val="20"/>
                <w:color w:val="auto"/>
              </w:rPr>
            </w:pPr>
            <w:r>
              <w:rPr>
                <w:rFonts w:ascii="Arial" w:cs="Arial" w:eastAsia="Arial" w:hAnsi="Arial"/>
                <w:sz w:val="18"/>
                <w:szCs w:val="18"/>
                <w:color w:val="auto"/>
              </w:rPr>
              <w:t>Total intangible</w:t>
            </w:r>
          </w:p>
        </w:tc>
        <w:tc>
          <w:tcPr>
            <w:tcW w:w="200" w:type="dxa"/>
            <w:vAlign w:val="bottom"/>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20" w:type="dxa"/>
            <w:vAlign w:val="bottom"/>
            <w:tcBorders>
              <w:right w:val="single" w:sz="8" w:color="CCEEFF"/>
            </w:tcBorders>
            <w:shd w:val="clear" w:color="auto" w:fill="CCEEFF"/>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60" w:type="dxa"/>
            <w:vAlign w:val="bottom"/>
            <w:shd w:val="clear" w:color="auto" w:fill="CCEEFF"/>
          </w:tcPr>
          <w:p>
            <w:pPr>
              <w:spacing w:after="0" w:line="20" w:lineRule="exact"/>
              <w:rPr>
                <w:sz w:val="1"/>
                <w:szCs w:val="1"/>
                <w:color w:val="auto"/>
              </w:rPr>
            </w:pPr>
          </w:p>
        </w:tc>
        <w:tc>
          <w:tcPr>
            <w:tcW w:w="80" w:type="dxa"/>
            <w:vAlign w:val="bottom"/>
            <w:shd w:val="clear" w:color="auto" w:fill="CCEEFF"/>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20" w:type="dxa"/>
            <w:vAlign w:val="bottom"/>
            <w:tcBorders>
              <w:right w:val="single" w:sz="8" w:color="CCEEFF"/>
            </w:tcBorders>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2"/>
        </w:trPr>
        <w:tc>
          <w:tcPr>
            <w:tcW w:w="1580" w:type="dxa"/>
            <w:vAlign w:val="bottom"/>
            <w:vMerge w:val="continue"/>
            <w:shd w:val="clear" w:color="auto" w:fill="CCEEFF"/>
          </w:tcPr>
          <w:p>
            <w:pPr>
              <w:spacing w:after="0"/>
              <w:rPr>
                <w:sz w:val="15"/>
                <w:szCs w:val="15"/>
                <w:color w:val="auto"/>
              </w:rPr>
            </w:pPr>
          </w:p>
        </w:tc>
        <w:tc>
          <w:tcPr>
            <w:tcW w:w="300" w:type="dxa"/>
            <w:vAlign w:val="bottom"/>
            <w:gridSpan w:val="2"/>
            <w:vMerge w:val="restart"/>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89"/>
              </w:rPr>
              <w:t>1,098,398</w:t>
            </w:r>
          </w:p>
        </w:tc>
        <w:tc>
          <w:tcPr>
            <w:tcW w:w="360" w:type="dxa"/>
            <w:vAlign w:val="bottom"/>
            <w:gridSpan w:val="2"/>
            <w:vMerge w:val="restart"/>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940" w:type="dxa"/>
            <w:vAlign w:val="bottom"/>
            <w:tcBorders>
              <w:right w:val="single" w:sz="8" w:color="CCEEFF"/>
            </w:tcBorders>
            <w:gridSpan w:val="2"/>
            <w:vMerge w:val="restart"/>
            <w:shd w:val="clear" w:color="auto" w:fill="CCEEFF"/>
          </w:tcPr>
          <w:p>
            <w:pPr>
              <w:jc w:val="right"/>
              <w:ind w:right="160"/>
              <w:spacing w:after="0"/>
              <w:rPr>
                <w:sz w:val="20"/>
                <w:szCs w:val="20"/>
                <w:color w:val="auto"/>
              </w:rPr>
            </w:pPr>
            <w:r>
              <w:rPr>
                <w:rFonts w:ascii="Arial" w:cs="Arial" w:eastAsia="Arial" w:hAnsi="Arial"/>
                <w:sz w:val="18"/>
                <w:szCs w:val="18"/>
                <w:color w:val="auto"/>
                <w:w w:val="98"/>
              </w:rPr>
              <w:t>(591,265)</w:t>
            </w:r>
          </w:p>
        </w:tc>
        <w:tc>
          <w:tcPr>
            <w:tcW w:w="12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507,133</w:t>
            </w:r>
          </w:p>
        </w:tc>
        <w:tc>
          <w:tcPr>
            <w:tcW w:w="220" w:type="dxa"/>
            <w:vAlign w:val="bottom"/>
            <w:shd w:val="clear" w:color="auto" w:fill="CCEEFF"/>
          </w:tcPr>
          <w:p>
            <w:pPr>
              <w:spacing w:after="0"/>
              <w:rPr>
                <w:sz w:val="15"/>
                <w:szCs w:val="15"/>
                <w:color w:val="auto"/>
              </w:rPr>
            </w:pPr>
          </w:p>
        </w:tc>
        <w:tc>
          <w:tcPr>
            <w:tcW w:w="12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89"/>
              </w:rPr>
              <w:t>1,097,098</w:t>
            </w:r>
          </w:p>
        </w:tc>
        <w:tc>
          <w:tcPr>
            <w:tcW w:w="360" w:type="dxa"/>
            <w:vAlign w:val="bottom"/>
            <w:gridSpan w:val="2"/>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vMerge w:val="restart"/>
            <w:shd w:val="clear" w:color="auto" w:fill="CCEEFF"/>
          </w:tcPr>
          <w:p>
            <w:pPr>
              <w:jc w:val="right"/>
              <w:ind w:right="100"/>
              <w:spacing w:after="0"/>
              <w:rPr>
                <w:sz w:val="20"/>
                <w:szCs w:val="20"/>
                <w:color w:val="auto"/>
              </w:rPr>
            </w:pPr>
            <w:r>
              <w:rPr>
                <w:rFonts w:ascii="Arial" w:cs="Arial" w:eastAsia="Arial" w:hAnsi="Arial"/>
                <w:sz w:val="18"/>
                <w:szCs w:val="18"/>
                <w:color w:val="auto"/>
                <w:w w:val="98"/>
              </w:rPr>
              <w:t>(516,540)</w:t>
            </w:r>
          </w:p>
        </w:tc>
        <w:tc>
          <w:tcPr>
            <w:tcW w:w="200" w:type="dxa"/>
            <w:vAlign w:val="bottom"/>
            <w:gridSpan w:val="2"/>
            <w:vMerge w:val="restart"/>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820" w:type="dxa"/>
            <w:vAlign w:val="bottom"/>
            <w:tcBorders>
              <w:right w:val="single" w:sz="8" w:color="CCEEFF"/>
            </w:tcBorders>
            <w:vMerge w:val="restart"/>
            <w:shd w:val="clear" w:color="auto" w:fill="CCEEFF"/>
          </w:tcPr>
          <w:p>
            <w:pPr>
              <w:jc w:val="right"/>
              <w:spacing w:after="0"/>
              <w:rPr>
                <w:sz w:val="20"/>
                <w:szCs w:val="20"/>
                <w:color w:val="auto"/>
              </w:rPr>
            </w:pPr>
            <w:r>
              <w:rPr>
                <w:rFonts w:ascii="Arial" w:cs="Arial" w:eastAsia="Arial" w:hAnsi="Arial"/>
                <w:sz w:val="18"/>
                <w:szCs w:val="18"/>
                <w:color w:val="auto"/>
              </w:rPr>
              <w:t>580,558</w:t>
            </w:r>
          </w:p>
        </w:tc>
        <w:tc>
          <w:tcPr>
            <w:tcW w:w="0" w:type="dxa"/>
            <w:vAlign w:val="bottom"/>
          </w:tcPr>
          <w:p>
            <w:pPr>
              <w:spacing w:after="0"/>
              <w:rPr>
                <w:sz w:val="1"/>
                <w:szCs w:val="1"/>
                <w:color w:val="auto"/>
              </w:rPr>
            </w:pPr>
          </w:p>
        </w:tc>
      </w:tr>
      <w:tr>
        <w:trPr>
          <w:trHeight w:val="217"/>
        </w:trPr>
        <w:tc>
          <w:tcPr>
            <w:tcW w:w="15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assets</w:t>
            </w:r>
          </w:p>
        </w:tc>
        <w:tc>
          <w:tcPr>
            <w:tcW w:w="300" w:type="dxa"/>
            <w:vAlign w:val="bottom"/>
            <w:gridSpan w:val="2"/>
            <w:vMerge w:val="continue"/>
            <w:shd w:val="clear" w:color="auto" w:fill="CCEEFF"/>
          </w:tcPr>
          <w:p>
            <w:pPr>
              <w:spacing w:after="0"/>
              <w:rPr>
                <w:sz w:val="18"/>
                <w:szCs w:val="18"/>
                <w:color w:val="auto"/>
              </w:rPr>
            </w:pPr>
          </w:p>
        </w:tc>
        <w:tc>
          <w:tcPr>
            <w:tcW w:w="760" w:type="dxa"/>
            <w:vAlign w:val="bottom"/>
            <w:vMerge w:val="continue"/>
            <w:shd w:val="clear" w:color="auto" w:fill="CCEEFF"/>
          </w:tcPr>
          <w:p>
            <w:pPr>
              <w:spacing w:after="0"/>
              <w:rPr>
                <w:sz w:val="18"/>
                <w:szCs w:val="18"/>
                <w:color w:val="auto"/>
              </w:rPr>
            </w:pPr>
          </w:p>
        </w:tc>
        <w:tc>
          <w:tcPr>
            <w:tcW w:w="360" w:type="dxa"/>
            <w:vAlign w:val="bottom"/>
            <w:gridSpan w:val="2"/>
            <w:vMerge w:val="continue"/>
            <w:shd w:val="clear" w:color="auto" w:fill="CCEEFF"/>
          </w:tcPr>
          <w:p>
            <w:pPr>
              <w:spacing w:after="0"/>
              <w:rPr>
                <w:sz w:val="18"/>
                <w:szCs w:val="18"/>
                <w:color w:val="auto"/>
              </w:rPr>
            </w:pPr>
          </w:p>
        </w:tc>
        <w:tc>
          <w:tcPr>
            <w:tcW w:w="940" w:type="dxa"/>
            <w:vAlign w:val="bottom"/>
            <w:tcBorders>
              <w:right w:val="single" w:sz="8" w:color="CCEEFF"/>
            </w:tcBorders>
            <w:gridSpan w:val="2"/>
            <w:vMerge w:val="continue"/>
            <w:shd w:val="clear" w:color="auto" w:fill="CCEEFF"/>
          </w:tcPr>
          <w:p>
            <w:pPr>
              <w:spacing w:after="0"/>
              <w:rPr>
                <w:sz w:val="18"/>
                <w:szCs w:val="18"/>
                <w:color w:val="auto"/>
              </w:rPr>
            </w:pPr>
          </w:p>
        </w:tc>
        <w:tc>
          <w:tcPr>
            <w:tcW w:w="120" w:type="dxa"/>
            <w:vAlign w:val="bottom"/>
            <w:vMerge w:val="continue"/>
            <w:shd w:val="clear" w:color="auto" w:fill="CCEEFF"/>
          </w:tcPr>
          <w:p>
            <w:pPr>
              <w:spacing w:after="0"/>
              <w:rPr>
                <w:sz w:val="18"/>
                <w:szCs w:val="18"/>
                <w:color w:val="auto"/>
              </w:rPr>
            </w:pPr>
          </w:p>
        </w:tc>
        <w:tc>
          <w:tcPr>
            <w:tcW w:w="740" w:type="dxa"/>
            <w:vAlign w:val="bottom"/>
            <w:vMerge w:val="continue"/>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vMerge w:val="continue"/>
            <w:shd w:val="clear" w:color="auto" w:fill="CCEEFF"/>
          </w:tcPr>
          <w:p>
            <w:pPr>
              <w:spacing w:after="0"/>
              <w:rPr>
                <w:sz w:val="18"/>
                <w:szCs w:val="18"/>
                <w:color w:val="auto"/>
              </w:rPr>
            </w:pPr>
          </w:p>
        </w:tc>
        <w:tc>
          <w:tcPr>
            <w:tcW w:w="760" w:type="dxa"/>
            <w:vAlign w:val="bottom"/>
            <w:vMerge w:val="continue"/>
            <w:shd w:val="clear" w:color="auto" w:fill="CCEEFF"/>
          </w:tcPr>
          <w:p>
            <w:pPr>
              <w:spacing w:after="0"/>
              <w:rPr>
                <w:sz w:val="18"/>
                <w:szCs w:val="18"/>
                <w:color w:val="auto"/>
              </w:rPr>
            </w:pPr>
          </w:p>
        </w:tc>
        <w:tc>
          <w:tcPr>
            <w:tcW w:w="360" w:type="dxa"/>
            <w:vAlign w:val="bottom"/>
            <w:gridSpan w:val="2"/>
            <w:vMerge w:val="continue"/>
            <w:shd w:val="clear" w:color="auto" w:fill="CCEEFF"/>
          </w:tcPr>
          <w:p>
            <w:pPr>
              <w:spacing w:after="0"/>
              <w:rPr>
                <w:sz w:val="18"/>
                <w:szCs w:val="18"/>
                <w:color w:val="auto"/>
              </w:rPr>
            </w:pPr>
          </w:p>
        </w:tc>
        <w:tc>
          <w:tcPr>
            <w:tcW w:w="880" w:type="dxa"/>
            <w:vAlign w:val="bottom"/>
            <w:gridSpan w:val="2"/>
            <w:vMerge w:val="continue"/>
            <w:shd w:val="clear" w:color="auto" w:fill="CCEEFF"/>
          </w:tcPr>
          <w:p>
            <w:pPr>
              <w:spacing w:after="0"/>
              <w:rPr>
                <w:sz w:val="18"/>
                <w:szCs w:val="18"/>
                <w:color w:val="auto"/>
              </w:rPr>
            </w:pPr>
          </w:p>
        </w:tc>
        <w:tc>
          <w:tcPr>
            <w:tcW w:w="200" w:type="dxa"/>
            <w:vAlign w:val="bottom"/>
            <w:gridSpan w:val="2"/>
            <w:vMerge w:val="continue"/>
            <w:shd w:val="clear" w:color="auto" w:fill="CCEEFF"/>
          </w:tcPr>
          <w:p>
            <w:pPr>
              <w:spacing w:after="0"/>
              <w:rPr>
                <w:sz w:val="18"/>
                <w:szCs w:val="18"/>
                <w:color w:val="auto"/>
              </w:rPr>
            </w:pPr>
          </w:p>
        </w:tc>
        <w:tc>
          <w:tcPr>
            <w:tcW w:w="820" w:type="dxa"/>
            <w:vAlign w:val="bottom"/>
            <w:tcBorders>
              <w:right w:val="single" w:sz="8" w:color="CCEEFF"/>
            </w:tcBorders>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5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0" w:lineRule="exact"/>
        <w:rPr>
          <w:sz w:val="20"/>
          <w:szCs w:val="20"/>
          <w:color w:val="auto"/>
        </w:rPr>
      </w:pPr>
    </w:p>
    <w:p>
      <w:pPr>
        <w:jc w:val="both"/>
        <w:ind w:right="360" w:firstLine="243"/>
        <w:spacing w:after="0" w:line="286" w:lineRule="auto"/>
        <w:rPr>
          <w:sz w:val="20"/>
          <w:szCs w:val="20"/>
          <w:color w:val="auto"/>
        </w:rPr>
      </w:pPr>
      <w:r>
        <w:rPr>
          <w:rFonts w:ascii="Arial" w:cs="Arial" w:eastAsia="Arial" w:hAnsi="Arial"/>
          <w:sz w:val="17"/>
          <w:szCs w:val="17"/>
          <w:color w:val="auto"/>
        </w:rPr>
        <w:t>The increase in goodwill during the second quarter of fiscal 2008 of $5.3 million was due to goodwill from the acquisition of a private company. The increase in goodwill during the first six months of fiscal 2008 was due to the $5.3 million of goodwill from the acquisition of a private company partially offset by an adjustment of $1.3 million from the acquisition of the Avago Business (see Note 4) and other adjustments.</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firstLine="243"/>
        <w:spacing w:after="0" w:line="277" w:lineRule="auto"/>
        <w:rPr>
          <w:sz w:val="20"/>
          <w:szCs w:val="20"/>
          <w:color w:val="auto"/>
        </w:rPr>
      </w:pPr>
      <w:r>
        <w:rPr>
          <w:rFonts w:ascii="Arial" w:cs="Arial" w:eastAsia="Arial" w:hAnsi="Arial"/>
          <w:sz w:val="18"/>
          <w:szCs w:val="18"/>
          <w:color w:val="auto"/>
        </w:rPr>
        <w:t>The increase in purchased intangibles during the three and six months ended July 28, 2007 was from the acquisition of a private company during the three months ended July 28, 2007.</w:t>
      </w:r>
    </w:p>
    <w:p>
      <w:pPr>
        <w:spacing w:after="0" w:line="170" w:lineRule="exact"/>
        <w:rPr>
          <w:sz w:val="20"/>
          <w:szCs w:val="20"/>
          <w:color w:val="auto"/>
        </w:rPr>
      </w:pPr>
    </w:p>
    <w:p>
      <w:pPr>
        <w:ind w:firstLine="243"/>
        <w:spacing w:after="0" w:line="291" w:lineRule="auto"/>
        <w:rPr>
          <w:sz w:val="20"/>
          <w:szCs w:val="20"/>
          <w:color w:val="auto"/>
        </w:rPr>
      </w:pPr>
      <w:r>
        <w:rPr>
          <w:rFonts w:ascii="Arial" w:cs="Arial" w:eastAsia="Arial" w:hAnsi="Arial"/>
          <w:sz w:val="16"/>
          <w:szCs w:val="16"/>
          <w:color w:val="auto"/>
        </w:rPr>
        <w:t>Purchased technology is amortized on a straight-line basis over their estimated useful lives of one to six years. Core technology is amortized on a straight-line basis over its estimated useful lives of one to eight years. Customer contracts and related relationships are amortized on a straight-line basis over their estimated useful lives of four to seven years. The supply contract is amortized on a straight-line basis over its estimated useful life of four years. The aggregate amortization expense of identified intangible assets was $37.3 million in the second quarter of fiscal 2008, $27.4 million in the second quarter of fiscal 2007, $74.6 million in the first six months of fiscal 2008 and $44.8 million in the first six months of fiscal 2007. The estimated total amortization expenses of acquired intangible assets are $73.9 million for the remaining six months of fiscal 2008, $142.4 million in fiscal 2009, $115.4 million in fiscal 2010, $83.1 million in fiscal 2011, $40.9 million in fiscal 2012, $29.8 million in fiscal 2013, $21.4 million in fiscal 2014 and $0.2 million for fiscal 2015.</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Commitments and Contingencies</w:t>
      </w:r>
    </w:p>
    <w:p>
      <w:pPr>
        <w:sectPr>
          <w:pgSz w:w="11900" w:h="16838" w:orient="portrait"/>
          <w:cols w:equalWidth="0" w:num="1">
            <w:col w:w="11400"/>
          </w:cols>
          <w:pgMar w:left="240" w:top="125" w:right="259" w:bottom="0" w:gutter="0" w:footer="0" w:header="0"/>
        </w:sectPr>
      </w:pPr>
    </w:p>
    <w:bookmarkStart w:id="13" w:name="page14"/>
    <w:bookmarkEnd w:id="13"/>
    <w:p>
      <w:pPr>
        <w:ind w:left="260"/>
        <w:spacing w:after="0"/>
        <w:rPr>
          <w:sz w:val="20"/>
          <w:szCs w:val="20"/>
          <w:color w:val="auto"/>
        </w:rPr>
      </w:pPr>
      <w:r>
        <w:rPr>
          <w:rFonts w:ascii="Arial" w:cs="Arial" w:eastAsia="Arial" w:hAnsi="Arial"/>
          <w:sz w:val="18"/>
          <w:szCs w:val="18"/>
          <w:b w:val="1"/>
          <w:bCs w:val="1"/>
          <w:color w:val="auto"/>
        </w:rPr>
        <w:t>Warranty Obligations</w:t>
      </w:r>
    </w:p>
    <w:p>
      <w:pPr>
        <w:spacing w:after="0" w:line="229" w:lineRule="exact"/>
        <w:rPr>
          <w:sz w:val="20"/>
          <w:szCs w:val="20"/>
          <w:color w:val="auto"/>
        </w:rPr>
      </w:pPr>
    </w:p>
    <w:p>
      <w:pPr>
        <w:ind w:right="140" w:firstLine="259"/>
        <w:spacing w:after="0" w:line="277" w:lineRule="auto"/>
        <w:rPr>
          <w:sz w:val="20"/>
          <w:szCs w:val="20"/>
          <w:color w:val="auto"/>
        </w:rPr>
      </w:pPr>
      <w:r>
        <w:rPr>
          <w:rFonts w:ascii="Arial" w:cs="Arial" w:eastAsia="Arial" w:hAnsi="Arial"/>
          <w:sz w:val="18"/>
          <w:szCs w:val="18"/>
          <w:color w:val="auto"/>
        </w:rPr>
        <w:t>The following table presents changes in the warranty accrual included in accrued liabilities during the three and six months ended July 28, 2007 and July 29, 2006 (in thousands):</w:t>
      </w:r>
    </w:p>
    <w:p>
      <w:pPr>
        <w:spacing w:after="0" w:line="149" w:lineRule="exact"/>
        <w:rPr>
          <w:sz w:val="20"/>
          <w:szCs w:val="20"/>
          <w:color w:val="auto"/>
        </w:rPr>
      </w:pPr>
    </w:p>
    <w:tbl>
      <w:tblPr>
        <w:tblLayout w:type="fixed"/>
        <w:tblInd w:w="720" w:type="dxa"/>
        <w:tblCellMar>
          <w:top w:w="0" w:type="dxa"/>
          <w:left w:w="0" w:type="dxa"/>
          <w:bottom w:w="0" w:type="dxa"/>
          <w:right w:w="0" w:type="dxa"/>
        </w:tblCellMar>
      </w:tblPr>
      <w:tr>
        <w:trPr>
          <w:trHeight w:val="171"/>
        </w:trPr>
        <w:tc>
          <w:tcPr>
            <w:tcW w:w="50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20" w:type="dxa"/>
            <w:vAlign w:val="bottom"/>
            <w:gridSpan w:val="5"/>
          </w:tcPr>
          <w:p>
            <w:pPr>
              <w:jc w:val="right"/>
              <w:ind w:right="300"/>
              <w:spacing w:after="0"/>
              <w:rPr>
                <w:sz w:val="20"/>
                <w:szCs w:val="20"/>
                <w:color w:val="auto"/>
              </w:rPr>
            </w:pPr>
            <w:r>
              <w:rPr>
                <w:rFonts w:ascii="Arial" w:cs="Arial" w:eastAsia="Arial" w:hAnsi="Arial"/>
                <w:sz w:val="14"/>
                <w:szCs w:val="14"/>
                <w:b w:val="1"/>
                <w:bCs w:val="1"/>
                <w:color w:val="auto"/>
                <w:w w:val="93"/>
              </w:rPr>
              <w:t>Three Months Ended</w:t>
            </w:r>
          </w:p>
        </w:tc>
        <w:tc>
          <w:tcPr>
            <w:tcW w:w="140" w:type="dxa"/>
            <w:vAlign w:val="bottom"/>
          </w:tcPr>
          <w:p>
            <w:pPr>
              <w:spacing w:after="0"/>
              <w:rPr>
                <w:sz w:val="14"/>
                <w:szCs w:val="14"/>
                <w:color w:val="auto"/>
              </w:rPr>
            </w:pPr>
          </w:p>
        </w:tc>
        <w:tc>
          <w:tcPr>
            <w:tcW w:w="1500" w:type="dxa"/>
            <w:vAlign w:val="bottom"/>
            <w:gridSpan w:val="5"/>
          </w:tcPr>
          <w:p>
            <w:pPr>
              <w:jc w:val="right"/>
              <w:ind w:right="300"/>
              <w:spacing w:after="0"/>
              <w:rPr>
                <w:sz w:val="20"/>
                <w:szCs w:val="20"/>
                <w:color w:val="auto"/>
              </w:rPr>
            </w:pPr>
            <w:r>
              <w:rPr>
                <w:rFonts w:ascii="Arial" w:cs="Arial" w:eastAsia="Arial" w:hAnsi="Arial"/>
                <w:sz w:val="14"/>
                <w:szCs w:val="14"/>
                <w:b w:val="1"/>
                <w:bCs w:val="1"/>
                <w:color w:val="auto"/>
                <w:w w:val="97"/>
              </w:rPr>
              <w:t>Six Months Ended</w:t>
            </w:r>
          </w:p>
        </w:tc>
      </w:tr>
      <w:tr>
        <w:trPr>
          <w:trHeight w:val="102"/>
        </w:trPr>
        <w:tc>
          <w:tcPr>
            <w:tcW w:w="5020" w:type="dxa"/>
            <w:vAlign w:val="bottom"/>
          </w:tcPr>
          <w:p>
            <w:pPr>
              <w:spacing w:after="0"/>
              <w:rPr>
                <w:sz w:val="8"/>
                <w:szCs w:val="8"/>
                <w:color w:val="auto"/>
              </w:rPr>
            </w:pPr>
          </w:p>
        </w:tc>
        <w:tc>
          <w:tcPr>
            <w:tcW w:w="840" w:type="dxa"/>
            <w:vAlign w:val="bottom"/>
            <w:tcBorders>
              <w:top w:val="single" w:sz="8" w:color="auto"/>
            </w:tcBorders>
            <w:gridSpan w:val="3"/>
          </w:tcPr>
          <w:p>
            <w:pPr>
              <w:jc w:val="right"/>
              <w:ind w:right="300"/>
              <w:spacing w:after="0" w:line="102" w:lineRule="exact"/>
              <w:rPr>
                <w:sz w:val="20"/>
                <w:szCs w:val="20"/>
                <w:color w:val="auto"/>
              </w:rPr>
            </w:pPr>
            <w:r>
              <w:rPr>
                <w:rFonts w:ascii="Arial" w:cs="Arial" w:eastAsia="Arial" w:hAnsi="Arial"/>
                <w:sz w:val="11"/>
                <w:szCs w:val="11"/>
                <w:b w:val="1"/>
                <w:bCs w:val="1"/>
                <w:color w:val="auto"/>
              </w:rPr>
              <w:t>July 28,</w:t>
            </w:r>
          </w:p>
        </w:tc>
        <w:tc>
          <w:tcPr>
            <w:tcW w:w="660" w:type="dxa"/>
            <w:vAlign w:val="bottom"/>
            <w:tcBorders>
              <w:top w:val="single" w:sz="8" w:color="auto"/>
            </w:tcBorders>
            <w:gridSpan w:val="2"/>
          </w:tcPr>
          <w:p>
            <w:pPr>
              <w:jc w:val="right"/>
              <w:ind w:right="14"/>
              <w:spacing w:after="0" w:line="102" w:lineRule="exact"/>
              <w:rPr>
                <w:sz w:val="20"/>
                <w:szCs w:val="20"/>
                <w:color w:val="auto"/>
              </w:rPr>
            </w:pPr>
            <w:r>
              <w:rPr>
                <w:rFonts w:ascii="Arial" w:cs="Arial" w:eastAsia="Arial" w:hAnsi="Arial"/>
                <w:sz w:val="11"/>
                <w:szCs w:val="11"/>
                <w:b w:val="1"/>
                <w:bCs w:val="1"/>
                <w:color w:val="auto"/>
              </w:rPr>
              <w:t>July 29,</w:t>
            </w:r>
          </w:p>
        </w:tc>
        <w:tc>
          <w:tcPr>
            <w:tcW w:w="200" w:type="dxa"/>
            <w:vAlign w:val="bottom"/>
          </w:tcPr>
          <w:p>
            <w:pPr>
              <w:spacing w:after="0"/>
              <w:rPr>
                <w:sz w:val="8"/>
                <w:szCs w:val="8"/>
                <w:color w:val="auto"/>
              </w:rPr>
            </w:pPr>
          </w:p>
        </w:tc>
        <w:tc>
          <w:tcPr>
            <w:tcW w:w="880" w:type="dxa"/>
            <w:vAlign w:val="bottom"/>
            <w:tcBorders>
              <w:top w:val="single" w:sz="8" w:color="auto"/>
            </w:tcBorders>
            <w:gridSpan w:val="3"/>
          </w:tcPr>
          <w:p>
            <w:pPr>
              <w:jc w:val="right"/>
              <w:ind w:right="300"/>
              <w:spacing w:after="0" w:line="102" w:lineRule="exact"/>
              <w:rPr>
                <w:sz w:val="20"/>
                <w:szCs w:val="20"/>
                <w:color w:val="auto"/>
              </w:rPr>
            </w:pPr>
            <w:r>
              <w:rPr>
                <w:rFonts w:ascii="Arial" w:cs="Arial" w:eastAsia="Arial" w:hAnsi="Arial"/>
                <w:sz w:val="11"/>
                <w:szCs w:val="11"/>
                <w:b w:val="1"/>
                <w:bCs w:val="1"/>
                <w:color w:val="auto"/>
              </w:rPr>
              <w:t>July 28,</w:t>
            </w:r>
          </w:p>
        </w:tc>
        <w:tc>
          <w:tcPr>
            <w:tcW w:w="660" w:type="dxa"/>
            <w:vAlign w:val="bottom"/>
            <w:tcBorders>
              <w:top w:val="single" w:sz="8" w:color="auto"/>
            </w:tcBorders>
            <w:gridSpan w:val="2"/>
          </w:tcPr>
          <w:p>
            <w:pPr>
              <w:jc w:val="right"/>
              <w:ind w:right="14"/>
              <w:spacing w:after="0" w:line="102" w:lineRule="exact"/>
              <w:rPr>
                <w:sz w:val="20"/>
                <w:szCs w:val="20"/>
                <w:color w:val="auto"/>
              </w:rPr>
            </w:pPr>
            <w:r>
              <w:rPr>
                <w:rFonts w:ascii="Arial" w:cs="Arial" w:eastAsia="Arial" w:hAnsi="Arial"/>
                <w:sz w:val="11"/>
                <w:szCs w:val="11"/>
                <w:b w:val="1"/>
                <w:bCs w:val="1"/>
                <w:color w:val="auto"/>
              </w:rPr>
              <w:t>July 29,</w:t>
            </w:r>
          </w:p>
        </w:tc>
        <w:tc>
          <w:tcPr>
            <w:tcW w:w="100" w:type="dxa"/>
            <w:vAlign w:val="bottom"/>
          </w:tcPr>
          <w:p>
            <w:pPr>
              <w:spacing w:after="0"/>
              <w:rPr>
                <w:sz w:val="8"/>
                <w:szCs w:val="8"/>
                <w:color w:val="auto"/>
              </w:rPr>
            </w:pPr>
          </w:p>
        </w:tc>
      </w:tr>
      <w:tr>
        <w:trPr>
          <w:trHeight w:val="162"/>
        </w:trPr>
        <w:tc>
          <w:tcPr>
            <w:tcW w:w="50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94"/>
              <w:spacing w:after="0"/>
              <w:rPr>
                <w:sz w:val="20"/>
                <w:szCs w:val="20"/>
                <w:color w:val="auto"/>
              </w:rPr>
            </w:pPr>
            <w:r>
              <w:rPr>
                <w:rFonts w:ascii="Arial" w:cs="Arial" w:eastAsia="Arial" w:hAnsi="Arial"/>
                <w:sz w:val="14"/>
                <w:szCs w:val="14"/>
                <w:b w:val="1"/>
                <w:bCs w:val="1"/>
                <w:color w:val="auto"/>
              </w:rPr>
              <w:t>2006</w:t>
            </w:r>
          </w:p>
        </w:tc>
        <w:tc>
          <w:tcPr>
            <w:tcW w:w="2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96"/>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w w:val="96"/>
              </w:rPr>
              <w:t>2006</w:t>
            </w:r>
          </w:p>
        </w:tc>
        <w:tc>
          <w:tcPr>
            <w:tcW w:w="100" w:type="dxa"/>
            <w:vAlign w:val="bottom"/>
            <w:tcBorders>
              <w:bottom w:val="single" w:sz="8" w:color="CCEEFF"/>
            </w:tcBorders>
          </w:tcPr>
          <w:p>
            <w:pPr>
              <w:spacing w:after="0"/>
              <w:rPr>
                <w:sz w:val="14"/>
                <w:szCs w:val="14"/>
                <w:color w:val="auto"/>
              </w:rPr>
            </w:pPr>
          </w:p>
        </w:tc>
      </w:tr>
      <w:tr>
        <w:trPr>
          <w:trHeight w:val="196"/>
        </w:trPr>
        <w:tc>
          <w:tcPr>
            <w:tcW w:w="502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Warranty accrual (included in accrued liabilities):</w:t>
            </w:r>
          </w:p>
        </w:tc>
        <w:tc>
          <w:tcPr>
            <w:tcW w:w="8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5020" w:type="dxa"/>
            <w:vAlign w:val="bottom"/>
          </w:tcPr>
          <w:p>
            <w:pPr>
              <w:ind w:left="180"/>
              <w:spacing w:after="0"/>
              <w:rPr>
                <w:sz w:val="20"/>
                <w:szCs w:val="20"/>
                <w:color w:val="auto"/>
              </w:rPr>
            </w:pPr>
            <w:r>
              <w:rPr>
                <w:rFonts w:ascii="Arial" w:cs="Arial" w:eastAsia="Arial" w:hAnsi="Arial"/>
                <w:sz w:val="18"/>
                <w:szCs w:val="18"/>
                <w:color w:val="auto"/>
              </w:rPr>
              <w:t>Beginning balance</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2,534</w:t>
            </w:r>
          </w:p>
        </w:tc>
        <w:tc>
          <w:tcPr>
            <w:tcW w:w="22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4,223</w:t>
            </w:r>
          </w:p>
        </w:tc>
        <w:tc>
          <w:tcPr>
            <w:tcW w:w="20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2,567</w:t>
            </w:r>
          </w:p>
        </w:tc>
        <w:tc>
          <w:tcPr>
            <w:tcW w:w="22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3,914</w:t>
            </w:r>
          </w:p>
        </w:tc>
        <w:tc>
          <w:tcPr>
            <w:tcW w:w="100" w:type="dxa"/>
            <w:vAlign w:val="bottom"/>
          </w:tcPr>
          <w:p>
            <w:pPr>
              <w:spacing w:after="0"/>
              <w:rPr>
                <w:sz w:val="18"/>
                <w:szCs w:val="18"/>
                <w:color w:val="auto"/>
              </w:rPr>
            </w:pPr>
          </w:p>
        </w:tc>
      </w:tr>
      <w:tr>
        <w:trPr>
          <w:trHeight w:val="216"/>
        </w:trPr>
        <w:tc>
          <w:tcPr>
            <w:tcW w:w="50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Warranties issued</w:t>
            </w:r>
          </w:p>
        </w:tc>
        <w:tc>
          <w:tcPr>
            <w:tcW w:w="8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151</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359</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339</w:t>
            </w:r>
          </w:p>
        </w:tc>
        <w:tc>
          <w:tcPr>
            <w:tcW w:w="100" w:type="dxa"/>
            <w:vAlign w:val="bottom"/>
            <w:shd w:val="clear" w:color="auto" w:fill="CCEEFF"/>
          </w:tcPr>
          <w:p>
            <w:pPr>
              <w:spacing w:after="0"/>
              <w:rPr>
                <w:sz w:val="18"/>
                <w:szCs w:val="18"/>
                <w:color w:val="auto"/>
              </w:rPr>
            </w:pPr>
          </w:p>
        </w:tc>
      </w:tr>
      <w:tr>
        <w:trPr>
          <w:trHeight w:val="216"/>
        </w:trPr>
        <w:tc>
          <w:tcPr>
            <w:tcW w:w="5020" w:type="dxa"/>
            <w:vAlign w:val="bottom"/>
          </w:tcPr>
          <w:p>
            <w:pPr>
              <w:ind w:left="360"/>
              <w:spacing w:after="0"/>
              <w:rPr>
                <w:sz w:val="20"/>
                <w:szCs w:val="20"/>
                <w:color w:val="auto"/>
              </w:rPr>
            </w:pPr>
            <w:r>
              <w:rPr>
                <w:rFonts w:ascii="Arial" w:cs="Arial" w:eastAsia="Arial" w:hAnsi="Arial"/>
                <w:sz w:val="18"/>
                <w:szCs w:val="18"/>
                <w:color w:val="auto"/>
              </w:rPr>
              <w:t>Settlements</w:t>
            </w:r>
          </w:p>
        </w:tc>
        <w:tc>
          <w:tcPr>
            <w:tcW w:w="80" w:type="dxa"/>
            <w:vAlign w:val="bottom"/>
          </w:tcPr>
          <w:p>
            <w:pPr>
              <w:spacing w:after="0"/>
              <w:rPr>
                <w:sz w:val="18"/>
                <w:szCs w:val="18"/>
                <w:color w:val="auto"/>
              </w:rPr>
            </w:pPr>
          </w:p>
        </w:tc>
        <w:tc>
          <w:tcPr>
            <w:tcW w:w="760" w:type="dxa"/>
            <w:vAlign w:val="bottom"/>
            <w:gridSpan w:val="2"/>
          </w:tcPr>
          <w:p>
            <w:pPr>
              <w:jc w:val="right"/>
              <w:ind w:right="140"/>
              <w:spacing w:after="0"/>
              <w:rPr>
                <w:sz w:val="20"/>
                <w:szCs w:val="20"/>
                <w:color w:val="auto"/>
              </w:rPr>
            </w:pPr>
            <w:r>
              <w:rPr>
                <w:rFonts w:ascii="Arial" w:cs="Arial" w:eastAsia="Arial" w:hAnsi="Arial"/>
                <w:sz w:val="18"/>
                <w:szCs w:val="18"/>
                <w:color w:val="auto"/>
              </w:rPr>
              <w:t>(305)</w:t>
            </w:r>
          </w:p>
        </w:tc>
        <w:tc>
          <w:tcPr>
            <w:tcW w:w="14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(240)</w:t>
            </w:r>
          </w:p>
        </w:tc>
        <w:tc>
          <w:tcPr>
            <w:tcW w:w="140" w:type="dxa"/>
            <w:vAlign w:val="bottom"/>
          </w:tcPr>
          <w:p>
            <w:pPr>
              <w:spacing w:after="0"/>
              <w:rPr>
                <w:sz w:val="18"/>
                <w:szCs w:val="18"/>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(546)</w:t>
            </w:r>
          </w:p>
        </w:tc>
        <w:tc>
          <w:tcPr>
            <w:tcW w:w="140" w:type="dxa"/>
            <w:vAlign w:val="bottom"/>
          </w:tcPr>
          <w:p>
            <w:pPr>
              <w:spacing w:after="0"/>
              <w:rPr>
                <w:sz w:val="18"/>
                <w:szCs w:val="18"/>
                <w:color w:val="auto"/>
              </w:rPr>
            </w:pPr>
          </w:p>
        </w:tc>
        <w:tc>
          <w:tcPr>
            <w:tcW w:w="620" w:type="dxa"/>
            <w:vAlign w:val="bottom"/>
            <w:gridSpan w:val="2"/>
          </w:tcPr>
          <w:p>
            <w:pPr>
              <w:jc w:val="right"/>
              <w:ind w:right="40"/>
              <w:spacing w:after="0"/>
              <w:rPr>
                <w:sz w:val="20"/>
                <w:szCs w:val="20"/>
                <w:color w:val="auto"/>
              </w:rPr>
            </w:pPr>
            <w:r>
              <w:rPr>
                <w:rFonts w:ascii="Arial" w:cs="Arial" w:eastAsia="Arial" w:hAnsi="Arial"/>
                <w:sz w:val="18"/>
                <w:szCs w:val="18"/>
                <w:color w:val="auto"/>
              </w:rPr>
              <w:t>(270)</w:t>
            </w:r>
          </w:p>
        </w:tc>
      </w:tr>
      <w:tr>
        <w:trPr>
          <w:trHeight w:val="210"/>
        </w:trPr>
        <w:tc>
          <w:tcPr>
            <w:tcW w:w="502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Ending balance</w:t>
            </w: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2,380</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3,983</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2,380</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3,983</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50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56"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25" w:lineRule="exact"/>
        <w:rPr>
          <w:sz w:val="20"/>
          <w:szCs w:val="20"/>
          <w:color w:val="auto"/>
        </w:rPr>
      </w:pPr>
    </w:p>
    <w:p>
      <w:pPr>
        <w:ind w:right="20" w:firstLine="243"/>
        <w:spacing w:after="0" w:line="272" w:lineRule="auto"/>
        <w:rPr>
          <w:sz w:val="20"/>
          <w:szCs w:val="20"/>
          <w:color w:val="auto"/>
        </w:rPr>
      </w:pPr>
      <w:r>
        <w:rPr>
          <w:rFonts w:ascii="Arial" w:cs="Arial" w:eastAsia="Arial" w:hAnsi="Arial"/>
          <w:sz w:val="17"/>
          <w:szCs w:val="17"/>
          <w:color w:val="auto"/>
        </w:rPr>
        <w:t>In connection with the acquisition of the ICAP Business, the Company entered into a product supply agreement with Intel. Under the terms of the agreement the Company has committed to purchase a minimum number of wafers through June 2008. If at the end of any fiscal quarter for Intel, there is a shortfall between the quantity of supply ordered by the Company and the quantities of supply required under the supply agreement commitment, Intel will invoice the Company for the shortfall and will deliver the corresponding quantity upon receipt of payment from the Company. The agreement requires the Company to prepay for certain wafers six months in advance of delivery and issue non cancellable purchase orders at least six months in advance of requested delivery dates for all purchases under the supply agreement. As of July 28, 2007, the Company recorded $49.6 million in prepaid assets for prepayment of wafers and had non cancellable purchase orders outstanding of $207.1 million.</w:t>
      </w:r>
    </w:p>
    <w:p>
      <w:pPr>
        <w:spacing w:after="0" w:line="178" w:lineRule="exact"/>
        <w:rPr>
          <w:sz w:val="20"/>
          <w:szCs w:val="20"/>
          <w:color w:val="auto"/>
        </w:rPr>
      </w:pPr>
    </w:p>
    <w:p>
      <w:pPr>
        <w:ind w:right="540" w:firstLine="243"/>
        <w:spacing w:after="0" w:line="264" w:lineRule="auto"/>
        <w:rPr>
          <w:sz w:val="20"/>
          <w:szCs w:val="20"/>
          <w:color w:val="auto"/>
        </w:rPr>
      </w:pPr>
      <w:r>
        <w:rPr>
          <w:rFonts w:ascii="Arial" w:cs="Arial" w:eastAsia="Arial" w:hAnsi="Arial"/>
          <w:sz w:val="18"/>
          <w:szCs w:val="18"/>
          <w:color w:val="auto"/>
        </w:rPr>
        <w:t>Under the Company’s manufacturing relationships with all other foundries, cancellation of all outstanding purchase orders are allowed but require repayment of all expenses incurred through the date of cancellation. As of July 28, 2007, these foundries had incurred approximately $215.4 million of manufacturing expenses on the Company’s outstanding purchase orders.</w:t>
      </w:r>
    </w:p>
    <w:p>
      <w:pPr>
        <w:spacing w:after="0" w:line="181" w:lineRule="exact"/>
        <w:rPr>
          <w:sz w:val="20"/>
          <w:szCs w:val="20"/>
          <w:color w:val="auto"/>
        </w:rPr>
      </w:pPr>
    </w:p>
    <w:p>
      <w:pPr>
        <w:ind w:firstLine="243"/>
        <w:spacing w:after="0" w:line="255" w:lineRule="auto"/>
        <w:rPr>
          <w:sz w:val="20"/>
          <w:szCs w:val="20"/>
          <w:color w:val="auto"/>
        </w:rPr>
      </w:pPr>
      <w:r>
        <w:rPr>
          <w:rFonts w:ascii="Arial" w:cs="Arial" w:eastAsia="Arial" w:hAnsi="Arial"/>
          <w:sz w:val="18"/>
          <w:szCs w:val="18"/>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eighteen months. The amendment extends the term of the agreement and the agreed upon pricing terms until December 31, 2015. As of July 28, 2007, payments totaling $174.2 million which are included in prepaid expenses and other current assets and other non-current assets have been made and approximately $112.7 million of the prepayment has been utilized as of July 28, 2007. At July 28, 2007, there are no more outstanding commitments under the agreement.</w:t>
      </w:r>
    </w:p>
    <w:p>
      <w:pPr>
        <w:spacing w:after="0" w:line="193" w:lineRule="exact"/>
        <w:rPr>
          <w:sz w:val="20"/>
          <w:szCs w:val="20"/>
          <w:color w:val="auto"/>
        </w:rPr>
      </w:pPr>
    </w:p>
    <w:p>
      <w:pPr>
        <w:ind w:left="260"/>
        <w:spacing w:after="0"/>
        <w:rPr>
          <w:sz w:val="20"/>
          <w:szCs w:val="20"/>
          <w:color w:val="auto"/>
        </w:rPr>
      </w:pPr>
      <w:r>
        <w:rPr>
          <w:rFonts w:ascii="Arial" w:cs="Arial" w:eastAsia="Arial" w:hAnsi="Arial"/>
          <w:sz w:val="16"/>
          <w:szCs w:val="16"/>
          <w:color w:val="auto"/>
        </w:rPr>
        <w:t>As of July 28, 2007, the Company had approximately $83.1 million of other outstanding non-cancellable purchase orders for capital purchase obligations.</w:t>
      </w:r>
    </w:p>
    <w:p>
      <w:pPr>
        <w:spacing w:after="0" w:line="200" w:lineRule="exact"/>
        <w:rPr>
          <w:sz w:val="20"/>
          <w:szCs w:val="20"/>
          <w:color w:val="auto"/>
        </w:rPr>
      </w:pPr>
    </w:p>
    <w:p>
      <w:pPr>
        <w:spacing w:after="0" w:line="26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Contingencies</w:t>
      </w:r>
    </w:p>
    <w:p>
      <w:pPr>
        <w:spacing w:after="0" w:line="225" w:lineRule="exact"/>
        <w:rPr>
          <w:sz w:val="20"/>
          <w:szCs w:val="20"/>
          <w:color w:val="auto"/>
        </w:rPr>
      </w:pPr>
    </w:p>
    <w:p>
      <w:pPr>
        <w:ind w:right="20" w:firstLine="324"/>
        <w:spacing w:after="0" w:line="283"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w:t>
      </w:r>
      <w:r>
        <w:rPr>
          <w:rFonts w:ascii="Arial" w:cs="Arial" w:eastAsia="Arial" w:hAnsi="Arial"/>
          <w:sz w:val="16"/>
          <w:szCs w:val="16"/>
          <w:i w:val="1"/>
          <w:iCs w:val="1"/>
          <w:color w:val="auto"/>
        </w:rPr>
        <w:t xml:space="preserve"> </w:t>
      </w:r>
      <w:r>
        <w:rPr>
          <w:rFonts w:ascii="Arial" w:cs="Arial" w:eastAsia="Arial" w:hAnsi="Arial"/>
          <w:sz w:val="16"/>
          <w:szCs w:val="16"/>
          <w:color w:val="auto"/>
        </w:rPr>
        <w:t>the Company’s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we were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granted the motions in part and denied them in part, thus allowing the case to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approved the proposed settlement, which if approved by the court would result in the plaintiffs’ dismissing the case against us and granting releases that extend to all of our officers and directors. Definitive settlement documentation were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Private Securities Litigation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A final settlement approval hearing on the proposed issuer settlement was held on April 24, 2006. The court took the matter under submission. Meanwhile the consolidated case against the underwriters proceeded. On October 2004, the district court certified a class. On December 5, 2006, however, the United States Court of Appeals for the Second Circuit reversed, holding that a class could not be certified. The Second Circuit’s holding, while directly affecting only the underwriters, raises some doubt as to whether the settlement class contemplated by the proposed issuer settlement would be approved in its present form. On January 5, 2007, plaintiffs petitioned the Second Circuit for rehearing of the Second Circuit’s decision. On April 6, 2007, the Second Circuit denied the petition. At a status conference on April 23, 2007, the district court suggested that the issuers’ settlement could not be approved in its present form, given the Second Circuit’s ruling. On June 25, 2007 a stipulation terminating the settlement was filed. On September 27, 2007 plaintiffs will file their opening brief on the motion to certify the classes. On December 21, 2007, responsive briefs are due. On February 15, 2008 reply briefs are due.</w:t>
      </w:r>
    </w:p>
    <w:p>
      <w:pPr>
        <w:sectPr>
          <w:pgSz w:w="11900" w:h="16838" w:orient="portrait"/>
          <w:cols w:equalWidth="0" w:num="1">
            <w:col w:w="11420"/>
          </w:cols>
          <w:pgMar w:left="240" w:top="121" w:right="239" w:bottom="0" w:gutter="0" w:footer="0" w:header="0"/>
        </w:sectPr>
      </w:pPr>
    </w:p>
    <w:bookmarkStart w:id="14" w:name="page15"/>
    <w:bookmarkEnd w:id="14"/>
    <w:p>
      <w:pPr>
        <w:ind w:right="40" w:firstLine="324"/>
        <w:spacing w:after="0" w:line="276" w:lineRule="auto"/>
        <w:rPr>
          <w:sz w:val="20"/>
          <w:szCs w:val="20"/>
          <w:color w:val="auto"/>
        </w:rPr>
      </w:pPr>
      <w:r>
        <w:rPr>
          <w:rFonts w:ascii="Arial" w:cs="Arial" w:eastAsia="Arial" w:hAnsi="Arial"/>
          <w:sz w:val="17"/>
          <w:szCs w:val="17"/>
          <w:i w:val="1"/>
          <w:iCs w:val="1"/>
          <w:color w:val="auto"/>
        </w:rPr>
        <w:t xml:space="preserve">Jasmine Networks Litigation. </w:t>
      </w:r>
      <w:r>
        <w:rPr>
          <w:rFonts w:ascii="Arial" w:cs="Arial" w:eastAsia="Arial" w:hAnsi="Arial"/>
          <w:sz w:val="17"/>
          <w:szCs w:val="17"/>
          <w:color w:val="auto"/>
        </w:rPr>
        <w:t>On September 12, 2001, Jasmine Networks, Inc. (“Jasmine”) filed a lawsuit in the Santa Clara County Superior Court</w:t>
      </w:r>
      <w:r>
        <w:rPr>
          <w:rFonts w:ascii="Arial" w:cs="Arial" w:eastAsia="Arial" w:hAnsi="Arial"/>
          <w:sz w:val="17"/>
          <w:szCs w:val="17"/>
          <w:i w:val="1"/>
          <w:iCs w:val="1"/>
          <w:color w:val="auto"/>
        </w:rPr>
        <w:t xml:space="preserve"> </w:t>
      </w:r>
      <w:r>
        <w:rPr>
          <w:rFonts w:ascii="Arial" w:cs="Arial" w:eastAsia="Arial" w:hAnsi="Arial"/>
          <w:sz w:val="17"/>
          <w:szCs w:val="17"/>
          <w:color w:val="auto"/>
        </w:rPr>
        <w:t>alleging claims against three officers and the Company for improperly obtaining and using information and technologies during the course of the negotiations with our personnel regarding the potential acquisition of certain Jasmine assets by the Company. The lawsuit claims that the Company’s officers improperly obtained and used such information and technologies after the Company signed a non-disclosure agreement with Jasmine. The Company believes the claims asserted against its officers and the Company are without merit and the Company intends to defend all claims vigorously.</w:t>
      </w:r>
    </w:p>
    <w:p>
      <w:pPr>
        <w:spacing w:after="0" w:line="173" w:lineRule="exact"/>
        <w:rPr>
          <w:sz w:val="20"/>
          <w:szCs w:val="20"/>
          <w:color w:val="auto"/>
        </w:rPr>
      </w:pPr>
    </w:p>
    <w:p>
      <w:pPr>
        <w:ind w:right="20" w:firstLine="324"/>
        <w:spacing w:after="0" w:line="276" w:lineRule="auto"/>
        <w:rPr>
          <w:sz w:val="20"/>
          <w:szCs w:val="20"/>
          <w:color w:val="auto"/>
        </w:rPr>
      </w:pPr>
      <w:r>
        <w:rPr>
          <w:rFonts w:ascii="Arial" w:cs="Arial" w:eastAsia="Arial" w:hAnsi="Arial"/>
          <w:sz w:val="17"/>
          <w:szCs w:val="17"/>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On May 15, 2007, the Company filed a second amended cross complaint to add additional causes of action for declaratory relief against Jasmine. Among other actions, the cross complaint alleges that Jasmine and its personnel engaged in fraud in connection with their effort to sell to the Company technology that Jasmine and its personnel wrongfully obtained from a third party in violation of such third party’s rights. The cross</w:t>
      </w:r>
    </w:p>
    <w:p>
      <w:pPr>
        <w:spacing w:after="0" w:line="38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spacing w:after="0" w:line="271" w:lineRule="auto"/>
        <w:rPr>
          <w:sz w:val="20"/>
          <w:szCs w:val="20"/>
          <w:color w:val="auto"/>
        </w:rPr>
      </w:pPr>
      <w:r>
        <w:rPr>
          <w:rFonts w:ascii="Arial" w:cs="Arial" w:eastAsia="Arial" w:hAnsi="Arial"/>
          <w:sz w:val="17"/>
          <w:szCs w:val="17"/>
          <w:color w:val="auto"/>
        </w:rPr>
        <w:t>complaint seeks declaratory judgment that the Company’s technology does not incorporate any of Jasmine’s alleged technology. The cross complaint seeks further declaratory judgment that Jasmine and its personnel misappropriated certain aspects of Jasmine’s alleged technology. The Company intends to prosecute the cross complaint against Jasmine and its personnel vigorously, including, but not limited to, filing certain dispositive motions regarding the ownership of the technology which is the subject of the cross complaint. On June 13, 2007, Jasmine filed a demurrer to the fifth, sixth, and seventh causes of action of the Company’s second amended cross-complaint. The demurrer was heard on July 19, 2007 and denied. On August 3, 2007, Jasmine filed its answer to the second amended complaint. The Company has reserved October 30, 2007 as a hearing date for a motion for summary adjudication on its fifth and sixth causes of action for declaratory relief, which will seek, among other things, a determination that Jasmine held no propriety interest in the “JSLIP” algorithm, which was one of the core technologies Jasmine asserts was misappropriated by Marvell.</w:t>
      </w:r>
    </w:p>
    <w:p>
      <w:pPr>
        <w:spacing w:after="0" w:line="179" w:lineRule="exact"/>
        <w:rPr>
          <w:sz w:val="20"/>
          <w:szCs w:val="20"/>
          <w:color w:val="auto"/>
        </w:rPr>
      </w:pPr>
    </w:p>
    <w:p>
      <w:pPr>
        <w:ind w:right="60" w:firstLine="324"/>
        <w:spacing w:after="0" w:line="285" w:lineRule="auto"/>
        <w:rPr>
          <w:sz w:val="20"/>
          <w:szCs w:val="20"/>
          <w:color w:val="auto"/>
        </w:rPr>
      </w:pPr>
      <w:r>
        <w:rPr>
          <w:rFonts w:ascii="Arial" w:cs="Arial" w:eastAsia="Arial" w:hAnsi="Arial"/>
          <w:sz w:val="16"/>
          <w:szCs w:val="16"/>
          <w:i w:val="1"/>
          <w:iCs w:val="1"/>
          <w:color w:val="auto"/>
        </w:rPr>
        <w:t xml:space="preserve">CSIRO Litigation. </w:t>
      </w:r>
      <w:r>
        <w:rPr>
          <w:rFonts w:ascii="Arial" w:cs="Arial" w:eastAsia="Arial" w:hAnsi="Arial"/>
          <w:sz w:val="16"/>
          <w:szCs w:val="16"/>
          <w:color w:val="auto"/>
        </w:rPr>
        <w:t>In 2004, Australia’s Commonwealth Scientific and Industrial Research Organisation (“CSIRO”) sent notice letters to a number of Wi-Fi System manufacturers regarding CSIRO’s patent, U.S. Patent No. 5,487,069 as it relates to IEEE 802.11a and 802.11g wireless standards. In May 2005, a group of system manufacturers, including customers of our 802.11a or 802.11g wireless LAN products, filed an action in the United States District Court for the Northern District of California seeking a declaratory judgment against CSIRO that the plaintiff manufacturers’ products employing the IEEE 802.11a or 802.11g wireless standards do not infringe CSIRO’s patent, U.S. Patent No. 5,487,069. In September 2006, CSIRO filed an answer and counterclaims alleging that plaintiffs’ products that employ those wireless standards infringe the CSIRO patent and seeking damages, including enhanced damages and attorneys’ fees and costs, and an injunction against sales of infringing products. In December 2006, the district court granted CSIRO’s motion to transfer the case to the United States District Court for the Eastern District of Texas, where CSIRO had brought a similar lawsuit against another company. As a result of CSIRO’s counterclaims for patent infringement, a customer of ours has sought indemnification from us. Also in December 2006, CSIRO filed suit in the United States District Court for the Eastern District of Texas against several manufacturers and suppliers of wireless products, including customers of our 802.11a or 802.11g wireless LAN products. The complaint alleges that the manufacture, use and sale of wireless products compliant with the IEEE 802.11a or 802.11g wireless standards infringes on the CSIRO patent. As a result of CSIRO’s claim for patent infringement, another customer of ours has sought indemnification from us. In response to these demands for indemnification, the Company has acknowledged the demands and incurred costs in response to them. On July 3, 2007, the Company moved to intervene in the two actions described above pending in the Eastern District of Texas, for the purposes of staying the actions as to products incorporating Marvell parts in favor of the separate action that the Company filed as described in the next paragraph. Alternatively the Company moved to disqualify the firm of Townsend, Townsend and Crew from continuing to represent CSIRO because of a conflict of interest. CSIRO opposed these motions on August 3, 2007.</w:t>
      </w:r>
    </w:p>
    <w:p>
      <w:pPr>
        <w:spacing w:after="0" w:line="175" w:lineRule="exact"/>
        <w:rPr>
          <w:sz w:val="20"/>
          <w:szCs w:val="20"/>
          <w:color w:val="auto"/>
        </w:rPr>
      </w:pPr>
    </w:p>
    <w:p>
      <w:pPr>
        <w:ind w:firstLine="324"/>
        <w:spacing w:after="0" w:line="293" w:lineRule="auto"/>
        <w:rPr>
          <w:sz w:val="20"/>
          <w:szCs w:val="20"/>
          <w:color w:val="auto"/>
        </w:rPr>
      </w:pPr>
      <w:r>
        <w:rPr>
          <w:rFonts w:ascii="Arial" w:cs="Arial" w:eastAsia="Arial" w:hAnsi="Arial"/>
          <w:sz w:val="16"/>
          <w:szCs w:val="16"/>
          <w:color w:val="auto"/>
        </w:rPr>
        <w:t>On May 4, 2007, the Company filed an action in the United States District Court for the Eastern District of Texas seeking a declaratory judgment against CSIRO that the CSIRO patent is invalid and unenforceable and that the Company and its customers do not infringe the CSIRO patent. The complaint also seeks damages and a license for the Company and its customers on reasonable and non-discriminatory terms in the event the Company’s 802.11a/g wireless LAN products are found to infringe and the CSIRO patent is found to be valid and enforceable. On August 3, 2007, CSIRO moved to dismiss the complaint for lack of case or controversy and failure to state a claim upon which relief can be granted, or, in the alternative, to stay the case pending the resolution of the pending lawsuits described in the preceding paragraph. The Company will oppose that motion.</w:t>
      </w:r>
    </w:p>
    <w:p>
      <w:pPr>
        <w:spacing w:after="0" w:line="165" w:lineRule="exact"/>
        <w:rPr>
          <w:sz w:val="20"/>
          <w:szCs w:val="20"/>
          <w:color w:val="auto"/>
        </w:rPr>
      </w:pPr>
    </w:p>
    <w:p>
      <w:pPr>
        <w:ind w:right="200" w:firstLine="324"/>
        <w:spacing w:after="0" w:line="271" w:lineRule="auto"/>
        <w:rPr>
          <w:sz w:val="20"/>
          <w:szCs w:val="20"/>
          <w:color w:val="auto"/>
        </w:rPr>
      </w:pPr>
      <w:r>
        <w:rPr>
          <w:rFonts w:ascii="Arial" w:cs="Arial" w:eastAsia="Arial" w:hAnsi="Arial"/>
          <w:sz w:val="17"/>
          <w:szCs w:val="17"/>
          <w:i w:val="1"/>
          <w:iCs w:val="1"/>
          <w:color w:val="auto"/>
        </w:rPr>
        <w:t xml:space="preserve">Shareholder Derivative Litigation. </w:t>
      </w:r>
      <w:r>
        <w:rPr>
          <w:rFonts w:ascii="Arial" w:cs="Arial" w:eastAsia="Arial" w:hAnsi="Arial"/>
          <w:sz w:val="17"/>
          <w:szCs w:val="17"/>
          <w:color w:val="auto"/>
        </w:rPr>
        <w:t>Between July 7, 2006 and August 2, 2006, three purported shareholder derivative actions were filed in the United</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States District Court for the Northern District of California. Each of these lawsuits names the Company as a nominal defendant and a number of the Company’s current and former directors and officers as defendants. Each lawsuit seeks to recover damages purportedly sustained by the Company in connection with its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7"/>
          <w:szCs w:val="17"/>
          <w:i w:val="1"/>
          <w:iCs w:val="1"/>
          <w:color w:val="auto"/>
        </w:rPr>
        <w:t>In re Marvell Technology Group Ltd. Derivative Litigation</w:t>
      </w:r>
      <w:r>
        <w:rPr>
          <w:rFonts w:ascii="Arial" w:cs="Arial" w:eastAsia="Arial" w:hAnsi="Arial"/>
          <w:sz w:val="17"/>
          <w:szCs w:val="17"/>
          <w:color w:val="auto"/>
        </w:rPr>
        <w:t>. The plaintiffs filed an amended and consolidated complaint on November 1, 2006. On January 16, 2007, the Company filed a motion to dismiss the consolidated complaint for lack of standing or, in the alternative, stay proceedings. Pursuant to stipulations among the parties and orders of the court, our motion is currently scheduled to be heard on November 2, 2007.</w:t>
      </w:r>
    </w:p>
    <w:p>
      <w:pPr>
        <w:spacing w:after="0" w:line="179" w:lineRule="exact"/>
        <w:rPr>
          <w:sz w:val="20"/>
          <w:szCs w:val="20"/>
          <w:color w:val="auto"/>
        </w:rPr>
      </w:pPr>
    </w:p>
    <w:p>
      <w:pPr>
        <w:ind w:right="60" w:firstLine="324"/>
        <w:spacing w:after="0" w:line="257"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Like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the Company as a nominal defendant and a number of our current and former</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directors and officers as defendants. It seeks to recover damages purportedly sustained by the Company in connection with its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 re Marvell</w:t>
      </w:r>
      <w:r>
        <w:rPr>
          <w:rFonts w:ascii="Arial" w:cs="Arial" w:eastAsia="Arial" w:hAnsi="Arial"/>
          <w:sz w:val="18"/>
          <w:szCs w:val="18"/>
          <w:color w:val="auto"/>
        </w:rPr>
        <w:t xml:space="preserve"> </w:t>
      </w:r>
      <w:r>
        <w:rPr>
          <w:rFonts w:ascii="Arial" w:cs="Arial" w:eastAsia="Arial" w:hAnsi="Arial"/>
          <w:sz w:val="18"/>
          <w:szCs w:val="18"/>
          <w:i w:val="1"/>
          <w:iCs w:val="1"/>
          <w:color w:val="auto"/>
        </w:rPr>
        <w:t>Technology Group Ltd. Derivative Litigation</w:t>
      </w:r>
      <w:r>
        <w:rPr>
          <w:rFonts w:ascii="Arial" w:cs="Arial" w:eastAsia="Arial" w:hAnsi="Arial"/>
          <w:sz w:val="18"/>
          <w:szCs w:val="18"/>
          <w:color w:val="auto"/>
        </w:rPr>
        <w:t>.</w:t>
      </w:r>
    </w:p>
    <w:p>
      <w:pPr>
        <w:spacing w:after="0" w:line="200" w:lineRule="exact"/>
        <w:rPr>
          <w:sz w:val="20"/>
          <w:szCs w:val="20"/>
          <w:color w:val="auto"/>
        </w:rPr>
      </w:pPr>
    </w:p>
    <w:p>
      <w:pPr>
        <w:spacing w:after="0" w:line="20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the Company’s motion to dismiss.</w:t>
      </w:r>
    </w:p>
    <w:p>
      <w:pPr>
        <w:spacing w:after="0" w:line="225" w:lineRule="exact"/>
        <w:rPr>
          <w:sz w:val="20"/>
          <w:szCs w:val="20"/>
          <w:color w:val="auto"/>
        </w:rPr>
      </w:pPr>
    </w:p>
    <w:p>
      <w:pPr>
        <w:ind w:right="100" w:firstLine="324"/>
        <w:spacing w:after="0" w:line="342" w:lineRule="auto"/>
        <w:rPr>
          <w:sz w:val="20"/>
          <w:szCs w:val="20"/>
          <w:color w:val="auto"/>
        </w:rPr>
      </w:pPr>
      <w:r>
        <w:rPr>
          <w:rFonts w:ascii="Arial" w:cs="Arial" w:eastAsia="Arial" w:hAnsi="Arial"/>
          <w:sz w:val="16"/>
          <w:szCs w:val="16"/>
          <w:i w:val="1"/>
          <w:iCs w:val="1"/>
          <w:color w:val="auto"/>
        </w:rPr>
        <w:t>Securities Litigation</w:t>
      </w:r>
      <w:r>
        <w:rPr>
          <w:rFonts w:ascii="Arial" w:cs="Arial" w:eastAsia="Arial" w:hAnsi="Arial"/>
          <w:sz w:val="16"/>
          <w:szCs w:val="16"/>
          <w:color w:val="auto"/>
        </w:rPr>
        <w:t>. Between October 5, 2006 and November 13, 2006, four putative class actions were filed in the United States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Northern District of California against the Company and certain of its officers and directors. The complaints allege that the Company and certain of its</w:t>
      </w:r>
    </w:p>
    <w:p>
      <w:pPr>
        <w:sectPr>
          <w:pgSz w:w="11900" w:h="16838" w:orient="portrait"/>
          <w:cols w:equalWidth="0" w:num="1">
            <w:col w:w="11400"/>
          </w:cols>
          <w:pgMar w:left="240" w:top="125" w:right="259" w:bottom="0" w:gutter="0" w:footer="0" w:header="0"/>
        </w:sectPr>
      </w:pPr>
    </w:p>
    <w:bookmarkStart w:id="15" w:name="page16"/>
    <w:bookmarkEnd w:id="15"/>
    <w:p>
      <w:pPr>
        <w:spacing w:after="0" w:line="297" w:lineRule="auto"/>
        <w:rPr>
          <w:sz w:val="20"/>
          <w:szCs w:val="20"/>
          <w:color w:val="auto"/>
        </w:rPr>
      </w:pPr>
      <w:r>
        <w:rPr>
          <w:rFonts w:ascii="Arial" w:cs="Arial" w:eastAsia="Arial" w:hAnsi="Arial"/>
          <w:sz w:val="16"/>
          <w:szCs w:val="16"/>
          <w:color w:val="auto"/>
        </w:rPr>
        <w:t xml:space="preserve">officers and directors violated the federal securities laws by making false and misleading statements and omissions relating to the grants of stock options. The complaints seek, on behalf of persons who purchased our common stock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The plaintiffs filed an amended complaint on August 16, 2007. Pursuant to stipulation and by order of the court, defendants have 45 days to respond to the complaint.</w:t>
      </w:r>
    </w:p>
    <w:p>
      <w:pPr>
        <w:spacing w:after="0" w:line="158"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i w:val="1"/>
          <w:iCs w:val="1"/>
          <w:color w:val="auto"/>
        </w:rPr>
        <w:t xml:space="preserve">SEC and United States Attorney Inquiries. </w:t>
      </w:r>
      <w:r>
        <w:rPr>
          <w:rFonts w:ascii="Arial" w:cs="Arial" w:eastAsia="Arial" w:hAnsi="Arial"/>
          <w:sz w:val="18"/>
          <w:szCs w:val="18"/>
          <w:color w:val="auto"/>
        </w:rPr>
        <w:t>In July 2006, the Company received a letter of informal inquiry from the SEC requesting certain documents</w:t>
      </w:r>
      <w:r>
        <w:rPr>
          <w:rFonts w:ascii="Arial" w:cs="Arial" w:eastAsia="Arial" w:hAnsi="Arial"/>
          <w:sz w:val="18"/>
          <w:szCs w:val="18"/>
          <w:i w:val="1"/>
          <w:iCs w:val="1"/>
          <w:color w:val="auto"/>
        </w:rPr>
        <w:t xml:space="preserve"> </w:t>
      </w:r>
      <w:r>
        <w:rPr>
          <w:rFonts w:ascii="Arial" w:cs="Arial" w:eastAsia="Arial" w:hAnsi="Arial"/>
          <w:sz w:val="18"/>
          <w:szCs w:val="18"/>
          <w:color w:val="auto"/>
        </w:rPr>
        <w:t>relating to the Company’s stock option grants and practices. The Company also received a grand jury subpoena from the office of the United States Attorney for the Northern District of California requesting substantially similar documents. On April 20, 2007, the Company was informed that the SEC is now conducting a formal investigation in this matter. On June 8, 2007 and July 3, 2007, the Company received document subpoenas from the SEC. The Company has cooperated with the SEC and the United States Attorney regarding these matters and intends to continue to do so. The Company cannot predict the outcome of these investigations.</w:t>
      </w:r>
    </w:p>
    <w:p>
      <w:pPr>
        <w:spacing w:after="0" w:line="19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 xml:space="preserve">General. </w:t>
      </w:r>
      <w:r>
        <w:rPr>
          <w:rFonts w:ascii="Arial" w:cs="Arial" w:eastAsia="Arial" w:hAnsi="Arial"/>
          <w:sz w:val="18"/>
          <w:szCs w:val="18"/>
          <w:color w:val="auto"/>
        </w:rPr>
        <w:t>The Company is also party to other legal proceedings and claims arising in the normal course of business.</w:t>
      </w:r>
    </w:p>
    <w:p>
      <w:pPr>
        <w:spacing w:after="0" w:line="225"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The legal proceedings and claims described above could result in substantial costs and could divert the attention and resources of the Company’s management. Although the legal responsibility and financial impact with respect to these proceedings and claims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However,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Stock-Based Compensation</w:t>
      </w:r>
    </w:p>
    <w:p>
      <w:pPr>
        <w:spacing w:after="0" w:line="229" w:lineRule="exact"/>
        <w:rPr>
          <w:sz w:val="20"/>
          <w:szCs w:val="20"/>
          <w:color w:val="auto"/>
        </w:rPr>
      </w:pPr>
    </w:p>
    <w:p>
      <w:pPr>
        <w:ind w:right="20" w:firstLine="324"/>
        <w:spacing w:after="0" w:line="271" w:lineRule="auto"/>
        <w:rPr>
          <w:sz w:val="20"/>
          <w:szCs w:val="20"/>
          <w:color w:val="auto"/>
        </w:rPr>
      </w:pPr>
      <w:r>
        <w:rPr>
          <w:rFonts w:ascii="Arial" w:cs="Arial" w:eastAsia="Arial" w:hAnsi="Arial"/>
          <w:sz w:val="17"/>
          <w:szCs w:val="17"/>
          <w:color w:val="auto"/>
        </w:rPr>
        <w:t>Effective from January 29, 2006, the Company adopted SFAS 123R. SFAS 123R requires the measurement and recognition of compensation expense for all share-based awards to employees and directors, including employee stock options, restricted stock units and employee stock purchase rights based on estimated fair values. SFAS 123R supersedes previous accounting guidance under Accounting Principles Board Opinion No. 25 “Accounting for Stock Issued to Employees” (“APB 25”) and related interpretations and amends SFAS No.95, “Statement of Cash Flows.” Under SFAS 123R, the benefits of tax deductions in excess of recognized compensation cost has to be reported as a financing cash flow, rather than as an operating cash flow. This may reduce future net cash flows from operations and increase future net financing cash flows. In March 2005, the SEC issued Staff Accounting Bulletin No. 107 (“SAB 107”), which provides guidance regarding the interaction of SFAS 123R and certain SEC rules and regulations. The Company has applied the provisions of SAB 107 in its adoption of SFAS 123R.</w:t>
      </w:r>
    </w:p>
    <w:p>
      <w:pPr>
        <w:spacing w:after="0" w:line="179" w:lineRule="exact"/>
        <w:rPr>
          <w:sz w:val="20"/>
          <w:szCs w:val="20"/>
          <w:color w:val="auto"/>
        </w:rPr>
      </w:pPr>
    </w:p>
    <w:p>
      <w:pPr>
        <w:ind w:right="160" w:firstLine="324"/>
        <w:spacing w:after="0" w:line="277" w:lineRule="auto"/>
        <w:rPr>
          <w:sz w:val="20"/>
          <w:szCs w:val="20"/>
          <w:color w:val="auto"/>
        </w:rPr>
      </w:pPr>
      <w:r>
        <w:rPr>
          <w:rFonts w:ascii="Arial" w:cs="Arial" w:eastAsia="Arial" w:hAnsi="Arial"/>
          <w:sz w:val="18"/>
          <w:szCs w:val="18"/>
          <w:color w:val="auto"/>
        </w:rPr>
        <w:t>Prior to January 29, 2006, the Company accounted for its stock based compensation plans using the intrinsic value method under the provisions of APB 25 and related guidance, using the accelerated method of amortization.</w:t>
      </w:r>
    </w:p>
    <w:p>
      <w:pPr>
        <w:spacing w:after="0" w:line="170" w:lineRule="exact"/>
        <w:rPr>
          <w:sz w:val="20"/>
          <w:szCs w:val="20"/>
          <w:color w:val="auto"/>
        </w:rPr>
      </w:pPr>
    </w:p>
    <w:p>
      <w:pPr>
        <w:ind w:right="140" w:firstLine="324"/>
        <w:spacing w:after="0" w:line="259" w:lineRule="auto"/>
        <w:rPr>
          <w:sz w:val="20"/>
          <w:szCs w:val="20"/>
          <w:color w:val="auto"/>
        </w:rPr>
      </w:pPr>
      <w:r>
        <w:rPr>
          <w:rFonts w:ascii="Arial" w:cs="Arial" w:eastAsia="Arial" w:hAnsi="Arial"/>
          <w:sz w:val="18"/>
          <w:szCs w:val="18"/>
          <w:color w:val="auto"/>
        </w:rPr>
        <w:t>The Company adopted SFAS 123R using the modified prospective method. Under the modified prospective method, results of operations include compensation costs of unvested options granted prior to January 29, 2006, and options granted subsequent to that date. For grants prior to January 29, 2006, the Company amortizes stock-based compensation expense under the accelerated method. For grants from January 29, 2006, the Company amortizes stock-based compensation expense ratably over the vest term.</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Cumulative Effect of Change in Accounting Principle</w:t>
      </w:r>
    </w:p>
    <w:p>
      <w:pPr>
        <w:spacing w:after="0" w:line="225" w:lineRule="exact"/>
        <w:rPr>
          <w:sz w:val="20"/>
          <w:szCs w:val="20"/>
          <w:color w:val="auto"/>
        </w:rPr>
      </w:pPr>
    </w:p>
    <w:p>
      <w:pPr>
        <w:ind w:right="140" w:firstLine="324"/>
        <w:spacing w:after="0" w:line="264" w:lineRule="auto"/>
        <w:rPr>
          <w:sz w:val="20"/>
          <w:szCs w:val="20"/>
          <w:color w:val="auto"/>
        </w:rPr>
      </w:pPr>
      <w:r>
        <w:rPr>
          <w:rFonts w:ascii="Arial" w:cs="Arial" w:eastAsia="Arial" w:hAnsi="Arial"/>
          <w:sz w:val="18"/>
          <w:szCs w:val="18"/>
          <w:color w:val="auto"/>
        </w:rPr>
        <w:t>The adoption of SFAS 123R resulted in a cumulative benefit from change in accounting principle of $8.8 million net of tax as of the year ended January 27, 2007, reflecting the net cumulative impact of estimated forfeitures that were previously not included in the determination of historic stock-based compensation expense in periods prior to January 28, 2006.</w:t>
      </w:r>
    </w:p>
    <w:p>
      <w:pPr>
        <w:spacing w:after="0" w:line="18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48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900" w:type="dxa"/>
            <w:vAlign w:val="bottom"/>
            <w:gridSpan w:val="5"/>
          </w:tcPr>
          <w:p>
            <w:pPr>
              <w:ind w:left="12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1740" w:type="dxa"/>
            <w:vAlign w:val="bottom"/>
            <w:gridSpan w:val="5"/>
          </w:tcPr>
          <w:p>
            <w:pPr>
              <w:ind w:left="200"/>
              <w:spacing w:after="0"/>
              <w:rPr>
                <w:sz w:val="20"/>
                <w:szCs w:val="20"/>
                <w:color w:val="auto"/>
              </w:rPr>
            </w:pPr>
            <w:r>
              <w:rPr>
                <w:rFonts w:ascii="Arial" w:cs="Arial" w:eastAsia="Arial" w:hAnsi="Arial"/>
                <w:sz w:val="14"/>
                <w:szCs w:val="14"/>
                <w:b w:val="1"/>
                <w:bCs w:val="1"/>
                <w:color w:val="auto"/>
              </w:rPr>
              <w:t>Six Months Ended</w:t>
            </w:r>
          </w:p>
        </w:tc>
      </w:tr>
      <w:tr>
        <w:trPr>
          <w:trHeight w:val="102"/>
        </w:trPr>
        <w:tc>
          <w:tcPr>
            <w:tcW w:w="3480" w:type="dxa"/>
            <w:vAlign w:val="bottom"/>
          </w:tcPr>
          <w:p>
            <w:pPr>
              <w:spacing w:after="0"/>
              <w:rPr>
                <w:sz w:val="8"/>
                <w:szCs w:val="8"/>
                <w:color w:val="auto"/>
              </w:rPr>
            </w:pPr>
          </w:p>
        </w:tc>
        <w:tc>
          <w:tcPr>
            <w:tcW w:w="154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660" w:type="dxa"/>
            <w:vAlign w:val="bottom"/>
            <w:tcBorders>
              <w:top w:val="single" w:sz="8" w:color="auto"/>
            </w:tcBorders>
          </w:tcPr>
          <w:p>
            <w:pPr>
              <w:jc w:val="right"/>
              <w:ind w:right="79"/>
              <w:spacing w:after="0" w:line="102" w:lineRule="exact"/>
              <w:rPr>
                <w:sz w:val="20"/>
                <w:szCs w:val="20"/>
                <w:color w:val="auto"/>
              </w:rPr>
            </w:pPr>
            <w:r>
              <w:rPr>
                <w:rFonts w:ascii="Arial" w:cs="Arial" w:eastAsia="Arial" w:hAnsi="Arial"/>
                <w:sz w:val="11"/>
                <w:szCs w:val="11"/>
                <w:b w:val="1"/>
                <w:bCs w:val="1"/>
                <w:color w:val="auto"/>
              </w:rPr>
              <w:t>July 28,</w:t>
            </w:r>
          </w:p>
        </w:tc>
        <w:tc>
          <w:tcPr>
            <w:tcW w:w="22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680" w:type="dxa"/>
            <w:vAlign w:val="bottom"/>
            <w:tcBorders>
              <w:top w:val="single" w:sz="8" w:color="auto"/>
            </w:tcBorders>
          </w:tcPr>
          <w:p>
            <w:pPr>
              <w:jc w:val="right"/>
              <w:ind w:right="77"/>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660" w:type="dxa"/>
            <w:vAlign w:val="bottom"/>
            <w:tcBorders>
              <w:top w:val="single" w:sz="8" w:color="auto"/>
            </w:tcBorders>
          </w:tcPr>
          <w:p>
            <w:pPr>
              <w:jc w:val="right"/>
              <w:ind w:right="79"/>
              <w:spacing w:after="0" w:line="102" w:lineRule="exact"/>
              <w:rPr>
                <w:sz w:val="20"/>
                <w:szCs w:val="20"/>
                <w:color w:val="auto"/>
              </w:rPr>
            </w:pPr>
            <w:r>
              <w:rPr>
                <w:rFonts w:ascii="Arial" w:cs="Arial" w:eastAsia="Arial" w:hAnsi="Arial"/>
                <w:sz w:val="11"/>
                <w:szCs w:val="11"/>
                <w:b w:val="1"/>
                <w:bCs w:val="1"/>
                <w:color w:val="auto"/>
              </w:rPr>
              <w:t>July 28,</w:t>
            </w:r>
          </w:p>
        </w:tc>
        <w:tc>
          <w:tcPr>
            <w:tcW w:w="220" w:type="dxa"/>
            <w:vAlign w:val="bottom"/>
            <w:tcBorders>
              <w:top w:val="single" w:sz="8" w:color="auto"/>
            </w:tcBorders>
          </w:tcPr>
          <w:p>
            <w:pPr>
              <w:spacing w:after="0"/>
              <w:rPr>
                <w:sz w:val="8"/>
                <w:szCs w:val="8"/>
                <w:color w:val="auto"/>
              </w:rPr>
            </w:pPr>
          </w:p>
        </w:tc>
        <w:tc>
          <w:tcPr>
            <w:tcW w:w="120" w:type="dxa"/>
            <w:vAlign w:val="bottom"/>
            <w:tcBorders>
              <w:top w:val="single" w:sz="8" w:color="auto"/>
            </w:tcBorders>
          </w:tcPr>
          <w:p>
            <w:pPr>
              <w:spacing w:after="0"/>
              <w:rPr>
                <w:sz w:val="8"/>
                <w:szCs w:val="8"/>
                <w:color w:val="auto"/>
              </w:rPr>
            </w:pPr>
          </w:p>
        </w:tc>
        <w:tc>
          <w:tcPr>
            <w:tcW w:w="700" w:type="dxa"/>
            <w:vAlign w:val="bottom"/>
            <w:tcBorders>
              <w:top w:val="single" w:sz="8" w:color="auto"/>
            </w:tcBorders>
          </w:tcPr>
          <w:p>
            <w:pPr>
              <w:jc w:val="right"/>
              <w:ind w:right="97"/>
              <w:spacing w:after="0" w:line="102" w:lineRule="exact"/>
              <w:rPr>
                <w:sz w:val="20"/>
                <w:szCs w:val="20"/>
                <w:color w:val="auto"/>
              </w:rPr>
            </w:pPr>
            <w:r>
              <w:rPr>
                <w:rFonts w:ascii="Arial" w:cs="Arial" w:eastAsia="Arial" w:hAnsi="Arial"/>
                <w:sz w:val="11"/>
                <w:szCs w:val="11"/>
                <w:b w:val="1"/>
                <w:bCs w:val="1"/>
                <w:color w:val="auto"/>
              </w:rPr>
              <w:t>July 29,</w:t>
            </w:r>
          </w:p>
        </w:tc>
        <w:tc>
          <w:tcPr>
            <w:tcW w:w="40" w:type="dxa"/>
            <w:vAlign w:val="bottom"/>
          </w:tcPr>
          <w:p>
            <w:pPr>
              <w:spacing w:after="0"/>
              <w:rPr>
                <w:sz w:val="8"/>
                <w:szCs w:val="8"/>
                <w:color w:val="auto"/>
              </w:rPr>
            </w:pPr>
          </w:p>
        </w:tc>
      </w:tr>
      <w:tr>
        <w:trPr>
          <w:trHeight w:val="162"/>
        </w:trPr>
        <w:tc>
          <w:tcPr>
            <w:tcW w:w="3480" w:type="dxa"/>
            <w:vAlign w:val="bottom"/>
            <w:tcBorders>
              <w:bottom w:val="single" w:sz="8" w:color="CCEEFF"/>
            </w:tcBorders>
          </w:tcPr>
          <w:p>
            <w:pPr>
              <w:spacing w:after="0"/>
              <w:rPr>
                <w:sz w:val="14"/>
                <w:szCs w:val="14"/>
                <w:color w:val="auto"/>
              </w:rPr>
            </w:pPr>
          </w:p>
        </w:tc>
        <w:tc>
          <w:tcPr>
            <w:tcW w:w="15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ind w:left="120"/>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177"/>
              <w:spacing w:after="0"/>
              <w:rPr>
                <w:sz w:val="20"/>
                <w:szCs w:val="20"/>
                <w:color w:val="auto"/>
              </w:rPr>
            </w:pPr>
            <w:r>
              <w:rPr>
                <w:rFonts w:ascii="Arial" w:cs="Arial" w:eastAsia="Arial" w:hAnsi="Arial"/>
                <w:sz w:val="14"/>
                <w:szCs w:val="14"/>
                <w:b w:val="1"/>
                <w:bCs w:val="1"/>
                <w:color w:val="auto"/>
              </w:rPr>
              <w:t>2006</w:t>
            </w:r>
          </w:p>
        </w:tc>
        <w:tc>
          <w:tcPr>
            <w:tcW w:w="2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79"/>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97"/>
              <w:spacing w:after="0"/>
              <w:rPr>
                <w:sz w:val="20"/>
                <w:szCs w:val="20"/>
                <w:color w:val="auto"/>
              </w:rPr>
            </w:pPr>
            <w:r>
              <w:rPr>
                <w:rFonts w:ascii="Arial" w:cs="Arial" w:eastAsia="Arial" w:hAnsi="Arial"/>
                <w:sz w:val="14"/>
                <w:szCs w:val="14"/>
                <w:b w:val="1"/>
                <w:bCs w:val="1"/>
                <w:color w:val="auto"/>
              </w:rPr>
              <w:t>2006</w:t>
            </w:r>
          </w:p>
        </w:tc>
        <w:tc>
          <w:tcPr>
            <w:tcW w:w="40" w:type="dxa"/>
            <w:vAlign w:val="bottom"/>
            <w:tcBorders>
              <w:bottom w:val="single" w:sz="8" w:color="CCEEFF"/>
            </w:tcBorders>
          </w:tcPr>
          <w:p>
            <w:pPr>
              <w:spacing w:after="0"/>
              <w:rPr>
                <w:sz w:val="14"/>
                <w:szCs w:val="14"/>
                <w:color w:val="auto"/>
              </w:rPr>
            </w:pPr>
          </w:p>
        </w:tc>
      </w:tr>
      <w:tr>
        <w:trPr>
          <w:trHeight w:val="210"/>
        </w:trPr>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54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3,275</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3,461</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6,293</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5,895</w:t>
            </w:r>
          </w:p>
        </w:tc>
        <w:tc>
          <w:tcPr>
            <w:tcW w:w="40" w:type="dxa"/>
            <w:vAlign w:val="bottom"/>
            <w:shd w:val="clear" w:color="auto" w:fill="CCEEFF"/>
          </w:tcPr>
          <w:p>
            <w:pPr>
              <w:spacing w:after="0"/>
              <w:rPr>
                <w:sz w:val="18"/>
                <w:szCs w:val="18"/>
                <w:color w:val="auto"/>
              </w:rPr>
            </w:pPr>
          </w:p>
        </w:tc>
      </w:tr>
      <w:tr>
        <w:trPr>
          <w:trHeight w:val="216"/>
        </w:trPr>
        <w:tc>
          <w:tcPr>
            <w:tcW w:w="348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34,591</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36,244</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66,633</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66,681</w:t>
            </w:r>
          </w:p>
        </w:tc>
        <w:tc>
          <w:tcPr>
            <w:tcW w:w="40" w:type="dxa"/>
            <w:vAlign w:val="bottom"/>
          </w:tcPr>
          <w:p>
            <w:pPr>
              <w:spacing w:after="0"/>
              <w:rPr>
                <w:sz w:val="18"/>
                <w:szCs w:val="18"/>
                <w:color w:val="auto"/>
              </w:rPr>
            </w:pPr>
          </w:p>
        </w:tc>
      </w:tr>
      <w:tr>
        <w:trPr>
          <w:trHeight w:val="216"/>
        </w:trPr>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10,997</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8,462</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18,148</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16,696</w:t>
            </w:r>
          </w:p>
        </w:tc>
        <w:tc>
          <w:tcPr>
            <w:tcW w:w="40" w:type="dxa"/>
            <w:vAlign w:val="bottom"/>
            <w:shd w:val="clear" w:color="auto" w:fill="CCEEFF"/>
          </w:tcPr>
          <w:p>
            <w:pPr>
              <w:spacing w:after="0"/>
              <w:rPr>
                <w:sz w:val="18"/>
                <w:szCs w:val="18"/>
                <w:color w:val="auto"/>
              </w:rPr>
            </w:pPr>
          </w:p>
        </w:tc>
      </w:tr>
      <w:tr>
        <w:trPr>
          <w:trHeight w:val="216"/>
        </w:trPr>
        <w:tc>
          <w:tcPr>
            <w:tcW w:w="34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General and administrative</w:t>
            </w:r>
          </w:p>
        </w:tc>
        <w:tc>
          <w:tcPr>
            <w:tcW w:w="154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10,033</w:t>
            </w:r>
          </w:p>
        </w:tc>
        <w:tc>
          <w:tcPr>
            <w:tcW w:w="22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7,437</w:t>
            </w:r>
          </w:p>
        </w:tc>
        <w:tc>
          <w:tcPr>
            <w:tcW w:w="22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14,590</w:t>
            </w:r>
          </w:p>
        </w:tc>
        <w:tc>
          <w:tcPr>
            <w:tcW w:w="22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15,094</w:t>
            </w:r>
          </w:p>
        </w:tc>
        <w:tc>
          <w:tcPr>
            <w:tcW w:w="40" w:type="dxa"/>
            <w:vAlign w:val="bottom"/>
            <w:tcBorders>
              <w:bottom w:val="single" w:sz="8" w:color="CCEEFF"/>
            </w:tcBorders>
          </w:tcPr>
          <w:p>
            <w:pPr>
              <w:spacing w:after="0"/>
              <w:rPr>
                <w:sz w:val="18"/>
                <w:szCs w:val="18"/>
                <w:color w:val="auto"/>
              </w:rPr>
            </w:pPr>
          </w:p>
        </w:tc>
      </w:tr>
      <w:tr>
        <w:trPr>
          <w:trHeight w:val="210"/>
        </w:trPr>
        <w:tc>
          <w:tcPr>
            <w:tcW w:w="3480" w:type="dxa"/>
            <w:vAlign w:val="bottom"/>
            <w:tcBorders>
              <w:bottom w:val="single" w:sz="8" w:color="CCEEFF"/>
            </w:tcBorders>
            <w:shd w:val="clear" w:color="auto" w:fill="CCEEFF"/>
          </w:tcPr>
          <w:p>
            <w:pPr>
              <w:spacing w:after="0"/>
              <w:rPr>
                <w:sz w:val="18"/>
                <w:szCs w:val="18"/>
                <w:color w:val="auto"/>
              </w:rPr>
            </w:pPr>
          </w:p>
        </w:tc>
        <w:tc>
          <w:tcPr>
            <w:tcW w:w="154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58,896</w:t>
            </w:r>
          </w:p>
        </w:tc>
        <w:tc>
          <w:tcPr>
            <w:tcW w:w="22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55,604</w:t>
            </w:r>
          </w:p>
        </w:tc>
        <w:tc>
          <w:tcPr>
            <w:tcW w:w="22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105,664</w:t>
            </w:r>
          </w:p>
        </w:tc>
        <w:tc>
          <w:tcPr>
            <w:tcW w:w="22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104,366</w:t>
            </w:r>
          </w:p>
        </w:tc>
        <w:tc>
          <w:tcPr>
            <w:tcW w:w="40" w:type="dxa"/>
            <w:vAlign w:val="bottom"/>
            <w:tcBorders>
              <w:bottom w:val="single" w:sz="8" w:color="CCEEFF"/>
            </w:tcBorders>
            <w:shd w:val="clear" w:color="auto" w:fill="CCEEFF"/>
          </w:tcPr>
          <w:p>
            <w:pPr>
              <w:spacing w:after="0"/>
              <w:rPr>
                <w:sz w:val="18"/>
                <w:szCs w:val="18"/>
                <w:color w:val="auto"/>
              </w:rPr>
            </w:pPr>
          </w:p>
        </w:tc>
      </w:tr>
      <w:tr>
        <w:trPr>
          <w:trHeight w:val="20"/>
        </w:trPr>
        <w:tc>
          <w:tcPr>
            <w:tcW w:w="348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350" w:lineRule="exact"/>
        <w:rPr>
          <w:sz w:val="20"/>
          <w:szCs w:val="20"/>
          <w:color w:val="auto"/>
        </w:rPr>
      </w:pPr>
    </w:p>
    <w:p>
      <w:pPr>
        <w:ind w:right="280" w:firstLine="324"/>
        <w:spacing w:after="0" w:line="277" w:lineRule="auto"/>
        <w:rPr>
          <w:sz w:val="20"/>
          <w:szCs w:val="20"/>
          <w:color w:val="auto"/>
        </w:rPr>
      </w:pPr>
      <w:r>
        <w:rPr>
          <w:rFonts w:ascii="Arial" w:cs="Arial" w:eastAsia="Arial" w:hAnsi="Arial"/>
          <w:sz w:val="18"/>
          <w:szCs w:val="18"/>
          <w:color w:val="auto"/>
        </w:rPr>
        <w:t>The following assumptions were used for each respective period to calculate the weighted average fair value of each option award on the date of grant using the Black-Scholes option pricing model:</w:t>
      </w:r>
    </w:p>
    <w:p>
      <w:pPr>
        <w:spacing w:after="0" w:line="149" w:lineRule="exact"/>
        <w:rPr>
          <w:sz w:val="20"/>
          <w:szCs w:val="20"/>
          <w:color w:val="auto"/>
        </w:rPr>
      </w:pPr>
    </w:p>
    <w:tbl>
      <w:tblPr>
        <w:tblLayout w:type="fixed"/>
        <w:tblInd w:w="1080" w:type="dxa"/>
        <w:tblCellMar>
          <w:top w:w="0" w:type="dxa"/>
          <w:left w:w="0" w:type="dxa"/>
          <w:bottom w:w="0" w:type="dxa"/>
          <w:right w:w="0" w:type="dxa"/>
        </w:tblCellMar>
      </w:tblPr>
      <w:tr>
        <w:trPr>
          <w:trHeight w:val="171"/>
        </w:trPr>
        <w:tc>
          <w:tcPr>
            <w:tcW w:w="27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0" w:type="dxa"/>
            <w:vAlign w:val="bottom"/>
            <w:gridSpan w:val="3"/>
          </w:tcPr>
          <w:p>
            <w:pPr>
              <w:jc w:val="right"/>
              <w:spacing w:after="0"/>
              <w:rPr>
                <w:sz w:val="20"/>
                <w:szCs w:val="20"/>
                <w:color w:val="auto"/>
              </w:rPr>
            </w:pPr>
            <w:r>
              <w:rPr>
                <w:rFonts w:ascii="Arial" w:cs="Arial" w:eastAsia="Arial" w:hAnsi="Arial"/>
                <w:sz w:val="14"/>
                <w:szCs w:val="14"/>
                <w:b w:val="1"/>
                <w:bCs w:val="1"/>
                <w:color w:val="auto"/>
              </w:rPr>
              <w:t>Stock Option Plans</w:t>
            </w:r>
          </w:p>
        </w:tc>
        <w:tc>
          <w:tcPr>
            <w:tcW w:w="4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80" w:type="dxa"/>
            <w:vAlign w:val="bottom"/>
            <w:gridSpan w:val="4"/>
          </w:tcPr>
          <w:p>
            <w:pPr>
              <w:jc w:val="center"/>
              <w:ind w:right="200"/>
              <w:spacing w:after="0"/>
              <w:rPr>
                <w:sz w:val="20"/>
                <w:szCs w:val="20"/>
                <w:color w:val="auto"/>
              </w:rPr>
            </w:pPr>
            <w:r>
              <w:rPr>
                <w:rFonts w:ascii="Arial" w:cs="Arial" w:eastAsia="Arial" w:hAnsi="Arial"/>
                <w:sz w:val="14"/>
                <w:szCs w:val="14"/>
                <w:b w:val="1"/>
                <w:bCs w:val="1"/>
                <w:color w:val="auto"/>
                <w:w w:val="96"/>
              </w:rPr>
              <w:t>ESPP</w:t>
            </w:r>
          </w:p>
        </w:tc>
      </w:tr>
      <w:tr>
        <w:trPr>
          <w:trHeight w:val="129"/>
        </w:trPr>
        <w:tc>
          <w:tcPr>
            <w:tcW w:w="2740" w:type="dxa"/>
            <w:vAlign w:val="bottom"/>
          </w:tcPr>
          <w:p>
            <w:pPr>
              <w:spacing w:after="0"/>
              <w:rPr>
                <w:sz w:val="11"/>
                <w:szCs w:val="11"/>
                <w:color w:val="auto"/>
              </w:rPr>
            </w:pPr>
          </w:p>
        </w:tc>
        <w:tc>
          <w:tcPr>
            <w:tcW w:w="220" w:type="dxa"/>
            <w:vAlign w:val="bottom"/>
            <w:tcBorders>
              <w:top w:val="single" w:sz="8" w:color="auto"/>
              <w:bottom w:val="single" w:sz="8" w:color="auto"/>
            </w:tcBorders>
          </w:tcPr>
          <w:p>
            <w:pPr>
              <w:spacing w:after="0"/>
              <w:rPr>
                <w:sz w:val="11"/>
                <w:szCs w:val="11"/>
                <w:color w:val="auto"/>
              </w:rPr>
            </w:pPr>
          </w:p>
        </w:tc>
        <w:tc>
          <w:tcPr>
            <w:tcW w:w="1820" w:type="dxa"/>
            <w:vAlign w:val="bottom"/>
            <w:tcBorders>
              <w:top w:val="single" w:sz="8" w:color="auto"/>
              <w:bottom w:val="single" w:sz="8" w:color="auto"/>
            </w:tcBorders>
            <w:gridSpan w:val="4"/>
          </w:tcPr>
          <w:p>
            <w:pPr>
              <w:jc w:val="right"/>
              <w:ind w:right="270"/>
              <w:spacing w:after="0" w:line="129" w:lineRule="exact"/>
              <w:rPr>
                <w:sz w:val="20"/>
                <w:szCs w:val="20"/>
                <w:color w:val="auto"/>
              </w:rPr>
            </w:pPr>
            <w:r>
              <w:rPr>
                <w:rFonts w:ascii="Arial" w:cs="Arial" w:eastAsia="Arial" w:hAnsi="Arial"/>
                <w:sz w:val="14"/>
                <w:szCs w:val="14"/>
                <w:b w:val="1"/>
                <w:bCs w:val="1"/>
                <w:color w:val="auto"/>
              </w:rPr>
              <w:t>Three Months Ended</w:t>
            </w:r>
          </w:p>
        </w:tc>
        <w:tc>
          <w:tcPr>
            <w:tcW w:w="220" w:type="dxa"/>
            <w:vAlign w:val="bottom"/>
          </w:tcPr>
          <w:p>
            <w:pPr>
              <w:spacing w:after="0"/>
              <w:rPr>
                <w:sz w:val="11"/>
                <w:szCs w:val="11"/>
                <w:color w:val="auto"/>
              </w:rPr>
            </w:pPr>
          </w:p>
        </w:tc>
        <w:tc>
          <w:tcPr>
            <w:tcW w:w="2080" w:type="dxa"/>
            <w:vAlign w:val="bottom"/>
            <w:tcBorders>
              <w:top w:val="single" w:sz="8" w:color="auto"/>
              <w:bottom w:val="single" w:sz="8" w:color="auto"/>
            </w:tcBorders>
            <w:gridSpan w:val="3"/>
          </w:tcPr>
          <w:p>
            <w:pPr>
              <w:jc w:val="center"/>
              <w:spacing w:after="0" w:line="129" w:lineRule="exact"/>
              <w:rPr>
                <w:sz w:val="20"/>
                <w:szCs w:val="20"/>
                <w:color w:val="auto"/>
              </w:rPr>
            </w:pPr>
            <w:r>
              <w:rPr>
                <w:rFonts w:ascii="Arial" w:cs="Arial" w:eastAsia="Arial" w:hAnsi="Arial"/>
                <w:sz w:val="14"/>
                <w:szCs w:val="14"/>
                <w:b w:val="1"/>
                <w:bCs w:val="1"/>
                <w:color w:val="auto"/>
                <w:w w:val="95"/>
              </w:rPr>
              <w:t>Three Months Ended</w:t>
            </w:r>
          </w:p>
        </w:tc>
        <w:tc>
          <w:tcPr>
            <w:tcW w:w="200" w:type="dxa"/>
            <w:vAlign w:val="bottom"/>
          </w:tcPr>
          <w:p>
            <w:pPr>
              <w:spacing w:after="0"/>
              <w:rPr>
                <w:sz w:val="11"/>
                <w:szCs w:val="11"/>
                <w:color w:val="auto"/>
              </w:rPr>
            </w:pPr>
          </w:p>
        </w:tc>
      </w:tr>
      <w:tr>
        <w:trPr>
          <w:trHeight w:val="129"/>
        </w:trPr>
        <w:tc>
          <w:tcPr>
            <w:tcW w:w="2740" w:type="dxa"/>
            <w:vAlign w:val="bottom"/>
            <w:tcBorders>
              <w:bottom w:val="single" w:sz="8" w:color="CCEEFF"/>
            </w:tcBorders>
          </w:tcPr>
          <w:p>
            <w:pPr>
              <w:spacing w:after="0"/>
              <w:rPr>
                <w:sz w:val="11"/>
                <w:szCs w:val="11"/>
                <w:color w:val="auto"/>
              </w:rPr>
            </w:pPr>
          </w:p>
        </w:tc>
        <w:tc>
          <w:tcPr>
            <w:tcW w:w="920" w:type="dxa"/>
            <w:vAlign w:val="bottom"/>
            <w:tcBorders>
              <w:bottom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7"/>
              </w:rPr>
              <w:t>July 28, 2007</w:t>
            </w:r>
          </w:p>
        </w:tc>
        <w:tc>
          <w:tcPr>
            <w:tcW w:w="220" w:type="dxa"/>
            <w:vAlign w:val="bottom"/>
            <w:tcBorders>
              <w:bottom w:val="single" w:sz="8" w:color="CCEEFF"/>
            </w:tcBorders>
          </w:tcPr>
          <w:p>
            <w:pPr>
              <w:spacing w:after="0"/>
              <w:rPr>
                <w:sz w:val="11"/>
                <w:szCs w:val="11"/>
                <w:color w:val="auto"/>
              </w:rPr>
            </w:pPr>
          </w:p>
        </w:tc>
        <w:tc>
          <w:tcPr>
            <w:tcW w:w="900" w:type="dxa"/>
            <w:vAlign w:val="bottom"/>
            <w:tcBorders>
              <w:bottom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4"/>
              </w:rPr>
              <w:t>July 29, 2006</w:t>
            </w:r>
          </w:p>
        </w:tc>
        <w:tc>
          <w:tcPr>
            <w:tcW w:w="220" w:type="dxa"/>
            <w:vAlign w:val="bottom"/>
            <w:tcBorders>
              <w:bottom w:val="single" w:sz="8" w:color="CCEEFF"/>
            </w:tcBorders>
          </w:tcPr>
          <w:p>
            <w:pPr>
              <w:spacing w:after="0"/>
              <w:rPr>
                <w:sz w:val="11"/>
                <w:szCs w:val="11"/>
                <w:color w:val="auto"/>
              </w:rPr>
            </w:pPr>
          </w:p>
        </w:tc>
        <w:tc>
          <w:tcPr>
            <w:tcW w:w="940" w:type="dxa"/>
            <w:vAlign w:val="bottom"/>
            <w:tcBorders>
              <w:bottom w:val="single" w:sz="8" w:color="auto"/>
            </w:tcBorders>
          </w:tcPr>
          <w:p>
            <w:pPr>
              <w:ind w:left="60"/>
              <w:spacing w:after="0" w:line="129" w:lineRule="exact"/>
              <w:rPr>
                <w:sz w:val="20"/>
                <w:szCs w:val="20"/>
                <w:color w:val="auto"/>
              </w:rPr>
            </w:pPr>
            <w:r>
              <w:rPr>
                <w:rFonts w:ascii="Arial" w:cs="Arial" w:eastAsia="Arial" w:hAnsi="Arial"/>
                <w:sz w:val="14"/>
                <w:szCs w:val="14"/>
                <w:b w:val="1"/>
                <w:bCs w:val="1"/>
                <w:color w:val="auto"/>
                <w:w w:val="99"/>
              </w:rPr>
              <w:t>July 28, 2007</w:t>
            </w:r>
          </w:p>
        </w:tc>
        <w:tc>
          <w:tcPr>
            <w:tcW w:w="220" w:type="dxa"/>
            <w:vAlign w:val="bottom"/>
            <w:tcBorders>
              <w:bottom w:val="single" w:sz="8" w:color="CCEEFF"/>
            </w:tcBorders>
          </w:tcPr>
          <w:p>
            <w:pPr>
              <w:spacing w:after="0"/>
              <w:rPr>
                <w:sz w:val="11"/>
                <w:szCs w:val="11"/>
                <w:color w:val="auto"/>
              </w:rPr>
            </w:pPr>
          </w:p>
        </w:tc>
        <w:tc>
          <w:tcPr>
            <w:tcW w:w="920" w:type="dxa"/>
            <w:vAlign w:val="bottom"/>
            <w:tcBorders>
              <w:bottom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7"/>
              </w:rPr>
              <w:t>July 29, 2006</w:t>
            </w:r>
          </w:p>
        </w:tc>
        <w:tc>
          <w:tcPr>
            <w:tcW w:w="200" w:type="dxa"/>
            <w:vAlign w:val="bottom"/>
            <w:tcBorders>
              <w:bottom w:val="single" w:sz="8" w:color="CCEEFF"/>
            </w:tcBorders>
          </w:tcPr>
          <w:p>
            <w:pPr>
              <w:spacing w:after="0"/>
              <w:rPr>
                <w:sz w:val="11"/>
                <w:szCs w:val="11"/>
                <w:color w:val="auto"/>
              </w:rPr>
            </w:pPr>
          </w:p>
        </w:tc>
      </w:tr>
      <w:tr>
        <w:trPr>
          <w:trHeight w:val="210"/>
        </w:trPr>
        <w:tc>
          <w:tcPr>
            <w:tcW w:w="274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45%</w:t>
            </w:r>
          </w:p>
        </w:tc>
        <w:tc>
          <w:tcPr>
            <w:tcW w:w="48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w:t>
            </w:r>
          </w:p>
        </w:tc>
        <w:tc>
          <w:tcPr>
            <w:tcW w:w="940" w:type="dxa"/>
            <w:vAlign w:val="bottom"/>
            <w:shd w:val="clear" w:color="auto" w:fill="CCEEFF"/>
          </w:tcPr>
          <w:p>
            <w:pPr>
              <w:ind w:left="740"/>
              <w:spacing w:after="0"/>
              <w:rPr>
                <w:sz w:val="20"/>
                <w:szCs w:val="20"/>
                <w:color w:val="auto"/>
              </w:rPr>
            </w:pPr>
            <w:r>
              <w:rPr>
                <w:rFonts w:ascii="Arial" w:cs="Arial" w:eastAsia="Arial" w:hAnsi="Arial"/>
                <w:sz w:val="18"/>
                <w:szCs w:val="18"/>
                <w:color w:val="auto"/>
                <w:w w:val="99"/>
              </w:rPr>
              <w:t>—</w:t>
            </w:r>
          </w:p>
        </w:tc>
        <w:tc>
          <w:tcPr>
            <w:tcW w:w="2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41%</w:t>
            </w:r>
          </w:p>
        </w:tc>
      </w:tr>
      <w:tr>
        <w:trPr>
          <w:trHeight w:val="216"/>
        </w:trPr>
        <w:tc>
          <w:tcPr>
            <w:tcW w:w="2740" w:type="dxa"/>
            <w:vAlign w:val="bottom"/>
          </w:tcPr>
          <w:p>
            <w:pPr>
              <w:spacing w:after="0"/>
              <w:rPr>
                <w:sz w:val="20"/>
                <w:szCs w:val="20"/>
                <w:color w:val="auto"/>
              </w:rPr>
            </w:pPr>
            <w:r>
              <w:rPr>
                <w:rFonts w:ascii="Arial" w:cs="Arial" w:eastAsia="Arial" w:hAnsi="Arial"/>
                <w:sz w:val="18"/>
                <w:szCs w:val="18"/>
                <w:color w:val="auto"/>
              </w:rPr>
              <w:t>Expected life (in years)</w:t>
            </w:r>
          </w:p>
        </w:tc>
        <w:tc>
          <w:tcPr>
            <w:tcW w:w="2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5.0</w:t>
            </w:r>
          </w:p>
        </w:tc>
        <w:tc>
          <w:tcPr>
            <w:tcW w:w="2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4.7</w:t>
            </w:r>
          </w:p>
        </w:tc>
        <w:tc>
          <w:tcPr>
            <w:tcW w:w="220" w:type="dxa"/>
            <w:vAlign w:val="bottom"/>
          </w:tcPr>
          <w:p>
            <w:pPr>
              <w:spacing w:after="0"/>
              <w:rPr>
                <w:sz w:val="18"/>
                <w:szCs w:val="18"/>
                <w:color w:val="auto"/>
              </w:rPr>
            </w:pPr>
          </w:p>
        </w:tc>
        <w:tc>
          <w:tcPr>
            <w:tcW w:w="1160" w:type="dxa"/>
            <w:vAlign w:val="bottom"/>
            <w:gridSpan w:val="2"/>
          </w:tcPr>
          <w:p>
            <w:pPr>
              <w:ind w:left="74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1.3</w:t>
            </w:r>
          </w:p>
        </w:tc>
        <w:tc>
          <w:tcPr>
            <w:tcW w:w="200" w:type="dxa"/>
            <w:vAlign w:val="bottom"/>
          </w:tcPr>
          <w:p>
            <w:pPr>
              <w:spacing w:after="0"/>
              <w:rPr>
                <w:sz w:val="18"/>
                <w:szCs w:val="18"/>
                <w:color w:val="auto"/>
              </w:rPr>
            </w:pPr>
          </w:p>
        </w:tc>
      </w:tr>
      <w:tr>
        <w:trPr>
          <w:trHeight w:val="216"/>
        </w:trPr>
        <w:tc>
          <w:tcPr>
            <w:tcW w:w="274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4.6%</w:t>
            </w:r>
          </w:p>
        </w:tc>
        <w:tc>
          <w:tcPr>
            <w:tcW w:w="48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4.7%</w:t>
            </w:r>
          </w:p>
        </w:tc>
        <w:tc>
          <w:tcPr>
            <w:tcW w:w="116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5.0%</w:t>
            </w:r>
          </w:p>
        </w:tc>
      </w:tr>
      <w:tr>
        <w:trPr>
          <w:trHeight w:val="216"/>
        </w:trPr>
        <w:tc>
          <w:tcPr>
            <w:tcW w:w="2740" w:type="dxa"/>
            <w:vAlign w:val="bottom"/>
          </w:tcPr>
          <w:p>
            <w:pPr>
              <w:spacing w:after="0"/>
              <w:rPr>
                <w:sz w:val="20"/>
                <w:szCs w:val="20"/>
                <w:color w:val="auto"/>
              </w:rPr>
            </w:pPr>
            <w:r>
              <w:rPr>
                <w:rFonts w:ascii="Arial" w:cs="Arial" w:eastAsia="Arial" w:hAnsi="Arial"/>
                <w:sz w:val="18"/>
                <w:szCs w:val="18"/>
                <w:color w:val="auto"/>
              </w:rPr>
              <w:t>Dividend yield</w:t>
            </w:r>
          </w:p>
        </w:tc>
        <w:tc>
          <w:tcPr>
            <w:tcW w:w="220" w:type="dxa"/>
            <w:vAlign w:val="bottom"/>
          </w:tcPr>
          <w:p>
            <w:pPr>
              <w:spacing w:after="0"/>
              <w:rPr>
                <w:sz w:val="18"/>
                <w:szCs w:val="18"/>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6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ind w:left="74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74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fair value</w:t>
            </w:r>
          </w:p>
        </w:tc>
        <w:tc>
          <w:tcPr>
            <w:tcW w:w="220" w:type="dxa"/>
            <w:vAlign w:val="bottom"/>
            <w:shd w:val="clear" w:color="auto" w:fill="CCEEFF"/>
          </w:tcPr>
          <w:p>
            <w:pPr>
              <w:jc w:val="right"/>
              <w:ind w:right="67"/>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7.58</w:t>
            </w:r>
          </w:p>
        </w:tc>
        <w:tc>
          <w:tcPr>
            <w:tcW w:w="220" w:type="dxa"/>
            <w:vAlign w:val="bottom"/>
            <w:shd w:val="clear" w:color="auto" w:fill="CCEEFF"/>
          </w:tcPr>
          <w:p>
            <w:pPr>
              <w:spacing w:after="0"/>
              <w:rPr>
                <w:sz w:val="18"/>
                <w:szCs w:val="18"/>
                <w:color w:val="auto"/>
              </w:rPr>
            </w:pPr>
          </w:p>
        </w:tc>
        <w:tc>
          <w:tcPr>
            <w:tcW w:w="480" w:type="dxa"/>
            <w:vAlign w:val="bottom"/>
            <w:shd w:val="clear" w:color="auto" w:fill="CCEEFF"/>
          </w:tcPr>
          <w:p>
            <w:pPr>
              <w:jc w:val="right"/>
              <w:ind w:right="327"/>
              <w:spacing w:after="0"/>
              <w:rPr>
                <w:sz w:val="20"/>
                <w:szCs w:val="20"/>
                <w:color w:val="auto"/>
              </w:rPr>
            </w:pPr>
            <w:r>
              <w:rPr>
                <w:rFonts w:ascii="Arial" w:cs="Arial" w:eastAsia="Arial" w:hAnsi="Arial"/>
                <w:sz w:val="15"/>
                <w:szCs w:val="15"/>
                <w:color w:val="auto"/>
                <w:w w:val="71"/>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14.27</w:t>
            </w:r>
          </w:p>
        </w:tc>
        <w:tc>
          <w:tcPr>
            <w:tcW w:w="2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bl>
    <w:p>
      <w:pPr>
        <w:sectPr>
          <w:pgSz w:w="11900" w:h="16838" w:orient="portrait"/>
          <w:cols w:equalWidth="0" w:num="1">
            <w:col w:w="11420"/>
          </w:cols>
          <w:pgMar w:left="240" w:top="125" w:right="239" w:bottom="0" w:gutter="0" w:footer="0" w:header="0"/>
        </w:sectPr>
      </w:pPr>
    </w:p>
    <w:bookmarkStart w:id="16" w:name="page17"/>
    <w:bookmarkEnd w:id="16"/>
    <w:p>
      <w:pPr>
        <w:spacing w:after="0" w:line="1" w:lineRule="exact"/>
        <w:rPr>
          <w:sz w:val="20"/>
          <w:szCs w:val="20"/>
          <w:color w:val="auto"/>
        </w:rPr>
      </w:pPr>
    </w:p>
    <w:tbl>
      <w:tblPr>
        <w:tblLayout w:type="fixed"/>
        <w:tblInd w:w="1080" w:type="dxa"/>
        <w:tblCellMar>
          <w:top w:w="0" w:type="dxa"/>
          <w:left w:w="0" w:type="dxa"/>
          <w:bottom w:w="0" w:type="dxa"/>
          <w:right w:w="0" w:type="dxa"/>
        </w:tblCellMar>
      </w:tblPr>
      <w:tr>
        <w:trPr>
          <w:trHeight w:val="171"/>
        </w:trPr>
        <w:tc>
          <w:tcPr>
            <w:tcW w:w="27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60" w:type="dxa"/>
            <w:vAlign w:val="bottom"/>
            <w:gridSpan w:val="3"/>
          </w:tcPr>
          <w:p>
            <w:pPr>
              <w:ind w:left="160"/>
              <w:spacing w:after="0"/>
              <w:rPr>
                <w:sz w:val="20"/>
                <w:szCs w:val="20"/>
                <w:color w:val="auto"/>
              </w:rPr>
            </w:pPr>
            <w:r>
              <w:rPr>
                <w:rFonts w:ascii="Arial" w:cs="Arial" w:eastAsia="Arial" w:hAnsi="Arial"/>
                <w:sz w:val="14"/>
                <w:szCs w:val="14"/>
                <w:b w:val="1"/>
                <w:bCs w:val="1"/>
                <w:color w:val="auto"/>
                <w:w w:val="91"/>
              </w:rPr>
              <w:t>Stock Option Plans</w:t>
            </w:r>
          </w:p>
        </w:tc>
        <w:tc>
          <w:tcPr>
            <w:tcW w:w="4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80" w:type="dxa"/>
            <w:vAlign w:val="bottom"/>
            <w:gridSpan w:val="4"/>
          </w:tcPr>
          <w:p>
            <w:pPr>
              <w:jc w:val="center"/>
              <w:ind w:right="200"/>
              <w:spacing w:after="0"/>
              <w:rPr>
                <w:sz w:val="20"/>
                <w:szCs w:val="20"/>
                <w:color w:val="auto"/>
              </w:rPr>
            </w:pPr>
            <w:r>
              <w:rPr>
                <w:rFonts w:ascii="Arial" w:cs="Arial" w:eastAsia="Arial" w:hAnsi="Arial"/>
                <w:sz w:val="14"/>
                <w:szCs w:val="14"/>
                <w:b w:val="1"/>
                <w:bCs w:val="1"/>
                <w:color w:val="auto"/>
                <w:w w:val="96"/>
              </w:rPr>
              <w:t>ESPP</w:t>
            </w:r>
          </w:p>
        </w:tc>
      </w:tr>
      <w:tr>
        <w:trPr>
          <w:trHeight w:val="129"/>
        </w:trPr>
        <w:tc>
          <w:tcPr>
            <w:tcW w:w="2740" w:type="dxa"/>
            <w:vAlign w:val="bottom"/>
          </w:tcPr>
          <w:p>
            <w:pPr>
              <w:spacing w:after="0"/>
              <w:rPr>
                <w:sz w:val="11"/>
                <w:szCs w:val="11"/>
                <w:color w:val="auto"/>
              </w:rPr>
            </w:pPr>
          </w:p>
        </w:tc>
        <w:tc>
          <w:tcPr>
            <w:tcW w:w="260" w:type="dxa"/>
            <w:vAlign w:val="bottom"/>
            <w:tcBorders>
              <w:top w:val="single" w:sz="8" w:color="auto"/>
              <w:bottom w:val="single" w:sz="8" w:color="auto"/>
            </w:tcBorders>
          </w:tcPr>
          <w:p>
            <w:pPr>
              <w:spacing w:after="0"/>
              <w:rPr>
                <w:sz w:val="11"/>
                <w:szCs w:val="11"/>
                <w:color w:val="auto"/>
              </w:rPr>
            </w:pPr>
          </w:p>
        </w:tc>
        <w:tc>
          <w:tcPr>
            <w:tcW w:w="1360" w:type="dxa"/>
            <w:vAlign w:val="bottom"/>
            <w:tcBorders>
              <w:top w:val="single" w:sz="8" w:color="auto"/>
              <w:bottom w:val="single" w:sz="8" w:color="auto"/>
            </w:tcBorders>
            <w:gridSpan w:val="3"/>
          </w:tcPr>
          <w:p>
            <w:pPr>
              <w:ind w:left="180"/>
              <w:spacing w:after="0" w:line="129" w:lineRule="exact"/>
              <w:rPr>
                <w:sz w:val="20"/>
                <w:szCs w:val="20"/>
                <w:color w:val="auto"/>
              </w:rPr>
            </w:pPr>
            <w:r>
              <w:rPr>
                <w:rFonts w:ascii="Arial" w:cs="Arial" w:eastAsia="Arial" w:hAnsi="Arial"/>
                <w:sz w:val="14"/>
                <w:szCs w:val="14"/>
                <w:b w:val="1"/>
                <w:bCs w:val="1"/>
                <w:color w:val="auto"/>
                <w:w w:val="95"/>
              </w:rPr>
              <w:t>Six Months Ended</w:t>
            </w:r>
          </w:p>
        </w:tc>
        <w:tc>
          <w:tcPr>
            <w:tcW w:w="420" w:type="dxa"/>
            <w:vAlign w:val="bottom"/>
            <w:tcBorders>
              <w:top w:val="single" w:sz="8" w:color="auto"/>
              <w:bottom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2080" w:type="dxa"/>
            <w:vAlign w:val="bottom"/>
            <w:tcBorders>
              <w:top w:val="single" w:sz="8" w:color="auto"/>
              <w:bottom w:val="single" w:sz="8" w:color="auto"/>
            </w:tcBorders>
            <w:gridSpan w:val="3"/>
          </w:tcPr>
          <w:p>
            <w:pPr>
              <w:jc w:val="center"/>
              <w:spacing w:after="0" w:line="129" w:lineRule="exact"/>
              <w:rPr>
                <w:sz w:val="20"/>
                <w:szCs w:val="20"/>
                <w:color w:val="auto"/>
              </w:rPr>
            </w:pPr>
            <w:r>
              <w:rPr>
                <w:rFonts w:ascii="Arial" w:cs="Arial" w:eastAsia="Arial" w:hAnsi="Arial"/>
                <w:sz w:val="14"/>
                <w:szCs w:val="14"/>
                <w:b w:val="1"/>
                <w:bCs w:val="1"/>
                <w:color w:val="auto"/>
                <w:w w:val="92"/>
              </w:rPr>
              <w:t>Six Months Ended</w:t>
            </w:r>
          </w:p>
        </w:tc>
        <w:tc>
          <w:tcPr>
            <w:tcW w:w="200" w:type="dxa"/>
            <w:vAlign w:val="bottom"/>
          </w:tcPr>
          <w:p>
            <w:pPr>
              <w:spacing w:after="0"/>
              <w:rPr>
                <w:sz w:val="11"/>
                <w:szCs w:val="11"/>
                <w:color w:val="auto"/>
              </w:rPr>
            </w:pPr>
          </w:p>
        </w:tc>
      </w:tr>
      <w:tr>
        <w:trPr>
          <w:trHeight w:val="129"/>
        </w:trPr>
        <w:tc>
          <w:tcPr>
            <w:tcW w:w="2740" w:type="dxa"/>
            <w:vAlign w:val="bottom"/>
            <w:tcBorders>
              <w:bottom w:val="single" w:sz="8" w:color="CCEEFF"/>
            </w:tcBorders>
          </w:tcPr>
          <w:p>
            <w:pPr>
              <w:spacing w:after="0"/>
              <w:rPr>
                <w:sz w:val="11"/>
                <w:szCs w:val="11"/>
                <w:color w:val="auto"/>
              </w:rPr>
            </w:pPr>
          </w:p>
        </w:tc>
        <w:tc>
          <w:tcPr>
            <w:tcW w:w="920" w:type="dxa"/>
            <w:vAlign w:val="bottom"/>
            <w:tcBorders>
              <w:bottom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7"/>
              </w:rPr>
              <w:t>July 28, 2007</w:t>
            </w:r>
          </w:p>
        </w:tc>
        <w:tc>
          <w:tcPr>
            <w:tcW w:w="220" w:type="dxa"/>
            <w:vAlign w:val="bottom"/>
            <w:tcBorders>
              <w:bottom w:val="single" w:sz="8" w:color="CCEEFF"/>
            </w:tcBorders>
          </w:tcPr>
          <w:p>
            <w:pPr>
              <w:spacing w:after="0"/>
              <w:rPr>
                <w:sz w:val="11"/>
                <w:szCs w:val="11"/>
                <w:color w:val="auto"/>
              </w:rPr>
            </w:pPr>
          </w:p>
        </w:tc>
        <w:tc>
          <w:tcPr>
            <w:tcW w:w="900" w:type="dxa"/>
            <w:vAlign w:val="bottom"/>
            <w:tcBorders>
              <w:bottom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4"/>
              </w:rPr>
              <w:t>July 29, 2006</w:t>
            </w:r>
          </w:p>
        </w:tc>
        <w:tc>
          <w:tcPr>
            <w:tcW w:w="220" w:type="dxa"/>
            <w:vAlign w:val="bottom"/>
            <w:tcBorders>
              <w:bottom w:val="single" w:sz="8" w:color="CCEEFF"/>
            </w:tcBorders>
          </w:tcPr>
          <w:p>
            <w:pPr>
              <w:spacing w:after="0"/>
              <w:rPr>
                <w:sz w:val="11"/>
                <w:szCs w:val="11"/>
                <w:color w:val="auto"/>
              </w:rPr>
            </w:pPr>
          </w:p>
        </w:tc>
        <w:tc>
          <w:tcPr>
            <w:tcW w:w="940" w:type="dxa"/>
            <w:vAlign w:val="bottom"/>
            <w:tcBorders>
              <w:bottom w:val="single" w:sz="8" w:color="auto"/>
            </w:tcBorders>
          </w:tcPr>
          <w:p>
            <w:pPr>
              <w:ind w:left="60"/>
              <w:spacing w:after="0" w:line="129" w:lineRule="exact"/>
              <w:rPr>
                <w:sz w:val="20"/>
                <w:szCs w:val="20"/>
                <w:color w:val="auto"/>
              </w:rPr>
            </w:pPr>
            <w:r>
              <w:rPr>
                <w:rFonts w:ascii="Arial" w:cs="Arial" w:eastAsia="Arial" w:hAnsi="Arial"/>
                <w:sz w:val="14"/>
                <w:szCs w:val="14"/>
                <w:b w:val="1"/>
                <w:bCs w:val="1"/>
                <w:color w:val="auto"/>
                <w:w w:val="99"/>
              </w:rPr>
              <w:t>July 28, 2007</w:t>
            </w:r>
          </w:p>
        </w:tc>
        <w:tc>
          <w:tcPr>
            <w:tcW w:w="220" w:type="dxa"/>
            <w:vAlign w:val="bottom"/>
            <w:tcBorders>
              <w:bottom w:val="single" w:sz="8" w:color="CCEEFF"/>
            </w:tcBorders>
          </w:tcPr>
          <w:p>
            <w:pPr>
              <w:spacing w:after="0"/>
              <w:rPr>
                <w:sz w:val="11"/>
                <w:szCs w:val="11"/>
                <w:color w:val="auto"/>
              </w:rPr>
            </w:pPr>
          </w:p>
        </w:tc>
        <w:tc>
          <w:tcPr>
            <w:tcW w:w="920" w:type="dxa"/>
            <w:vAlign w:val="bottom"/>
            <w:tcBorders>
              <w:bottom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7"/>
              </w:rPr>
              <w:t>July 29, 2006</w:t>
            </w:r>
          </w:p>
        </w:tc>
        <w:tc>
          <w:tcPr>
            <w:tcW w:w="200" w:type="dxa"/>
            <w:vAlign w:val="bottom"/>
            <w:tcBorders>
              <w:bottom w:val="single" w:sz="8" w:color="CCEEFF"/>
            </w:tcBorders>
          </w:tcPr>
          <w:p>
            <w:pPr>
              <w:spacing w:after="0"/>
              <w:rPr>
                <w:sz w:val="11"/>
                <w:szCs w:val="11"/>
                <w:color w:val="auto"/>
              </w:rPr>
            </w:pPr>
          </w:p>
        </w:tc>
      </w:tr>
      <w:tr>
        <w:trPr>
          <w:trHeight w:val="210"/>
        </w:trPr>
        <w:tc>
          <w:tcPr>
            <w:tcW w:w="274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2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45%</w:t>
            </w:r>
          </w:p>
        </w:tc>
        <w:tc>
          <w:tcPr>
            <w:tcW w:w="48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w:t>
            </w:r>
          </w:p>
        </w:tc>
        <w:tc>
          <w:tcPr>
            <w:tcW w:w="940" w:type="dxa"/>
            <w:vAlign w:val="bottom"/>
            <w:shd w:val="clear" w:color="auto" w:fill="CCEEFF"/>
          </w:tcPr>
          <w:p>
            <w:pPr>
              <w:ind w:left="740"/>
              <w:spacing w:after="0"/>
              <w:rPr>
                <w:sz w:val="20"/>
                <w:szCs w:val="20"/>
                <w:color w:val="auto"/>
              </w:rPr>
            </w:pPr>
            <w:r>
              <w:rPr>
                <w:rFonts w:ascii="Arial" w:cs="Arial" w:eastAsia="Arial" w:hAnsi="Arial"/>
                <w:sz w:val="18"/>
                <w:szCs w:val="18"/>
                <w:color w:val="auto"/>
                <w:w w:val="99"/>
              </w:rPr>
              <w:t>—</w:t>
            </w:r>
          </w:p>
        </w:tc>
        <w:tc>
          <w:tcPr>
            <w:tcW w:w="2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41%</w:t>
            </w:r>
          </w:p>
        </w:tc>
      </w:tr>
      <w:tr>
        <w:trPr>
          <w:trHeight w:val="216"/>
        </w:trPr>
        <w:tc>
          <w:tcPr>
            <w:tcW w:w="2740" w:type="dxa"/>
            <w:vAlign w:val="bottom"/>
          </w:tcPr>
          <w:p>
            <w:pPr>
              <w:spacing w:after="0"/>
              <w:rPr>
                <w:sz w:val="20"/>
                <w:szCs w:val="20"/>
                <w:color w:val="auto"/>
              </w:rPr>
            </w:pPr>
            <w:r>
              <w:rPr>
                <w:rFonts w:ascii="Arial" w:cs="Arial" w:eastAsia="Arial" w:hAnsi="Arial"/>
                <w:sz w:val="18"/>
                <w:szCs w:val="18"/>
                <w:color w:val="auto"/>
              </w:rPr>
              <w:t>Expected life (in years)</w:t>
            </w:r>
          </w:p>
        </w:tc>
        <w:tc>
          <w:tcPr>
            <w:tcW w:w="2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5.0</w:t>
            </w:r>
          </w:p>
        </w:tc>
        <w:tc>
          <w:tcPr>
            <w:tcW w:w="2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4.7</w:t>
            </w:r>
          </w:p>
        </w:tc>
        <w:tc>
          <w:tcPr>
            <w:tcW w:w="220" w:type="dxa"/>
            <w:vAlign w:val="bottom"/>
          </w:tcPr>
          <w:p>
            <w:pPr>
              <w:spacing w:after="0"/>
              <w:rPr>
                <w:sz w:val="18"/>
                <w:szCs w:val="18"/>
                <w:color w:val="auto"/>
              </w:rPr>
            </w:pPr>
          </w:p>
        </w:tc>
        <w:tc>
          <w:tcPr>
            <w:tcW w:w="1160" w:type="dxa"/>
            <w:vAlign w:val="bottom"/>
            <w:gridSpan w:val="2"/>
          </w:tcPr>
          <w:p>
            <w:pPr>
              <w:ind w:left="74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1.3</w:t>
            </w:r>
          </w:p>
        </w:tc>
        <w:tc>
          <w:tcPr>
            <w:tcW w:w="200" w:type="dxa"/>
            <w:vAlign w:val="bottom"/>
          </w:tcPr>
          <w:p>
            <w:pPr>
              <w:spacing w:after="0"/>
              <w:rPr>
                <w:sz w:val="18"/>
                <w:szCs w:val="18"/>
                <w:color w:val="auto"/>
              </w:rPr>
            </w:pPr>
          </w:p>
        </w:tc>
      </w:tr>
      <w:tr>
        <w:trPr>
          <w:trHeight w:val="216"/>
        </w:trPr>
        <w:tc>
          <w:tcPr>
            <w:tcW w:w="274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2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4.6%</w:t>
            </w:r>
          </w:p>
        </w:tc>
        <w:tc>
          <w:tcPr>
            <w:tcW w:w="48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4.7%</w:t>
            </w:r>
          </w:p>
        </w:tc>
        <w:tc>
          <w:tcPr>
            <w:tcW w:w="116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5.0%</w:t>
            </w:r>
          </w:p>
        </w:tc>
      </w:tr>
      <w:tr>
        <w:trPr>
          <w:trHeight w:val="216"/>
        </w:trPr>
        <w:tc>
          <w:tcPr>
            <w:tcW w:w="2740" w:type="dxa"/>
            <w:vAlign w:val="bottom"/>
          </w:tcPr>
          <w:p>
            <w:pPr>
              <w:spacing w:after="0"/>
              <w:rPr>
                <w:sz w:val="20"/>
                <w:szCs w:val="20"/>
                <w:color w:val="auto"/>
              </w:rPr>
            </w:pPr>
            <w:r>
              <w:rPr>
                <w:rFonts w:ascii="Arial" w:cs="Arial" w:eastAsia="Arial" w:hAnsi="Arial"/>
                <w:sz w:val="18"/>
                <w:szCs w:val="18"/>
                <w:color w:val="auto"/>
              </w:rPr>
              <w:t>Dividend yield</w:t>
            </w:r>
          </w:p>
        </w:tc>
        <w:tc>
          <w:tcPr>
            <w:tcW w:w="26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6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ind w:left="74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74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fair value</w:t>
            </w:r>
          </w:p>
        </w:tc>
        <w:tc>
          <w:tcPr>
            <w:tcW w:w="260" w:type="dxa"/>
            <w:vAlign w:val="bottom"/>
            <w:shd w:val="clear" w:color="auto" w:fill="CCEEFF"/>
          </w:tcPr>
          <w:p>
            <w:pPr>
              <w:jc w:val="right"/>
              <w:ind w:right="107"/>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7.66</w:t>
            </w:r>
          </w:p>
        </w:tc>
        <w:tc>
          <w:tcPr>
            <w:tcW w:w="220" w:type="dxa"/>
            <w:vAlign w:val="bottom"/>
            <w:shd w:val="clear" w:color="auto" w:fill="CCEEFF"/>
          </w:tcPr>
          <w:p>
            <w:pPr>
              <w:spacing w:after="0"/>
              <w:rPr>
                <w:sz w:val="18"/>
                <w:szCs w:val="18"/>
                <w:color w:val="auto"/>
              </w:rPr>
            </w:pPr>
          </w:p>
        </w:tc>
        <w:tc>
          <w:tcPr>
            <w:tcW w:w="480" w:type="dxa"/>
            <w:vAlign w:val="bottom"/>
            <w:shd w:val="clear" w:color="auto" w:fill="CCEEFF"/>
          </w:tcPr>
          <w:p>
            <w:pPr>
              <w:jc w:val="right"/>
              <w:ind w:right="327"/>
              <w:spacing w:after="0"/>
              <w:rPr>
                <w:sz w:val="20"/>
                <w:szCs w:val="20"/>
                <w:color w:val="auto"/>
              </w:rPr>
            </w:pPr>
            <w:r>
              <w:rPr>
                <w:rFonts w:ascii="Arial" w:cs="Arial" w:eastAsia="Arial" w:hAnsi="Arial"/>
                <w:sz w:val="15"/>
                <w:szCs w:val="15"/>
                <w:color w:val="auto"/>
                <w:w w:val="71"/>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15.04</w:t>
            </w:r>
          </w:p>
        </w:tc>
        <w:tc>
          <w:tcPr>
            <w:tcW w:w="2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bl>
    <w:p>
      <w:pPr>
        <w:spacing w:after="0" w:line="256" w:lineRule="exact"/>
        <w:rPr>
          <w:sz w:val="20"/>
          <w:szCs w:val="20"/>
          <w:color w:val="auto"/>
        </w:rPr>
      </w:pPr>
    </w:p>
    <w:p>
      <w:pPr>
        <w:ind w:right="120" w:firstLine="324"/>
        <w:spacing w:after="0" w:line="286" w:lineRule="auto"/>
        <w:rPr>
          <w:sz w:val="20"/>
          <w:szCs w:val="20"/>
          <w:color w:val="auto"/>
        </w:rPr>
      </w:pPr>
      <w:r>
        <w:rPr>
          <w:rFonts w:ascii="Arial" w:cs="Arial" w:eastAsia="Arial" w:hAnsi="Arial"/>
          <w:sz w:val="17"/>
          <w:szCs w:val="17"/>
          <w:color w:val="auto"/>
        </w:rPr>
        <w:t>In refining estimates used in the adoption of SFAS 123R, the Company established the expected term for employee options and awards, as well as expected forfeiture rates, based on the historical settlement experience and after giving consideration to vesting schedules. Assumptions for option exercises and pre-vesting terminations of options were stratified by employee groups with sufficiently distinct behavior patterns.</w:t>
      </w:r>
    </w:p>
    <w:p>
      <w:pPr>
        <w:spacing w:after="0" w:line="166" w:lineRule="exact"/>
        <w:rPr>
          <w:sz w:val="20"/>
          <w:szCs w:val="20"/>
          <w:color w:val="auto"/>
        </w:rPr>
      </w:pPr>
    </w:p>
    <w:p>
      <w:pPr>
        <w:ind w:left="340"/>
        <w:spacing w:after="0"/>
        <w:rPr>
          <w:sz w:val="20"/>
          <w:szCs w:val="20"/>
          <w:color w:val="auto"/>
        </w:rPr>
      </w:pPr>
      <w:r>
        <w:rPr>
          <w:rFonts w:ascii="Arial" w:cs="Arial" w:eastAsia="Arial" w:hAnsi="Arial"/>
          <w:sz w:val="18"/>
          <w:szCs w:val="18"/>
          <w:color w:val="auto"/>
        </w:rPr>
        <w:t>Expected volatility under SFAS 123R was developed based on the average of the Company’s historical daily stock price volatility.</w:t>
      </w:r>
    </w:p>
    <w:p>
      <w:pPr>
        <w:spacing w:after="0" w:line="225" w:lineRule="exact"/>
        <w:rPr>
          <w:sz w:val="20"/>
          <w:szCs w:val="20"/>
          <w:color w:val="auto"/>
        </w:rPr>
      </w:pPr>
    </w:p>
    <w:p>
      <w:pPr>
        <w:jc w:val="both"/>
        <w:ind w:right="200" w:firstLine="324"/>
        <w:spacing w:after="0" w:line="264" w:lineRule="auto"/>
        <w:rPr>
          <w:sz w:val="20"/>
          <w:szCs w:val="20"/>
          <w:color w:val="auto"/>
        </w:rPr>
      </w:pPr>
      <w:r>
        <w:rPr>
          <w:rFonts w:ascii="Arial" w:cs="Arial" w:eastAsia="Arial" w:hAnsi="Arial"/>
          <w:sz w:val="18"/>
          <w:szCs w:val="18"/>
          <w:color w:val="auto"/>
        </w:rPr>
        <w:t>SFAS 123R also requires forfeitures to be estimated at the time of grant and revised, if necessary, in subsequent periods if actual forfeitures differ from initial estimates. From January 29, 2006, stock-based compensation expense was recorded net of estimated forfeitures such that expense was recorded only for those stock-based awards that are expected to vest.</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Shareholders’ Equity</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Stock Plans</w:t>
      </w:r>
    </w:p>
    <w:p>
      <w:pPr>
        <w:spacing w:after="0" w:line="225" w:lineRule="exact"/>
        <w:rPr>
          <w:sz w:val="20"/>
          <w:szCs w:val="20"/>
          <w:color w:val="auto"/>
        </w:rPr>
      </w:pPr>
    </w:p>
    <w:p>
      <w:pPr>
        <w:ind w:right="80" w:firstLine="324"/>
        <w:spacing w:after="0" w:line="302" w:lineRule="auto"/>
        <w:rPr>
          <w:sz w:val="20"/>
          <w:szCs w:val="20"/>
          <w:color w:val="auto"/>
        </w:rPr>
      </w:pPr>
      <w:r>
        <w:rPr>
          <w:rFonts w:ascii="Arial" w:cs="Arial" w:eastAsia="Arial" w:hAnsi="Arial"/>
          <w:sz w:val="16"/>
          <w:szCs w:val="16"/>
          <w:color w:val="auto"/>
        </w:rPr>
        <w:t>In April 1995, the Company adopted the 1995 Stock Option Plan (the “Option Plan”). The Option Plan, as amended, had 324,289,786 shares of common stock reserved for issuance thereunder as of July 28, 2007. 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w:t>
      </w:r>
    </w:p>
    <w:p>
      <w:pPr>
        <w:spacing w:after="0" w:line="3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be issued at prices not less than 110% of the fair market value of the stock on the date of grant. The options generally vest 20% one year after the vesting commencement date, and the remaining shares vest one-sixtieth per month over the remaining forty-eight months. Options granted under the Option Plan prior to March 1, 2000 may be exercised prior to vesting. The Company has the right to repurchase such shares at their original purchase price if the optionee is terminated from service prior to vesting. Such right expires as the options vest over a five-year period. Options granted under the Option Plan subsequent to March 1, 2000 may only be exercised upon or after vesting.</w:t>
      </w:r>
    </w:p>
    <w:p>
      <w:pPr>
        <w:spacing w:after="0" w:line="188" w:lineRule="exact"/>
        <w:rPr>
          <w:sz w:val="20"/>
          <w:szCs w:val="20"/>
          <w:color w:val="auto"/>
        </w:rPr>
      </w:pPr>
    </w:p>
    <w:p>
      <w:pPr>
        <w:ind w:firstLine="324"/>
        <w:spacing w:after="0" w:line="272" w:lineRule="auto"/>
        <w:rPr>
          <w:sz w:val="20"/>
          <w:szCs w:val="20"/>
          <w:color w:val="auto"/>
        </w:rPr>
      </w:pPr>
      <w:r>
        <w:rPr>
          <w:rFonts w:ascii="Arial" w:cs="Arial" w:eastAsia="Arial" w:hAnsi="Arial"/>
          <w:sz w:val="17"/>
          <w:szCs w:val="17"/>
          <w:color w:val="auto"/>
        </w:rPr>
        <w:t>In August 1997, the Company adopted the 1997 Directors’ Stock Option Plan (the “Directors’ Plan”). The Directors’ Plan had 3,600,000 shares of common stock reserved thereunder as of July 28, 2007. Under the Directors’ Plan, an outside director is granted 30,000 options upon appointment to the Board of Directors. These options vest 20% one year after the vesting commencement date and remaining shares vest one-sixtieth per month over the remaining forty-eight months. An outside director is also granted 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five-year period.</w:t>
      </w:r>
    </w:p>
    <w:p>
      <w:pPr>
        <w:spacing w:after="0" w:line="178" w:lineRule="exact"/>
        <w:rPr>
          <w:sz w:val="20"/>
          <w:szCs w:val="20"/>
          <w:color w:val="auto"/>
        </w:rPr>
      </w:pPr>
    </w:p>
    <w:p>
      <w:pPr>
        <w:ind w:right="620" w:firstLine="324"/>
        <w:spacing w:after="0" w:line="277" w:lineRule="auto"/>
        <w:rPr>
          <w:sz w:val="20"/>
          <w:szCs w:val="20"/>
          <w:color w:val="auto"/>
        </w:rPr>
      </w:pPr>
      <w:r>
        <w:rPr>
          <w:rFonts w:ascii="Arial" w:cs="Arial" w:eastAsia="Arial" w:hAnsi="Arial"/>
          <w:sz w:val="18"/>
          <w:szCs w:val="18"/>
          <w:color w:val="auto"/>
        </w:rPr>
        <w:t>In addition, the Company can also grant restricted stock. Restricted stock are share awards that entitle the holder to receive tradable shares of the Company’s common stock upon vesting.</w:t>
      </w:r>
    </w:p>
    <w:p>
      <w:pPr>
        <w:spacing w:after="0" w:line="170"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225" w:lineRule="exact"/>
        <w:rPr>
          <w:sz w:val="20"/>
          <w:szCs w:val="20"/>
          <w:color w:val="auto"/>
        </w:rPr>
      </w:pPr>
    </w:p>
    <w:p>
      <w:pPr>
        <w:ind w:right="160" w:firstLine="324"/>
        <w:spacing w:after="0" w:line="288" w:lineRule="auto"/>
        <w:rPr>
          <w:sz w:val="20"/>
          <w:szCs w:val="20"/>
          <w:color w:val="auto"/>
        </w:rPr>
      </w:pPr>
      <w:r>
        <w:rPr>
          <w:rFonts w:ascii="Arial" w:cs="Arial" w:eastAsia="Arial" w:hAnsi="Arial"/>
          <w:sz w:val="16"/>
          <w:szCs w:val="16"/>
          <w:color w:val="auto"/>
        </w:rPr>
        <w:t>In June 2000, the Company adopted the 2000 Employee Stock Purchase Plan (the “Purchase Plan”). The Purchase Plan had 33,871,612 shares of common stock reserve for issuance thereunder as of July 28, 2007. Under the Purchase Plan, employees are granted the right to purchase shares of common stock at a price per share that is 85% of the lesser of the fair market value of the shares at (i) the participant’s entry date into the two-year offering period, or</w:t>
      </w:r>
    </w:p>
    <w:p>
      <w:pPr>
        <w:ind w:right="60" w:firstLine="8"/>
        <w:spacing w:after="0" w:line="253" w:lineRule="auto"/>
        <w:tabs>
          <w:tab w:leader="none" w:pos="265"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end of each six-month purchase period within the offering period. Participants purchase stock using payroll deductions, which may not exceed 20% of their total cash compensation. Offering and purchase periods begin on December 8 and June 8 of each year. For the three and six months ended July 28, 2007, there was no stock-based compensation expense related to the activity under the Purchase Plan. The Company did not issue any shares under the Purchase Plan in the three and six months ended July 28, 2007. As of July 28, 2007, there was no unrecognized compensation cost related to the Purchase Plan.</w:t>
      </w:r>
    </w:p>
    <w:p>
      <w:pPr>
        <w:spacing w:after="0" w:line="191" w:lineRule="exact"/>
        <w:rPr>
          <w:sz w:val="20"/>
          <w:szCs w:val="20"/>
          <w:color w:val="auto"/>
        </w:rPr>
      </w:pPr>
    </w:p>
    <w:p>
      <w:pPr>
        <w:ind w:right="380" w:firstLine="324"/>
        <w:spacing w:after="0" w:line="277" w:lineRule="auto"/>
        <w:rPr>
          <w:sz w:val="20"/>
          <w:szCs w:val="20"/>
          <w:color w:val="auto"/>
        </w:rPr>
      </w:pPr>
      <w:r>
        <w:rPr>
          <w:rFonts w:ascii="Arial" w:cs="Arial" w:eastAsia="Arial" w:hAnsi="Arial"/>
          <w:sz w:val="18"/>
          <w:szCs w:val="18"/>
          <w:color w:val="auto"/>
        </w:rPr>
        <w:t>Stock option activity under the Company’s stock option plans for the six months ended July 28, 2007 is summarized below (in thousands, except per share amounts):</w:t>
      </w:r>
    </w:p>
    <w:p>
      <w:pPr>
        <w:spacing w:after="0" w:line="132" w:lineRule="exact"/>
        <w:rPr>
          <w:sz w:val="20"/>
          <w:szCs w:val="20"/>
          <w:color w:val="auto"/>
        </w:rPr>
      </w:pPr>
    </w:p>
    <w:tbl>
      <w:tblPr>
        <w:tblLayout w:type="fixed"/>
        <w:tblInd w:w="720" w:type="dxa"/>
        <w:tblCellMar>
          <w:top w:w="0" w:type="dxa"/>
          <w:left w:w="0" w:type="dxa"/>
          <w:bottom w:w="0" w:type="dxa"/>
          <w:right w:w="0" w:type="dxa"/>
        </w:tblCellMar>
      </w:tblPr>
      <w:tr>
        <w:trPr>
          <w:trHeight w:val="161"/>
        </w:trPr>
        <w:tc>
          <w:tcPr>
            <w:tcW w:w="41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1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1"/>
              </w:rPr>
              <w:t>Weighted</w:t>
            </w:r>
          </w:p>
        </w:tc>
        <w:tc>
          <w:tcPr>
            <w:tcW w:w="10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4100" w:type="dxa"/>
            <w:vAlign w:val="bottom"/>
          </w:tcPr>
          <w:p>
            <w:pPr>
              <w:spacing w:after="0"/>
              <w:rPr>
                <w:sz w:val="11"/>
                <w:szCs w:val="11"/>
                <w:color w:val="auto"/>
              </w:rPr>
            </w:pPr>
          </w:p>
        </w:tc>
        <w:tc>
          <w:tcPr>
            <w:tcW w:w="126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0"/>
              </w:rPr>
              <w:t>Options</w:t>
            </w:r>
          </w:p>
        </w:tc>
        <w:tc>
          <w:tcPr>
            <w:tcW w:w="160" w:type="dxa"/>
            <w:vAlign w:val="bottom"/>
          </w:tcPr>
          <w:p>
            <w:pPr>
              <w:spacing w:after="0"/>
              <w:rPr>
                <w:sz w:val="11"/>
                <w:szCs w:val="11"/>
                <w:color w:val="auto"/>
              </w:rPr>
            </w:pPr>
          </w:p>
        </w:tc>
        <w:tc>
          <w:tcPr>
            <w:tcW w:w="1100" w:type="dxa"/>
            <w:vAlign w:val="bottom"/>
            <w:gridSpan w:val="2"/>
          </w:tcPr>
          <w:p>
            <w:pPr>
              <w:jc w:val="center"/>
              <w:ind w:right="400"/>
              <w:spacing w:after="0" w:line="135" w:lineRule="exact"/>
              <w:rPr>
                <w:sz w:val="20"/>
                <w:szCs w:val="20"/>
                <w:color w:val="auto"/>
              </w:rPr>
            </w:pPr>
            <w:r>
              <w:rPr>
                <w:rFonts w:ascii="Arial" w:cs="Arial" w:eastAsia="Arial" w:hAnsi="Arial"/>
                <w:sz w:val="14"/>
                <w:szCs w:val="14"/>
                <w:b w:val="1"/>
                <w:bCs w:val="1"/>
                <w:color w:val="auto"/>
                <w:w w:val="90"/>
              </w:rPr>
              <w:t>Average</w:t>
            </w:r>
          </w:p>
        </w:tc>
        <w:tc>
          <w:tcPr>
            <w:tcW w:w="114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92"/>
              </w:rPr>
              <w:t>Restricted Stock</w:t>
            </w:r>
          </w:p>
        </w:tc>
        <w:tc>
          <w:tcPr>
            <w:tcW w:w="0" w:type="dxa"/>
            <w:vAlign w:val="bottom"/>
          </w:tcPr>
          <w:p>
            <w:pPr>
              <w:spacing w:after="0"/>
              <w:rPr>
                <w:sz w:val="1"/>
                <w:szCs w:val="1"/>
                <w:color w:val="auto"/>
              </w:rPr>
            </w:pPr>
          </w:p>
        </w:tc>
      </w:tr>
      <w:tr>
        <w:trPr>
          <w:trHeight w:val="135"/>
        </w:trPr>
        <w:tc>
          <w:tcPr>
            <w:tcW w:w="4100" w:type="dxa"/>
            <w:vAlign w:val="bottom"/>
          </w:tcPr>
          <w:p>
            <w:pPr>
              <w:spacing w:after="0"/>
              <w:rPr>
                <w:sz w:val="11"/>
                <w:szCs w:val="11"/>
                <w:color w:val="auto"/>
              </w:rPr>
            </w:pPr>
          </w:p>
        </w:tc>
        <w:tc>
          <w:tcPr>
            <w:tcW w:w="1260" w:type="dxa"/>
            <w:vAlign w:val="bottom"/>
            <w:gridSpan w:val="2"/>
            <w:vMerge w:val="continue"/>
          </w:tcPr>
          <w:p>
            <w:pPr>
              <w:spacing w:after="0"/>
              <w:rPr>
                <w:sz w:val="11"/>
                <w:szCs w:val="11"/>
                <w:color w:val="auto"/>
              </w:rPr>
            </w:pPr>
          </w:p>
        </w:tc>
        <w:tc>
          <w:tcPr>
            <w:tcW w:w="160" w:type="dxa"/>
            <w:vAlign w:val="bottom"/>
          </w:tcPr>
          <w:p>
            <w:pPr>
              <w:spacing w:after="0"/>
              <w:rPr>
                <w:sz w:val="11"/>
                <w:szCs w:val="11"/>
                <w:color w:val="auto"/>
              </w:rPr>
            </w:pPr>
          </w:p>
        </w:tc>
        <w:tc>
          <w:tcPr>
            <w:tcW w:w="110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w w:val="90"/>
              </w:rPr>
              <w:t>Exercise</w:t>
            </w:r>
          </w:p>
        </w:tc>
        <w:tc>
          <w:tcPr>
            <w:tcW w:w="11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100" w:type="dxa"/>
            <w:vAlign w:val="bottom"/>
          </w:tcPr>
          <w:p>
            <w:pPr>
              <w:spacing w:after="0"/>
              <w:rPr>
                <w:sz w:val="14"/>
                <w:szCs w:val="14"/>
                <w:color w:val="auto"/>
              </w:rPr>
            </w:pPr>
          </w:p>
        </w:tc>
        <w:tc>
          <w:tcPr>
            <w:tcW w:w="12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2"/>
              </w:rPr>
              <w:t>Outstanding</w:t>
            </w:r>
          </w:p>
        </w:tc>
        <w:tc>
          <w:tcPr>
            <w:tcW w:w="160" w:type="dxa"/>
            <w:vAlign w:val="bottom"/>
          </w:tcPr>
          <w:p>
            <w:pPr>
              <w:spacing w:after="0"/>
              <w:rPr>
                <w:sz w:val="14"/>
                <w:szCs w:val="14"/>
                <w:color w:val="auto"/>
              </w:rPr>
            </w:pPr>
          </w:p>
        </w:tc>
        <w:tc>
          <w:tcPr>
            <w:tcW w:w="110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3"/>
              </w:rPr>
              <w:t>Price</w:t>
            </w:r>
          </w:p>
        </w:tc>
        <w:tc>
          <w:tcPr>
            <w:tcW w:w="114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4"/>
              </w:rPr>
              <w:t>Outstanding</w:t>
            </w:r>
          </w:p>
        </w:tc>
        <w:tc>
          <w:tcPr>
            <w:tcW w:w="0" w:type="dxa"/>
            <w:vAlign w:val="bottom"/>
          </w:tcPr>
          <w:p>
            <w:pPr>
              <w:spacing w:after="0"/>
              <w:rPr>
                <w:sz w:val="1"/>
                <w:szCs w:val="1"/>
                <w:color w:val="auto"/>
              </w:rPr>
            </w:pPr>
          </w:p>
        </w:tc>
      </w:tr>
      <w:tr>
        <w:trPr>
          <w:trHeight w:val="129"/>
        </w:trPr>
        <w:tc>
          <w:tcPr>
            <w:tcW w:w="4100" w:type="dxa"/>
            <w:vAlign w:val="bottom"/>
          </w:tcPr>
          <w:p>
            <w:pPr>
              <w:spacing w:after="0"/>
              <w:rPr>
                <w:sz w:val="11"/>
                <w:szCs w:val="11"/>
                <w:color w:val="auto"/>
              </w:rPr>
            </w:pPr>
          </w:p>
        </w:tc>
        <w:tc>
          <w:tcPr>
            <w:tcW w:w="10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(In thousands)</w:t>
            </w:r>
          </w:p>
        </w:tc>
        <w:tc>
          <w:tcPr>
            <w:tcW w:w="220" w:type="dxa"/>
            <w:vAlign w:val="bottom"/>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0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(In thousands)</w:t>
            </w: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27, 2007</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118,627</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13.72</w:t>
            </w:r>
          </w:p>
        </w:tc>
        <w:tc>
          <w:tcPr>
            <w:tcW w:w="2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2,568</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00" w:type="dxa"/>
            <w:vAlign w:val="bottom"/>
          </w:tcPr>
          <w:p>
            <w:pPr>
              <w:ind w:left="180"/>
              <w:spacing w:after="0"/>
              <w:rPr>
                <w:sz w:val="20"/>
                <w:szCs w:val="20"/>
                <w:color w:val="auto"/>
              </w:rPr>
            </w:pPr>
            <w:r>
              <w:rPr>
                <w:rFonts w:ascii="Arial" w:cs="Arial" w:eastAsia="Arial" w:hAnsi="Arial"/>
                <w:sz w:val="18"/>
                <w:szCs w:val="18"/>
                <w:color w:val="auto"/>
              </w:rPr>
              <w:t>Granted</w:t>
            </w:r>
          </w:p>
        </w:tc>
        <w:tc>
          <w:tcPr>
            <w:tcW w:w="1040" w:type="dxa"/>
            <w:vAlign w:val="bottom"/>
          </w:tcPr>
          <w:p>
            <w:pPr>
              <w:jc w:val="right"/>
              <w:spacing w:after="0"/>
              <w:rPr>
                <w:sz w:val="20"/>
                <w:szCs w:val="20"/>
                <w:color w:val="auto"/>
              </w:rPr>
            </w:pPr>
            <w:r>
              <w:rPr>
                <w:rFonts w:ascii="Arial" w:cs="Arial" w:eastAsia="Arial" w:hAnsi="Arial"/>
                <w:sz w:val="18"/>
                <w:szCs w:val="18"/>
                <w:color w:val="auto"/>
              </w:rPr>
              <w:t>2,483</w:t>
            </w:r>
          </w:p>
        </w:tc>
        <w:tc>
          <w:tcPr>
            <w:tcW w:w="220" w:type="dxa"/>
            <w:vAlign w:val="bottom"/>
          </w:tcPr>
          <w:p>
            <w:pPr>
              <w:spacing w:after="0"/>
              <w:rPr>
                <w:sz w:val="18"/>
                <w:szCs w:val="18"/>
                <w:color w:val="auto"/>
              </w:rPr>
            </w:pPr>
          </w:p>
        </w:tc>
        <w:tc>
          <w:tcPr>
            <w:tcW w:w="160" w:type="dxa"/>
            <w:vAlign w:val="bottom"/>
          </w:tcPr>
          <w:p>
            <w:pPr>
              <w:jc w:val="right"/>
              <w:ind w:right="5"/>
              <w:spacing w:after="0"/>
              <w:rPr>
                <w:sz w:val="20"/>
                <w:szCs w:val="20"/>
                <w:color w:val="auto"/>
              </w:rPr>
            </w:pPr>
            <w:r>
              <w:rPr>
                <w:rFonts w:ascii="Arial" w:cs="Arial" w:eastAsia="Arial" w:hAnsi="Arial"/>
                <w:sz w:val="15"/>
                <w:szCs w:val="15"/>
                <w:color w:val="auto"/>
                <w:w w:val="71"/>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16.84</w:t>
            </w:r>
          </w:p>
        </w:tc>
        <w:tc>
          <w:tcPr>
            <w:tcW w:w="2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99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Forfeited/canceled/expired</w:t>
            </w:r>
          </w:p>
        </w:tc>
        <w:tc>
          <w:tcPr>
            <w:tcW w:w="12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(7,563)</w:t>
            </w:r>
          </w:p>
        </w:tc>
        <w:tc>
          <w:tcPr>
            <w:tcW w:w="160" w:type="dxa"/>
            <w:vAlign w:val="bottom"/>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15.20</w:t>
            </w:r>
          </w:p>
        </w:tc>
        <w:tc>
          <w:tcPr>
            <w:tcW w:w="2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(135)</w:t>
            </w:r>
          </w:p>
        </w:tc>
        <w:tc>
          <w:tcPr>
            <w:tcW w:w="0" w:type="dxa"/>
            <w:vAlign w:val="bottom"/>
          </w:tcPr>
          <w:p>
            <w:pPr>
              <w:spacing w:after="0"/>
              <w:rPr>
                <w:sz w:val="1"/>
                <w:szCs w:val="1"/>
                <w:color w:val="auto"/>
              </w:rPr>
            </w:pPr>
          </w:p>
        </w:tc>
      </w:tr>
      <w:tr>
        <w:trPr>
          <w:trHeight w:val="216"/>
        </w:trPr>
        <w:tc>
          <w:tcPr>
            <w:tcW w:w="4100" w:type="dxa"/>
            <w:vAlign w:val="bottom"/>
          </w:tcPr>
          <w:p>
            <w:pPr>
              <w:ind w:left="180"/>
              <w:spacing w:after="0"/>
              <w:rPr>
                <w:sz w:val="20"/>
                <w:szCs w:val="20"/>
                <w:color w:val="auto"/>
              </w:rPr>
            </w:pPr>
            <w:r>
              <w:rPr>
                <w:rFonts w:ascii="Arial" w:cs="Arial" w:eastAsia="Arial" w:hAnsi="Arial"/>
                <w:sz w:val="18"/>
                <w:szCs w:val="18"/>
                <w:color w:val="auto"/>
              </w:rPr>
              <w:t>Exercised</w:t>
            </w:r>
          </w:p>
        </w:tc>
        <w:tc>
          <w:tcPr>
            <w:tcW w:w="1260" w:type="dxa"/>
            <w:vAlign w:val="bottom"/>
            <w:gridSpan w:val="2"/>
          </w:tcPr>
          <w:p>
            <w:pPr>
              <w:jc w:val="right"/>
              <w:ind w:right="160"/>
              <w:spacing w:after="0"/>
              <w:rPr>
                <w:sz w:val="20"/>
                <w:szCs w:val="20"/>
                <w:color w:val="auto"/>
              </w:rPr>
            </w:pPr>
            <w:r>
              <w:rPr>
                <w:rFonts w:ascii="Arial" w:cs="Arial" w:eastAsia="Arial" w:hAnsi="Arial"/>
                <w:sz w:val="18"/>
                <w:szCs w:val="18"/>
                <w:color w:val="auto"/>
              </w:rPr>
              <w:t>(707)</w:t>
            </w:r>
          </w:p>
        </w:tc>
        <w:tc>
          <w:tcPr>
            <w:tcW w:w="160" w:type="dxa"/>
            <w:vAlign w:val="bottom"/>
          </w:tcPr>
          <w:p>
            <w:pPr>
              <w:jc w:val="right"/>
              <w:ind w:right="5"/>
              <w:spacing w:after="0"/>
              <w:rPr>
                <w:sz w:val="20"/>
                <w:szCs w:val="20"/>
                <w:color w:val="auto"/>
              </w:rPr>
            </w:pPr>
            <w:r>
              <w:rPr>
                <w:rFonts w:ascii="Arial" w:cs="Arial" w:eastAsia="Arial" w:hAnsi="Arial"/>
                <w:sz w:val="15"/>
                <w:szCs w:val="15"/>
                <w:color w:val="auto"/>
                <w:w w:val="71"/>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6.34</w:t>
            </w:r>
          </w:p>
        </w:tc>
        <w:tc>
          <w:tcPr>
            <w:tcW w:w="22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1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Vested</w:t>
            </w:r>
          </w:p>
        </w:tc>
        <w:tc>
          <w:tcPr>
            <w:tcW w:w="12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1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(303)</w:t>
            </w:r>
          </w:p>
        </w:tc>
        <w:tc>
          <w:tcPr>
            <w:tcW w:w="0" w:type="dxa"/>
            <w:vAlign w:val="bottom"/>
          </w:tcPr>
          <w:p>
            <w:pPr>
              <w:spacing w:after="0"/>
              <w:rPr>
                <w:sz w:val="1"/>
                <w:szCs w:val="1"/>
                <w:color w:val="auto"/>
              </w:rPr>
            </w:pPr>
          </w:p>
        </w:tc>
      </w:tr>
      <w:tr>
        <w:trPr>
          <w:trHeight w:val="250"/>
        </w:trPr>
        <w:tc>
          <w:tcPr>
            <w:tcW w:w="41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Balance at July 28, 2007</w:t>
            </w: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112,840</w:t>
            </w:r>
          </w:p>
        </w:tc>
        <w:tc>
          <w:tcPr>
            <w:tcW w:w="220" w:type="dxa"/>
            <w:vAlign w:val="bottom"/>
            <w:tcBorders>
              <w:bottom w:val="single" w:sz="8" w:color="CCEEFF"/>
            </w:tcBorders>
          </w:tcPr>
          <w:p>
            <w:pPr>
              <w:spacing w:after="0"/>
              <w:rPr>
                <w:sz w:val="21"/>
                <w:szCs w:val="21"/>
                <w:color w:val="auto"/>
              </w:rPr>
            </w:pPr>
          </w:p>
        </w:tc>
        <w:tc>
          <w:tcPr>
            <w:tcW w:w="160" w:type="dxa"/>
            <w:vAlign w:val="bottom"/>
            <w:tcBorders>
              <w:bottom w:val="single" w:sz="8" w:color="CCEEFF"/>
            </w:tcBorders>
          </w:tcPr>
          <w:p>
            <w:pPr>
              <w:jc w:val="right"/>
              <w:ind w:right="5"/>
              <w:spacing w:after="0"/>
              <w:rPr>
                <w:sz w:val="20"/>
                <w:szCs w:val="20"/>
                <w:color w:val="auto"/>
              </w:rPr>
            </w:pPr>
            <w:r>
              <w:rPr>
                <w:rFonts w:ascii="Arial" w:cs="Arial" w:eastAsia="Arial" w:hAnsi="Arial"/>
                <w:sz w:val="15"/>
                <w:szCs w:val="15"/>
                <w:color w:val="auto"/>
                <w:w w:val="71"/>
              </w:rPr>
              <w:t>$</w:t>
            </w:r>
          </w:p>
        </w:tc>
        <w:tc>
          <w:tcPr>
            <w:tcW w:w="88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13.86</w:t>
            </w:r>
          </w:p>
        </w:tc>
        <w:tc>
          <w:tcPr>
            <w:tcW w:w="220" w:type="dxa"/>
            <w:vAlign w:val="bottom"/>
            <w:tcBorders>
              <w:bottom w:val="single" w:sz="8" w:color="CCEEFF"/>
            </w:tcBorders>
          </w:tcPr>
          <w:p>
            <w:pPr>
              <w:spacing w:after="0"/>
              <w:rPr>
                <w:sz w:val="21"/>
                <w:szCs w:val="21"/>
                <w:color w:val="auto"/>
              </w:rPr>
            </w:pP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2,229</w:t>
            </w:r>
          </w:p>
        </w:tc>
        <w:tc>
          <w:tcPr>
            <w:tcW w:w="8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4100" w:type="dxa"/>
            <w:vAlign w:val="bottom"/>
            <w:tcBorders>
              <w:bottom w:val="single" w:sz="8" w:color="CCEEFF"/>
            </w:tcBorders>
            <w:shd w:val="clear" w:color="auto" w:fill="CCEEFF"/>
          </w:tcPr>
          <w:p>
            <w:pPr>
              <w:spacing w:after="0" w:line="190" w:lineRule="exact"/>
              <w:rPr>
                <w:sz w:val="20"/>
                <w:szCs w:val="20"/>
                <w:color w:val="auto"/>
              </w:rPr>
            </w:pPr>
            <w:r>
              <w:rPr>
                <w:rFonts w:ascii="Arial" w:cs="Arial" w:eastAsia="Arial" w:hAnsi="Arial"/>
                <w:sz w:val="18"/>
                <w:szCs w:val="18"/>
                <w:color w:val="auto"/>
              </w:rPr>
              <w:t>Vested or expected to vest at July 28, 2007</w:t>
            </w:r>
          </w:p>
        </w:tc>
        <w:tc>
          <w:tcPr>
            <w:tcW w:w="104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106,471</w:t>
            </w:r>
          </w:p>
        </w:tc>
        <w:tc>
          <w:tcPr>
            <w:tcW w:w="220" w:type="dxa"/>
            <w:vAlign w:val="bottom"/>
            <w:tcBorders>
              <w:bottom w:val="single" w:sz="8" w:color="CCEEFF"/>
            </w:tcBorders>
            <w:shd w:val="clear" w:color="auto" w:fill="CCEEFF"/>
          </w:tcPr>
          <w:p>
            <w:pPr>
              <w:spacing w:after="0"/>
              <w:rPr>
                <w:sz w:val="17"/>
                <w:szCs w:val="17"/>
                <w:color w:val="auto"/>
              </w:rPr>
            </w:pPr>
          </w:p>
        </w:tc>
        <w:tc>
          <w:tcPr>
            <w:tcW w:w="160" w:type="dxa"/>
            <w:vAlign w:val="bottom"/>
            <w:tcBorders>
              <w:bottom w:val="single" w:sz="8" w:color="CCEEFF"/>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880" w:type="dxa"/>
            <w:vAlign w:val="bottom"/>
            <w:tcBorders>
              <w:bottom w:val="single" w:sz="8" w:color="CCEEFF"/>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13.42</w:t>
            </w:r>
          </w:p>
        </w:tc>
        <w:tc>
          <w:tcPr>
            <w:tcW w:w="220" w:type="dxa"/>
            <w:vAlign w:val="bottom"/>
            <w:tcBorders>
              <w:bottom w:val="single" w:sz="8" w:color="CCEEFF"/>
            </w:tcBorders>
            <w:shd w:val="clear" w:color="auto" w:fill="CCEEFF"/>
          </w:tcPr>
          <w:p>
            <w:pPr>
              <w:spacing w:after="0"/>
              <w:rPr>
                <w:sz w:val="17"/>
                <w:szCs w:val="17"/>
                <w:color w:val="auto"/>
              </w:rPr>
            </w:pPr>
          </w:p>
        </w:tc>
        <w:tc>
          <w:tcPr>
            <w:tcW w:w="106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2,048</w:t>
            </w:r>
          </w:p>
        </w:tc>
        <w:tc>
          <w:tcPr>
            <w:tcW w:w="80" w:type="dxa"/>
            <w:vAlign w:val="bottom"/>
            <w:tcBorders>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4100" w:type="dxa"/>
            <w:vAlign w:val="bottom"/>
            <w:vMerge w:val="restart"/>
          </w:tcPr>
          <w:p>
            <w:pPr>
              <w:spacing w:after="0"/>
              <w:rPr>
                <w:sz w:val="20"/>
                <w:szCs w:val="20"/>
                <w:color w:val="auto"/>
              </w:rPr>
            </w:pPr>
            <w:r>
              <w:rPr>
                <w:rFonts w:ascii="Arial" w:cs="Arial" w:eastAsia="Arial" w:hAnsi="Arial"/>
                <w:sz w:val="18"/>
                <w:szCs w:val="18"/>
                <w:color w:val="auto"/>
              </w:rPr>
              <w:t>Exercisable at July 28, 2007</w:t>
            </w:r>
          </w:p>
        </w:tc>
        <w:tc>
          <w:tcPr>
            <w:tcW w:w="10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vMerge w:val="restart"/>
          </w:tcPr>
          <w:p>
            <w:pPr>
              <w:jc w:val="right"/>
              <w:ind w:right="5"/>
              <w:spacing w:after="0"/>
              <w:rPr>
                <w:sz w:val="20"/>
                <w:szCs w:val="20"/>
                <w:color w:val="auto"/>
              </w:rPr>
            </w:pPr>
            <w:r>
              <w:rPr>
                <w:rFonts w:ascii="Arial" w:cs="Arial" w:eastAsia="Arial" w:hAnsi="Arial"/>
                <w:sz w:val="15"/>
                <w:szCs w:val="15"/>
                <w:color w:val="auto"/>
                <w:w w:val="71"/>
              </w:rPr>
              <w:t>$</w:t>
            </w:r>
          </w:p>
        </w:tc>
        <w:tc>
          <w:tcPr>
            <w:tcW w:w="880" w:type="dxa"/>
            <w:vAlign w:val="bottom"/>
            <w:vMerge w:val="restart"/>
          </w:tcPr>
          <w:p>
            <w:pPr>
              <w:jc w:val="right"/>
              <w:spacing w:after="0"/>
              <w:rPr>
                <w:sz w:val="20"/>
                <w:szCs w:val="20"/>
                <w:color w:val="auto"/>
              </w:rPr>
            </w:pPr>
            <w:r>
              <w:rPr>
                <w:rFonts w:ascii="Arial" w:cs="Arial" w:eastAsia="Arial" w:hAnsi="Arial"/>
                <w:sz w:val="18"/>
                <w:szCs w:val="18"/>
                <w:color w:val="auto"/>
              </w:rPr>
              <w:t>8.93</w:t>
            </w:r>
          </w:p>
        </w:tc>
        <w:tc>
          <w:tcPr>
            <w:tcW w:w="220" w:type="dxa"/>
            <w:vAlign w:val="bottom"/>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4100" w:type="dxa"/>
            <w:vAlign w:val="bottom"/>
            <w:vMerge w:val="continue"/>
          </w:tcPr>
          <w:p>
            <w:pPr>
              <w:spacing w:after="0"/>
              <w:rPr>
                <w:sz w:val="17"/>
                <w:szCs w:val="17"/>
                <w:color w:val="auto"/>
              </w:rPr>
            </w:pPr>
          </w:p>
        </w:tc>
        <w:tc>
          <w:tcPr>
            <w:tcW w:w="104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51,928</w:t>
            </w:r>
          </w:p>
        </w:tc>
        <w:tc>
          <w:tcPr>
            <w:tcW w:w="220" w:type="dxa"/>
            <w:vAlign w:val="bottom"/>
          </w:tcPr>
          <w:p>
            <w:pPr>
              <w:spacing w:after="0"/>
              <w:rPr>
                <w:sz w:val="17"/>
                <w:szCs w:val="17"/>
                <w:color w:val="auto"/>
              </w:rPr>
            </w:pPr>
          </w:p>
        </w:tc>
        <w:tc>
          <w:tcPr>
            <w:tcW w:w="160" w:type="dxa"/>
            <w:vAlign w:val="bottom"/>
            <w:vMerge w:val="continue"/>
          </w:tcPr>
          <w:p>
            <w:pPr>
              <w:spacing w:after="0"/>
              <w:rPr>
                <w:sz w:val="17"/>
                <w:szCs w:val="17"/>
                <w:color w:val="auto"/>
              </w:rPr>
            </w:pPr>
          </w:p>
        </w:tc>
        <w:tc>
          <w:tcPr>
            <w:tcW w:w="880" w:type="dxa"/>
            <w:vAlign w:val="bottom"/>
            <w:vMerge w:val="continue"/>
          </w:tcPr>
          <w:p>
            <w:pPr>
              <w:spacing w:after="0"/>
              <w:rPr>
                <w:sz w:val="17"/>
                <w:szCs w:val="17"/>
                <w:color w:val="auto"/>
              </w:rPr>
            </w:pPr>
          </w:p>
        </w:tc>
        <w:tc>
          <w:tcPr>
            <w:tcW w:w="2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410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104" w:right="239" w:bottom="0" w:gutter="0" w:footer="0" w:header="0"/>
        </w:sectPr>
      </w:pPr>
    </w:p>
    <w:bookmarkStart w:id="17" w:name="page18"/>
    <w:bookmarkEnd w:id="17"/>
    <w:p>
      <w:pPr>
        <w:ind w:right="40" w:firstLine="324"/>
        <w:spacing w:after="0" w:line="277" w:lineRule="auto"/>
        <w:rPr>
          <w:sz w:val="20"/>
          <w:szCs w:val="20"/>
          <w:color w:val="auto"/>
        </w:rPr>
      </w:pPr>
      <w:r>
        <w:rPr>
          <w:rFonts w:ascii="Arial" w:cs="Arial" w:eastAsia="Arial" w:hAnsi="Arial"/>
          <w:sz w:val="18"/>
          <w:szCs w:val="18"/>
          <w:color w:val="auto"/>
        </w:rPr>
        <w:t>Included in the preceding table are 1,690,000 shares of options granted to certain officers at an exercise price of $24.80 that will become exercisable only upon the achievement of specified annual earnings per share targets through fiscal 2010.</w:t>
      </w:r>
    </w:p>
    <w:p>
      <w:pPr>
        <w:spacing w:after="0" w:line="170" w:lineRule="exact"/>
        <w:rPr>
          <w:sz w:val="20"/>
          <w:szCs w:val="20"/>
          <w:color w:val="auto"/>
        </w:rPr>
      </w:pPr>
    </w:p>
    <w:p>
      <w:pPr>
        <w:ind w:right="220" w:firstLine="324"/>
        <w:spacing w:after="0" w:line="259" w:lineRule="auto"/>
        <w:rPr>
          <w:sz w:val="20"/>
          <w:szCs w:val="20"/>
          <w:color w:val="auto"/>
        </w:rPr>
      </w:pPr>
      <w:r>
        <w:rPr>
          <w:rFonts w:ascii="Arial" w:cs="Arial" w:eastAsia="Arial" w:hAnsi="Arial"/>
          <w:sz w:val="18"/>
          <w:szCs w:val="18"/>
          <w:color w:val="auto"/>
        </w:rPr>
        <w:t>The aggregate intrinsic value and weighted average remaining contractual term of options vested and expected to vest at July 28, 2007 was $734.5 million and 6.5 years, respectively. The aggregate intrinsic value and weighted average remaining contractual term of options exercisable at July 28, 2007 was $543.7 million and 5.0 years, respectively. The aggregate intrinsic value is calculated based on the Company’s closing stock price for all in-the-money options as of July 28, 2007.</w:t>
      </w:r>
    </w:p>
    <w:p>
      <w:pPr>
        <w:spacing w:after="0" w:line="187" w:lineRule="exact"/>
        <w:rPr>
          <w:sz w:val="20"/>
          <w:szCs w:val="20"/>
          <w:color w:val="auto"/>
        </w:rPr>
      </w:pPr>
    </w:p>
    <w:p>
      <w:pPr>
        <w:ind w:right="300" w:firstLine="324"/>
        <w:spacing w:after="0" w:line="277" w:lineRule="auto"/>
        <w:rPr>
          <w:sz w:val="20"/>
          <w:szCs w:val="20"/>
          <w:color w:val="auto"/>
        </w:rPr>
      </w:pPr>
      <w:r>
        <w:rPr>
          <w:rFonts w:ascii="Arial" w:cs="Arial" w:eastAsia="Arial" w:hAnsi="Arial"/>
          <w:sz w:val="18"/>
          <w:szCs w:val="18"/>
          <w:color w:val="auto"/>
        </w:rPr>
        <w:t>The aggregate intrinsic value and weighted average remaining contractual term of restricted stock vested and expected to vest as of July 28, 2007 was $38.0 million and 1.1 years, respectively.</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spacing w:after="0"/>
        <w:rPr>
          <w:sz w:val="20"/>
          <w:szCs w:val="20"/>
          <w:color w:val="auto"/>
        </w:rPr>
      </w:pPr>
      <w:r>
        <w:rPr>
          <w:rFonts w:ascii="Arial" w:cs="Arial" w:eastAsia="Arial" w:hAnsi="Arial"/>
          <w:sz w:val="18"/>
          <w:szCs w:val="18"/>
          <w:color w:val="auto"/>
        </w:rPr>
        <w:t>Included in the table below is activity related to the nonvested portion of restricted stock arrangements as follows (in thousands):</w:t>
      </w:r>
    </w:p>
    <w:p>
      <w:pPr>
        <w:spacing w:after="0" w:line="187" w:lineRule="exact"/>
        <w:rPr>
          <w:sz w:val="20"/>
          <w:szCs w:val="20"/>
          <w:color w:val="auto"/>
        </w:rPr>
      </w:pPr>
    </w:p>
    <w:tbl>
      <w:tblPr>
        <w:tblLayout w:type="fixed"/>
        <w:tblInd w:w="340" w:type="dxa"/>
        <w:tblCellMar>
          <w:top w:w="0" w:type="dxa"/>
          <w:left w:w="0" w:type="dxa"/>
          <w:bottom w:w="0" w:type="dxa"/>
          <w:right w:w="0" w:type="dxa"/>
        </w:tblCellMar>
      </w:tblPr>
      <w:tr>
        <w:trPr>
          <w:trHeight w:val="161"/>
        </w:trPr>
        <w:tc>
          <w:tcPr>
            <w:tcW w:w="4660" w:type="dxa"/>
            <w:vAlign w:val="bottom"/>
          </w:tcPr>
          <w:p>
            <w:pPr>
              <w:spacing w:after="0"/>
              <w:rPr>
                <w:sz w:val="14"/>
                <w:szCs w:val="14"/>
                <w:color w:val="auto"/>
              </w:rPr>
            </w:pPr>
          </w:p>
        </w:tc>
        <w:tc>
          <w:tcPr>
            <w:tcW w:w="10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9"/>
              </w:rPr>
              <w:t>Nonvested</w:t>
            </w:r>
          </w:p>
        </w:tc>
        <w:tc>
          <w:tcPr>
            <w:tcW w:w="100" w:type="dxa"/>
            <w:vAlign w:val="bottom"/>
          </w:tcPr>
          <w:p>
            <w:pPr>
              <w:spacing w:after="0"/>
              <w:rPr>
                <w:sz w:val="14"/>
                <w:szCs w:val="14"/>
                <w:color w:val="auto"/>
              </w:rPr>
            </w:pPr>
          </w:p>
        </w:tc>
        <w:tc>
          <w:tcPr>
            <w:tcW w:w="76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1"/>
              </w:rPr>
              <w:t>Weighted</w:t>
            </w:r>
          </w:p>
        </w:tc>
      </w:tr>
      <w:tr>
        <w:trPr>
          <w:trHeight w:val="135"/>
        </w:trPr>
        <w:tc>
          <w:tcPr>
            <w:tcW w:w="4660" w:type="dxa"/>
            <w:vAlign w:val="bottom"/>
          </w:tcPr>
          <w:p>
            <w:pPr>
              <w:spacing w:after="0"/>
              <w:rPr>
                <w:sz w:val="11"/>
                <w:szCs w:val="11"/>
                <w:color w:val="auto"/>
              </w:rPr>
            </w:pPr>
          </w:p>
        </w:tc>
        <w:tc>
          <w:tcPr>
            <w:tcW w:w="100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90"/>
              </w:rPr>
              <w:t>Restricted</w:t>
            </w:r>
          </w:p>
        </w:tc>
        <w:tc>
          <w:tcPr>
            <w:tcW w:w="100" w:type="dxa"/>
            <w:vAlign w:val="bottom"/>
          </w:tcPr>
          <w:p>
            <w:pPr>
              <w:spacing w:after="0"/>
              <w:rPr>
                <w:sz w:val="11"/>
                <w:szCs w:val="11"/>
                <w:color w:val="auto"/>
              </w:rPr>
            </w:pPr>
          </w:p>
        </w:tc>
        <w:tc>
          <w:tcPr>
            <w:tcW w:w="760" w:type="dxa"/>
            <w:vAlign w:val="bottom"/>
            <w:gridSpan w:val="2"/>
          </w:tcPr>
          <w:p>
            <w:pPr>
              <w:jc w:val="center"/>
              <w:ind w:right="140"/>
              <w:spacing w:after="0" w:line="135" w:lineRule="exact"/>
              <w:rPr>
                <w:sz w:val="20"/>
                <w:szCs w:val="20"/>
                <w:color w:val="auto"/>
              </w:rPr>
            </w:pPr>
            <w:r>
              <w:rPr>
                <w:rFonts w:ascii="Arial" w:cs="Arial" w:eastAsia="Arial" w:hAnsi="Arial"/>
                <w:sz w:val="14"/>
                <w:szCs w:val="14"/>
                <w:b w:val="1"/>
                <w:bCs w:val="1"/>
                <w:color w:val="auto"/>
                <w:w w:val="90"/>
              </w:rPr>
              <w:t>Average</w:t>
            </w:r>
          </w:p>
        </w:tc>
      </w:tr>
      <w:tr>
        <w:trPr>
          <w:trHeight w:val="135"/>
        </w:trPr>
        <w:tc>
          <w:tcPr>
            <w:tcW w:w="4660" w:type="dxa"/>
            <w:vAlign w:val="bottom"/>
          </w:tcPr>
          <w:p>
            <w:pPr>
              <w:spacing w:after="0"/>
              <w:rPr>
                <w:sz w:val="11"/>
                <w:szCs w:val="11"/>
                <w:color w:val="auto"/>
              </w:rPr>
            </w:pPr>
          </w:p>
        </w:tc>
        <w:tc>
          <w:tcPr>
            <w:tcW w:w="100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89"/>
              </w:rPr>
              <w:t>Stock</w:t>
            </w:r>
          </w:p>
        </w:tc>
        <w:tc>
          <w:tcPr>
            <w:tcW w:w="860" w:type="dxa"/>
            <w:vAlign w:val="bottom"/>
            <w:gridSpan w:val="3"/>
          </w:tcPr>
          <w:p>
            <w:pPr>
              <w:jc w:val="center"/>
              <w:ind w:right="40"/>
              <w:spacing w:after="0" w:line="135" w:lineRule="exact"/>
              <w:rPr>
                <w:sz w:val="20"/>
                <w:szCs w:val="20"/>
                <w:color w:val="auto"/>
              </w:rPr>
            </w:pPr>
            <w:r>
              <w:rPr>
                <w:rFonts w:ascii="Arial" w:cs="Arial" w:eastAsia="Arial" w:hAnsi="Arial"/>
                <w:sz w:val="14"/>
                <w:szCs w:val="14"/>
                <w:b w:val="1"/>
                <w:bCs w:val="1"/>
                <w:color w:val="auto"/>
                <w:w w:val="97"/>
              </w:rPr>
              <w:t>Grant Date</w:t>
            </w:r>
          </w:p>
        </w:tc>
      </w:tr>
      <w:tr>
        <w:trPr>
          <w:trHeight w:val="162"/>
        </w:trPr>
        <w:tc>
          <w:tcPr>
            <w:tcW w:w="4660" w:type="dxa"/>
            <w:vAlign w:val="bottom"/>
          </w:tcPr>
          <w:p>
            <w:pPr>
              <w:spacing w:after="0"/>
              <w:rPr>
                <w:sz w:val="14"/>
                <w:szCs w:val="14"/>
                <w:color w:val="auto"/>
              </w:rPr>
            </w:pPr>
          </w:p>
        </w:tc>
        <w:tc>
          <w:tcPr>
            <w:tcW w:w="10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4"/>
              </w:rPr>
              <w:t>Outstanding</w:t>
            </w:r>
          </w:p>
        </w:tc>
        <w:tc>
          <w:tcPr>
            <w:tcW w:w="860" w:type="dxa"/>
            <w:vAlign w:val="bottom"/>
            <w:gridSpan w:val="3"/>
          </w:tcPr>
          <w:p>
            <w:pPr>
              <w:jc w:val="center"/>
              <w:ind w:right="60"/>
              <w:spacing w:after="0"/>
              <w:rPr>
                <w:sz w:val="20"/>
                <w:szCs w:val="20"/>
                <w:color w:val="auto"/>
              </w:rPr>
            </w:pPr>
            <w:r>
              <w:rPr>
                <w:rFonts w:ascii="Arial" w:cs="Arial" w:eastAsia="Arial" w:hAnsi="Arial"/>
                <w:sz w:val="14"/>
                <w:szCs w:val="14"/>
                <w:b w:val="1"/>
                <w:bCs w:val="1"/>
                <w:color w:val="auto"/>
                <w:w w:val="95"/>
              </w:rPr>
              <w:t>Fair Value</w:t>
            </w:r>
          </w:p>
        </w:tc>
      </w:tr>
      <w:tr>
        <w:trPr>
          <w:trHeight w:val="210"/>
        </w:trPr>
        <w:tc>
          <w:tcPr>
            <w:tcW w:w="46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January 27, 2007</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2,708</w:t>
            </w:r>
          </w:p>
        </w:tc>
        <w:tc>
          <w:tcPr>
            <w:tcW w:w="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20.10</w:t>
            </w:r>
          </w:p>
        </w:tc>
        <w:tc>
          <w:tcPr>
            <w:tcW w:w="40" w:type="dxa"/>
            <w:vAlign w:val="bottom"/>
            <w:tcBorders>
              <w:top w:val="single" w:sz="8" w:color="CCEEFF"/>
            </w:tcBorders>
            <w:shd w:val="clear" w:color="auto" w:fill="CCEEFF"/>
          </w:tcPr>
          <w:p>
            <w:pPr>
              <w:spacing w:after="0"/>
              <w:rPr>
                <w:sz w:val="18"/>
                <w:szCs w:val="18"/>
                <w:color w:val="auto"/>
              </w:rPr>
            </w:pPr>
          </w:p>
        </w:tc>
      </w:tr>
      <w:tr>
        <w:trPr>
          <w:trHeight w:val="216"/>
        </w:trPr>
        <w:tc>
          <w:tcPr>
            <w:tcW w:w="4660" w:type="dxa"/>
            <w:vAlign w:val="bottom"/>
          </w:tcPr>
          <w:p>
            <w:pPr>
              <w:ind w:left="180"/>
              <w:spacing w:after="0"/>
              <w:rPr>
                <w:sz w:val="20"/>
                <w:szCs w:val="20"/>
                <w:color w:val="auto"/>
              </w:rPr>
            </w:pPr>
            <w:r>
              <w:rPr>
                <w:rFonts w:ascii="Arial" w:cs="Arial" w:eastAsia="Arial" w:hAnsi="Arial"/>
                <w:sz w:val="18"/>
                <w:szCs w:val="18"/>
                <w:color w:val="auto"/>
              </w:rPr>
              <w:t>Granted</w:t>
            </w:r>
          </w:p>
        </w:tc>
        <w:tc>
          <w:tcPr>
            <w:tcW w:w="780" w:type="dxa"/>
            <w:vAlign w:val="bottom"/>
          </w:tcPr>
          <w:p>
            <w:pPr>
              <w:jc w:val="right"/>
              <w:spacing w:after="0"/>
              <w:rPr>
                <w:sz w:val="20"/>
                <w:szCs w:val="20"/>
                <w:color w:val="auto"/>
              </w:rPr>
            </w:pPr>
            <w:r>
              <w:rPr>
                <w:rFonts w:ascii="Arial" w:cs="Arial" w:eastAsia="Arial" w:hAnsi="Arial"/>
                <w:sz w:val="18"/>
                <w:szCs w:val="18"/>
                <w:color w:val="auto"/>
              </w:rPr>
              <w:t>99</w:t>
            </w:r>
          </w:p>
        </w:tc>
        <w:tc>
          <w:tcPr>
            <w:tcW w:w="2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16.94</w:t>
            </w:r>
          </w:p>
        </w:tc>
        <w:tc>
          <w:tcPr>
            <w:tcW w:w="40" w:type="dxa"/>
            <w:vAlign w:val="bottom"/>
          </w:tcPr>
          <w:p>
            <w:pPr>
              <w:spacing w:after="0"/>
              <w:rPr>
                <w:sz w:val="18"/>
                <w:szCs w:val="18"/>
                <w:color w:val="auto"/>
              </w:rPr>
            </w:pPr>
          </w:p>
        </w:tc>
      </w:tr>
      <w:tr>
        <w:trPr>
          <w:trHeight w:val="216"/>
        </w:trPr>
        <w:tc>
          <w:tcPr>
            <w:tcW w:w="46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Vested</w:t>
            </w:r>
          </w:p>
        </w:tc>
        <w:tc>
          <w:tcPr>
            <w:tcW w:w="10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(342)</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28.63</w:t>
            </w:r>
          </w:p>
        </w:tc>
        <w:tc>
          <w:tcPr>
            <w:tcW w:w="40" w:type="dxa"/>
            <w:vAlign w:val="bottom"/>
            <w:shd w:val="clear" w:color="auto" w:fill="CCEEFF"/>
          </w:tcPr>
          <w:p>
            <w:pPr>
              <w:spacing w:after="0"/>
              <w:rPr>
                <w:sz w:val="18"/>
                <w:szCs w:val="18"/>
                <w:color w:val="auto"/>
              </w:rPr>
            </w:pPr>
          </w:p>
        </w:tc>
      </w:tr>
      <w:tr>
        <w:trPr>
          <w:trHeight w:val="216"/>
        </w:trPr>
        <w:tc>
          <w:tcPr>
            <w:tcW w:w="4660" w:type="dxa"/>
            <w:vAlign w:val="bottom"/>
          </w:tcPr>
          <w:p>
            <w:pPr>
              <w:ind w:left="180"/>
              <w:spacing w:after="0"/>
              <w:rPr>
                <w:sz w:val="20"/>
                <w:szCs w:val="20"/>
                <w:color w:val="auto"/>
              </w:rPr>
            </w:pPr>
            <w:r>
              <w:rPr>
                <w:rFonts w:ascii="Arial" w:cs="Arial" w:eastAsia="Arial" w:hAnsi="Arial"/>
                <w:sz w:val="18"/>
                <w:szCs w:val="18"/>
                <w:color w:val="auto"/>
              </w:rPr>
              <w:t>Canceled/Forfeited</w:t>
            </w:r>
          </w:p>
        </w:tc>
        <w:tc>
          <w:tcPr>
            <w:tcW w:w="1000" w:type="dxa"/>
            <w:vAlign w:val="bottom"/>
            <w:gridSpan w:val="2"/>
          </w:tcPr>
          <w:p>
            <w:pPr>
              <w:jc w:val="right"/>
              <w:ind w:right="160"/>
              <w:spacing w:after="0"/>
              <w:rPr>
                <w:sz w:val="20"/>
                <w:szCs w:val="20"/>
                <w:color w:val="auto"/>
              </w:rPr>
            </w:pPr>
            <w:r>
              <w:rPr>
                <w:rFonts w:ascii="Arial" w:cs="Arial" w:eastAsia="Arial" w:hAnsi="Arial"/>
                <w:sz w:val="18"/>
                <w:szCs w:val="18"/>
                <w:color w:val="auto"/>
              </w:rPr>
              <w:t>(135)</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19.</w:t>
            </w:r>
            <w:r>
              <w:rPr>
                <w:rFonts w:ascii="Arial" w:cs="Arial" w:eastAsia="Arial" w:hAnsi="Arial"/>
                <w:sz w:val="18"/>
                <w:szCs w:val="18"/>
                <w:u w:val="single" w:color="auto"/>
                <w:color w:val="auto"/>
              </w:rPr>
              <w:t>34</w:t>
            </w:r>
          </w:p>
        </w:tc>
        <w:tc>
          <w:tcPr>
            <w:tcW w:w="40" w:type="dxa"/>
            <w:vAlign w:val="bottom"/>
          </w:tcPr>
          <w:p>
            <w:pPr>
              <w:spacing w:after="0"/>
              <w:rPr>
                <w:sz w:val="18"/>
                <w:szCs w:val="18"/>
                <w:color w:val="auto"/>
              </w:rPr>
            </w:pPr>
          </w:p>
        </w:tc>
      </w:tr>
      <w:tr>
        <w:trPr>
          <w:trHeight w:val="210"/>
        </w:trPr>
        <w:tc>
          <w:tcPr>
            <w:tcW w:w="466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July 28, 2007</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2,330</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w:t>
            </w:r>
            <w:r>
              <w:rPr>
                <w:rFonts w:ascii="Arial" w:cs="Arial" w:eastAsia="Arial" w:hAnsi="Arial"/>
                <w:sz w:val="18"/>
                <w:szCs w:val="18"/>
                <w:u w:val="single" w:color="auto"/>
                <w:color w:val="auto"/>
              </w:rPr>
              <w:t>84</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4660" w:type="dxa"/>
            <w:vAlign w:val="bottom"/>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350" w:lineRule="exact"/>
        <w:rPr>
          <w:sz w:val="20"/>
          <w:szCs w:val="20"/>
          <w:color w:val="auto"/>
        </w:rPr>
      </w:pPr>
    </w:p>
    <w:p>
      <w:pPr>
        <w:ind w:right="140" w:firstLine="324"/>
        <w:spacing w:after="0" w:line="286" w:lineRule="auto"/>
        <w:rPr>
          <w:sz w:val="20"/>
          <w:szCs w:val="20"/>
          <w:color w:val="auto"/>
        </w:rPr>
      </w:pPr>
      <w:r>
        <w:rPr>
          <w:rFonts w:ascii="Arial" w:cs="Arial" w:eastAsia="Arial" w:hAnsi="Arial"/>
          <w:sz w:val="17"/>
          <w:szCs w:val="17"/>
          <w:color w:val="auto"/>
        </w:rPr>
        <w:t>The Company’s current practice is to issue new shares to satisfy share option exercises. As of July 28, 2007, compensation costs related to nonvested awards not yet recognized amounted to $443.4 million. The unamortized compensation expense for stock options and restricted stock will be amortized on a straight-line basis and is expected to be recognized over a weighted-average period of 2.2 years and 2.5 years, respectively.</w:t>
      </w:r>
    </w:p>
    <w:p>
      <w:pPr>
        <w:spacing w:after="0" w:line="166" w:lineRule="exact"/>
        <w:rPr>
          <w:sz w:val="20"/>
          <w:szCs w:val="20"/>
          <w:color w:val="auto"/>
        </w:rPr>
      </w:pPr>
    </w:p>
    <w:p>
      <w:pPr>
        <w:ind w:right="260" w:firstLine="324"/>
        <w:spacing w:after="0" w:line="259" w:lineRule="auto"/>
        <w:rPr>
          <w:sz w:val="20"/>
          <w:szCs w:val="20"/>
          <w:color w:val="auto"/>
        </w:rPr>
      </w:pPr>
      <w:r>
        <w:rPr>
          <w:rFonts w:ascii="Arial" w:cs="Arial" w:eastAsia="Arial" w:hAnsi="Arial"/>
          <w:sz w:val="18"/>
          <w:szCs w:val="18"/>
          <w:color w:val="auto"/>
        </w:rPr>
        <w:t>There was no total tax benefit attributable to options exercised in the six months ended July 28, 2007. The excess tax benefits from stock-based compensation of $0.2 million as reported on the condensed consolidated statement of cash flows in financing activities represents the reduction, in income taxes otherwise payable during the period, attributable to the actual gross tax benefits in excess of the expected tax benefits for options exercised in current and prior periods.</w:t>
      </w:r>
    </w:p>
    <w:p>
      <w:pPr>
        <w:spacing w:after="0" w:line="187" w:lineRule="exact"/>
        <w:rPr>
          <w:sz w:val="20"/>
          <w:szCs w:val="20"/>
          <w:color w:val="auto"/>
        </w:rPr>
      </w:pPr>
    </w:p>
    <w:p>
      <w:pPr>
        <w:ind w:right="80" w:firstLine="324"/>
        <w:spacing w:after="0" w:line="255" w:lineRule="auto"/>
        <w:rPr>
          <w:sz w:val="20"/>
          <w:szCs w:val="20"/>
          <w:color w:val="auto"/>
        </w:rPr>
      </w:pPr>
      <w:r>
        <w:rPr>
          <w:rFonts w:ascii="Arial" w:cs="Arial" w:eastAsia="Arial" w:hAnsi="Arial"/>
          <w:sz w:val="18"/>
          <w:szCs w:val="18"/>
          <w:color w:val="auto"/>
        </w:rPr>
        <w:t>Under applicable securities laws, the Company suspended all stock option exercise transactions under its Stock Option Plan effective on the close of business on September 7, 2006. On September 8, 2006, management communicated the trading suspension, which lasted until July 13, 2007 when the Company filed all its delinquent SEC reports, to all option holders. As a result, the exercisability on all outstanding options, including vested awards held by certain separated employees, was modified. The Company recorded incremental compensation costs of $8.7 million representing the excess of the fair value of the modified award over the fair value of the original award immediately before filing of the Company’s delinquent SEC reports, on affected awards in the second quarter of fiscal 2008.</w:t>
      </w:r>
    </w:p>
    <w:p>
      <w:pPr>
        <w:spacing w:after="0" w:line="193"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In connection with the remediation steps from the Special Committee’s recommendations upon completion of the review of the Company’s past stock option practices during the second quarter of fiscal 2008, the Company’s Chief Executive Officer, Dr. Sehat Sutardja agreed to reduce the number of shares received in his December 26, 2003 option grant by 2,000,000 shares, which is the amount of underlying shares mistakenly awarded by the Executive Compensation Committee in excess of that authorized under the applicable stock option plan. Dr. Sutardja continued employment with the Company as Chief Executive Officer. Additionally, the outstanding options of the Company’s former Chief Operating Officer, Weili Dai that were unvested as of May 6, 2007 have been cancelled and the exercisability of already vested options have been limited, notwithstanding her continued employment. The cancellations of grants were not accompanied by concurrent replacement grants or other valuable consideration. As a result, the cancellations were considered a repurchase with no consideration and in accordance with SFAS 123R, the Company recorded stock compensation expense of $8.4 million in the second quarter of fiscal 2008 for the remaining unrecognized compensation cost as of the date of the cancellation of the awards.</w:t>
      </w:r>
    </w:p>
    <w:p>
      <w:pPr>
        <w:spacing w:after="0" w:line="167"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Stock Award Activity</w:t>
      </w:r>
    </w:p>
    <w:p>
      <w:pPr>
        <w:spacing w:after="0" w:line="225" w:lineRule="exact"/>
        <w:rPr>
          <w:sz w:val="20"/>
          <w:szCs w:val="20"/>
          <w:color w:val="auto"/>
        </w:rPr>
      </w:pPr>
    </w:p>
    <w:p>
      <w:pPr>
        <w:ind w:firstLine="324"/>
        <w:spacing w:after="0" w:line="273" w:lineRule="auto"/>
        <w:rPr>
          <w:sz w:val="20"/>
          <w:szCs w:val="20"/>
          <w:color w:val="auto"/>
        </w:rPr>
      </w:pPr>
      <w:r>
        <w:rPr>
          <w:rFonts w:ascii="Arial" w:cs="Arial" w:eastAsia="Arial" w:hAnsi="Arial"/>
          <w:sz w:val="17"/>
          <w:szCs w:val="17"/>
          <w:color w:val="auto"/>
        </w:rPr>
        <w:t>In the first quarter of fiscal 2007, the Company granted 140,000 restricted stock awards to its employees under the 1995 Stock Option Plan. Such awards generally vest over a period of five years from the date of grant. The restricted stock awards have the voting rights of common stock and the shares underlying the restricted are considered issued and outstanding. The Company expenses the cost of the restricted stock awards, which is determined to be the fair market value of the shares at the date of grant, ratably over the period during which the restrictions lapse. The grant of restricted stock awards is deducted from the shares available for grant under the Company’s stock option plan. Restricted stock activity under the Company’s stock option plans for the three months ended July 28, 2007 is summarized below (in thousands, except per share amounts):</w:t>
      </w:r>
    </w:p>
    <w:p>
      <w:pPr>
        <w:spacing w:after="0" w:line="140"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466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35"/>
        </w:trPr>
        <w:tc>
          <w:tcPr>
            <w:tcW w:w="4660" w:type="dxa"/>
            <w:vAlign w:val="bottom"/>
          </w:tcPr>
          <w:p>
            <w:pPr>
              <w:spacing w:after="0"/>
              <w:rPr>
                <w:sz w:val="11"/>
                <w:szCs w:val="11"/>
                <w:color w:val="auto"/>
              </w:rPr>
            </w:pPr>
          </w:p>
        </w:tc>
        <w:tc>
          <w:tcPr>
            <w:tcW w:w="1260" w:type="dxa"/>
            <w:vAlign w:val="bottom"/>
            <w:gridSpan w:val="2"/>
            <w:vMerge w:val="restart"/>
          </w:tcPr>
          <w:p>
            <w:pPr>
              <w:jc w:val="right"/>
              <w:ind w:right="240"/>
              <w:spacing w:after="0"/>
              <w:rPr>
                <w:sz w:val="20"/>
                <w:szCs w:val="20"/>
                <w:color w:val="auto"/>
              </w:rPr>
            </w:pPr>
            <w:r>
              <w:rPr>
                <w:rFonts w:ascii="Arial" w:cs="Arial" w:eastAsia="Arial" w:hAnsi="Arial"/>
                <w:sz w:val="14"/>
                <w:szCs w:val="14"/>
                <w:b w:val="1"/>
                <w:bCs w:val="1"/>
                <w:color w:val="auto"/>
                <w:w w:val="90"/>
              </w:rPr>
              <w:t>Restricted Stock</w:t>
            </w:r>
          </w:p>
        </w:tc>
        <w:tc>
          <w:tcPr>
            <w:tcW w:w="140" w:type="dxa"/>
            <w:vAlign w:val="bottom"/>
          </w:tcPr>
          <w:p>
            <w:pPr>
              <w:spacing w:after="0"/>
              <w:rPr>
                <w:sz w:val="11"/>
                <w:szCs w:val="11"/>
                <w:color w:val="auto"/>
              </w:rPr>
            </w:pPr>
          </w:p>
        </w:tc>
        <w:tc>
          <w:tcPr>
            <w:tcW w:w="98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35"/>
        </w:trPr>
        <w:tc>
          <w:tcPr>
            <w:tcW w:w="4660" w:type="dxa"/>
            <w:vAlign w:val="bottom"/>
          </w:tcPr>
          <w:p>
            <w:pPr>
              <w:spacing w:after="0"/>
              <w:rPr>
                <w:sz w:val="11"/>
                <w:szCs w:val="11"/>
                <w:color w:val="auto"/>
              </w:rPr>
            </w:pPr>
          </w:p>
        </w:tc>
        <w:tc>
          <w:tcPr>
            <w:tcW w:w="1260" w:type="dxa"/>
            <w:vAlign w:val="bottom"/>
            <w:gridSpan w:val="2"/>
            <w:vMerge w:val="continue"/>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gridSpan w:val="2"/>
          </w:tcPr>
          <w:p>
            <w:pPr>
              <w:jc w:val="center"/>
              <w:ind w:right="200"/>
              <w:spacing w:after="0" w:line="135" w:lineRule="exact"/>
              <w:rPr>
                <w:sz w:val="20"/>
                <w:szCs w:val="20"/>
                <w:color w:val="auto"/>
              </w:rPr>
            </w:pPr>
            <w:r>
              <w:rPr>
                <w:rFonts w:ascii="Arial" w:cs="Arial" w:eastAsia="Arial" w:hAnsi="Arial"/>
                <w:sz w:val="14"/>
                <w:szCs w:val="14"/>
                <w:b w:val="1"/>
                <w:bCs w:val="1"/>
                <w:color w:val="auto"/>
                <w:w w:val="97"/>
              </w:rPr>
              <w:t>Grant Date</w:t>
            </w:r>
          </w:p>
        </w:tc>
        <w:tc>
          <w:tcPr>
            <w:tcW w:w="0" w:type="dxa"/>
            <w:vAlign w:val="bottom"/>
          </w:tcPr>
          <w:p>
            <w:pPr>
              <w:spacing w:after="0"/>
              <w:rPr>
                <w:sz w:val="1"/>
                <w:szCs w:val="1"/>
                <w:color w:val="auto"/>
              </w:rPr>
            </w:pPr>
          </w:p>
        </w:tc>
      </w:tr>
      <w:tr>
        <w:trPr>
          <w:trHeight w:val="162"/>
        </w:trPr>
        <w:tc>
          <w:tcPr>
            <w:tcW w:w="4660" w:type="dxa"/>
            <w:vAlign w:val="bottom"/>
          </w:tcPr>
          <w:p>
            <w:pPr>
              <w:spacing w:after="0"/>
              <w:rPr>
                <w:sz w:val="14"/>
                <w:szCs w:val="14"/>
                <w:color w:val="auto"/>
              </w:rPr>
            </w:pPr>
          </w:p>
        </w:tc>
        <w:tc>
          <w:tcPr>
            <w:tcW w:w="126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Outstanding</w:t>
            </w:r>
          </w:p>
        </w:tc>
        <w:tc>
          <w:tcPr>
            <w:tcW w:w="140" w:type="dxa"/>
            <w:vAlign w:val="bottom"/>
          </w:tcPr>
          <w:p>
            <w:pPr>
              <w:spacing w:after="0"/>
              <w:rPr>
                <w:sz w:val="14"/>
                <w:szCs w:val="14"/>
                <w:color w:val="auto"/>
              </w:rPr>
            </w:pPr>
          </w:p>
        </w:tc>
        <w:tc>
          <w:tcPr>
            <w:tcW w:w="98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r>
        <w:trPr>
          <w:trHeight w:val="210"/>
        </w:trPr>
        <w:tc>
          <w:tcPr>
            <w:tcW w:w="46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January 27, 2007</w:t>
            </w: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w:t>
            </w:r>
          </w:p>
        </w:tc>
        <w:tc>
          <w:tcPr>
            <w:tcW w:w="2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32.21</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60" w:type="dxa"/>
            <w:vAlign w:val="bottom"/>
          </w:tcPr>
          <w:p>
            <w:pPr>
              <w:ind w:left="180"/>
              <w:spacing w:after="0"/>
              <w:rPr>
                <w:sz w:val="20"/>
                <w:szCs w:val="20"/>
                <w:color w:val="auto"/>
              </w:rPr>
            </w:pPr>
            <w:r>
              <w:rPr>
                <w:rFonts w:ascii="Arial" w:cs="Arial" w:eastAsia="Arial" w:hAnsi="Arial"/>
                <w:sz w:val="18"/>
                <w:szCs w:val="18"/>
                <w:color w:val="auto"/>
              </w:rPr>
              <w:t>Restricted stock granted</w:t>
            </w: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8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6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Restricted stock forfeited</w:t>
            </w:r>
          </w:p>
        </w:tc>
        <w:tc>
          <w:tcPr>
            <w:tcW w:w="12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660" w:type="dxa"/>
            <w:vAlign w:val="bottom"/>
          </w:tcPr>
          <w:p>
            <w:pPr>
              <w:ind w:left="180"/>
              <w:spacing w:after="0"/>
              <w:rPr>
                <w:sz w:val="20"/>
                <w:szCs w:val="20"/>
                <w:color w:val="auto"/>
              </w:rPr>
            </w:pPr>
            <w:r>
              <w:rPr>
                <w:rFonts w:ascii="Arial" w:cs="Arial" w:eastAsia="Arial" w:hAnsi="Arial"/>
                <w:sz w:val="18"/>
                <w:szCs w:val="18"/>
                <w:color w:val="auto"/>
              </w:rPr>
              <w:t>Restricted stock vested</w:t>
            </w:r>
          </w:p>
        </w:tc>
        <w:tc>
          <w:tcPr>
            <w:tcW w:w="1260" w:type="dxa"/>
            <w:vAlign w:val="bottom"/>
            <w:gridSpan w:val="2"/>
          </w:tcPr>
          <w:p>
            <w:pPr>
              <w:jc w:val="right"/>
              <w:ind w:right="160"/>
              <w:spacing w:after="0"/>
              <w:rPr>
                <w:sz w:val="20"/>
                <w:szCs w:val="20"/>
                <w:color w:val="auto"/>
              </w:rPr>
            </w:pPr>
            <w:r>
              <w:rPr>
                <w:rFonts w:ascii="Arial" w:cs="Arial" w:eastAsia="Arial" w:hAnsi="Arial"/>
                <w:sz w:val="18"/>
                <w:szCs w:val="18"/>
                <w:color w:val="auto"/>
              </w:rPr>
              <w:t>(39)</w:t>
            </w:r>
          </w:p>
        </w:tc>
        <w:tc>
          <w:tcPr>
            <w:tcW w:w="14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32.23</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66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July 28, 2007</w:t>
            </w:r>
          </w:p>
        </w:tc>
        <w:tc>
          <w:tcPr>
            <w:tcW w:w="10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101</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32.20</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6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125" w:right="239" w:bottom="96" w:gutter="0" w:footer="0" w:header="0"/>
        </w:sectPr>
      </w:pPr>
    </w:p>
    <w:p>
      <w:pPr>
        <w:spacing w:after="0" w:line="366"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96" w:gutter="0" w:footer="0" w:header="0"/>
          <w:type w:val="continuous"/>
        </w:sectPr>
      </w:pPr>
    </w:p>
    <w:bookmarkStart w:id="18" w:name="page19"/>
    <w:bookmarkEnd w:id="18"/>
    <w:p>
      <w:pPr>
        <w:spacing w:after="0" w:line="2" w:lineRule="exact"/>
        <w:rPr>
          <w:sz w:val="20"/>
          <w:szCs w:val="20"/>
          <w:color w:val="auto"/>
        </w:rPr>
      </w:pPr>
    </w:p>
    <w:p>
      <w:pPr>
        <w:ind w:right="40" w:firstLine="324"/>
        <w:spacing w:after="0" w:line="277" w:lineRule="auto"/>
        <w:rPr>
          <w:sz w:val="20"/>
          <w:szCs w:val="20"/>
          <w:color w:val="auto"/>
        </w:rPr>
      </w:pPr>
      <w:r>
        <w:rPr>
          <w:rFonts w:ascii="Arial" w:cs="Arial" w:eastAsia="Arial" w:hAnsi="Arial"/>
          <w:sz w:val="18"/>
          <w:szCs w:val="18"/>
          <w:color w:val="auto"/>
        </w:rPr>
        <w:t>A total of 39,332 restricted stock awards vested during the three and six months ended July 28, 2007. Based on the closing price of the Company’s stock of $18.58, on July 27, 2007, the total pretax intrinsic value of all outstanding restricted stock was $1.9 million.</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Income Taxes</w:t>
      </w:r>
    </w:p>
    <w:p>
      <w:pPr>
        <w:spacing w:after="0" w:line="229"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The Company recorded tax expense of $9.6 million and $15.6 million for the three and six months ended July 28, 2007, compared to $12.1 million and $28.0 million for the three and six months ended July 29, 2006. The income tax provision for these periods was affected by non-tax-deductible expenses such as SFAS 123R stock-based compensation expense, as well as the accrual of liabilities, interest and penalties associated with unrecognized benefits. During the three months ended July 28, 2007, $1.3 million of income tax expense was recorded as a discrete item associated with a gain on the sale of an asset under construction.</w:t>
      </w:r>
    </w:p>
    <w:p>
      <w:pPr>
        <w:spacing w:after="0" w:line="188" w:lineRule="exact"/>
        <w:rPr>
          <w:sz w:val="20"/>
          <w:szCs w:val="20"/>
          <w:color w:val="auto"/>
        </w:rPr>
      </w:pPr>
    </w:p>
    <w:p>
      <w:pPr>
        <w:ind w:right="160" w:firstLine="324"/>
        <w:spacing w:after="0" w:line="264" w:lineRule="auto"/>
        <w:rPr>
          <w:sz w:val="20"/>
          <w:szCs w:val="20"/>
          <w:color w:val="auto"/>
        </w:rPr>
      </w:pPr>
      <w:r>
        <w:rPr>
          <w:rFonts w:ascii="Arial" w:cs="Arial" w:eastAsia="Arial" w:hAnsi="Arial"/>
          <w:sz w:val="18"/>
          <w:szCs w:val="18"/>
          <w:color w:val="auto"/>
        </w:rPr>
        <w:t>The effective tax rate for the three and six months ended July 28, 2007 increased due to a smaller proportion of profits earned in zero or low tax jurisdictions during the quarter ended July 28, 2007 and due to tax on the gain associated with the sale of an asset under construction which was treated as a discrete item in the quarter.</w:t>
      </w:r>
    </w:p>
    <w:p>
      <w:pPr>
        <w:spacing w:after="0" w:line="181" w:lineRule="exact"/>
        <w:rPr>
          <w:sz w:val="20"/>
          <w:szCs w:val="20"/>
          <w:color w:val="auto"/>
        </w:rPr>
      </w:pPr>
    </w:p>
    <w:p>
      <w:pPr>
        <w:ind w:right="40" w:firstLine="324"/>
        <w:spacing w:after="0" w:line="257" w:lineRule="auto"/>
        <w:rPr>
          <w:sz w:val="20"/>
          <w:szCs w:val="20"/>
          <w:color w:val="auto"/>
        </w:rPr>
      </w:pPr>
      <w:r>
        <w:rPr>
          <w:rFonts w:ascii="Arial" w:cs="Arial" w:eastAsia="Arial" w:hAnsi="Arial"/>
          <w:sz w:val="18"/>
          <w:szCs w:val="18"/>
          <w:color w:val="auto"/>
        </w:rPr>
        <w:t>Effective January 28, 2007, the Company adopted the provisions of FIN 48. The adoption of FIN 48 did not result in any reclassifications of uncertain income tax liabilities and did not have a cumulative impact to retained earnings. As of January 28, 2007, the Company’s liabilities for unrecognized income tax benefits totaled $116.8 million which included interest and penalties of $31.5 million. If recognized, all of the FIN 48 liabilities recorded as of the date of adoption will impact the effective tax rate. For the six months ended July 28, 2007, $3.9 million of interest expense associated with FIN 48 liabilities was accrued as a component of income tax expense.</w:t>
      </w:r>
    </w:p>
    <w:p>
      <w:pPr>
        <w:spacing w:after="0" w:line="188" w:lineRule="exact"/>
        <w:rPr>
          <w:sz w:val="20"/>
          <w:szCs w:val="20"/>
          <w:color w:val="auto"/>
        </w:rPr>
      </w:pPr>
    </w:p>
    <w:p>
      <w:pPr>
        <w:ind w:right="280" w:firstLine="324"/>
        <w:spacing w:after="0" w:line="277" w:lineRule="auto"/>
        <w:rPr>
          <w:sz w:val="20"/>
          <w:szCs w:val="20"/>
          <w:color w:val="auto"/>
        </w:rPr>
      </w:pPr>
      <w:r>
        <w:rPr>
          <w:rFonts w:ascii="Arial" w:cs="Arial" w:eastAsia="Arial" w:hAnsi="Arial"/>
          <w:sz w:val="18"/>
          <w:szCs w:val="18"/>
          <w:color w:val="auto"/>
        </w:rPr>
        <w:t>In accordance with the Company’s accounting policy, the Company recognizes accrued interest and penalties related to unrecognized tax benefits as a component of income tax provision. This policy did not change as a result of the adoption of FIN 48.</w:t>
      </w:r>
    </w:p>
    <w:p>
      <w:pPr>
        <w:spacing w:after="0" w:line="170" w:lineRule="exact"/>
        <w:rPr>
          <w:sz w:val="20"/>
          <w:szCs w:val="20"/>
          <w:color w:val="auto"/>
        </w:rPr>
      </w:pPr>
    </w:p>
    <w:p>
      <w:pPr>
        <w:ind w:right="80" w:firstLine="324"/>
        <w:spacing w:after="0" w:line="287" w:lineRule="auto"/>
        <w:rPr>
          <w:sz w:val="20"/>
          <w:szCs w:val="20"/>
          <w:color w:val="auto"/>
        </w:rPr>
      </w:pPr>
      <w:r>
        <w:rPr>
          <w:rFonts w:ascii="Arial" w:cs="Arial" w:eastAsia="Arial" w:hAnsi="Arial"/>
          <w:sz w:val="16"/>
          <w:szCs w:val="16"/>
          <w:color w:val="auto"/>
        </w:rPr>
        <w:t>The Company conducts business globally and, as a result, one or more of its subsidiaries file income tax returns in the U.S. federal jurisdiction and various state and foreign jurisdictions. The Company is subject to examination by tax authorities throughout the world, including such major jurisdictions as Singapore, Japan, Taiwan, China, India, Israel, Netherlands, Switzerland, the United Kingdom, and the United States. The Company is subject to non-U.S. income tax examinations for years beginning with fiscal year 2002 and for U.S. income tax examinations beginning with fiscal year 2004. The U.S. subsidiaries are currently under audit by the U.S. tax authorities for the fiscal years 2004, 2005 and 2006. The U.S. tax authorities are also reviewing employment taxes with regard to the re-measured stock options. The Company has accrued for the employment taxes and believes that it has adequately provided for this liability. The Japanese tax authorities have notified one of the Company’s Japanese subsidiaries that there will be an audit for the tax years 2005, 2006 and 2007 to begin during the third quarter of fiscal 2008. It is possible that the amount of the liability for unrecognized income tax benefits, including the unrecognized income tax benefit positions which have been taken during the audit cycles referenced above, may change within the next 12 months. The Company believes that it has adequately provided for any assessments. The income tax rate will be affected as events occur and income tax audits are concluded. An estimate of the range of possible changes in the effective income tax rate cannot be made at this time.</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Related Party Transactions</w:t>
      </w:r>
    </w:p>
    <w:p>
      <w:pPr>
        <w:spacing w:after="0" w:line="229" w:lineRule="exact"/>
        <w:rPr>
          <w:sz w:val="20"/>
          <w:szCs w:val="20"/>
          <w:color w:val="auto"/>
        </w:rPr>
      </w:pPr>
    </w:p>
    <w:p>
      <w:pPr>
        <w:ind w:firstLine="324"/>
        <w:spacing w:after="0" w:line="272" w:lineRule="auto"/>
        <w:rPr>
          <w:sz w:val="20"/>
          <w:szCs w:val="20"/>
          <w:color w:val="auto"/>
        </w:rPr>
      </w:pPr>
      <w:r>
        <w:rPr>
          <w:rFonts w:ascii="Arial" w:cs="Arial" w:eastAsia="Arial" w:hAnsi="Arial"/>
          <w:sz w:val="17"/>
          <w:szCs w:val="17"/>
          <w:color w:val="auto"/>
        </w:rPr>
        <w:t>During the second quarters of fiscal 2008 and 2007, the Company incurred approximately $21,000 and $0.1 million, respectively, of expenses from an unrelated third-party entity, ACM Aviation, Inc. (“ACM”), for charter aircraft services provided to Marvell Semiconductor, Inc. (“MSI”) for Estopia Air LLC (“Estopia Air”). During the first six months of fiscal 2008 and 2007, the Company incurred approximately $73,000 and $0.5 million, respectively, of expenses from ACM, for charter aircraft services provided to MSI. The aircraft provided by ACM to the Company for such services is owned by Estopia Air. The Company’s Chairman, President and Chief Executive Officer, Dr. Sehat Sutardja and the Company’s Director of Strategic Marketing and Business Development, Weili Dai, through their control and ownership of Estopia Air, own the aircraft provided by ACM. Dr. Sutardja and Weili Dai are husband and wife. Expenses were incurred for business travel use of the aircraft at a cost determined to be at fair market value.</w:t>
      </w:r>
    </w:p>
    <w:p>
      <w:pPr>
        <w:spacing w:after="0" w:line="3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0" w:firstLine="324"/>
        <w:spacing w:after="0" w:line="291" w:lineRule="auto"/>
        <w:rPr>
          <w:sz w:val="20"/>
          <w:szCs w:val="20"/>
          <w:color w:val="auto"/>
        </w:rPr>
      </w:pPr>
      <w:r>
        <w:rPr>
          <w:rFonts w:ascii="Arial" w:cs="Arial" w:eastAsia="Arial" w:hAnsi="Arial"/>
          <w:sz w:val="16"/>
          <w:szCs w:val="16"/>
          <w:color w:val="auto"/>
        </w:rPr>
        <w:t>On August 19, 2005, the Company, through its subsidiaries MSI and Marvell International Ltd., entered into a License and Manufacturing Services Agreement (the “License Agreement”) with C2 Microsystems, Inc. (“C2Micro”). The License Agreement has substantially similar terms as other license and manufacturing services agreements with other third parties. The Company recognized $9,000 and $93,000 of revenue under the License Agreement with C2 Micro during the second quarters of fiscal 2008 and 2007, respectively. The Company recognized $39,000 and $0.3 million of revenue under the License Agreement with C2 Micro during the first six months of fiscal 2008 and 2007, respectively. Dr. Sehat Sutardja and Weili Dai, through their ownership and control of Estopia LLP, are indirect shareholders of C2Micro. Herbert Chang, through his ownership and control of C-Squared venture entities, is also an indirect shareholder of C2Micro. Dr. Pantas Sutardja, the Company’s Chief Technology Officer, is also a shareholder of C2Micro.</w:t>
      </w:r>
    </w:p>
    <w:p>
      <w:pPr>
        <w:spacing w:after="0" w:line="167" w:lineRule="exact"/>
        <w:rPr>
          <w:sz w:val="20"/>
          <w:szCs w:val="20"/>
          <w:color w:val="auto"/>
        </w:rPr>
      </w:pPr>
    </w:p>
    <w:p>
      <w:pPr>
        <w:ind w:right="80" w:firstLine="324"/>
        <w:spacing w:after="0" w:line="276" w:lineRule="auto"/>
        <w:rPr>
          <w:sz w:val="20"/>
          <w:szCs w:val="20"/>
          <w:color w:val="auto"/>
        </w:rPr>
      </w:pPr>
      <w:r>
        <w:rPr>
          <w:rFonts w:ascii="Arial" w:cs="Arial" w:eastAsia="Arial" w:hAnsi="Arial"/>
          <w:sz w:val="17"/>
          <w:szCs w:val="17"/>
          <w:color w:val="auto"/>
        </w:rPr>
        <w:t>On January 8, 2007, through the Company’s subsidiary Marvell International Ltd., we entered into a Library/IP/Software Evaluation License Agreement (the “License Agreement”) with Verisilicon Holdings Co., Ltd. (“Verisilicon”). The License Agreement has no consideration. The Company also incurred $119,000 and $191,000 of royalty expense from Versilicon under a core license agreement assumed from its acquisition of the UTStarcom Business during the three and six months ended July 27, 2007. Sehat Sutardja, Ph.D. and Weili Dai, through their ownership and control of Estopia, are indirect shareholders of Verisilicon. Pantas Sutardja, Ph.D., our Chief Technology Officer, is also a shareholder of Verisilicon.</w:t>
      </w:r>
    </w:p>
    <w:p>
      <w:pPr>
        <w:spacing w:after="0" w:line="3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ectPr>
          <w:pgSz w:w="11900" w:h="16840" w:orient="portrait"/>
          <w:cols w:equalWidth="0" w:num="1">
            <w:col w:w="11400"/>
          </w:cols>
          <w:pgMar w:left="240" w:top="368" w:right="259" w:bottom="0" w:gutter="0" w:footer="0" w:header="0"/>
        </w:sectPr>
      </w:pPr>
    </w:p>
    <w:p>
      <w:pPr>
        <w:spacing w:after="0" w:line="229" w:lineRule="exact"/>
        <w:rPr>
          <w:sz w:val="20"/>
          <w:szCs w:val="20"/>
          <w:color w:val="auto"/>
        </w:rPr>
      </w:pPr>
    </w:p>
    <w:p>
      <w:pPr>
        <w:ind w:right="40" w:firstLine="369"/>
        <w:spacing w:after="0" w:line="342" w:lineRule="auto"/>
        <w:rPr>
          <w:sz w:val="20"/>
          <w:szCs w:val="20"/>
          <w:color w:val="auto"/>
        </w:rPr>
      </w:pPr>
      <w:r>
        <w:rPr>
          <w:rFonts w:ascii="Arial" w:cs="Arial" w:eastAsia="Arial" w:hAnsi="Arial"/>
          <w:sz w:val="16"/>
          <w:szCs w:val="16"/>
          <w:i w:val="1"/>
          <w:iCs w:val="1"/>
          <w:color w:val="auto"/>
        </w:rPr>
        <w:t>The statements contained in this Quarterly Report on Form 10-Q that are not purely historical are forward-looking statements within the meaning of Section 27A of the Securities Act of 1933, as amended, and Section 21E of the Securities Exchange Act of 1934, as amended, including statements regarding</w:t>
      </w:r>
    </w:p>
    <w:p>
      <w:pPr>
        <w:sectPr>
          <w:pgSz w:w="11900" w:h="16840" w:orient="portrait"/>
          <w:cols w:equalWidth="0" w:num="1">
            <w:col w:w="11400"/>
          </w:cols>
          <w:pgMar w:left="240" w:top="368" w:right="259" w:bottom="0" w:gutter="0" w:footer="0" w:header="0"/>
          <w:type w:val="continuous"/>
        </w:sectPr>
      </w:pPr>
    </w:p>
    <w:bookmarkStart w:id="19" w:name="page20"/>
    <w:bookmarkEnd w:id="19"/>
    <w:p>
      <w:pPr>
        <w:spacing w:after="0" w:line="66" w:lineRule="exact"/>
        <w:rPr>
          <w:sz w:val="20"/>
          <w:szCs w:val="20"/>
          <w:color w:val="auto"/>
        </w:rPr>
      </w:pPr>
    </w:p>
    <w:p>
      <w:pPr>
        <w:ind w:right="20"/>
        <w:spacing w:after="0" w:line="283" w:lineRule="auto"/>
        <w:rPr>
          <w:sz w:val="20"/>
          <w:szCs w:val="20"/>
          <w:color w:val="auto"/>
        </w:rPr>
      </w:pPr>
      <w:r>
        <w:rPr>
          <w:rFonts w:ascii="Arial" w:cs="Arial" w:eastAsia="Arial" w:hAnsi="Arial"/>
          <w:sz w:val="16"/>
          <w:szCs w:val="16"/>
          <w:i w:val="1"/>
          <w:iCs w:val="1"/>
          <w:color w:val="auto"/>
        </w:rPr>
        <w:t>our expectations, beliefs, intentions or strategies regarding the future. Words such as “anticipates,” “expects,” “intends,” “plans,” “believes,” “seeks,” “estimates,” “can,” and similar expressions identify such forward-looking statements. These are statements that relate to future periods and include statements relating to our anticipation that the rate of new orders and shipments will vary significantly from quarter to quarter; industry trends; our anticipation that the total amount of sales through distributors will increase in future periods; our expectation that a significant percentage of our sales will continue to come from direct sales to key customers; our expectations regarding the number of days in inventory, inventory levels, and levels of accounts receivable; our expectation of additional growth in fiscal 2008 due to various reasons, including expected increases in shipments of cellular and handheld, printer ASIC and our WLAN products from new design wins, and our belief that our analog, mixed signal, digital signal processing and embedded microprocessor integrated circuit technology can be leveraged into other large volume and diverse markets; the potential opportunities for a new generation of integrated circuit solutions in response to growing demand for products enabling the storage, transmission and management of large volumes of data at high speeds; the anticipated benefits of consolidating our facilities and the sufficiency of our facilities; the anticipated features and benefits of our technology solutions; our strategy and components of our strategy, including our intention to expand our market position by developing new signal processing technologies, to leverage our technology for broadband communications applications, to continue to extend our leadership position for storage market applications, and to strengthen and expand our relationship with customers using a variety of techniques; the anticipated needs of our customers; our expectations to transition our semiconductor products to increasingly smaller line width geometries; our intention to continue to use widely available CMOS processes to manufacture our products; the benefits of our fabless manufacturing approach; our expectations regarding competition; our intention to reduce product costs to offset decreases in average selling prices; our continued efforts relating to the protection of our intellectual property; our expectations regarding the amount of customer concentration in the future; the amount of our future sales in Asia; our intention to continue to invest significant resources for research and development; our expected results, cash flows, and expenses, including those related to sales and marketing, research and development and general and administrative; our intention to complete acquired in-process research and development projects; our intention to make acquisitions, investments, strategic alliances and joint ventures; our expectations regarding revenue, sources of revenue and make-up of revenue; our expectations regarding the impact of legal proceedings and claims; our expectations regarding the adequacy of our capital resources to meet our capital needs; our expectations regarding the growth in business and operations; our expectations regarding our compliance with SEC periodic reporting requirements and NASDAQ listing requirements; our expectations regarding the impact of the restatement of our financial statements in connection with the internal review of our historical stock option granting; our plans regarding remediation of 2007 material weakness and expectations regarding the effectiveness of those remediation efforts; our plan regarding dividends; our plan regarding forward exchange contracts; and the effect of recent accounting pronouncements and changes in taxation rules.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our dependence upon the hard disk drive industry which is highly cyclical; our ability to scale our operations in response to changes in demand for existing or new products and services; our maintenance of an effective system of internal controls; our dependence on a small number of customers; our ability to develop new and enhanced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the impact of changes in management; the risk that other remediation efforts will be insufficient to address our material weakness in internal controls and the outcome pending or future litigation and legal proceedings. Additional factors, which could cause actual results to differ materially, include those set forth in the following discussion, as well as the risks discussed in Item 1A, “Risk Factors.” These forward-looking statements speak only as of the date hereof. Unless required by law, we undertake no obligation to update publicly any forward-looking statements.</w:t>
      </w:r>
    </w:p>
    <w:p>
      <w:pPr>
        <w:spacing w:after="0" w:line="3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80" w:firstLine="324"/>
        <w:spacing w:after="0" w:line="264" w:lineRule="auto"/>
        <w:rPr>
          <w:sz w:val="20"/>
          <w:szCs w:val="20"/>
          <w:color w:val="auto"/>
        </w:rPr>
      </w:pPr>
      <w:r>
        <w:rPr>
          <w:rFonts w:ascii="Arial" w:cs="Arial" w:eastAsia="Arial" w:hAnsi="Arial"/>
          <w:sz w:val="18"/>
          <w:szCs w:val="18"/>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and storage and power management solutions that serve diverse</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applications used in business enterprises, consumer electronics and emerging markets.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(now Marvell Semiconductor Israel Ltd, or “MSIL”) in a stock-for-stock transaction for aggregate consideration of approximately</w:t>
      </w:r>
    </w:p>
    <w:p>
      <w:pPr>
        <w:spacing w:after="0" w:line="2" w:lineRule="exact"/>
        <w:rPr>
          <w:sz w:val="20"/>
          <w:szCs w:val="20"/>
          <w:color w:val="auto"/>
        </w:rPr>
      </w:pPr>
    </w:p>
    <w:p>
      <w:pPr>
        <w:spacing w:after="0"/>
        <w:rPr>
          <w:sz w:val="20"/>
          <w:szCs w:val="20"/>
          <w:color w:val="auto"/>
        </w:rPr>
      </w:pPr>
      <w:r>
        <w:rPr>
          <w:rFonts w:ascii="Arial" w:cs="Arial" w:eastAsia="Arial" w:hAnsi="Arial"/>
          <w:sz w:val="16"/>
          <w:szCs w:val="16"/>
          <w:color w:val="auto"/>
        </w:rPr>
        <w:t>$2.5 billion. MSIL develops high-performance internetworking and switching products for the broadband communications market. In June 2003, we acquired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RADLAN Computer Communications Ltd. (“RADLAN”), a leading provider of embedded networking software, for aggregate consideration of</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approximately $134.7 million. In November 2005, we acquired the hard disk and tape drive controller business of QLogic Corporation for approximately</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$232.5 million. The acquired business designs and supplies controller chips for data storage peripherals, such as hard disk and tape drives. In February 2006,</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we acquired the semiconductor design business of UTStarcom, Inc. for approximately $40.8 million. The semiconductor design business of UTStarcom</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designed and supplied chipsets for cellular phone applications. In May 2006, we acquired the printer semiconductor business of Avago Technologies Limited</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for $263.0 million, including earnout payments of $10.0 million subsequently recognized during fiscal 2007 when milestones were met and potential</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additional earnout payments of up to $25.0 million. The printer semiconductor division of Avago designed and developed system-on-chip and system level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solutions for both inkjet and laser jet printer systems. In November 2006, we completed the acquisition of the communications and applications processor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business of Intel Corporation for approximately $605.9 million. The communications and applications processor business of Intel designed and developed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cellular baseband processors for multi-mode, multi-band wireless handheld devices such as cellular handsets, PDAs and smartphones.</w:t>
      </w:r>
    </w:p>
    <w:p>
      <w:pPr>
        <w:spacing w:after="0" w:line="211" w:lineRule="exact"/>
        <w:rPr>
          <w:sz w:val="20"/>
          <w:szCs w:val="20"/>
          <w:color w:val="auto"/>
        </w:rPr>
      </w:pPr>
    </w:p>
    <w:p>
      <w:pPr>
        <w:ind w:right="240" w:firstLine="324"/>
        <w:spacing w:after="0" w:line="259" w:lineRule="auto"/>
        <w:rPr>
          <w:sz w:val="20"/>
          <w:szCs w:val="20"/>
          <w:color w:val="auto"/>
        </w:rPr>
      </w:pPr>
      <w:r>
        <w:rPr>
          <w:rFonts w:ascii="Arial" w:cs="Arial" w:eastAsia="Arial" w:hAnsi="Arial"/>
          <w:sz w:val="18"/>
          <w:szCs w:val="18"/>
          <w:color w:val="auto"/>
        </w:rPr>
        <w:t>We offer our customers a wide range of high-performance analog, mixed-signal, digital signal processing and embedded microprocessor integrated circuits. Our products can be utilized in a wide array of enterprise applications including hard disk drives, high-speed networking equipment, PCs, wireless local area network solutions (“WLAN”) for small office/home office and residential gateway solutions, and consumer applications such as cell phones, printers, digital cameras, MP3 devices, speakers, game consoles and PDAs.</w:t>
      </w:r>
    </w:p>
    <w:p>
      <w:pPr>
        <w:spacing w:after="0" w:line="187" w:lineRule="exact"/>
        <w:rPr>
          <w:sz w:val="20"/>
          <w:szCs w:val="20"/>
          <w:color w:val="auto"/>
        </w:rPr>
      </w:pPr>
    </w:p>
    <w:p>
      <w:pPr>
        <w:ind w:right="100" w:firstLine="324"/>
        <w:spacing w:after="0" w:line="302" w:lineRule="auto"/>
        <w:rPr>
          <w:sz w:val="20"/>
          <w:szCs w:val="20"/>
          <w:color w:val="auto"/>
        </w:rPr>
      </w:pPr>
      <w:r>
        <w:rPr>
          <w:rFonts w:ascii="Arial" w:cs="Arial" w:eastAsia="Arial" w:hAnsi="Arial"/>
          <w:sz w:val="16"/>
          <w:szCs w:val="16"/>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w:t>
      </w:r>
    </w:p>
    <w:p>
      <w:pPr>
        <w:sectPr>
          <w:pgSz w:w="11900" w:h="16904" w:orient="portrait"/>
          <w:cols w:equalWidth="0" w:num="1">
            <w:col w:w="11420"/>
          </w:cols>
          <w:pgMar w:left="240" w:top="125" w:right="239" w:bottom="0" w:gutter="0" w:footer="0" w:header="0"/>
        </w:sectPr>
      </w:pPr>
    </w:p>
    <w:bookmarkStart w:id="20" w:name="page21"/>
    <w:bookmarkEnd w:id="20"/>
    <w:p>
      <w:pPr>
        <w:ind w:right="220"/>
        <w:spacing w:after="0" w:line="277" w:lineRule="auto"/>
        <w:rPr>
          <w:sz w:val="20"/>
          <w:szCs w:val="20"/>
          <w:color w:val="auto"/>
        </w:rPr>
      </w:pPr>
      <w:r>
        <w:rPr>
          <w:rFonts w:ascii="Arial" w:cs="Arial" w:eastAsia="Arial" w:hAnsi="Arial"/>
          <w:sz w:val="18"/>
          <w:szCs w:val="18"/>
          <w:color w:val="auto"/>
        </w:rPr>
        <w:t>occur when expected, expenses and inventory levels could be disproportionately high, and our operating results for that quarter and future quarters may be adversely affected.</w:t>
      </w:r>
    </w:p>
    <w:p>
      <w:pPr>
        <w:spacing w:after="0" w:line="170" w:lineRule="exact"/>
        <w:rPr>
          <w:sz w:val="20"/>
          <w:szCs w:val="20"/>
          <w:color w:val="auto"/>
        </w:rPr>
      </w:pPr>
    </w:p>
    <w:p>
      <w:pPr>
        <w:ind w:left="340"/>
        <w:spacing w:after="0"/>
        <w:rPr>
          <w:sz w:val="20"/>
          <w:szCs w:val="20"/>
          <w:color w:val="auto"/>
        </w:rPr>
      </w:pPr>
      <w:r>
        <w:rPr>
          <w:rFonts w:ascii="Arial" w:cs="Arial" w:eastAsia="Arial" w:hAnsi="Arial"/>
          <w:sz w:val="16"/>
          <w:szCs w:val="16"/>
          <w:color w:val="auto"/>
        </w:rPr>
        <w:t>Our fiscal year is the 52- or 53-week period ending on the Saturday closest to January 31. In a 52-week year, each fiscal quarter consists of 13 weeks.</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The additional week in a 53-week year is added to the fourth quarter, making such quarter consist of 14 weeks. Fiscal year 2008 is comprised of 53 weeks.</w:t>
      </w:r>
    </w:p>
    <w:p>
      <w:pPr>
        <w:spacing w:after="0" w:line="23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29"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The preparation of financial statements in conformity with accounting principles generally accepted in the United States of America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27, 2007. There have been no material changes in any of our accounting policies during fiscal 2008.</w:t>
      </w:r>
    </w:p>
    <w:p>
      <w:pPr>
        <w:spacing w:after="0" w:line="189"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On January 28, 2007, we adopted the provisions of FASB Interpretation No. 48, “Accounting for Uncertainty in Income Taxes – an Interpretation of FASB Statement No. 109” (“FIN 48”) to account for uncertain tax positions. Adoption of FIN 48 did not have any impact on our condensed consolidated statement of operations, and the impact on our condensed consolidated balance sheet is summarized in Note 9 – Income Taxes. The application of income tax law is inherently complex. Laws and regulations in this area are voluminous and are often ambiguous. As such, we are required to make many subjective assumptions and judgments regarding our income tax exposures. Interpretations of and guidance surrounding income tax laws and regulations are subject to change over time. As such, changes in our subjective assumptions and judgments can materially affect our consolidated financial position, results of operations and cash flows.</w:t>
      </w:r>
    </w:p>
    <w:p>
      <w:pPr>
        <w:spacing w:after="0" w:line="200" w:lineRule="exact"/>
        <w:rPr>
          <w:sz w:val="20"/>
          <w:szCs w:val="20"/>
          <w:color w:val="auto"/>
        </w:rPr>
      </w:pPr>
    </w:p>
    <w:p>
      <w:pPr>
        <w:spacing w:after="0" w:line="205"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29" w:lineRule="exact"/>
        <w:rPr>
          <w:sz w:val="20"/>
          <w:szCs w:val="20"/>
          <w:color w:val="auto"/>
        </w:rPr>
      </w:pPr>
    </w:p>
    <w:p>
      <w:pPr>
        <w:ind w:right="140" w:firstLine="259"/>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49" w:lineRule="exact"/>
        <w:rPr>
          <w:sz w:val="20"/>
          <w:szCs w:val="20"/>
          <w:color w:val="auto"/>
        </w:rPr>
      </w:pPr>
    </w:p>
    <w:tbl>
      <w:tblPr>
        <w:tblLayout w:type="fixed"/>
        <w:tblInd w:w="340" w:type="dxa"/>
        <w:tblCellMar>
          <w:top w:w="0" w:type="dxa"/>
          <w:left w:w="0" w:type="dxa"/>
          <w:bottom w:w="0" w:type="dxa"/>
          <w:right w:w="0" w:type="dxa"/>
        </w:tblCellMar>
      </w:tblPr>
      <w:tr>
        <w:trPr>
          <w:trHeight w:val="171"/>
        </w:trPr>
        <w:tc>
          <w:tcPr>
            <w:tcW w:w="4840" w:type="dxa"/>
            <w:vAlign w:val="bottom"/>
          </w:tcPr>
          <w:p>
            <w:pPr>
              <w:spacing w:after="0"/>
              <w:rPr>
                <w:sz w:val="14"/>
                <w:szCs w:val="14"/>
                <w:color w:val="auto"/>
              </w:rPr>
            </w:pPr>
          </w:p>
        </w:tc>
        <w:tc>
          <w:tcPr>
            <w:tcW w:w="1580" w:type="dxa"/>
            <w:vAlign w:val="bottom"/>
            <w:gridSpan w:val="4"/>
          </w:tcPr>
          <w:p>
            <w:pPr>
              <w:jc w:val="right"/>
              <w:ind w:right="150"/>
              <w:spacing w:after="0"/>
              <w:rPr>
                <w:sz w:val="20"/>
                <w:szCs w:val="20"/>
                <w:color w:val="auto"/>
              </w:rPr>
            </w:pPr>
            <w:r>
              <w:rPr>
                <w:rFonts w:ascii="Arial" w:cs="Arial" w:eastAsia="Arial" w:hAnsi="Arial"/>
                <w:sz w:val="14"/>
                <w:szCs w:val="14"/>
                <w:b w:val="1"/>
                <w:bCs w:val="1"/>
                <w:color w:val="auto"/>
                <w:w w:val="95"/>
              </w:rPr>
              <w:t>Three Months Ended</w:t>
            </w:r>
          </w:p>
        </w:tc>
        <w:tc>
          <w:tcPr>
            <w:tcW w:w="1580" w:type="dxa"/>
            <w:vAlign w:val="bottom"/>
            <w:gridSpan w:val="4"/>
          </w:tcPr>
          <w:p>
            <w:pPr>
              <w:jc w:val="right"/>
              <w:ind w:right="230"/>
              <w:spacing w:after="0"/>
              <w:rPr>
                <w:sz w:val="20"/>
                <w:szCs w:val="20"/>
                <w:color w:val="auto"/>
              </w:rPr>
            </w:pPr>
            <w:r>
              <w:rPr>
                <w:rFonts w:ascii="Arial" w:cs="Arial" w:eastAsia="Arial" w:hAnsi="Arial"/>
                <w:sz w:val="14"/>
                <w:szCs w:val="14"/>
                <w:b w:val="1"/>
                <w:bCs w:val="1"/>
                <w:color w:val="auto"/>
              </w:rPr>
              <w:t>Six Months Ended</w:t>
            </w:r>
          </w:p>
        </w:tc>
      </w:tr>
      <w:tr>
        <w:trPr>
          <w:trHeight w:val="102"/>
        </w:trPr>
        <w:tc>
          <w:tcPr>
            <w:tcW w:w="4840" w:type="dxa"/>
            <w:vAlign w:val="bottom"/>
          </w:tcPr>
          <w:p>
            <w:pPr>
              <w:spacing w:after="0"/>
              <w:rPr>
                <w:sz w:val="8"/>
                <w:szCs w:val="8"/>
                <w:color w:val="auto"/>
              </w:rPr>
            </w:pPr>
          </w:p>
        </w:tc>
        <w:tc>
          <w:tcPr>
            <w:tcW w:w="800" w:type="dxa"/>
            <w:vAlign w:val="bottom"/>
            <w:tcBorders>
              <w:top w:val="single" w:sz="8" w:color="auto"/>
            </w:tcBorders>
            <w:gridSpan w:val="2"/>
          </w:tcPr>
          <w:p>
            <w:pPr>
              <w:jc w:val="right"/>
              <w:ind w:right="190"/>
              <w:spacing w:after="0" w:line="103" w:lineRule="exact"/>
              <w:rPr>
                <w:sz w:val="20"/>
                <w:szCs w:val="20"/>
                <w:color w:val="auto"/>
              </w:rPr>
            </w:pPr>
            <w:r>
              <w:rPr>
                <w:rFonts w:ascii="Arial" w:cs="Arial" w:eastAsia="Arial" w:hAnsi="Arial"/>
                <w:sz w:val="11"/>
                <w:szCs w:val="11"/>
                <w:b w:val="1"/>
                <w:bCs w:val="1"/>
                <w:color w:val="auto"/>
              </w:rPr>
              <w:t>July 28,</w:t>
            </w:r>
          </w:p>
        </w:tc>
        <w:tc>
          <w:tcPr>
            <w:tcW w:w="560" w:type="dxa"/>
            <w:vAlign w:val="bottom"/>
            <w:tcBorders>
              <w:top w:val="single" w:sz="8" w:color="auto"/>
            </w:tcBorders>
          </w:tcPr>
          <w:p>
            <w:pPr>
              <w:jc w:val="right"/>
              <w:spacing w:after="0" w:line="103"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820" w:type="dxa"/>
            <w:vAlign w:val="bottom"/>
            <w:tcBorders>
              <w:top w:val="single" w:sz="8" w:color="auto"/>
            </w:tcBorders>
            <w:gridSpan w:val="2"/>
          </w:tcPr>
          <w:p>
            <w:pPr>
              <w:jc w:val="right"/>
              <w:ind w:right="210"/>
              <w:spacing w:after="0" w:line="103" w:lineRule="exact"/>
              <w:rPr>
                <w:sz w:val="20"/>
                <w:szCs w:val="20"/>
                <w:color w:val="auto"/>
              </w:rPr>
            </w:pPr>
            <w:r>
              <w:rPr>
                <w:rFonts w:ascii="Arial" w:cs="Arial" w:eastAsia="Arial" w:hAnsi="Arial"/>
                <w:sz w:val="11"/>
                <w:szCs w:val="11"/>
                <w:b w:val="1"/>
                <w:bCs w:val="1"/>
                <w:color w:val="auto"/>
              </w:rPr>
              <w:t>July 28,</w:t>
            </w:r>
          </w:p>
        </w:tc>
        <w:tc>
          <w:tcPr>
            <w:tcW w:w="580" w:type="dxa"/>
            <w:vAlign w:val="bottom"/>
            <w:tcBorders>
              <w:top w:val="single" w:sz="8" w:color="auto"/>
            </w:tcBorders>
          </w:tcPr>
          <w:p>
            <w:pPr>
              <w:jc w:val="right"/>
              <w:spacing w:after="0" w:line="103" w:lineRule="exact"/>
              <w:rPr>
                <w:sz w:val="20"/>
                <w:szCs w:val="20"/>
                <w:color w:val="auto"/>
              </w:rPr>
            </w:pPr>
            <w:r>
              <w:rPr>
                <w:rFonts w:ascii="Arial" w:cs="Arial" w:eastAsia="Arial" w:hAnsi="Arial"/>
                <w:sz w:val="11"/>
                <w:szCs w:val="11"/>
                <w:b w:val="1"/>
                <w:bCs w:val="1"/>
                <w:color w:val="auto"/>
              </w:rPr>
              <w:t>July 29,</w:t>
            </w:r>
          </w:p>
        </w:tc>
        <w:tc>
          <w:tcPr>
            <w:tcW w:w="180" w:type="dxa"/>
            <w:vAlign w:val="bottom"/>
          </w:tcPr>
          <w:p>
            <w:pPr>
              <w:spacing w:after="0"/>
              <w:rPr>
                <w:sz w:val="8"/>
                <w:szCs w:val="8"/>
                <w:color w:val="auto"/>
              </w:rPr>
            </w:pPr>
          </w:p>
        </w:tc>
      </w:tr>
      <w:tr>
        <w:trPr>
          <w:trHeight w:val="161"/>
        </w:trPr>
        <w:tc>
          <w:tcPr>
            <w:tcW w:w="4840" w:type="dxa"/>
            <w:vAlign w:val="bottom"/>
          </w:tcPr>
          <w:p>
            <w:pPr>
              <w:spacing w:after="0"/>
              <w:rPr>
                <w:sz w:val="14"/>
                <w:szCs w:val="14"/>
                <w:color w:val="auto"/>
              </w:rPr>
            </w:pPr>
          </w:p>
        </w:tc>
        <w:tc>
          <w:tcPr>
            <w:tcW w:w="560" w:type="dxa"/>
            <w:vAlign w:val="bottom"/>
            <w:tcBorders>
              <w:bottom w:val="single" w:sz="8" w:color="auto"/>
            </w:tcBorders>
          </w:tcPr>
          <w:p>
            <w:pPr>
              <w:jc w:val="right"/>
              <w:ind w:right="74"/>
              <w:spacing w:after="0"/>
              <w:rPr>
                <w:sz w:val="20"/>
                <w:szCs w:val="20"/>
                <w:color w:val="auto"/>
              </w:rPr>
            </w:pPr>
            <w:r>
              <w:rPr>
                <w:rFonts w:ascii="Arial" w:cs="Arial" w:eastAsia="Arial" w:hAnsi="Arial"/>
                <w:sz w:val="14"/>
                <w:szCs w:val="14"/>
                <w:b w:val="1"/>
                <w:bCs w:val="1"/>
                <w:color w:val="auto"/>
              </w:rPr>
              <w:t>2007</w:t>
            </w:r>
          </w:p>
        </w:tc>
        <w:tc>
          <w:tcPr>
            <w:tcW w:w="240" w:type="dxa"/>
            <w:vAlign w:val="bottom"/>
          </w:tcPr>
          <w:p>
            <w:pPr>
              <w:spacing w:after="0"/>
              <w:rPr>
                <w:sz w:val="14"/>
                <w:szCs w:val="14"/>
                <w:color w:val="auto"/>
              </w:rPr>
            </w:pPr>
          </w:p>
        </w:tc>
        <w:tc>
          <w:tcPr>
            <w:tcW w:w="560" w:type="dxa"/>
            <w:vAlign w:val="bottom"/>
            <w:tcBorders>
              <w:bottom w:val="single" w:sz="8" w:color="auto"/>
            </w:tcBorders>
          </w:tcPr>
          <w:p>
            <w:pPr>
              <w:jc w:val="right"/>
              <w:ind w:right="73"/>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560" w:type="dxa"/>
            <w:vAlign w:val="bottom"/>
            <w:tcBorders>
              <w:bottom w:val="single" w:sz="8" w:color="auto"/>
            </w:tcBorders>
          </w:tcPr>
          <w:p>
            <w:pPr>
              <w:jc w:val="right"/>
              <w:ind w:right="54"/>
              <w:spacing w:after="0"/>
              <w:rPr>
                <w:sz w:val="20"/>
                <w:szCs w:val="20"/>
                <w:color w:val="auto"/>
              </w:rPr>
            </w:pPr>
            <w:r>
              <w:rPr>
                <w:rFonts w:ascii="Arial" w:cs="Arial" w:eastAsia="Arial" w:hAnsi="Arial"/>
                <w:sz w:val="14"/>
                <w:szCs w:val="14"/>
                <w:b w:val="1"/>
                <w:bCs w:val="1"/>
                <w:color w:val="auto"/>
              </w:rPr>
              <w:t>2007</w:t>
            </w:r>
          </w:p>
        </w:tc>
        <w:tc>
          <w:tcPr>
            <w:tcW w:w="260" w:type="dxa"/>
            <w:vAlign w:val="bottom"/>
          </w:tcPr>
          <w:p>
            <w:pPr>
              <w:spacing w:after="0"/>
              <w:rPr>
                <w:sz w:val="14"/>
                <w:szCs w:val="14"/>
                <w:color w:val="auto"/>
              </w:rPr>
            </w:pPr>
          </w:p>
        </w:tc>
        <w:tc>
          <w:tcPr>
            <w:tcW w:w="580" w:type="dxa"/>
            <w:vAlign w:val="bottom"/>
            <w:tcBorders>
              <w:bottom w:val="single" w:sz="8" w:color="auto"/>
            </w:tcBorders>
          </w:tcPr>
          <w:p>
            <w:pPr>
              <w:jc w:val="right"/>
              <w:ind w:right="73"/>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4"/>
                <w:szCs w:val="14"/>
                <w:color w:val="auto"/>
              </w:rPr>
            </w:pPr>
          </w:p>
        </w:tc>
      </w:tr>
      <w:tr>
        <w:trPr>
          <w:trHeight w:val="210"/>
        </w:trPr>
        <w:tc>
          <w:tcPr>
            <w:tcW w:w="48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r>
      <w:tr>
        <w:trPr>
          <w:trHeight w:val="216"/>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80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100.0%</w:t>
            </w: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82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100.0%</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w:t>
            </w:r>
          </w:p>
        </w:tc>
      </w:tr>
      <w:tr>
        <w:trPr>
          <w:trHeight w:val="216"/>
        </w:trPr>
        <w:tc>
          <w:tcPr>
            <w:tcW w:w="48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5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r>
      <w:tr>
        <w:trPr>
          <w:trHeight w:val="216"/>
        </w:trPr>
        <w:tc>
          <w:tcPr>
            <w:tcW w:w="48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51.1</w:t>
            </w:r>
          </w:p>
        </w:tc>
        <w:tc>
          <w:tcPr>
            <w:tcW w:w="2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48.6</w:t>
            </w:r>
          </w:p>
        </w:tc>
        <w:tc>
          <w:tcPr>
            <w:tcW w:w="2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51.3</w:t>
            </w:r>
          </w:p>
        </w:tc>
        <w:tc>
          <w:tcPr>
            <w:tcW w:w="2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47.4</w:t>
            </w:r>
          </w:p>
        </w:tc>
        <w:tc>
          <w:tcPr>
            <w:tcW w:w="180" w:type="dxa"/>
            <w:vAlign w:val="bottom"/>
            <w:shd w:val="clear" w:color="auto" w:fill="CCEEFF"/>
          </w:tcPr>
          <w:p>
            <w:pPr>
              <w:spacing w:after="0"/>
              <w:rPr>
                <w:sz w:val="18"/>
                <w:szCs w:val="18"/>
                <w:color w:val="auto"/>
              </w:rPr>
            </w:pPr>
          </w:p>
        </w:tc>
      </w:tr>
      <w:tr>
        <w:trPr>
          <w:trHeight w:val="216"/>
        </w:trPr>
        <w:tc>
          <w:tcPr>
            <w:tcW w:w="4840" w:type="dxa"/>
            <w:vAlign w:val="bottom"/>
          </w:tcPr>
          <w:p>
            <w:pPr>
              <w:ind w:left="180"/>
              <w:spacing w:after="0"/>
              <w:rPr>
                <w:sz w:val="20"/>
                <w:szCs w:val="20"/>
                <w:color w:val="auto"/>
              </w:rPr>
            </w:pPr>
            <w:r>
              <w:rPr>
                <w:rFonts w:ascii="Arial" w:cs="Arial" w:eastAsia="Arial" w:hAnsi="Arial"/>
                <w:sz w:val="18"/>
                <w:szCs w:val="18"/>
                <w:color w:val="auto"/>
              </w:rPr>
              <w:t>Research and development and other</w:t>
            </w:r>
          </w:p>
        </w:tc>
        <w:tc>
          <w:tcPr>
            <w:tcW w:w="560" w:type="dxa"/>
            <w:vAlign w:val="bottom"/>
          </w:tcPr>
          <w:p>
            <w:pPr>
              <w:jc w:val="right"/>
              <w:spacing w:after="0"/>
              <w:rPr>
                <w:sz w:val="20"/>
                <w:szCs w:val="20"/>
                <w:color w:val="auto"/>
              </w:rPr>
            </w:pPr>
            <w:r>
              <w:rPr>
                <w:rFonts w:ascii="Arial" w:cs="Arial" w:eastAsia="Arial" w:hAnsi="Arial"/>
                <w:sz w:val="18"/>
                <w:szCs w:val="18"/>
                <w:color w:val="auto"/>
              </w:rPr>
              <w:t>36.0</w:t>
            </w:r>
          </w:p>
        </w:tc>
        <w:tc>
          <w:tcPr>
            <w:tcW w:w="2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26.6</w:t>
            </w:r>
          </w:p>
        </w:tc>
        <w:tc>
          <w:tcPr>
            <w:tcW w:w="2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36.4</w:t>
            </w:r>
          </w:p>
        </w:tc>
        <w:tc>
          <w:tcPr>
            <w:tcW w:w="2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25.8</w:t>
            </w:r>
          </w:p>
        </w:tc>
        <w:tc>
          <w:tcPr>
            <w:tcW w:w="180" w:type="dxa"/>
            <w:vAlign w:val="bottom"/>
          </w:tcPr>
          <w:p>
            <w:pPr>
              <w:spacing w:after="0"/>
              <w:rPr>
                <w:sz w:val="18"/>
                <w:szCs w:val="18"/>
                <w:color w:val="auto"/>
              </w:rPr>
            </w:pPr>
          </w:p>
        </w:tc>
      </w:tr>
      <w:tr>
        <w:trPr>
          <w:trHeight w:val="216"/>
        </w:trPr>
        <w:tc>
          <w:tcPr>
            <w:tcW w:w="48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w:t>
            </w:r>
          </w:p>
        </w:tc>
        <w:tc>
          <w:tcPr>
            <w:tcW w:w="2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w:t>
            </w:r>
          </w:p>
        </w:tc>
        <w:tc>
          <w:tcPr>
            <w:tcW w:w="2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w:t>
            </w:r>
          </w:p>
        </w:tc>
        <w:tc>
          <w:tcPr>
            <w:tcW w:w="2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w:t>
            </w:r>
          </w:p>
        </w:tc>
        <w:tc>
          <w:tcPr>
            <w:tcW w:w="180" w:type="dxa"/>
            <w:vAlign w:val="bottom"/>
            <w:shd w:val="clear" w:color="auto" w:fill="CCEEFF"/>
          </w:tcPr>
          <w:p>
            <w:pPr>
              <w:spacing w:after="0"/>
              <w:rPr>
                <w:sz w:val="18"/>
                <w:szCs w:val="18"/>
                <w:color w:val="auto"/>
              </w:rPr>
            </w:pPr>
          </w:p>
        </w:tc>
      </w:tr>
      <w:tr>
        <w:trPr>
          <w:trHeight w:val="216"/>
        </w:trPr>
        <w:tc>
          <w:tcPr>
            <w:tcW w:w="484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560" w:type="dxa"/>
            <w:vAlign w:val="bottom"/>
          </w:tcPr>
          <w:p>
            <w:pPr>
              <w:jc w:val="right"/>
              <w:spacing w:after="0"/>
              <w:rPr>
                <w:sz w:val="20"/>
                <w:szCs w:val="20"/>
                <w:color w:val="auto"/>
              </w:rPr>
            </w:pPr>
            <w:r>
              <w:rPr>
                <w:rFonts w:ascii="Arial" w:cs="Arial" w:eastAsia="Arial" w:hAnsi="Arial"/>
                <w:sz w:val="18"/>
                <w:szCs w:val="18"/>
                <w:color w:val="auto"/>
              </w:rPr>
              <w:t>5.1</w:t>
            </w:r>
          </w:p>
        </w:tc>
        <w:tc>
          <w:tcPr>
            <w:tcW w:w="2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3.4</w:t>
            </w:r>
          </w:p>
        </w:tc>
        <w:tc>
          <w:tcPr>
            <w:tcW w:w="2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4.5</w:t>
            </w:r>
          </w:p>
        </w:tc>
        <w:tc>
          <w:tcPr>
            <w:tcW w:w="2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w:t>
            </w:r>
          </w:p>
        </w:tc>
        <w:tc>
          <w:tcPr>
            <w:tcW w:w="180" w:type="dxa"/>
            <w:vAlign w:val="bottom"/>
          </w:tcPr>
          <w:p>
            <w:pPr>
              <w:spacing w:after="0"/>
              <w:rPr>
                <w:sz w:val="18"/>
                <w:szCs w:val="18"/>
                <w:color w:val="auto"/>
              </w:rPr>
            </w:pPr>
          </w:p>
        </w:tc>
      </w:tr>
      <w:tr>
        <w:trPr>
          <w:trHeight w:val="216"/>
        </w:trPr>
        <w:tc>
          <w:tcPr>
            <w:tcW w:w="48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w:t>
            </w:r>
          </w:p>
        </w:tc>
        <w:tc>
          <w:tcPr>
            <w:tcW w:w="240" w:type="dxa"/>
            <w:vAlign w:val="bottom"/>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w:t>
            </w:r>
          </w:p>
        </w:tc>
        <w:tc>
          <w:tcPr>
            <w:tcW w:w="220" w:type="dxa"/>
            <w:vAlign w:val="bottom"/>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w:t>
            </w:r>
          </w:p>
        </w:tc>
        <w:tc>
          <w:tcPr>
            <w:tcW w:w="26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w:t>
            </w:r>
          </w:p>
        </w:tc>
        <w:tc>
          <w:tcPr>
            <w:tcW w:w="180" w:type="dxa"/>
            <w:vAlign w:val="bottom"/>
            <w:shd w:val="clear" w:color="auto" w:fill="CCEEFF"/>
          </w:tcPr>
          <w:p>
            <w:pPr>
              <w:spacing w:after="0"/>
              <w:rPr>
                <w:sz w:val="18"/>
                <w:szCs w:val="18"/>
                <w:color w:val="auto"/>
              </w:rPr>
            </w:pPr>
          </w:p>
        </w:tc>
      </w:tr>
      <w:tr>
        <w:trPr>
          <w:trHeight w:val="210"/>
        </w:trPr>
        <w:tc>
          <w:tcPr>
            <w:tcW w:w="48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operating costs and expenses</w:t>
            </w: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106.1</w:t>
            </w:r>
          </w:p>
        </w:tc>
        <w:tc>
          <w:tcPr>
            <w:tcW w:w="240" w:type="dxa"/>
            <w:vAlign w:val="bottom"/>
            <w:tcBorders>
              <w:bottom w:val="single" w:sz="8" w:color="CCEEFF"/>
            </w:tcBorders>
          </w:tcPr>
          <w:p>
            <w:pPr>
              <w:spacing w:after="0"/>
              <w:rPr>
                <w:sz w:val="18"/>
                <w:szCs w:val="18"/>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90.3</w:t>
            </w:r>
          </w:p>
        </w:tc>
        <w:tc>
          <w:tcPr>
            <w:tcW w:w="220" w:type="dxa"/>
            <w:vAlign w:val="bottom"/>
            <w:tcBorders>
              <w:bottom w:val="single" w:sz="8" w:color="CCEEFF"/>
            </w:tcBorders>
          </w:tcPr>
          <w:p>
            <w:pPr>
              <w:spacing w:after="0"/>
              <w:rPr>
                <w:sz w:val="18"/>
                <w:szCs w:val="18"/>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106.1</w:t>
            </w:r>
          </w:p>
        </w:tc>
        <w:tc>
          <w:tcPr>
            <w:tcW w:w="260" w:type="dxa"/>
            <w:vAlign w:val="bottom"/>
            <w:tcBorders>
              <w:bottom w:val="single" w:sz="8" w:color="CCEEFF"/>
            </w:tcBorders>
          </w:tcPr>
          <w:p>
            <w:pPr>
              <w:spacing w:after="0"/>
              <w:rPr>
                <w:sz w:val="18"/>
                <w:szCs w:val="18"/>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87.9</w:t>
            </w:r>
          </w:p>
        </w:tc>
        <w:tc>
          <w:tcPr>
            <w:tcW w:w="180" w:type="dxa"/>
            <w:vAlign w:val="bottom"/>
            <w:tcBorders>
              <w:bottom w:val="single" w:sz="8" w:color="CCEEFF"/>
            </w:tcBorders>
          </w:tcPr>
          <w:p>
            <w:pPr>
              <w:spacing w:after="0"/>
              <w:rPr>
                <w:sz w:val="18"/>
                <w:szCs w:val="18"/>
                <w:color w:val="auto"/>
              </w:rPr>
            </w:pPr>
          </w:p>
        </w:tc>
      </w:tr>
      <w:tr>
        <w:trPr>
          <w:trHeight w:val="210"/>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80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(6.1)</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w:t>
            </w:r>
          </w:p>
        </w:tc>
        <w:tc>
          <w:tcPr>
            <w:tcW w:w="2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(6.1)</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w:t>
            </w:r>
          </w:p>
        </w:tc>
        <w:tc>
          <w:tcPr>
            <w:tcW w:w="180" w:type="dxa"/>
            <w:vAlign w:val="bottom"/>
            <w:shd w:val="clear" w:color="auto" w:fill="CCEEFF"/>
          </w:tcPr>
          <w:p>
            <w:pPr>
              <w:spacing w:after="0"/>
              <w:rPr>
                <w:sz w:val="18"/>
                <w:szCs w:val="18"/>
                <w:color w:val="auto"/>
              </w:rPr>
            </w:pPr>
          </w:p>
        </w:tc>
      </w:tr>
      <w:tr>
        <w:trPr>
          <w:trHeight w:val="216"/>
        </w:trPr>
        <w:tc>
          <w:tcPr>
            <w:tcW w:w="484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560" w:type="dxa"/>
            <w:vAlign w:val="bottom"/>
          </w:tcPr>
          <w:p>
            <w:pPr>
              <w:jc w:val="right"/>
              <w:spacing w:after="0"/>
              <w:rPr>
                <w:sz w:val="20"/>
                <w:szCs w:val="20"/>
                <w:color w:val="auto"/>
              </w:rPr>
            </w:pPr>
            <w:r>
              <w:rPr>
                <w:rFonts w:ascii="Arial" w:cs="Arial" w:eastAsia="Arial" w:hAnsi="Arial"/>
                <w:sz w:val="18"/>
                <w:szCs w:val="18"/>
                <w:color w:val="auto"/>
              </w:rPr>
              <w:t>0.5</w:t>
            </w:r>
          </w:p>
        </w:tc>
        <w:tc>
          <w:tcPr>
            <w:tcW w:w="2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0.3</w:t>
            </w:r>
          </w:p>
        </w:tc>
        <w:tc>
          <w:tcPr>
            <w:tcW w:w="2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0.3</w:t>
            </w:r>
          </w:p>
        </w:tc>
        <w:tc>
          <w:tcPr>
            <w:tcW w:w="2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0.9</w:t>
            </w:r>
          </w:p>
        </w:tc>
        <w:tc>
          <w:tcPr>
            <w:tcW w:w="180" w:type="dxa"/>
            <w:vAlign w:val="bottom"/>
          </w:tcPr>
          <w:p>
            <w:pPr>
              <w:spacing w:after="0"/>
              <w:rPr>
                <w:sz w:val="18"/>
                <w:szCs w:val="18"/>
                <w:color w:val="auto"/>
              </w:rPr>
            </w:pPr>
          </w:p>
        </w:tc>
      </w:tr>
      <w:tr>
        <w:trPr>
          <w:trHeight w:val="216"/>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240" w:type="dxa"/>
            <w:vAlign w:val="bottom"/>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220" w:type="dxa"/>
            <w:vAlign w:val="bottom"/>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26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180" w:type="dxa"/>
            <w:vAlign w:val="bottom"/>
            <w:shd w:val="clear" w:color="auto" w:fill="CCEEFF"/>
          </w:tcPr>
          <w:p>
            <w:pPr>
              <w:spacing w:after="0"/>
              <w:rPr>
                <w:sz w:val="18"/>
                <w:szCs w:val="18"/>
                <w:color w:val="auto"/>
              </w:rPr>
            </w:pPr>
          </w:p>
        </w:tc>
      </w:tr>
      <w:tr>
        <w:trPr>
          <w:trHeight w:val="210"/>
        </w:trPr>
        <w:tc>
          <w:tcPr>
            <w:tcW w:w="4840" w:type="dxa"/>
            <w:vAlign w:val="bottom"/>
          </w:tcPr>
          <w:p>
            <w:pPr>
              <w:spacing w:after="0"/>
              <w:rPr>
                <w:sz w:val="20"/>
                <w:szCs w:val="20"/>
                <w:color w:val="auto"/>
              </w:rPr>
            </w:pPr>
            <w:r>
              <w:rPr>
                <w:rFonts w:ascii="Arial" w:cs="Arial" w:eastAsia="Arial" w:hAnsi="Arial"/>
                <w:sz w:val="18"/>
                <w:szCs w:val="18"/>
                <w:color w:val="auto"/>
              </w:rPr>
              <w:t>Income (loss) before income taxes</w:t>
            </w:r>
          </w:p>
        </w:tc>
        <w:tc>
          <w:tcPr>
            <w:tcW w:w="800" w:type="dxa"/>
            <w:vAlign w:val="bottom"/>
            <w:gridSpan w:val="2"/>
          </w:tcPr>
          <w:p>
            <w:pPr>
              <w:jc w:val="right"/>
              <w:ind w:right="90"/>
              <w:spacing w:after="0"/>
              <w:rPr>
                <w:sz w:val="20"/>
                <w:szCs w:val="20"/>
                <w:color w:val="auto"/>
              </w:rPr>
            </w:pPr>
            <w:r>
              <w:rPr>
                <w:rFonts w:ascii="Arial" w:cs="Arial" w:eastAsia="Arial" w:hAnsi="Arial"/>
                <w:sz w:val="18"/>
                <w:szCs w:val="18"/>
                <w:color w:val="auto"/>
              </w:rPr>
              <w:t>(7.1)</w:t>
            </w:r>
          </w:p>
        </w:tc>
        <w:tc>
          <w:tcPr>
            <w:tcW w:w="560" w:type="dxa"/>
            <w:vAlign w:val="bottom"/>
          </w:tcPr>
          <w:p>
            <w:pPr>
              <w:jc w:val="right"/>
              <w:spacing w:after="0"/>
              <w:rPr>
                <w:sz w:val="20"/>
                <w:szCs w:val="20"/>
                <w:color w:val="auto"/>
              </w:rPr>
            </w:pPr>
            <w:r>
              <w:rPr>
                <w:rFonts w:ascii="Arial" w:cs="Arial" w:eastAsia="Arial" w:hAnsi="Arial"/>
                <w:sz w:val="18"/>
                <w:szCs w:val="18"/>
                <w:color w:val="auto"/>
              </w:rPr>
              <w:t>9.9</w:t>
            </w:r>
          </w:p>
        </w:tc>
        <w:tc>
          <w:tcPr>
            <w:tcW w:w="220" w:type="dxa"/>
            <w:vAlign w:val="bottom"/>
          </w:tcPr>
          <w:p>
            <w:pPr>
              <w:spacing w:after="0"/>
              <w:rPr>
                <w:sz w:val="18"/>
                <w:szCs w:val="18"/>
                <w:color w:val="auto"/>
              </w:rPr>
            </w:pPr>
          </w:p>
        </w:tc>
        <w:tc>
          <w:tcPr>
            <w:tcW w:w="820" w:type="dxa"/>
            <w:vAlign w:val="bottom"/>
            <w:gridSpan w:val="2"/>
          </w:tcPr>
          <w:p>
            <w:pPr>
              <w:jc w:val="right"/>
              <w:ind w:right="110"/>
              <w:spacing w:after="0"/>
              <w:rPr>
                <w:sz w:val="20"/>
                <w:szCs w:val="20"/>
                <w:color w:val="auto"/>
              </w:rPr>
            </w:pPr>
            <w:r>
              <w:rPr>
                <w:rFonts w:ascii="Arial" w:cs="Arial" w:eastAsia="Arial" w:hAnsi="Arial"/>
                <w:sz w:val="18"/>
                <w:szCs w:val="18"/>
                <w:color w:val="auto"/>
              </w:rPr>
              <w:t>(7.3)</w:t>
            </w:r>
          </w:p>
        </w:tc>
        <w:tc>
          <w:tcPr>
            <w:tcW w:w="580" w:type="dxa"/>
            <w:vAlign w:val="bottom"/>
          </w:tcPr>
          <w:p>
            <w:pPr>
              <w:jc w:val="right"/>
              <w:spacing w:after="0"/>
              <w:rPr>
                <w:sz w:val="20"/>
                <w:szCs w:val="20"/>
                <w:color w:val="auto"/>
              </w:rPr>
            </w:pPr>
            <w:r>
              <w:rPr>
                <w:rFonts w:ascii="Arial" w:cs="Arial" w:eastAsia="Arial" w:hAnsi="Arial"/>
                <w:sz w:val="18"/>
                <w:szCs w:val="18"/>
                <w:color w:val="auto"/>
              </w:rPr>
              <w:t>12.9</w:t>
            </w:r>
          </w:p>
        </w:tc>
        <w:tc>
          <w:tcPr>
            <w:tcW w:w="180" w:type="dxa"/>
            <w:vAlign w:val="bottom"/>
          </w:tcPr>
          <w:p>
            <w:pPr>
              <w:spacing w:after="0"/>
              <w:rPr>
                <w:sz w:val="18"/>
                <w:szCs w:val="18"/>
                <w:color w:val="auto"/>
              </w:rPr>
            </w:pPr>
          </w:p>
        </w:tc>
      </w:tr>
      <w:tr>
        <w:trPr>
          <w:trHeight w:val="216"/>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240" w:type="dxa"/>
            <w:vAlign w:val="bottom"/>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w:t>
            </w:r>
          </w:p>
        </w:tc>
        <w:tc>
          <w:tcPr>
            <w:tcW w:w="220" w:type="dxa"/>
            <w:vAlign w:val="bottom"/>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26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w:t>
            </w:r>
          </w:p>
        </w:tc>
        <w:tc>
          <w:tcPr>
            <w:tcW w:w="180" w:type="dxa"/>
            <w:vAlign w:val="bottom"/>
            <w:shd w:val="clear" w:color="auto" w:fill="CCEEFF"/>
          </w:tcPr>
          <w:p>
            <w:pPr>
              <w:spacing w:after="0"/>
              <w:rPr>
                <w:sz w:val="18"/>
                <w:szCs w:val="18"/>
                <w:color w:val="auto"/>
              </w:rPr>
            </w:pPr>
          </w:p>
        </w:tc>
      </w:tr>
      <w:tr>
        <w:trPr>
          <w:trHeight w:val="210"/>
        </w:trPr>
        <w:tc>
          <w:tcPr>
            <w:tcW w:w="4840" w:type="dxa"/>
            <w:vAlign w:val="bottom"/>
          </w:tcPr>
          <w:p>
            <w:pPr>
              <w:spacing w:after="0"/>
              <w:rPr>
                <w:sz w:val="20"/>
                <w:szCs w:val="20"/>
                <w:color w:val="auto"/>
              </w:rPr>
            </w:pPr>
            <w:r>
              <w:rPr>
                <w:rFonts w:ascii="Arial" w:cs="Arial" w:eastAsia="Arial" w:hAnsi="Arial"/>
                <w:sz w:val="18"/>
                <w:szCs w:val="18"/>
                <w:color w:val="auto"/>
              </w:rPr>
              <w:t>Income (loss) before change in accounting principle</w:t>
            </w:r>
          </w:p>
        </w:tc>
        <w:tc>
          <w:tcPr>
            <w:tcW w:w="800" w:type="dxa"/>
            <w:vAlign w:val="bottom"/>
            <w:gridSpan w:val="2"/>
          </w:tcPr>
          <w:p>
            <w:pPr>
              <w:jc w:val="right"/>
              <w:ind w:right="90"/>
              <w:spacing w:after="0"/>
              <w:rPr>
                <w:sz w:val="20"/>
                <w:szCs w:val="20"/>
                <w:color w:val="auto"/>
              </w:rPr>
            </w:pPr>
            <w:r>
              <w:rPr>
                <w:rFonts w:ascii="Arial" w:cs="Arial" w:eastAsia="Arial" w:hAnsi="Arial"/>
                <w:sz w:val="18"/>
                <w:szCs w:val="18"/>
                <w:color w:val="auto"/>
              </w:rPr>
              <w:t>(8.6)</w:t>
            </w:r>
          </w:p>
        </w:tc>
        <w:tc>
          <w:tcPr>
            <w:tcW w:w="560" w:type="dxa"/>
            <w:vAlign w:val="bottom"/>
          </w:tcPr>
          <w:p>
            <w:pPr>
              <w:jc w:val="right"/>
              <w:spacing w:after="0"/>
              <w:rPr>
                <w:sz w:val="20"/>
                <w:szCs w:val="20"/>
                <w:color w:val="auto"/>
              </w:rPr>
            </w:pPr>
            <w:r>
              <w:rPr>
                <w:rFonts w:ascii="Arial" w:cs="Arial" w:eastAsia="Arial" w:hAnsi="Arial"/>
                <w:sz w:val="18"/>
                <w:szCs w:val="18"/>
                <w:color w:val="auto"/>
              </w:rPr>
              <w:t>7.8</w:t>
            </w:r>
          </w:p>
        </w:tc>
        <w:tc>
          <w:tcPr>
            <w:tcW w:w="220" w:type="dxa"/>
            <w:vAlign w:val="bottom"/>
          </w:tcPr>
          <w:p>
            <w:pPr>
              <w:spacing w:after="0"/>
              <w:rPr>
                <w:sz w:val="18"/>
                <w:szCs w:val="18"/>
                <w:color w:val="auto"/>
              </w:rPr>
            </w:pPr>
          </w:p>
        </w:tc>
        <w:tc>
          <w:tcPr>
            <w:tcW w:w="820" w:type="dxa"/>
            <w:vAlign w:val="bottom"/>
            <w:gridSpan w:val="2"/>
          </w:tcPr>
          <w:p>
            <w:pPr>
              <w:jc w:val="right"/>
              <w:ind w:right="110"/>
              <w:spacing w:after="0"/>
              <w:rPr>
                <w:sz w:val="20"/>
                <w:szCs w:val="20"/>
                <w:color w:val="auto"/>
              </w:rPr>
            </w:pPr>
            <w:r>
              <w:rPr>
                <w:rFonts w:ascii="Arial" w:cs="Arial" w:eastAsia="Arial" w:hAnsi="Arial"/>
                <w:sz w:val="18"/>
                <w:szCs w:val="18"/>
                <w:color w:val="auto"/>
              </w:rPr>
              <w:t>(8.5)</w:t>
            </w:r>
          </w:p>
        </w:tc>
        <w:tc>
          <w:tcPr>
            <w:tcW w:w="580" w:type="dxa"/>
            <w:vAlign w:val="bottom"/>
          </w:tcPr>
          <w:p>
            <w:pPr>
              <w:jc w:val="right"/>
              <w:spacing w:after="0"/>
              <w:rPr>
                <w:sz w:val="20"/>
                <w:szCs w:val="20"/>
                <w:color w:val="auto"/>
              </w:rPr>
            </w:pPr>
            <w:r>
              <w:rPr>
                <w:rFonts w:ascii="Arial" w:cs="Arial" w:eastAsia="Arial" w:hAnsi="Arial"/>
                <w:sz w:val="18"/>
                <w:szCs w:val="18"/>
                <w:color w:val="auto"/>
              </w:rPr>
              <w:t>10.4</w:t>
            </w:r>
          </w:p>
        </w:tc>
        <w:tc>
          <w:tcPr>
            <w:tcW w:w="180" w:type="dxa"/>
            <w:vAlign w:val="bottom"/>
          </w:tcPr>
          <w:p>
            <w:pPr>
              <w:spacing w:after="0"/>
              <w:rPr>
                <w:sz w:val="18"/>
                <w:szCs w:val="18"/>
                <w:color w:val="auto"/>
              </w:rPr>
            </w:pPr>
          </w:p>
        </w:tc>
      </w:tr>
      <w:tr>
        <w:trPr>
          <w:trHeight w:val="202"/>
        </w:trPr>
        <w:tc>
          <w:tcPr>
            <w:tcW w:w="48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8"/>
              </w:rPr>
              <w:t>Cumulative effect of change in accounting principle, net of tax</w:t>
            </w:r>
          </w:p>
        </w:tc>
        <w:tc>
          <w:tcPr>
            <w:tcW w:w="5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r>
      <w:tr>
        <w:trPr>
          <w:trHeight w:val="230"/>
        </w:trPr>
        <w:tc>
          <w:tcPr>
            <w:tcW w:w="48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effect</w:t>
            </w:r>
          </w:p>
        </w:tc>
        <w:tc>
          <w:tcPr>
            <w:tcW w:w="800" w:type="dxa"/>
            <w:vAlign w:val="bottom"/>
            <w:gridSpan w:val="2"/>
            <w:shd w:val="clear" w:color="auto" w:fill="CCEEFF"/>
          </w:tcPr>
          <w:p>
            <w:pPr>
              <w:jc w:val="right"/>
              <w:ind w:right="170"/>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7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0.8</w:t>
            </w:r>
          </w:p>
        </w:tc>
        <w:tc>
          <w:tcPr>
            <w:tcW w:w="180" w:type="dxa"/>
            <w:vAlign w:val="bottom"/>
            <w:shd w:val="clear" w:color="auto" w:fill="CCEEFF"/>
          </w:tcPr>
          <w:p>
            <w:pPr>
              <w:spacing w:after="0"/>
              <w:rPr>
                <w:sz w:val="20"/>
                <w:szCs w:val="20"/>
                <w:color w:val="auto"/>
              </w:rPr>
            </w:pPr>
          </w:p>
        </w:tc>
      </w:tr>
      <w:tr>
        <w:trPr>
          <w:trHeight w:val="223"/>
        </w:trPr>
        <w:tc>
          <w:tcPr>
            <w:tcW w:w="4840" w:type="dxa"/>
            <w:vAlign w:val="bottom"/>
          </w:tcPr>
          <w:p>
            <w:pPr>
              <w:spacing w:after="0"/>
              <w:rPr>
                <w:sz w:val="20"/>
                <w:szCs w:val="20"/>
                <w:color w:val="auto"/>
              </w:rPr>
            </w:pPr>
            <w:r>
              <w:rPr>
                <w:rFonts w:ascii="Arial" w:cs="Arial" w:eastAsia="Arial" w:hAnsi="Arial"/>
                <w:sz w:val="18"/>
                <w:szCs w:val="18"/>
                <w:color w:val="auto"/>
              </w:rPr>
              <w:t>Net income (loss)</w:t>
            </w: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(8.6</w:t>
            </w:r>
          </w:p>
        </w:tc>
        <w:tc>
          <w:tcPr>
            <w:tcW w:w="240" w:type="dxa"/>
            <w:vAlign w:val="bottom"/>
          </w:tcPr>
          <w:p>
            <w:pPr>
              <w:jc w:val="right"/>
              <w:spacing w:after="0"/>
              <w:rPr>
                <w:sz w:val="20"/>
                <w:szCs w:val="20"/>
                <w:color w:val="auto"/>
              </w:rPr>
            </w:pPr>
            <w:r>
              <w:rPr>
                <w:rFonts w:ascii="Arial" w:cs="Arial" w:eastAsia="Arial" w:hAnsi="Arial"/>
                <w:sz w:val="18"/>
                <w:szCs w:val="18"/>
                <w:color w:val="auto"/>
                <w:w w:val="81"/>
              </w:rPr>
              <w:t>)%</w:t>
            </w: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7.8</w:t>
            </w:r>
          </w:p>
        </w:tc>
        <w:tc>
          <w:tcPr>
            <w:tcW w:w="22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(8.5</w:t>
            </w:r>
          </w:p>
        </w:tc>
        <w:tc>
          <w:tcPr>
            <w:tcW w:w="260" w:type="dxa"/>
            <w:vAlign w:val="bottom"/>
          </w:tcPr>
          <w:p>
            <w:pPr>
              <w:jc w:val="right"/>
              <w:spacing w:after="0"/>
              <w:rPr>
                <w:sz w:val="20"/>
                <w:szCs w:val="20"/>
                <w:color w:val="auto"/>
              </w:rPr>
            </w:pPr>
            <w:r>
              <w:rPr>
                <w:rFonts w:ascii="Arial" w:cs="Arial" w:eastAsia="Arial" w:hAnsi="Arial"/>
                <w:sz w:val="18"/>
                <w:szCs w:val="18"/>
                <w:color w:val="auto"/>
                <w:w w:val="90"/>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11.2</w:t>
            </w:r>
          </w:p>
        </w:tc>
        <w:tc>
          <w:tcPr>
            <w:tcW w:w="180" w:type="dxa"/>
            <w:vAlign w:val="bottom"/>
          </w:tcPr>
          <w:p>
            <w:pPr>
              <w:jc w:val="right"/>
              <w:spacing w:after="0"/>
              <w:rPr>
                <w:sz w:val="20"/>
                <w:szCs w:val="20"/>
                <w:color w:val="auto"/>
              </w:rPr>
            </w:pPr>
            <w:r>
              <w:rPr>
                <w:rFonts w:ascii="Arial" w:cs="Arial" w:eastAsia="Arial" w:hAnsi="Arial"/>
                <w:sz w:val="18"/>
                <w:szCs w:val="18"/>
                <w:color w:val="auto"/>
                <w:w w:val="74"/>
              </w:rPr>
              <w:t>%</w:t>
            </w:r>
          </w:p>
        </w:tc>
      </w:tr>
      <w:tr>
        <w:trPr>
          <w:trHeight w:val="20"/>
        </w:trPr>
        <w:tc>
          <w:tcPr>
            <w:tcW w:w="4840" w:type="dxa"/>
            <w:vAlign w:val="bottom"/>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r>
    </w:tbl>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Six Months Ended July 28, 2007 and July 29, 2006</w:t>
      </w:r>
    </w:p>
    <w:p>
      <w:pPr>
        <w:spacing w:after="0" w:line="229" w:lineRule="exact"/>
        <w:rPr>
          <w:sz w:val="20"/>
          <w:szCs w:val="20"/>
          <w:color w:val="auto"/>
        </w:rPr>
      </w:pPr>
    </w:p>
    <w:p>
      <w:pPr>
        <w:ind w:left="140"/>
        <w:spacing w:after="0"/>
        <w:rPr>
          <w:sz w:val="20"/>
          <w:szCs w:val="20"/>
          <w:color w:val="auto"/>
        </w:rPr>
      </w:pPr>
      <w:r>
        <w:rPr>
          <w:rFonts w:ascii="Arial" w:cs="Arial" w:eastAsia="Arial" w:hAnsi="Arial"/>
          <w:sz w:val="18"/>
          <w:szCs w:val="18"/>
          <w:i w:val="1"/>
          <w:iCs w:val="1"/>
          <w:color w:val="auto"/>
        </w:rPr>
        <w:t>Net Revenue</w:t>
      </w:r>
    </w:p>
    <w:p>
      <w:pPr>
        <w:spacing w:after="0" w:line="203" w:lineRule="exact"/>
        <w:rPr>
          <w:sz w:val="20"/>
          <w:szCs w:val="20"/>
          <w:color w:val="auto"/>
        </w:rPr>
      </w:pPr>
    </w:p>
    <w:tbl>
      <w:tblPr>
        <w:tblLayout w:type="fixed"/>
        <w:tblInd w:w="340" w:type="dxa"/>
        <w:tblCellMar>
          <w:top w:w="0" w:type="dxa"/>
          <w:left w:w="0" w:type="dxa"/>
          <w:bottom w:w="0" w:type="dxa"/>
          <w:right w:w="0" w:type="dxa"/>
        </w:tblCellMar>
      </w:tblPr>
      <w:tr>
        <w:trPr>
          <w:trHeight w:val="171"/>
        </w:trPr>
        <w:tc>
          <w:tcPr>
            <w:tcW w:w="14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120" w:type="dxa"/>
            <w:vAlign w:val="bottom"/>
            <w:gridSpan w:val="4"/>
          </w:tcPr>
          <w:p>
            <w:pPr>
              <w:ind w:left="280"/>
              <w:spacing w:after="0"/>
              <w:rPr>
                <w:sz w:val="20"/>
                <w:szCs w:val="20"/>
                <w:color w:val="auto"/>
              </w:rPr>
            </w:pPr>
            <w:r>
              <w:rPr>
                <w:rFonts w:ascii="Arial" w:cs="Arial" w:eastAsia="Arial" w:hAnsi="Arial"/>
                <w:sz w:val="14"/>
                <w:szCs w:val="14"/>
                <w:b w:val="1"/>
                <w:bCs w:val="1"/>
                <w:color w:val="auto"/>
              </w:rPr>
              <w:t>Three Months Ended</w:t>
            </w:r>
          </w:p>
        </w:tc>
        <w:tc>
          <w:tcPr>
            <w:tcW w:w="106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Percent</w:t>
            </w:r>
          </w:p>
        </w:tc>
        <w:tc>
          <w:tcPr>
            <w:tcW w:w="2180" w:type="dxa"/>
            <w:vAlign w:val="bottom"/>
            <w:gridSpan w:val="4"/>
          </w:tcPr>
          <w:p>
            <w:pPr>
              <w:ind w:left="420"/>
              <w:spacing w:after="0"/>
              <w:rPr>
                <w:sz w:val="20"/>
                <w:szCs w:val="20"/>
                <w:color w:val="auto"/>
              </w:rPr>
            </w:pPr>
            <w:r>
              <w:rPr>
                <w:rFonts w:ascii="Arial" w:cs="Arial" w:eastAsia="Arial" w:hAnsi="Arial"/>
                <w:sz w:val="14"/>
                <w:szCs w:val="14"/>
                <w:b w:val="1"/>
                <w:bCs w:val="1"/>
                <w:color w:val="auto"/>
              </w:rPr>
              <w:t>Six Months Ended</w:t>
            </w:r>
          </w:p>
        </w:tc>
        <w:tc>
          <w:tcPr>
            <w:tcW w:w="1080" w:type="dxa"/>
            <w:vAlign w:val="bottom"/>
            <w:gridSpan w:val="2"/>
            <w:vMerge w:val="restart"/>
          </w:tcPr>
          <w:p>
            <w:pPr>
              <w:ind w:left="20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1440" w:type="dxa"/>
            <w:vAlign w:val="bottom"/>
          </w:tcPr>
          <w:p>
            <w:pPr>
              <w:spacing w:after="0"/>
              <w:rPr>
                <w:sz w:val="8"/>
                <w:szCs w:val="8"/>
                <w:color w:val="auto"/>
              </w:rPr>
            </w:pPr>
          </w:p>
        </w:tc>
        <w:tc>
          <w:tcPr>
            <w:tcW w:w="600" w:type="dxa"/>
            <w:vAlign w:val="bottom"/>
          </w:tcPr>
          <w:p>
            <w:pPr>
              <w:spacing w:after="0"/>
              <w:rPr>
                <w:sz w:val="8"/>
                <w:szCs w:val="8"/>
                <w:color w:val="auto"/>
              </w:rPr>
            </w:pPr>
          </w:p>
        </w:tc>
        <w:tc>
          <w:tcPr>
            <w:tcW w:w="1060" w:type="dxa"/>
            <w:vAlign w:val="bottom"/>
            <w:tcBorders>
              <w:top w:val="single" w:sz="8" w:color="auto"/>
            </w:tcBorders>
            <w:gridSpan w:val="2"/>
          </w:tcPr>
          <w:p>
            <w:pPr>
              <w:jc w:val="center"/>
              <w:ind w:right="220"/>
              <w:spacing w:after="0" w:line="102" w:lineRule="exact"/>
              <w:rPr>
                <w:sz w:val="20"/>
                <w:szCs w:val="20"/>
                <w:color w:val="auto"/>
              </w:rPr>
            </w:pPr>
            <w:r>
              <w:rPr>
                <w:rFonts w:ascii="Arial" w:cs="Arial" w:eastAsia="Arial" w:hAnsi="Arial"/>
                <w:sz w:val="11"/>
                <w:szCs w:val="11"/>
                <w:b w:val="1"/>
                <w:bCs w:val="1"/>
                <w:color w:val="auto"/>
              </w:rPr>
              <w:t>July 28,</w:t>
            </w:r>
          </w:p>
        </w:tc>
        <w:tc>
          <w:tcPr>
            <w:tcW w:w="840" w:type="dxa"/>
            <w:vAlign w:val="bottom"/>
            <w:tcBorders>
              <w:top w:val="single" w:sz="8" w:color="auto"/>
            </w:tcBorders>
          </w:tcPr>
          <w:p>
            <w:pPr>
              <w:ind w:left="180"/>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1060" w:type="dxa"/>
            <w:vAlign w:val="bottom"/>
            <w:gridSpan w:val="2"/>
            <w:vMerge w:val="continue"/>
          </w:tcPr>
          <w:p>
            <w:pPr>
              <w:spacing w:after="0"/>
              <w:rPr>
                <w:sz w:val="8"/>
                <w:szCs w:val="8"/>
                <w:color w:val="auto"/>
              </w:rPr>
            </w:pPr>
          </w:p>
        </w:tc>
        <w:tc>
          <w:tcPr>
            <w:tcW w:w="880" w:type="dxa"/>
            <w:vAlign w:val="bottom"/>
            <w:tcBorders>
              <w:top w:val="single" w:sz="8" w:color="auto"/>
            </w:tcBorders>
          </w:tcPr>
          <w:p>
            <w:pPr>
              <w:ind w:left="200"/>
              <w:spacing w:after="0" w:line="102" w:lineRule="exact"/>
              <w:rPr>
                <w:sz w:val="20"/>
                <w:szCs w:val="20"/>
                <w:color w:val="auto"/>
              </w:rPr>
            </w:pPr>
            <w:r>
              <w:rPr>
                <w:rFonts w:ascii="Arial" w:cs="Arial" w:eastAsia="Arial" w:hAnsi="Arial"/>
                <w:sz w:val="11"/>
                <w:szCs w:val="11"/>
                <w:b w:val="1"/>
                <w:bCs w:val="1"/>
                <w:color w:val="auto"/>
              </w:rPr>
              <w:t>July 28,</w:t>
            </w:r>
          </w:p>
        </w:tc>
        <w:tc>
          <w:tcPr>
            <w:tcW w:w="220" w:type="dxa"/>
            <w:vAlign w:val="bottom"/>
            <w:tcBorders>
              <w:top w:val="single" w:sz="8" w:color="auto"/>
            </w:tcBorders>
          </w:tcPr>
          <w:p>
            <w:pPr>
              <w:spacing w:after="0"/>
              <w:rPr>
                <w:sz w:val="8"/>
                <w:szCs w:val="8"/>
                <w:color w:val="auto"/>
              </w:rPr>
            </w:pPr>
          </w:p>
        </w:tc>
        <w:tc>
          <w:tcPr>
            <w:tcW w:w="88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July 29,</w:t>
            </w:r>
          </w:p>
        </w:tc>
        <w:tc>
          <w:tcPr>
            <w:tcW w:w="200" w:type="dxa"/>
            <w:vAlign w:val="bottom"/>
          </w:tcPr>
          <w:p>
            <w:pPr>
              <w:spacing w:after="0"/>
              <w:rPr>
                <w:sz w:val="8"/>
                <w:szCs w:val="8"/>
                <w:color w:val="auto"/>
              </w:rPr>
            </w:pPr>
          </w:p>
        </w:tc>
        <w:tc>
          <w:tcPr>
            <w:tcW w:w="10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1440" w:type="dxa"/>
            <w:vAlign w:val="bottom"/>
            <w:tcBorders>
              <w:bottom w:val="single" w:sz="8" w:color="CCEEFF"/>
            </w:tcBorders>
          </w:tcPr>
          <w:p>
            <w:pPr>
              <w:spacing w:after="0"/>
              <w:rPr>
                <w:sz w:val="14"/>
                <w:szCs w:val="14"/>
                <w:color w:val="auto"/>
              </w:rPr>
            </w:pPr>
          </w:p>
        </w:tc>
        <w:tc>
          <w:tcPr>
            <w:tcW w:w="600" w:type="dxa"/>
            <w:vAlign w:val="bottom"/>
            <w:tcBorders>
              <w:bottom w:val="single" w:sz="8" w:color="CCEEFF"/>
            </w:tcBorders>
          </w:tcPr>
          <w:p>
            <w:pPr>
              <w:spacing w:after="0"/>
              <w:rPr>
                <w:sz w:val="14"/>
                <w:szCs w:val="14"/>
                <w:color w:val="auto"/>
              </w:rPr>
            </w:pPr>
          </w:p>
        </w:tc>
        <w:tc>
          <w:tcPr>
            <w:tcW w:w="8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2007</w:t>
            </w:r>
          </w:p>
        </w:tc>
        <w:tc>
          <w:tcPr>
            <w:tcW w:w="220" w:type="dxa"/>
            <w:vAlign w:val="bottom"/>
            <w:tcBorders>
              <w:bottom w:val="single" w:sz="8" w:color="CCEEFF"/>
            </w:tcBorders>
          </w:tcPr>
          <w:p>
            <w:pPr>
              <w:spacing w:after="0"/>
              <w:rPr>
                <w:sz w:val="14"/>
                <w:szCs w:val="14"/>
                <w:color w:val="auto"/>
              </w:rPr>
            </w:pPr>
          </w:p>
        </w:tc>
        <w:tc>
          <w:tcPr>
            <w:tcW w:w="840" w:type="dxa"/>
            <w:vAlign w:val="bottom"/>
            <w:tcBorders>
              <w:bottom w:val="single" w:sz="8" w:color="auto"/>
            </w:tcBorders>
          </w:tcPr>
          <w:p>
            <w:pPr>
              <w:jc w:val="right"/>
              <w:ind w:right="209"/>
              <w:spacing w:after="0"/>
              <w:rPr>
                <w:sz w:val="20"/>
                <w:szCs w:val="20"/>
                <w:color w:val="auto"/>
              </w:rPr>
            </w:pPr>
            <w:r>
              <w:rPr>
                <w:rFonts w:ascii="Arial" w:cs="Arial" w:eastAsia="Arial" w:hAnsi="Arial"/>
                <w:sz w:val="14"/>
                <w:szCs w:val="14"/>
                <w:b w:val="1"/>
                <w:bCs w:val="1"/>
                <w:color w:val="auto"/>
              </w:rPr>
              <w:t>2006</w:t>
            </w:r>
          </w:p>
        </w:tc>
        <w:tc>
          <w:tcPr>
            <w:tcW w:w="220" w:type="dxa"/>
            <w:vAlign w:val="bottom"/>
            <w:tcBorders>
              <w:bottom w:val="single" w:sz="8" w:color="CCEEFF"/>
            </w:tcBorders>
          </w:tcPr>
          <w:p>
            <w:pPr>
              <w:spacing w:after="0"/>
              <w:rPr>
                <w:sz w:val="14"/>
                <w:szCs w:val="14"/>
                <w:color w:val="auto"/>
              </w:rPr>
            </w:pPr>
          </w:p>
        </w:tc>
        <w:tc>
          <w:tcPr>
            <w:tcW w:w="840" w:type="dxa"/>
            <w:vAlign w:val="bottom"/>
            <w:tcBorders>
              <w:bottom w:val="single" w:sz="8" w:color="auto"/>
            </w:tcBorders>
          </w:tcPr>
          <w:p>
            <w:pPr>
              <w:ind w:left="180"/>
              <w:spacing w:after="0"/>
              <w:rPr>
                <w:sz w:val="20"/>
                <w:szCs w:val="20"/>
                <w:color w:val="auto"/>
              </w:rPr>
            </w:pPr>
            <w:r>
              <w:rPr>
                <w:rFonts w:ascii="Arial" w:cs="Arial" w:eastAsia="Arial" w:hAnsi="Arial"/>
                <w:sz w:val="14"/>
                <w:szCs w:val="14"/>
                <w:b w:val="1"/>
                <w:bCs w:val="1"/>
                <w:color w:val="auto"/>
              </w:rPr>
              <w:t>Change</w:t>
            </w:r>
          </w:p>
        </w:tc>
        <w:tc>
          <w:tcPr>
            <w:tcW w:w="220" w:type="dxa"/>
            <w:vAlign w:val="bottom"/>
            <w:tcBorders>
              <w:bottom w:val="single" w:sz="8" w:color="CCEEFF"/>
            </w:tcBorders>
          </w:tcPr>
          <w:p>
            <w:pPr>
              <w:spacing w:after="0"/>
              <w:rPr>
                <w:sz w:val="14"/>
                <w:szCs w:val="14"/>
                <w:color w:val="auto"/>
              </w:rPr>
            </w:pPr>
          </w:p>
        </w:tc>
        <w:tc>
          <w:tcPr>
            <w:tcW w:w="880" w:type="dxa"/>
            <w:vAlign w:val="bottom"/>
            <w:tcBorders>
              <w:bottom w:val="single" w:sz="8" w:color="auto"/>
            </w:tcBorders>
          </w:tcPr>
          <w:p>
            <w:pPr>
              <w:jc w:val="right"/>
              <w:ind w:right="227"/>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CCEEFF"/>
            </w:tcBorders>
          </w:tcPr>
          <w:p>
            <w:pPr>
              <w:spacing w:after="0"/>
              <w:rPr>
                <w:sz w:val="14"/>
                <w:szCs w:val="14"/>
                <w:color w:val="auto"/>
              </w:rPr>
            </w:pPr>
          </w:p>
        </w:tc>
        <w:tc>
          <w:tcPr>
            <w:tcW w:w="8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2006</w:t>
            </w:r>
          </w:p>
        </w:tc>
        <w:tc>
          <w:tcPr>
            <w:tcW w:w="200" w:type="dxa"/>
            <w:vAlign w:val="bottom"/>
            <w:tcBorders>
              <w:bottom w:val="single" w:sz="8" w:color="CCEEFF"/>
            </w:tcBorders>
          </w:tcPr>
          <w:p>
            <w:pPr>
              <w:spacing w:after="0"/>
              <w:rPr>
                <w:sz w:val="14"/>
                <w:szCs w:val="14"/>
                <w:color w:val="auto"/>
              </w:rPr>
            </w:pPr>
          </w:p>
        </w:tc>
        <w:tc>
          <w:tcPr>
            <w:tcW w:w="880" w:type="dxa"/>
            <w:vAlign w:val="bottom"/>
            <w:tcBorders>
              <w:bottom w:val="single" w:sz="8" w:color="auto"/>
            </w:tcBorders>
          </w:tcPr>
          <w:p>
            <w:pPr>
              <w:ind w:left="200"/>
              <w:spacing w:after="0"/>
              <w:rPr>
                <w:sz w:val="20"/>
                <w:szCs w:val="20"/>
                <w:color w:val="auto"/>
              </w:rPr>
            </w:pPr>
            <w:r>
              <w:rPr>
                <w:rFonts w:ascii="Arial" w:cs="Arial" w:eastAsia="Arial" w:hAnsi="Arial"/>
                <w:sz w:val="14"/>
                <w:szCs w:val="14"/>
                <w:b w:val="1"/>
                <w:bCs w:val="1"/>
                <w:color w:val="auto"/>
              </w:rPr>
              <w:t>Change</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4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600" w:type="dxa"/>
            <w:vAlign w:val="bottom"/>
            <w:shd w:val="clear" w:color="auto" w:fill="CCEEFF"/>
          </w:tcPr>
          <w:p>
            <w:pPr>
              <w:spacing w:after="0"/>
              <w:rPr>
                <w:sz w:val="18"/>
                <w:szCs w:val="18"/>
                <w:color w:val="auto"/>
              </w:rPr>
            </w:pPr>
          </w:p>
        </w:tc>
        <w:tc>
          <w:tcPr>
            <w:tcW w:w="8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8"/>
              </w:rPr>
              <w:t>$  656,711</w:t>
            </w:r>
          </w:p>
        </w:tc>
        <w:tc>
          <w:tcPr>
            <w:tcW w:w="22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6"/>
              </w:rPr>
              <w:t>$  573,985</w:t>
            </w:r>
          </w:p>
        </w:tc>
        <w:tc>
          <w:tcPr>
            <w:tcW w:w="2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14.4%</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$ 1,291,761</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$ 1,095,181</w:t>
            </w:r>
          </w:p>
        </w:tc>
        <w:tc>
          <w:tcPr>
            <w:tcW w:w="2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17.9%</w:t>
            </w:r>
          </w:p>
        </w:tc>
        <w:tc>
          <w:tcPr>
            <w:tcW w:w="0" w:type="dxa"/>
            <w:vAlign w:val="bottom"/>
          </w:tcPr>
          <w:p>
            <w:pPr>
              <w:spacing w:after="0"/>
              <w:rPr>
                <w:sz w:val="1"/>
                <w:szCs w:val="1"/>
                <w:color w:val="auto"/>
              </w:rPr>
            </w:pPr>
          </w:p>
        </w:tc>
      </w:tr>
    </w:tbl>
    <w:p>
      <w:pPr>
        <w:spacing w:after="0" w:line="256" w:lineRule="exact"/>
        <w:rPr>
          <w:sz w:val="20"/>
          <w:szCs w:val="20"/>
          <w:color w:val="auto"/>
        </w:rPr>
      </w:pPr>
    </w:p>
    <w:p>
      <w:pPr>
        <w:ind w:right="100" w:firstLine="324"/>
        <w:spacing w:after="0" w:line="287" w:lineRule="auto"/>
        <w:rPr>
          <w:sz w:val="20"/>
          <w:szCs w:val="20"/>
          <w:color w:val="auto"/>
        </w:rPr>
      </w:pPr>
      <w:r>
        <w:rPr>
          <w:rFonts w:ascii="Arial" w:cs="Arial" w:eastAsia="Arial" w:hAnsi="Arial"/>
          <w:sz w:val="16"/>
          <w:szCs w:val="16"/>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and rebates. The increase in net revenue in the second quarter of fiscal 2008 compared to the second quarter of fiscal 2007 reflects an increase in volume shipments of our cellular and handset products due to increased demand and acceptance of our products, which increased $135.9 million. Partially offsetting the increase in revenues were decreases in revenue of our storage SOC products and hard disk controller products. The net revenue increase in cellular and handheld products was from our initial shipments commencing in November 2006 from the acquisition of the applications and communications processor business from Intel Corporation (“Intel”). The decrease in revenue for our storage SOC products was due to lower seasonal demand while the decrease in hard disk controller products was primarily due to lower demand. The increase in net revenue in the first six months of fiscal 2008 compared to the first six months of fiscal 2007 reflects an increase in volume shipments of our cellular and handset products due to increased demand and acceptance for the products which increased $250.0 million. Partially offsetting the increase in revenue for the first six month of fiscal 2008 compared to the same period in fiscal 2007 was a decrease in SOC storage products due to lower demand. Net revenue derived from development contracts decreased in absolute dollars during the second</w:t>
      </w:r>
    </w:p>
    <w:p>
      <w:pPr>
        <w:sectPr>
          <w:pgSz w:w="11900" w:h="16838" w:orient="portrait"/>
          <w:cols w:equalWidth="0" w:num="1">
            <w:col w:w="11360"/>
          </w:cols>
          <w:pgMar w:left="240" w:top="125" w:right="299" w:bottom="0" w:gutter="0" w:footer="0" w:header="0"/>
        </w:sectPr>
      </w:pPr>
    </w:p>
    <w:bookmarkStart w:id="21" w:name="page22"/>
    <w:bookmarkEnd w:id="21"/>
    <w:p>
      <w:pPr>
        <w:ind w:right="60"/>
        <w:spacing w:after="0" w:line="277" w:lineRule="auto"/>
        <w:rPr>
          <w:sz w:val="20"/>
          <w:szCs w:val="20"/>
          <w:color w:val="auto"/>
        </w:rPr>
      </w:pPr>
      <w:r>
        <w:rPr>
          <w:rFonts w:ascii="Arial" w:cs="Arial" w:eastAsia="Arial" w:hAnsi="Arial"/>
          <w:sz w:val="18"/>
          <w:szCs w:val="18"/>
          <w:color w:val="auto"/>
        </w:rPr>
        <w:t>quarter and first six months of fiscal 2008 as compared to the second quarter and first six months of fiscal 2007, but represented less than 10% of net revenue for each period.</w:t>
      </w:r>
    </w:p>
    <w:p>
      <w:pPr>
        <w:spacing w:after="0" w:line="170" w:lineRule="exact"/>
        <w:rPr>
          <w:sz w:val="20"/>
          <w:szCs w:val="20"/>
          <w:color w:val="auto"/>
        </w:rPr>
      </w:pPr>
    </w:p>
    <w:p>
      <w:pPr>
        <w:ind w:right="60" w:firstLine="324"/>
        <w:spacing w:after="0" w:line="293"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revenue. For the three months ended July 28, 2007, two customers each represented more than 10% of our net revenue, for a combined total of 27% of our net revenue. For the six months ended July 28, 2007, one customer accounted for more than 10% of our net revenue with a total of 15% of our net revenue. For the three months ended July 29, 2006, three customers each represented more than 10% of our net revenue, for a combined total of 40% of our net revenue. For the six months ended July 29, 2006, four customers each represented more than 10% of our net revenue, for a combined total of 51% of our net revenue. In addition, no distributor accounted for more than 10% of our net revenue in the three and six months ended July 28, 2007 and in the three and six months ended July 29, 2006.</w:t>
      </w:r>
    </w:p>
    <w:p>
      <w:pPr>
        <w:spacing w:after="0" w:line="3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Because we sell our products to many OEM manufacturers who have manufacturing operations located in Asia, a significant percentage of our sales are made to customers located outside of the United States. Sales to customers located in Asia represented 81% and 92% of our net revenue for the three months ended July 28, 2007 and July 29, 2006 respectively Sales to customers located in Asia represented 83% and 93% of our net revenue for the six months ended July 28, 2007 and July 29, 2006 respectively. The rest of our sales are to customers located in the United States and other geographic regions. We expect that a significant portion of our revenue will continue to be represented by sales to our customers in Asia. Substantially all of our sales to date have been denominated in United States dollars.</w:t>
      </w:r>
    </w:p>
    <w:p>
      <w:pPr>
        <w:spacing w:after="0" w:line="19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Cost of Goods Sold</w:t>
      </w:r>
    </w:p>
    <w:p>
      <w:pPr>
        <w:spacing w:after="0" w:line="203"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920" w:type="dxa"/>
            <w:vAlign w:val="bottom"/>
            <w:gridSpan w:val="5"/>
          </w:tcPr>
          <w:p>
            <w:pPr>
              <w:jc w:val="right"/>
              <w:ind w:right="440"/>
              <w:spacing w:after="0"/>
              <w:rPr>
                <w:sz w:val="20"/>
                <w:szCs w:val="20"/>
                <w:color w:val="auto"/>
              </w:rPr>
            </w:pPr>
            <w:r>
              <w:rPr>
                <w:rFonts w:ascii="Arial" w:cs="Arial" w:eastAsia="Arial" w:hAnsi="Arial"/>
                <w:sz w:val="14"/>
                <w:szCs w:val="14"/>
                <w:b w:val="1"/>
                <w:bCs w:val="1"/>
                <w:color w:val="auto"/>
              </w:rPr>
              <w:t>Three Months Ended</w:t>
            </w:r>
          </w:p>
        </w:tc>
        <w:tc>
          <w:tcPr>
            <w:tcW w:w="96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Percent</w:t>
            </w:r>
          </w:p>
        </w:tc>
        <w:tc>
          <w:tcPr>
            <w:tcW w:w="192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rPr>
              <w:t>Six Months Ended</w:t>
            </w:r>
          </w:p>
        </w:tc>
        <w:tc>
          <w:tcPr>
            <w:tcW w:w="96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260" w:type="dxa"/>
            <w:vAlign w:val="bottom"/>
          </w:tcPr>
          <w:p>
            <w:pPr>
              <w:spacing w:after="0"/>
              <w:rPr>
                <w:sz w:val="8"/>
                <w:szCs w:val="8"/>
                <w:color w:val="auto"/>
              </w:rPr>
            </w:pPr>
          </w:p>
        </w:tc>
        <w:tc>
          <w:tcPr>
            <w:tcW w:w="940" w:type="dxa"/>
            <w:vAlign w:val="bottom"/>
          </w:tcPr>
          <w:p>
            <w:pPr>
              <w:spacing w:after="0"/>
              <w:rPr>
                <w:sz w:val="8"/>
                <w:szCs w:val="8"/>
                <w:color w:val="auto"/>
              </w:rPr>
            </w:pPr>
          </w:p>
        </w:tc>
        <w:tc>
          <w:tcPr>
            <w:tcW w:w="920" w:type="dxa"/>
            <w:vAlign w:val="bottom"/>
            <w:tcBorders>
              <w:top w:val="single" w:sz="8" w:color="auto"/>
            </w:tcBorders>
            <w:gridSpan w:val="2"/>
          </w:tcPr>
          <w:p>
            <w:pPr>
              <w:jc w:val="right"/>
              <w:ind w:right="320"/>
              <w:spacing w:after="0" w:line="102" w:lineRule="exact"/>
              <w:rPr>
                <w:sz w:val="20"/>
                <w:szCs w:val="20"/>
                <w:color w:val="auto"/>
              </w:rPr>
            </w:pPr>
            <w:r>
              <w:rPr>
                <w:rFonts w:ascii="Arial" w:cs="Arial" w:eastAsia="Arial" w:hAnsi="Arial"/>
                <w:sz w:val="11"/>
                <w:szCs w:val="11"/>
                <w:b w:val="1"/>
                <w:bCs w:val="1"/>
                <w:color w:val="auto"/>
              </w:rPr>
              <w:t>July 28,</w:t>
            </w:r>
          </w:p>
        </w:tc>
        <w:tc>
          <w:tcPr>
            <w:tcW w:w="4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jc w:val="right"/>
              <w:ind w:right="83"/>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920" w:type="dxa"/>
            <w:vAlign w:val="bottom"/>
            <w:tcBorders>
              <w:top w:val="single" w:sz="8" w:color="auto"/>
            </w:tcBorders>
            <w:gridSpan w:val="2"/>
          </w:tcPr>
          <w:p>
            <w:pPr>
              <w:jc w:val="center"/>
              <w:ind w:right="200"/>
              <w:spacing w:after="0" w:line="102" w:lineRule="exact"/>
              <w:rPr>
                <w:sz w:val="20"/>
                <w:szCs w:val="20"/>
                <w:color w:val="auto"/>
              </w:rPr>
            </w:pPr>
            <w:r>
              <w:rPr>
                <w:rFonts w:ascii="Arial" w:cs="Arial" w:eastAsia="Arial" w:hAnsi="Arial"/>
                <w:sz w:val="11"/>
                <w:szCs w:val="11"/>
                <w:b w:val="1"/>
                <w:bCs w:val="1"/>
                <w:color w:val="auto"/>
              </w:rPr>
              <w:t>July 28,</w:t>
            </w:r>
          </w:p>
        </w:tc>
        <w:tc>
          <w:tcPr>
            <w:tcW w:w="2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jc w:val="right"/>
              <w:ind w:right="83"/>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1680" w:type="dxa"/>
            <w:vAlign w:val="bottom"/>
            <w:gridSpan w:val="2"/>
          </w:tcPr>
          <w:p>
            <w:pPr>
              <w:jc w:val="right"/>
              <w:ind w:right="196"/>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4"/>
                <w:szCs w:val="14"/>
                <w:color w:val="auto"/>
              </w:rPr>
            </w:pPr>
          </w:p>
        </w:tc>
        <w:tc>
          <w:tcPr>
            <w:tcW w:w="780" w:type="dxa"/>
            <w:vAlign w:val="bottom"/>
            <w:gridSpan w:val="2"/>
          </w:tcPr>
          <w:p>
            <w:pPr>
              <w:jc w:val="right"/>
              <w:ind w:right="203"/>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960" w:type="dxa"/>
            <w:vAlign w:val="bottom"/>
            <w:gridSpan w:val="2"/>
          </w:tcPr>
          <w:p>
            <w:pPr>
              <w:ind w:left="120"/>
              <w:spacing w:after="0"/>
              <w:rPr>
                <w:sz w:val="20"/>
                <w:szCs w:val="20"/>
                <w:color w:val="auto"/>
              </w:rPr>
            </w:pPr>
            <w:r>
              <w:rPr>
                <w:rFonts w:ascii="Arial" w:cs="Arial" w:eastAsia="Arial" w:hAnsi="Arial"/>
                <w:sz w:val="14"/>
                <w:szCs w:val="14"/>
                <w:b w:val="1"/>
                <w:bCs w:val="1"/>
                <w:color w:val="auto"/>
              </w:rPr>
              <w:t>Change</w:t>
            </w:r>
          </w:p>
        </w:tc>
        <w:tc>
          <w:tcPr>
            <w:tcW w:w="740" w:type="dxa"/>
            <w:vAlign w:val="bottom"/>
          </w:tcPr>
          <w:p>
            <w:pPr>
              <w:jc w:val="right"/>
              <w:ind w:right="164"/>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4"/>
                <w:szCs w:val="14"/>
                <w:color w:val="auto"/>
              </w:rPr>
            </w:pPr>
          </w:p>
        </w:tc>
        <w:tc>
          <w:tcPr>
            <w:tcW w:w="780" w:type="dxa"/>
            <w:vAlign w:val="bottom"/>
            <w:gridSpan w:val="2"/>
          </w:tcPr>
          <w:p>
            <w:pPr>
              <w:jc w:val="right"/>
              <w:ind w:right="183"/>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960" w:type="dxa"/>
            <w:vAlign w:val="bottom"/>
            <w:gridSpan w:val="2"/>
          </w:tcPr>
          <w:p>
            <w:pPr>
              <w:ind w:left="1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226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76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780" w:type="dxa"/>
            <w:vAlign w:val="bottom"/>
            <w:tcBorders>
              <w:top w:val="single" w:sz="8" w:color="auto"/>
            </w:tcBorders>
          </w:tcPr>
          <w:p>
            <w:pPr>
              <w:spacing w:after="0"/>
              <w:rPr>
                <w:sz w:val="18"/>
                <w:szCs w:val="18"/>
                <w:color w:val="auto"/>
              </w:rPr>
            </w:pP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26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$ 335,530</w:t>
            </w:r>
          </w:p>
        </w:tc>
        <w:tc>
          <w:tcPr>
            <w:tcW w:w="1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2"/>
              </w:rPr>
              <w:t>$ 279,075</w:t>
            </w:r>
          </w:p>
        </w:tc>
        <w:tc>
          <w:tcPr>
            <w:tcW w:w="220" w:type="dxa"/>
            <w:vAlign w:val="bottom"/>
            <w:shd w:val="clear" w:color="auto" w:fill="CCEEFF"/>
          </w:tcPr>
          <w:p>
            <w:pPr>
              <w:spacing w:after="0"/>
              <w:rPr>
                <w:sz w:val="18"/>
                <w:szCs w:val="18"/>
                <w:color w:val="auto"/>
              </w:rPr>
            </w:pPr>
          </w:p>
        </w:tc>
        <w:tc>
          <w:tcPr>
            <w:tcW w:w="1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20.2% $ 662,947</w:t>
            </w:r>
          </w:p>
        </w:tc>
        <w:tc>
          <w:tcPr>
            <w:tcW w:w="1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2"/>
              </w:rPr>
              <w:t>$ 519,308</w:t>
            </w:r>
          </w:p>
        </w:tc>
        <w:tc>
          <w:tcPr>
            <w:tcW w:w="2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260" w:type="dxa"/>
            <w:vAlign w:val="bottom"/>
          </w:tcPr>
          <w:p>
            <w:pPr>
              <w:spacing w:after="0"/>
              <w:rPr>
                <w:sz w:val="20"/>
                <w:szCs w:val="20"/>
                <w:color w:val="auto"/>
              </w:rPr>
            </w:pPr>
            <w:r>
              <w:rPr>
                <w:rFonts w:ascii="Arial" w:cs="Arial" w:eastAsia="Arial" w:hAnsi="Arial"/>
                <w:sz w:val="18"/>
                <w:szCs w:val="18"/>
                <w:color w:val="auto"/>
              </w:rPr>
              <w:t>% of net revenue</w:t>
            </w:r>
          </w:p>
        </w:tc>
        <w:tc>
          <w:tcPr>
            <w:tcW w:w="1860" w:type="dxa"/>
            <w:vAlign w:val="bottom"/>
            <w:gridSpan w:val="3"/>
          </w:tcPr>
          <w:p>
            <w:pPr>
              <w:jc w:val="right"/>
              <w:ind w:right="40"/>
              <w:spacing w:after="0"/>
              <w:rPr>
                <w:sz w:val="20"/>
                <w:szCs w:val="20"/>
                <w:color w:val="auto"/>
              </w:rPr>
            </w:pPr>
            <w:r>
              <w:rPr>
                <w:rFonts w:ascii="Arial" w:cs="Arial" w:eastAsia="Arial" w:hAnsi="Arial"/>
                <w:sz w:val="18"/>
                <w:szCs w:val="18"/>
                <w:color w:val="auto"/>
              </w:rPr>
              <w:t>51.1%</w:t>
            </w:r>
          </w:p>
        </w:tc>
        <w:tc>
          <w:tcPr>
            <w:tcW w:w="1000" w:type="dxa"/>
            <w:vAlign w:val="bottom"/>
            <w:gridSpan w:val="3"/>
          </w:tcPr>
          <w:p>
            <w:pPr>
              <w:jc w:val="right"/>
              <w:ind w:right="80"/>
              <w:spacing w:after="0"/>
              <w:rPr>
                <w:sz w:val="20"/>
                <w:szCs w:val="20"/>
                <w:color w:val="auto"/>
              </w:rPr>
            </w:pPr>
            <w:r>
              <w:rPr>
                <w:rFonts w:ascii="Arial" w:cs="Arial" w:eastAsia="Arial" w:hAnsi="Arial"/>
                <w:sz w:val="18"/>
                <w:szCs w:val="18"/>
                <w:color w:val="auto"/>
              </w:rPr>
              <w:t>48.6%</w:t>
            </w:r>
          </w:p>
        </w:tc>
        <w:tc>
          <w:tcPr>
            <w:tcW w:w="7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ind w:right="40"/>
              <w:spacing w:after="0"/>
              <w:rPr>
                <w:sz w:val="20"/>
                <w:szCs w:val="20"/>
                <w:color w:val="auto"/>
              </w:rPr>
            </w:pPr>
            <w:r>
              <w:rPr>
                <w:rFonts w:ascii="Arial" w:cs="Arial" w:eastAsia="Arial" w:hAnsi="Arial"/>
                <w:sz w:val="18"/>
                <w:szCs w:val="18"/>
                <w:color w:val="auto"/>
              </w:rPr>
              <w:t>51.3%</w:t>
            </w:r>
          </w:p>
        </w:tc>
        <w:tc>
          <w:tcPr>
            <w:tcW w:w="1000" w:type="dxa"/>
            <w:vAlign w:val="bottom"/>
            <w:gridSpan w:val="3"/>
          </w:tcPr>
          <w:p>
            <w:pPr>
              <w:jc w:val="right"/>
              <w:ind w:right="60"/>
              <w:spacing w:after="0"/>
              <w:rPr>
                <w:sz w:val="20"/>
                <w:szCs w:val="20"/>
                <w:color w:val="auto"/>
              </w:rPr>
            </w:pPr>
            <w:r>
              <w:rPr>
                <w:rFonts w:ascii="Arial" w:cs="Arial" w:eastAsia="Arial" w:hAnsi="Arial"/>
                <w:sz w:val="18"/>
                <w:szCs w:val="18"/>
                <w:color w:val="auto"/>
              </w:rPr>
              <w:t>47.4%</w:t>
            </w:r>
          </w:p>
        </w:tc>
        <w:tc>
          <w:tcPr>
            <w:tcW w:w="7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260" w:type="dxa"/>
            <w:vAlign w:val="bottom"/>
            <w:shd w:val="clear" w:color="auto" w:fill="CCEEFF"/>
          </w:tcPr>
          <w:p>
            <w:pPr>
              <w:spacing w:after="0"/>
              <w:rPr>
                <w:sz w:val="20"/>
                <w:szCs w:val="20"/>
                <w:color w:val="auto"/>
              </w:rPr>
            </w:pPr>
            <w:r>
              <w:rPr>
                <w:rFonts w:ascii="Arial" w:cs="Arial" w:eastAsia="Arial" w:hAnsi="Arial"/>
                <w:sz w:val="18"/>
                <w:szCs w:val="18"/>
                <w:color w:val="auto"/>
              </w:rPr>
              <w:t>Gross margin</w:t>
            </w:r>
          </w:p>
        </w:tc>
        <w:tc>
          <w:tcPr>
            <w:tcW w:w="18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48.9%</w:t>
            </w:r>
          </w:p>
        </w:tc>
        <w:tc>
          <w:tcPr>
            <w:tcW w:w="100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51.4%</w:t>
            </w:r>
          </w:p>
        </w:tc>
        <w:tc>
          <w:tcPr>
            <w:tcW w:w="7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48.7%</w:t>
            </w:r>
          </w:p>
        </w:tc>
        <w:tc>
          <w:tcPr>
            <w:tcW w:w="10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52.6%</w:t>
            </w:r>
          </w:p>
        </w:tc>
        <w:tc>
          <w:tcPr>
            <w:tcW w:w="7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color w:val="auto"/>
        </w:rPr>
        <w:t>Cost of goods sold consists primarily of the costs of manufacturing, assembly and test of integrated circuit devices and related overhead costs, product warranty costs, royalties and compensation and associated costs relating to manufacturing support, logistics and quality assurance personnel, including stock-based compensation costs. Gross margin is calculated as net revenue less cost of goods sold as a percentage of net revenue. The decrease in gross margin percentage for the three and six months ended July 28, 2007 compared to the three and six months ended July 29, 2006 was primarily due to higher inventory excess and obsolescence provision and to lower gross margins for cellular and handset products which commenced shipment in November 2006 as a result of the acquisition of the communications and applications processor business from Intel. The excess and obsolescence provision increased by $22.4 million and $23.3 million for the three and six months ended July 28, 2007, respectively, compared to the same periods in the prior year. The increase in excess and obsolescence provision was due to the mix and quantities on hand compared to forecasted demand for such products on hand including storage SOC, communications and applications processors and wireless products. The cellular and handset inventory t</w:t>
      </w:r>
      <w:r>
        <w:rPr>
          <w:rFonts w:ascii="Arial" w:cs="Arial" w:eastAsia="Arial" w:hAnsi="Arial"/>
          <w:sz w:val="15"/>
          <w:szCs w:val="15"/>
          <w:color w:val="auto"/>
        </w:rPr>
        <w:t>hat we are contractually obligated to purchase under a</w:t>
      </w:r>
      <w:r>
        <w:rPr>
          <w:rFonts w:ascii="Arial" w:cs="Arial" w:eastAsia="Arial" w:hAnsi="Arial"/>
          <w:sz w:val="16"/>
          <w:szCs w:val="16"/>
          <w:color w:val="auto"/>
        </w:rPr>
        <w:t xml:space="preserve"> </w:t>
      </w:r>
      <w:r>
        <w:rPr>
          <w:rFonts w:ascii="Arial" w:cs="Arial" w:eastAsia="Arial" w:hAnsi="Arial"/>
          <w:sz w:val="15"/>
          <w:szCs w:val="15"/>
          <w:color w:val="auto"/>
        </w:rPr>
        <w:t>supply agreement with Intel are recorded at estimated fair value as required under purchase accounting. The amount of the supply agreement credited against cost of goods sold was $43.9 million and $77.6 million for the three and six months ended July 28, 2007, respectively. We anticipate that we will continue to source cellular and handset inventory under the Intel supply agreement, and that such purchases will in significant part be beyond our minimum committed levels under the agreement. We will record such inventory at cost, which will adversely impact our gross margins relative to periods where we only purchased inventory at the minimum committed level. The supply agreement requires us to purchase inventory earlier than anticipated product shipments to our customers resulting in higher levels of inventory and associated carrying costs. As a result, the higher levels of inventory increase our risk of holding excess and obsolete inventory. Our gross margins may also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manufacturing and test subcontractors, the introduction of new products with lower margins, product warranty costs and changes in the amount of development revenue recognized.</w:t>
      </w:r>
    </w:p>
    <w:p>
      <w:pPr>
        <w:spacing w:after="0" w:line="166"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Research and Development and Other</w:t>
      </w:r>
    </w:p>
    <w:p>
      <w:pPr>
        <w:spacing w:after="0" w:line="203" w:lineRule="exact"/>
        <w:rPr>
          <w:sz w:val="20"/>
          <w:szCs w:val="20"/>
          <w:color w:val="auto"/>
        </w:rPr>
      </w:pPr>
    </w:p>
    <w:tbl>
      <w:tblPr>
        <w:tblLayout w:type="fixed"/>
        <w:tblInd w:w="720" w:type="dxa"/>
        <w:tblCellMar>
          <w:top w:w="0" w:type="dxa"/>
          <w:left w:w="0" w:type="dxa"/>
          <w:bottom w:w="0" w:type="dxa"/>
          <w:right w:w="0" w:type="dxa"/>
        </w:tblCellMar>
      </w:tblPr>
      <w:tr>
        <w:trPr>
          <w:trHeight w:val="171"/>
        </w:trPr>
        <w:tc>
          <w:tcPr>
            <w:tcW w:w="2840" w:type="dxa"/>
            <w:vAlign w:val="bottom"/>
          </w:tcPr>
          <w:p>
            <w:pPr>
              <w:spacing w:after="0"/>
              <w:rPr>
                <w:sz w:val="14"/>
                <w:szCs w:val="14"/>
                <w:color w:val="auto"/>
              </w:rPr>
            </w:pPr>
          </w:p>
        </w:tc>
        <w:tc>
          <w:tcPr>
            <w:tcW w:w="1920" w:type="dxa"/>
            <w:vAlign w:val="bottom"/>
            <w:gridSpan w:val="4"/>
          </w:tcPr>
          <w:p>
            <w:pPr>
              <w:jc w:val="right"/>
              <w:ind w:right="420"/>
              <w:spacing w:after="0"/>
              <w:rPr>
                <w:sz w:val="20"/>
                <w:szCs w:val="20"/>
                <w:color w:val="auto"/>
              </w:rPr>
            </w:pPr>
            <w:r>
              <w:rPr>
                <w:rFonts w:ascii="Arial" w:cs="Arial" w:eastAsia="Arial" w:hAnsi="Arial"/>
                <w:sz w:val="14"/>
                <w:szCs w:val="14"/>
                <w:b w:val="1"/>
                <w:bCs w:val="1"/>
                <w:color w:val="auto"/>
              </w:rPr>
              <w:t>Three Months Ended</w:t>
            </w:r>
          </w:p>
        </w:tc>
        <w:tc>
          <w:tcPr>
            <w:tcW w:w="96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Percent</w:t>
            </w:r>
          </w:p>
        </w:tc>
        <w:tc>
          <w:tcPr>
            <w:tcW w:w="1920" w:type="dxa"/>
            <w:vAlign w:val="bottom"/>
            <w:gridSpan w:val="4"/>
          </w:tcPr>
          <w:p>
            <w:pPr>
              <w:jc w:val="right"/>
              <w:ind w:right="500"/>
              <w:spacing w:after="0"/>
              <w:rPr>
                <w:sz w:val="20"/>
                <w:szCs w:val="20"/>
                <w:color w:val="auto"/>
              </w:rPr>
            </w:pPr>
            <w:r>
              <w:rPr>
                <w:rFonts w:ascii="Arial" w:cs="Arial" w:eastAsia="Arial" w:hAnsi="Arial"/>
                <w:sz w:val="14"/>
                <w:szCs w:val="14"/>
                <w:b w:val="1"/>
                <w:bCs w:val="1"/>
                <w:color w:val="auto"/>
              </w:rPr>
              <w:t>Six Months Ended</w:t>
            </w:r>
          </w:p>
        </w:tc>
        <w:tc>
          <w:tcPr>
            <w:tcW w:w="96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840" w:type="dxa"/>
            <w:vAlign w:val="bottom"/>
          </w:tcPr>
          <w:p>
            <w:pPr>
              <w:spacing w:after="0"/>
              <w:rPr>
                <w:sz w:val="8"/>
                <w:szCs w:val="8"/>
                <w:color w:val="auto"/>
              </w:rPr>
            </w:pPr>
          </w:p>
        </w:tc>
        <w:tc>
          <w:tcPr>
            <w:tcW w:w="960" w:type="dxa"/>
            <w:vAlign w:val="bottom"/>
            <w:tcBorders>
              <w:top w:val="single" w:sz="8" w:color="auto"/>
            </w:tcBorders>
            <w:gridSpan w:val="2"/>
          </w:tcPr>
          <w:p>
            <w:pPr>
              <w:jc w:val="right"/>
              <w:ind w:right="360"/>
              <w:spacing w:after="0" w:line="102" w:lineRule="exact"/>
              <w:rPr>
                <w:sz w:val="20"/>
                <w:szCs w:val="20"/>
                <w:color w:val="auto"/>
              </w:rPr>
            </w:pPr>
            <w:r>
              <w:rPr>
                <w:rFonts w:ascii="Arial" w:cs="Arial" w:eastAsia="Arial" w:hAnsi="Arial"/>
                <w:sz w:val="11"/>
                <w:szCs w:val="11"/>
                <w:b w:val="1"/>
                <w:bCs w:val="1"/>
                <w:color w:val="auto"/>
              </w:rPr>
              <w:t>July 28,</w:t>
            </w:r>
          </w:p>
        </w:tc>
        <w:tc>
          <w:tcPr>
            <w:tcW w:w="740" w:type="dxa"/>
            <w:vAlign w:val="bottom"/>
            <w:tcBorders>
              <w:top w:val="single" w:sz="8" w:color="auto"/>
            </w:tcBorders>
          </w:tcPr>
          <w:p>
            <w:pPr>
              <w:jc w:val="right"/>
              <w:ind w:right="64"/>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960" w:type="dxa"/>
            <w:vAlign w:val="bottom"/>
            <w:tcBorders>
              <w:top w:val="single" w:sz="8" w:color="auto"/>
            </w:tcBorders>
            <w:gridSpan w:val="2"/>
          </w:tcPr>
          <w:p>
            <w:pPr>
              <w:jc w:val="center"/>
              <w:ind w:right="240"/>
              <w:spacing w:after="0" w:line="102" w:lineRule="exact"/>
              <w:rPr>
                <w:sz w:val="20"/>
                <w:szCs w:val="20"/>
                <w:color w:val="auto"/>
              </w:rPr>
            </w:pPr>
            <w:r>
              <w:rPr>
                <w:rFonts w:ascii="Arial" w:cs="Arial" w:eastAsia="Arial" w:hAnsi="Arial"/>
                <w:sz w:val="11"/>
                <w:szCs w:val="11"/>
                <w:b w:val="1"/>
                <w:bCs w:val="1"/>
                <w:color w:val="auto"/>
              </w:rPr>
              <w:t>July 28,</w:t>
            </w:r>
          </w:p>
        </w:tc>
        <w:tc>
          <w:tcPr>
            <w:tcW w:w="760" w:type="dxa"/>
            <w:vAlign w:val="bottom"/>
            <w:tcBorders>
              <w:top w:val="single" w:sz="8" w:color="auto"/>
            </w:tcBorders>
          </w:tcPr>
          <w:p>
            <w:pPr>
              <w:jc w:val="right"/>
              <w:ind w:right="64"/>
              <w:spacing w:after="0" w:line="102" w:lineRule="exact"/>
              <w:rPr>
                <w:sz w:val="20"/>
                <w:szCs w:val="20"/>
                <w:color w:val="auto"/>
              </w:rPr>
            </w:pPr>
            <w:r>
              <w:rPr>
                <w:rFonts w:ascii="Arial" w:cs="Arial" w:eastAsia="Arial" w:hAnsi="Arial"/>
                <w:sz w:val="11"/>
                <w:szCs w:val="11"/>
                <w:b w:val="1"/>
                <w:bCs w:val="1"/>
                <w:color w:val="auto"/>
              </w:rPr>
              <w:t>July 29,</w:t>
            </w:r>
          </w:p>
        </w:tc>
        <w:tc>
          <w:tcPr>
            <w:tcW w:w="20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840" w:type="dxa"/>
            <w:vAlign w:val="bottom"/>
          </w:tcPr>
          <w:p>
            <w:pPr>
              <w:spacing w:after="0"/>
              <w:rPr>
                <w:sz w:val="14"/>
                <w:szCs w:val="14"/>
                <w:color w:val="auto"/>
              </w:rPr>
            </w:pPr>
          </w:p>
        </w:tc>
        <w:tc>
          <w:tcPr>
            <w:tcW w:w="740" w:type="dxa"/>
            <w:vAlign w:val="bottom"/>
          </w:tcPr>
          <w:p>
            <w:pPr>
              <w:jc w:val="right"/>
              <w:ind w:right="165"/>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740" w:type="dxa"/>
            <w:vAlign w:val="bottom"/>
          </w:tcPr>
          <w:p>
            <w:pPr>
              <w:jc w:val="right"/>
              <w:ind w:right="164"/>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960" w:type="dxa"/>
            <w:vAlign w:val="bottom"/>
            <w:gridSpan w:val="2"/>
          </w:tcPr>
          <w:p>
            <w:pPr>
              <w:ind w:left="140"/>
              <w:spacing w:after="0"/>
              <w:rPr>
                <w:sz w:val="20"/>
                <w:szCs w:val="20"/>
                <w:color w:val="auto"/>
              </w:rPr>
            </w:pPr>
            <w:r>
              <w:rPr>
                <w:rFonts w:ascii="Arial" w:cs="Arial" w:eastAsia="Arial" w:hAnsi="Arial"/>
                <w:sz w:val="14"/>
                <w:szCs w:val="14"/>
                <w:b w:val="1"/>
                <w:bCs w:val="1"/>
                <w:color w:val="auto"/>
              </w:rPr>
              <w:t>Change</w:t>
            </w:r>
          </w:p>
        </w:tc>
        <w:tc>
          <w:tcPr>
            <w:tcW w:w="740" w:type="dxa"/>
            <w:vAlign w:val="bottom"/>
          </w:tcPr>
          <w:p>
            <w:pPr>
              <w:jc w:val="right"/>
              <w:ind w:right="168"/>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760" w:type="dxa"/>
            <w:vAlign w:val="bottom"/>
          </w:tcPr>
          <w:p>
            <w:pPr>
              <w:jc w:val="right"/>
              <w:ind w:right="184"/>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4"/>
                <w:szCs w:val="14"/>
                <w:color w:val="auto"/>
              </w:rPr>
            </w:pPr>
          </w:p>
        </w:tc>
        <w:tc>
          <w:tcPr>
            <w:tcW w:w="960" w:type="dxa"/>
            <w:vAlign w:val="bottom"/>
            <w:gridSpan w:val="2"/>
          </w:tcPr>
          <w:p>
            <w:pPr>
              <w:ind w:left="1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0"/>
        </w:trPr>
        <w:tc>
          <w:tcPr>
            <w:tcW w:w="284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760" w:type="dxa"/>
            <w:vAlign w:val="bottom"/>
            <w:tcBorders>
              <w:top w:val="single" w:sz="8" w:color="auto"/>
            </w:tcBorders>
          </w:tcPr>
          <w:p>
            <w:pPr>
              <w:spacing w:after="0"/>
              <w:rPr>
                <w:sz w:val="18"/>
                <w:szCs w:val="18"/>
                <w:color w:val="auto"/>
              </w:rPr>
            </w:pPr>
          </w:p>
        </w:tc>
        <w:tc>
          <w:tcPr>
            <w:tcW w:w="200" w:type="dxa"/>
            <w:vAlign w:val="bottom"/>
          </w:tcPr>
          <w:p>
            <w:pPr>
              <w:spacing w:after="0"/>
              <w:rPr>
                <w:sz w:val="18"/>
                <w:szCs w:val="18"/>
                <w:color w:val="auto"/>
              </w:rPr>
            </w:pPr>
          </w:p>
        </w:tc>
        <w:tc>
          <w:tcPr>
            <w:tcW w:w="780" w:type="dxa"/>
            <w:vAlign w:val="bottom"/>
            <w:tcBorders>
              <w:top w:val="single" w:sz="8" w:color="auto"/>
            </w:tcBorders>
          </w:tcPr>
          <w:p>
            <w:pPr>
              <w:spacing w:after="0"/>
              <w:rPr>
                <w:sz w:val="18"/>
                <w:szCs w:val="18"/>
                <w:color w:val="auto"/>
              </w:rPr>
            </w:pP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8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Research and development and</w:t>
            </w:r>
          </w:p>
        </w:tc>
        <w:tc>
          <w:tcPr>
            <w:tcW w:w="7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8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other</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$ 236,194</w:t>
            </w:r>
          </w:p>
        </w:tc>
        <w:tc>
          <w:tcPr>
            <w:tcW w:w="220" w:type="dxa"/>
            <w:vAlign w:val="bottom"/>
            <w:shd w:val="clear" w:color="auto" w:fill="CCEEFF"/>
          </w:tcPr>
          <w:p>
            <w:pPr>
              <w:spacing w:after="0"/>
              <w:rPr>
                <w:sz w:val="20"/>
                <w:szCs w:val="20"/>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$ 152,645</w:t>
            </w:r>
          </w:p>
        </w:tc>
        <w:tc>
          <w:tcPr>
            <w:tcW w:w="220" w:type="dxa"/>
            <w:vAlign w:val="bottom"/>
            <w:shd w:val="clear" w:color="auto" w:fill="CCEEFF"/>
          </w:tcPr>
          <w:p>
            <w:pPr>
              <w:spacing w:after="0"/>
              <w:rPr>
                <w:sz w:val="20"/>
                <w:szCs w:val="20"/>
                <w:color w:val="auto"/>
              </w:rPr>
            </w:pPr>
          </w:p>
        </w:tc>
        <w:tc>
          <w:tcPr>
            <w:tcW w:w="1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54.7% $ 470,327</w:t>
            </w:r>
          </w:p>
        </w:tc>
        <w:tc>
          <w:tcPr>
            <w:tcW w:w="22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$ 281,873</w:t>
            </w:r>
          </w:p>
        </w:tc>
        <w:tc>
          <w:tcPr>
            <w:tcW w:w="200" w:type="dxa"/>
            <w:vAlign w:val="bottom"/>
            <w:shd w:val="clear" w:color="auto" w:fill="CCEEFF"/>
          </w:tcPr>
          <w:p>
            <w:pPr>
              <w:spacing w:after="0"/>
              <w:rPr>
                <w:sz w:val="20"/>
                <w:szCs w:val="20"/>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66.9%</w:t>
            </w:r>
          </w:p>
        </w:tc>
        <w:tc>
          <w:tcPr>
            <w:tcW w:w="0" w:type="dxa"/>
            <w:vAlign w:val="bottom"/>
          </w:tcPr>
          <w:p>
            <w:pPr>
              <w:spacing w:after="0"/>
              <w:rPr>
                <w:sz w:val="1"/>
                <w:szCs w:val="1"/>
                <w:color w:val="auto"/>
              </w:rPr>
            </w:pPr>
          </w:p>
        </w:tc>
      </w:tr>
      <w:tr>
        <w:trPr>
          <w:trHeight w:val="230"/>
        </w:trPr>
        <w:tc>
          <w:tcPr>
            <w:tcW w:w="2840" w:type="dxa"/>
            <w:vAlign w:val="bottom"/>
          </w:tcPr>
          <w:p>
            <w:pPr>
              <w:spacing w:after="0"/>
              <w:rPr>
                <w:sz w:val="20"/>
                <w:szCs w:val="20"/>
                <w:color w:val="auto"/>
              </w:rPr>
            </w:pPr>
            <w:r>
              <w:rPr>
                <w:rFonts w:ascii="Arial" w:cs="Arial" w:eastAsia="Arial" w:hAnsi="Arial"/>
                <w:sz w:val="18"/>
                <w:szCs w:val="18"/>
                <w:color w:val="auto"/>
              </w:rPr>
              <w:t>% of net revenue</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36.0%</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26.6%</w:t>
            </w:r>
          </w:p>
        </w:tc>
        <w:tc>
          <w:tcPr>
            <w:tcW w:w="7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36.4%</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25.8%</w:t>
            </w:r>
          </w:p>
        </w:tc>
        <w:tc>
          <w:tcPr>
            <w:tcW w:w="7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60" w:firstLine="324"/>
        <w:spacing w:after="0" w:line="288" w:lineRule="auto"/>
        <w:rPr>
          <w:sz w:val="20"/>
          <w:szCs w:val="20"/>
          <w:color w:val="auto"/>
        </w:rPr>
      </w:pPr>
      <w:r>
        <w:rPr>
          <w:rFonts w:ascii="Arial" w:cs="Arial" w:eastAsia="Arial" w:hAnsi="Arial"/>
          <w:sz w:val="16"/>
          <w:szCs w:val="16"/>
          <w:color w:val="auto"/>
        </w:rPr>
        <w:t>Research and development and other expense consists primarily of compensation and associated costs relating to development personnel, including stock-based compensation expenses, prototype costs, contracted development work costs, depreciation and amortization expense, patent investigation and filing fees and allocated occupancy costs for these operations. The increase in research and development and other expense in absolute dollars in the second quarter of fiscal 2008 compared to the second quarter of fiscal 2007 was primarily due to net hiring of additional development personnel including personnel related to our acquisition of the communications and applications processor business of Intel in November 2006 which together resulted in an increase in salary and related costs of $50.3 million. Additionally, we incurred increased costs for depreciation and amortization expense of $14.1 million arising from purchases of property, equipment and technology licenses, increased costs of $1.9 million for prototype and related product tape-out costs for new product initiatives, increased patent investigation and filing fees of $1.4 million and an increase in other allocated expenses of $10.0 million related to our expanding operations. Research and development related costs for the three month period ended July 28, 2007 was $232.2 million as compared to $149.9 million for the three month period ended July 29, 2006, an increase of $82.3 million or 54.9%.</w:t>
      </w:r>
    </w:p>
    <w:p>
      <w:pPr>
        <w:sectPr>
          <w:pgSz w:w="11900" w:h="16838" w:orient="portrait"/>
          <w:cols w:equalWidth="0" w:num="1">
            <w:col w:w="11400"/>
          </w:cols>
          <w:pgMar w:left="240" w:top="125" w:right="259" w:bottom="204" w:gutter="0" w:footer="0" w:header="0"/>
        </w:sectPr>
      </w:pPr>
    </w:p>
    <w:p>
      <w:pPr>
        <w:spacing w:after="0" w:line="385"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204" w:gutter="0" w:footer="0" w:header="0"/>
          <w:type w:val="continuous"/>
        </w:sectPr>
      </w:pPr>
    </w:p>
    <w:bookmarkStart w:id="22" w:name="page23"/>
    <w:bookmarkEnd w:id="22"/>
    <w:p>
      <w:pPr>
        <w:ind w:firstLine="324"/>
        <w:spacing w:after="0" w:line="290" w:lineRule="auto"/>
        <w:rPr>
          <w:sz w:val="20"/>
          <w:szCs w:val="20"/>
          <w:color w:val="auto"/>
        </w:rPr>
      </w:pPr>
      <w:r>
        <w:rPr>
          <w:rFonts w:ascii="Arial" w:cs="Arial" w:eastAsia="Arial" w:hAnsi="Arial"/>
          <w:sz w:val="16"/>
          <w:szCs w:val="16"/>
          <w:color w:val="auto"/>
        </w:rPr>
        <w:t>The increase in research and development and other expense in absolute dollars in the first six months of fiscal 2008 compared to the first six months of fiscal 2007 was primarily due to net hiring of additional development personnel including personnel related to our acquisition of the communications and applications processor business of Intel in November 2006 which together resulted in an increase in salary and related costs of $108.0 million. Additionally, we incurred increased costs for depreciation and amortization expense of $28.1 million arising from purchases of property, equipment and technology licenses, increased costs of $10.9 million for prototype and related product tape-out costs for new product initiatives, increased costs of $4.0 million for evaluation boards and supplies arising from the increase in product initiatives, increased patent investigation and filing fees of $2.1 million and an increase in other allocated expenses of $18.9 million related to our expanding operations. Research and development related costs for the six month period ended July 28, 2007 was $463.2 million as compared to $276.8 million for the six month period ended July 29, 2006, an increase of $186.4 million or 67.3%.</w:t>
      </w:r>
    </w:p>
    <w:p>
      <w:pPr>
        <w:spacing w:after="0" w:line="166"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Selling and Marketing</w:t>
      </w:r>
    </w:p>
    <w:p>
      <w:pPr>
        <w:spacing w:after="0" w:line="203"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920" w:type="dxa"/>
            <w:vAlign w:val="bottom"/>
            <w:gridSpan w:val="5"/>
          </w:tcPr>
          <w:p>
            <w:pPr>
              <w:jc w:val="right"/>
              <w:ind w:right="420"/>
              <w:spacing w:after="0"/>
              <w:rPr>
                <w:sz w:val="20"/>
                <w:szCs w:val="20"/>
                <w:color w:val="auto"/>
              </w:rPr>
            </w:pPr>
            <w:r>
              <w:rPr>
                <w:rFonts w:ascii="Arial" w:cs="Arial" w:eastAsia="Arial" w:hAnsi="Arial"/>
                <w:sz w:val="14"/>
                <w:szCs w:val="14"/>
                <w:b w:val="1"/>
                <w:bCs w:val="1"/>
                <w:color w:val="auto"/>
              </w:rPr>
              <w:t>Three Months Ended</w:t>
            </w:r>
          </w:p>
        </w:tc>
        <w:tc>
          <w:tcPr>
            <w:tcW w:w="96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Percent</w:t>
            </w:r>
          </w:p>
        </w:tc>
        <w:tc>
          <w:tcPr>
            <w:tcW w:w="194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rPr>
              <w:t>Six Months Ended</w:t>
            </w:r>
          </w:p>
        </w:tc>
        <w:tc>
          <w:tcPr>
            <w:tcW w:w="96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400" w:type="dxa"/>
            <w:vAlign w:val="bottom"/>
          </w:tcPr>
          <w:p>
            <w:pPr>
              <w:spacing w:after="0"/>
              <w:rPr>
                <w:sz w:val="8"/>
                <w:szCs w:val="8"/>
                <w:color w:val="auto"/>
              </w:rPr>
            </w:pPr>
          </w:p>
        </w:tc>
        <w:tc>
          <w:tcPr>
            <w:tcW w:w="800" w:type="dxa"/>
            <w:vAlign w:val="bottom"/>
          </w:tcPr>
          <w:p>
            <w:pPr>
              <w:spacing w:after="0"/>
              <w:rPr>
                <w:sz w:val="8"/>
                <w:szCs w:val="8"/>
                <w:color w:val="auto"/>
              </w:rPr>
            </w:pPr>
          </w:p>
        </w:tc>
        <w:tc>
          <w:tcPr>
            <w:tcW w:w="920" w:type="dxa"/>
            <w:vAlign w:val="bottom"/>
            <w:tcBorders>
              <w:top w:val="single" w:sz="8" w:color="auto"/>
            </w:tcBorders>
            <w:gridSpan w:val="2"/>
          </w:tcPr>
          <w:p>
            <w:pPr>
              <w:jc w:val="right"/>
              <w:ind w:right="320"/>
              <w:spacing w:after="0" w:line="102" w:lineRule="exact"/>
              <w:rPr>
                <w:sz w:val="20"/>
                <w:szCs w:val="20"/>
                <w:color w:val="auto"/>
              </w:rPr>
            </w:pPr>
            <w:r>
              <w:rPr>
                <w:rFonts w:ascii="Arial" w:cs="Arial" w:eastAsia="Arial" w:hAnsi="Arial"/>
                <w:sz w:val="11"/>
                <w:szCs w:val="11"/>
                <w:b w:val="1"/>
                <w:bCs w:val="1"/>
                <w:color w:val="auto"/>
              </w:rPr>
              <w:t>July 28,</w:t>
            </w:r>
          </w:p>
        </w:tc>
        <w:tc>
          <w:tcPr>
            <w:tcW w:w="4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jc w:val="right"/>
              <w:ind w:right="83"/>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920" w:type="dxa"/>
            <w:vAlign w:val="bottom"/>
            <w:tcBorders>
              <w:top w:val="single" w:sz="8" w:color="auto"/>
            </w:tcBorders>
            <w:gridSpan w:val="2"/>
          </w:tcPr>
          <w:p>
            <w:pPr>
              <w:jc w:val="center"/>
              <w:ind w:right="200"/>
              <w:spacing w:after="0" w:line="102" w:lineRule="exact"/>
              <w:rPr>
                <w:sz w:val="20"/>
                <w:szCs w:val="20"/>
                <w:color w:val="auto"/>
              </w:rPr>
            </w:pPr>
            <w:r>
              <w:rPr>
                <w:rFonts w:ascii="Arial" w:cs="Arial" w:eastAsia="Arial" w:hAnsi="Arial"/>
                <w:sz w:val="11"/>
                <w:szCs w:val="11"/>
                <w:b w:val="1"/>
                <w:bCs w:val="1"/>
                <w:color w:val="auto"/>
              </w:rPr>
              <w:t>July 28,</w:t>
            </w:r>
          </w:p>
        </w:tc>
        <w:tc>
          <w:tcPr>
            <w:tcW w:w="4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jc w:val="right"/>
              <w:ind w:right="103"/>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1540" w:type="dxa"/>
            <w:vAlign w:val="bottom"/>
            <w:gridSpan w:val="2"/>
          </w:tcPr>
          <w:p>
            <w:pPr>
              <w:jc w:val="right"/>
              <w:ind w:right="176"/>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4"/>
                <w:szCs w:val="14"/>
                <w:color w:val="auto"/>
              </w:rPr>
            </w:pPr>
          </w:p>
        </w:tc>
        <w:tc>
          <w:tcPr>
            <w:tcW w:w="780" w:type="dxa"/>
            <w:vAlign w:val="bottom"/>
            <w:gridSpan w:val="2"/>
          </w:tcPr>
          <w:p>
            <w:pPr>
              <w:jc w:val="right"/>
              <w:ind w:right="183"/>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960" w:type="dxa"/>
            <w:vAlign w:val="bottom"/>
            <w:gridSpan w:val="2"/>
          </w:tcPr>
          <w:p>
            <w:pPr>
              <w:ind w:left="120"/>
              <w:spacing w:after="0"/>
              <w:rPr>
                <w:sz w:val="20"/>
                <w:szCs w:val="20"/>
                <w:color w:val="auto"/>
              </w:rPr>
            </w:pPr>
            <w:r>
              <w:rPr>
                <w:rFonts w:ascii="Arial" w:cs="Arial" w:eastAsia="Arial" w:hAnsi="Arial"/>
                <w:sz w:val="14"/>
                <w:szCs w:val="14"/>
                <w:b w:val="1"/>
                <w:bCs w:val="1"/>
                <w:color w:val="auto"/>
              </w:rPr>
              <w:t>Change</w:t>
            </w:r>
          </w:p>
        </w:tc>
        <w:tc>
          <w:tcPr>
            <w:tcW w:w="740" w:type="dxa"/>
            <w:vAlign w:val="bottom"/>
          </w:tcPr>
          <w:p>
            <w:pPr>
              <w:jc w:val="right"/>
              <w:ind w:right="167"/>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4"/>
                <w:szCs w:val="14"/>
                <w:color w:val="auto"/>
              </w:rPr>
            </w:pPr>
          </w:p>
        </w:tc>
        <w:tc>
          <w:tcPr>
            <w:tcW w:w="800" w:type="dxa"/>
            <w:vAlign w:val="bottom"/>
            <w:gridSpan w:val="2"/>
          </w:tcPr>
          <w:p>
            <w:pPr>
              <w:jc w:val="right"/>
              <w:ind w:right="203"/>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960" w:type="dxa"/>
            <w:vAlign w:val="bottom"/>
            <w:gridSpan w:val="2"/>
          </w:tcPr>
          <w:p>
            <w:pPr>
              <w:ind w:left="1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24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760" w:type="dxa"/>
            <w:vAlign w:val="bottom"/>
            <w:tcBorders>
              <w:top w:val="single" w:sz="8" w:color="auto"/>
            </w:tcBorders>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4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53,942</w:t>
            </w:r>
          </w:p>
        </w:tc>
        <w:tc>
          <w:tcPr>
            <w:tcW w:w="1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39,267</w:t>
            </w:r>
          </w:p>
        </w:tc>
        <w:tc>
          <w:tcPr>
            <w:tcW w:w="220" w:type="dxa"/>
            <w:vAlign w:val="bottom"/>
            <w:shd w:val="clear" w:color="auto" w:fill="CCEEFF"/>
          </w:tcPr>
          <w:p>
            <w:pPr>
              <w:spacing w:after="0"/>
              <w:rPr>
                <w:sz w:val="18"/>
                <w:szCs w:val="18"/>
                <w:color w:val="auto"/>
              </w:rPr>
            </w:pPr>
          </w:p>
        </w:tc>
        <w:tc>
          <w:tcPr>
            <w:tcW w:w="1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37.4% $ 104,334</w:t>
            </w:r>
          </w:p>
        </w:tc>
        <w:tc>
          <w:tcPr>
            <w:tcW w:w="1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78,129</w:t>
            </w:r>
          </w:p>
        </w:tc>
        <w:tc>
          <w:tcPr>
            <w:tcW w:w="2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33.5%</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400" w:type="dxa"/>
            <w:vAlign w:val="bottom"/>
          </w:tcPr>
          <w:p>
            <w:pPr>
              <w:spacing w:after="0"/>
              <w:rPr>
                <w:sz w:val="20"/>
                <w:szCs w:val="20"/>
                <w:color w:val="auto"/>
              </w:rPr>
            </w:pPr>
            <w:r>
              <w:rPr>
                <w:rFonts w:ascii="Arial" w:cs="Arial" w:eastAsia="Arial" w:hAnsi="Arial"/>
                <w:sz w:val="18"/>
                <w:szCs w:val="18"/>
                <w:color w:val="auto"/>
              </w:rPr>
              <w:t>% of net revenue</w:t>
            </w:r>
          </w:p>
        </w:tc>
        <w:tc>
          <w:tcPr>
            <w:tcW w:w="1720" w:type="dxa"/>
            <w:vAlign w:val="bottom"/>
            <w:gridSpan w:val="3"/>
          </w:tcPr>
          <w:p>
            <w:pPr>
              <w:jc w:val="right"/>
              <w:ind w:right="20"/>
              <w:spacing w:after="0"/>
              <w:rPr>
                <w:sz w:val="20"/>
                <w:szCs w:val="20"/>
                <w:color w:val="auto"/>
              </w:rPr>
            </w:pPr>
            <w:r>
              <w:rPr>
                <w:rFonts w:ascii="Arial" w:cs="Arial" w:eastAsia="Arial" w:hAnsi="Arial"/>
                <w:sz w:val="18"/>
                <w:szCs w:val="18"/>
                <w:color w:val="auto"/>
              </w:rPr>
              <w:t>8.2%</w:t>
            </w:r>
          </w:p>
        </w:tc>
        <w:tc>
          <w:tcPr>
            <w:tcW w:w="1000" w:type="dxa"/>
            <w:vAlign w:val="bottom"/>
            <w:gridSpan w:val="3"/>
          </w:tcPr>
          <w:p>
            <w:pPr>
              <w:jc w:val="right"/>
              <w:ind w:right="60"/>
              <w:spacing w:after="0"/>
              <w:rPr>
                <w:sz w:val="20"/>
                <w:szCs w:val="20"/>
                <w:color w:val="auto"/>
              </w:rPr>
            </w:pPr>
            <w:r>
              <w:rPr>
                <w:rFonts w:ascii="Arial" w:cs="Arial" w:eastAsia="Arial" w:hAnsi="Arial"/>
                <w:sz w:val="18"/>
                <w:szCs w:val="18"/>
                <w:color w:val="auto"/>
              </w:rPr>
              <w:t>6.9%</w:t>
            </w:r>
          </w:p>
        </w:tc>
        <w:tc>
          <w:tcPr>
            <w:tcW w:w="7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20" w:type="dxa"/>
            <w:vAlign w:val="bottom"/>
            <w:gridSpan w:val="2"/>
          </w:tcPr>
          <w:p>
            <w:pPr>
              <w:jc w:val="right"/>
              <w:ind w:right="20"/>
              <w:spacing w:after="0"/>
              <w:rPr>
                <w:sz w:val="20"/>
                <w:szCs w:val="20"/>
                <w:color w:val="auto"/>
              </w:rPr>
            </w:pPr>
            <w:r>
              <w:rPr>
                <w:rFonts w:ascii="Arial" w:cs="Arial" w:eastAsia="Arial" w:hAnsi="Arial"/>
                <w:sz w:val="18"/>
                <w:szCs w:val="18"/>
                <w:color w:val="auto"/>
              </w:rPr>
              <w:t>8.1%</w:t>
            </w:r>
          </w:p>
        </w:tc>
        <w:tc>
          <w:tcPr>
            <w:tcW w:w="1020" w:type="dxa"/>
            <w:vAlign w:val="bottom"/>
            <w:gridSpan w:val="3"/>
          </w:tcPr>
          <w:p>
            <w:pPr>
              <w:jc w:val="right"/>
              <w:ind w:right="80"/>
              <w:spacing w:after="0"/>
              <w:rPr>
                <w:sz w:val="20"/>
                <w:szCs w:val="20"/>
                <w:color w:val="auto"/>
              </w:rPr>
            </w:pPr>
            <w:r>
              <w:rPr>
                <w:rFonts w:ascii="Arial" w:cs="Arial" w:eastAsia="Arial" w:hAnsi="Arial"/>
                <w:sz w:val="18"/>
                <w:szCs w:val="18"/>
                <w:color w:val="auto"/>
              </w:rPr>
              <w:t>7.1%</w:t>
            </w:r>
          </w:p>
        </w:tc>
        <w:tc>
          <w:tcPr>
            <w:tcW w:w="7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firstLine="324"/>
        <w:spacing w:after="0" w:line="278" w:lineRule="auto"/>
        <w:rPr>
          <w:sz w:val="20"/>
          <w:szCs w:val="20"/>
          <w:color w:val="auto"/>
        </w:rPr>
      </w:pPr>
      <w:r>
        <w:rPr>
          <w:rFonts w:ascii="Arial" w:cs="Arial" w:eastAsia="Arial" w:hAnsi="Arial"/>
          <w:sz w:val="17"/>
          <w:szCs w:val="17"/>
          <w:color w:val="auto"/>
        </w:rPr>
        <w:t xml:space="preserve">Selling and marketing expense consists primarily of compensation and associated costs relating to sales and marketing personnel, including stock-based compensation expenses, sales commissions, promotional and other marketing expenses, and allocated occupancy costs for these operations. The increase in selling and marketing expense in absolute dollars in the second quarter of fiscal 2008 compared to the second quarter of fiscal 2007 was primarily due to the net hiring of additional selling and marketing personnel including the incremental salary and related expenses resulting from </w:t>
      </w:r>
      <w:r>
        <w:rPr>
          <w:rFonts w:ascii="Arial" w:cs="Arial" w:eastAsia="Arial" w:hAnsi="Arial"/>
          <w:sz w:val="16"/>
          <w:szCs w:val="16"/>
          <w:color w:val="auto"/>
        </w:rPr>
        <w:t>our acquisition of the</w:t>
      </w:r>
      <w:r>
        <w:rPr>
          <w:rFonts w:ascii="Arial" w:cs="Arial" w:eastAsia="Arial" w:hAnsi="Arial"/>
          <w:sz w:val="17"/>
          <w:szCs w:val="17"/>
          <w:color w:val="auto"/>
        </w:rPr>
        <w:t xml:space="preserve"> </w:t>
      </w:r>
      <w:r>
        <w:rPr>
          <w:rFonts w:ascii="Arial" w:cs="Arial" w:eastAsia="Arial" w:hAnsi="Arial"/>
          <w:sz w:val="16"/>
          <w:szCs w:val="16"/>
          <w:color w:val="auto"/>
        </w:rPr>
        <w:t>communications and applications processor business from Intel in November 2006 which together resulted in an increase in salary and related costs of $7.9 million. Selling and marketing expense also increased due to the net increase in stock compensation expense of $2.5 million. The $2.5 million net increase in stock compensation consisted of $3.6 million recorded in connection with the modification of stock options for terminated employees who could not exercise vested options due to the suspension of stock option activity during the internal review related to stock option practices partially offset by a decrease in the normal stock compensation expense. Additionally, we incurred an increase in allocated overhead costs of $2.2 million related to our expanding operations.</w:t>
      </w:r>
    </w:p>
    <w:p>
      <w:pPr>
        <w:spacing w:after="0" w:line="176" w:lineRule="exact"/>
        <w:rPr>
          <w:sz w:val="20"/>
          <w:szCs w:val="20"/>
          <w:color w:val="auto"/>
        </w:rPr>
      </w:pPr>
    </w:p>
    <w:p>
      <w:pPr>
        <w:ind w:right="20" w:firstLine="324"/>
        <w:spacing w:after="0" w:line="282" w:lineRule="auto"/>
        <w:rPr>
          <w:sz w:val="20"/>
          <w:szCs w:val="20"/>
          <w:color w:val="auto"/>
        </w:rPr>
      </w:pPr>
      <w:r>
        <w:rPr>
          <w:rFonts w:ascii="Arial" w:cs="Arial" w:eastAsia="Arial" w:hAnsi="Arial"/>
          <w:sz w:val="17"/>
          <w:szCs w:val="17"/>
          <w:color w:val="auto"/>
        </w:rPr>
        <w:t xml:space="preserve">The increase in selling and marketing expense in absolute dollars in the first six months of fiscal 2008 compared to the first six months of fiscal 2007 was primarily due to the net hiring of additional selling and marketing personnel including the incremental salary and related expenses resulting from </w:t>
      </w:r>
      <w:r>
        <w:rPr>
          <w:rFonts w:ascii="Arial" w:cs="Arial" w:eastAsia="Arial" w:hAnsi="Arial"/>
          <w:sz w:val="16"/>
          <w:szCs w:val="16"/>
          <w:color w:val="auto"/>
        </w:rPr>
        <w:t>our</w:t>
      </w:r>
      <w:r>
        <w:rPr>
          <w:rFonts w:ascii="Arial" w:cs="Arial" w:eastAsia="Arial" w:hAnsi="Arial"/>
          <w:sz w:val="17"/>
          <w:szCs w:val="17"/>
          <w:color w:val="auto"/>
        </w:rPr>
        <w:t xml:space="preserve"> </w:t>
      </w:r>
      <w:r>
        <w:rPr>
          <w:rFonts w:ascii="Arial" w:cs="Arial" w:eastAsia="Arial" w:hAnsi="Arial"/>
          <w:sz w:val="16"/>
          <w:szCs w:val="16"/>
          <w:color w:val="auto"/>
        </w:rPr>
        <w:t>acquisition of the communications and applications processor business from Intel in November 2006 which together resulted in an increase in salary and related costs of $16.4 million. Additionally, we incurred other variable sales and marketing costs of $2.8 million related to expanding our sales and marketing activities as we broaden our customer and product base. We also incurred an increase in allocated overhead costs of $4.6 million related to our expanding operations as well as a net increase in stock compensation expense of $1.5 million of which $3.6 million was recorded in connection with the modification of stock options for terminated employees who could not exercise vested options due to the suspension of stock option activity during the internal review related to stock option practices partially offset by a decrease in the normal stock compensation expense.</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General and Administrative</w:t>
      </w:r>
    </w:p>
    <w:p>
      <w:pPr>
        <w:spacing w:after="0" w:line="203"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920" w:type="dxa"/>
            <w:vAlign w:val="bottom"/>
            <w:gridSpan w:val="5"/>
          </w:tcPr>
          <w:p>
            <w:pPr>
              <w:jc w:val="right"/>
              <w:ind w:right="420"/>
              <w:spacing w:after="0"/>
              <w:rPr>
                <w:sz w:val="20"/>
                <w:szCs w:val="20"/>
                <w:color w:val="auto"/>
              </w:rPr>
            </w:pPr>
            <w:r>
              <w:rPr>
                <w:rFonts w:ascii="Arial" w:cs="Arial" w:eastAsia="Arial" w:hAnsi="Arial"/>
                <w:sz w:val="14"/>
                <w:szCs w:val="14"/>
                <w:b w:val="1"/>
                <w:bCs w:val="1"/>
                <w:color w:val="auto"/>
              </w:rPr>
              <w:t>Three Months Ended</w:t>
            </w:r>
          </w:p>
        </w:tc>
        <w:tc>
          <w:tcPr>
            <w:tcW w:w="96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Percent</w:t>
            </w:r>
          </w:p>
        </w:tc>
        <w:tc>
          <w:tcPr>
            <w:tcW w:w="100" w:type="dxa"/>
            <w:vAlign w:val="bottom"/>
          </w:tcPr>
          <w:p>
            <w:pPr>
              <w:spacing w:after="0"/>
              <w:rPr>
                <w:sz w:val="14"/>
                <w:szCs w:val="14"/>
                <w:color w:val="auto"/>
              </w:rPr>
            </w:pPr>
          </w:p>
        </w:tc>
        <w:tc>
          <w:tcPr>
            <w:tcW w:w="184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rPr>
              <w:t>Six Months Ended</w:t>
            </w:r>
          </w:p>
        </w:tc>
        <w:tc>
          <w:tcPr>
            <w:tcW w:w="96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560" w:type="dxa"/>
            <w:vAlign w:val="bottom"/>
          </w:tcPr>
          <w:p>
            <w:pPr>
              <w:spacing w:after="0"/>
              <w:rPr>
                <w:sz w:val="8"/>
                <w:szCs w:val="8"/>
                <w:color w:val="auto"/>
              </w:rPr>
            </w:pPr>
          </w:p>
        </w:tc>
        <w:tc>
          <w:tcPr>
            <w:tcW w:w="640" w:type="dxa"/>
            <w:vAlign w:val="bottom"/>
          </w:tcPr>
          <w:p>
            <w:pPr>
              <w:spacing w:after="0"/>
              <w:rPr>
                <w:sz w:val="8"/>
                <w:szCs w:val="8"/>
                <w:color w:val="auto"/>
              </w:rPr>
            </w:pPr>
          </w:p>
        </w:tc>
        <w:tc>
          <w:tcPr>
            <w:tcW w:w="920" w:type="dxa"/>
            <w:vAlign w:val="bottom"/>
            <w:tcBorders>
              <w:top w:val="single" w:sz="8" w:color="auto"/>
            </w:tcBorders>
            <w:gridSpan w:val="2"/>
          </w:tcPr>
          <w:p>
            <w:pPr>
              <w:jc w:val="right"/>
              <w:ind w:right="320"/>
              <w:spacing w:after="0" w:line="102" w:lineRule="exact"/>
              <w:rPr>
                <w:sz w:val="20"/>
                <w:szCs w:val="20"/>
                <w:color w:val="auto"/>
              </w:rPr>
            </w:pPr>
            <w:r>
              <w:rPr>
                <w:rFonts w:ascii="Arial" w:cs="Arial" w:eastAsia="Arial" w:hAnsi="Arial"/>
                <w:sz w:val="11"/>
                <w:szCs w:val="11"/>
                <w:b w:val="1"/>
                <w:bCs w:val="1"/>
                <w:color w:val="auto"/>
              </w:rPr>
              <w:t>July 28,</w:t>
            </w:r>
          </w:p>
        </w:tc>
        <w:tc>
          <w:tcPr>
            <w:tcW w:w="4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jc w:val="right"/>
              <w:ind w:right="83"/>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820" w:type="dxa"/>
            <w:vAlign w:val="bottom"/>
            <w:tcBorders>
              <w:top w:val="single" w:sz="8" w:color="auto"/>
            </w:tcBorders>
            <w:gridSpan w:val="2"/>
          </w:tcPr>
          <w:p>
            <w:pPr>
              <w:jc w:val="right"/>
              <w:ind w:right="320"/>
              <w:spacing w:after="0" w:line="102" w:lineRule="exact"/>
              <w:rPr>
                <w:sz w:val="20"/>
                <w:szCs w:val="20"/>
                <w:color w:val="auto"/>
              </w:rPr>
            </w:pPr>
            <w:r>
              <w:rPr>
                <w:rFonts w:ascii="Arial" w:cs="Arial" w:eastAsia="Arial" w:hAnsi="Arial"/>
                <w:sz w:val="11"/>
                <w:szCs w:val="11"/>
                <w:b w:val="1"/>
                <w:bCs w:val="1"/>
                <w:color w:val="auto"/>
              </w:rPr>
              <w:t>July 28,</w:t>
            </w:r>
          </w:p>
        </w:tc>
        <w:tc>
          <w:tcPr>
            <w:tcW w:w="4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jc w:val="right"/>
              <w:ind w:right="103"/>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1380" w:type="dxa"/>
            <w:vAlign w:val="bottom"/>
            <w:gridSpan w:val="2"/>
          </w:tcPr>
          <w:p>
            <w:pPr>
              <w:jc w:val="right"/>
              <w:ind w:right="176"/>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4"/>
                <w:szCs w:val="14"/>
                <w:color w:val="auto"/>
              </w:rPr>
            </w:pPr>
          </w:p>
        </w:tc>
        <w:tc>
          <w:tcPr>
            <w:tcW w:w="780" w:type="dxa"/>
            <w:vAlign w:val="bottom"/>
            <w:gridSpan w:val="2"/>
          </w:tcPr>
          <w:p>
            <w:pPr>
              <w:jc w:val="right"/>
              <w:ind w:right="183"/>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060" w:type="dxa"/>
            <w:vAlign w:val="bottom"/>
            <w:gridSpan w:val="3"/>
          </w:tcPr>
          <w:p>
            <w:pPr>
              <w:ind w:left="120"/>
              <w:spacing w:after="0"/>
              <w:rPr>
                <w:sz w:val="20"/>
                <w:szCs w:val="20"/>
                <w:color w:val="auto"/>
              </w:rPr>
            </w:pPr>
            <w:r>
              <w:rPr>
                <w:rFonts w:ascii="Arial" w:cs="Arial" w:eastAsia="Arial" w:hAnsi="Arial"/>
                <w:sz w:val="14"/>
                <w:szCs w:val="14"/>
                <w:b w:val="1"/>
                <w:bCs w:val="1"/>
                <w:color w:val="auto"/>
              </w:rPr>
              <w:t>Change</w:t>
            </w:r>
          </w:p>
        </w:tc>
        <w:tc>
          <w:tcPr>
            <w:tcW w:w="640" w:type="dxa"/>
            <w:vAlign w:val="bottom"/>
          </w:tcPr>
          <w:p>
            <w:pPr>
              <w:jc w:val="right"/>
              <w:ind w:right="164"/>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4"/>
                <w:szCs w:val="14"/>
                <w:color w:val="auto"/>
              </w:rPr>
            </w:pPr>
          </w:p>
        </w:tc>
        <w:tc>
          <w:tcPr>
            <w:tcW w:w="800" w:type="dxa"/>
            <w:vAlign w:val="bottom"/>
            <w:gridSpan w:val="2"/>
          </w:tcPr>
          <w:p>
            <w:pPr>
              <w:jc w:val="right"/>
              <w:ind w:right="203"/>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960" w:type="dxa"/>
            <w:vAlign w:val="bottom"/>
            <w:gridSpan w:val="2"/>
          </w:tcPr>
          <w:p>
            <w:pPr>
              <w:ind w:left="1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25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640" w:type="dxa"/>
            <w:vAlign w:val="bottom"/>
            <w:tcBorders>
              <w:top w:val="single" w:sz="8" w:color="auto"/>
            </w:tcBorders>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760" w:type="dxa"/>
            <w:vAlign w:val="bottom"/>
            <w:tcBorders>
              <w:top w:val="single" w:sz="8" w:color="auto"/>
            </w:tcBorders>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5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33,775</w:t>
            </w:r>
          </w:p>
        </w:tc>
        <w:tc>
          <w:tcPr>
            <w:tcW w:w="1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19,689</w:t>
            </w:r>
          </w:p>
        </w:tc>
        <w:tc>
          <w:tcPr>
            <w:tcW w:w="220" w:type="dxa"/>
            <w:vAlign w:val="bottom"/>
            <w:shd w:val="clear" w:color="auto" w:fill="CCEEFF"/>
          </w:tcPr>
          <w:p>
            <w:pPr>
              <w:spacing w:after="0"/>
              <w:rPr>
                <w:sz w:val="18"/>
                <w:szCs w:val="18"/>
                <w:color w:val="auto"/>
              </w:rPr>
            </w:pPr>
          </w:p>
        </w:tc>
        <w:tc>
          <w:tcPr>
            <w:tcW w:w="106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71.5% $</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57,763</w:t>
            </w:r>
          </w:p>
        </w:tc>
        <w:tc>
          <w:tcPr>
            <w:tcW w:w="1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38,247</w:t>
            </w:r>
          </w:p>
        </w:tc>
        <w:tc>
          <w:tcPr>
            <w:tcW w:w="2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51.0%</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560" w:type="dxa"/>
            <w:vAlign w:val="bottom"/>
          </w:tcPr>
          <w:p>
            <w:pPr>
              <w:spacing w:after="0"/>
              <w:rPr>
                <w:sz w:val="20"/>
                <w:szCs w:val="20"/>
                <w:color w:val="auto"/>
              </w:rPr>
            </w:pPr>
            <w:r>
              <w:rPr>
                <w:rFonts w:ascii="Arial" w:cs="Arial" w:eastAsia="Arial" w:hAnsi="Arial"/>
                <w:sz w:val="18"/>
                <w:szCs w:val="18"/>
                <w:color w:val="auto"/>
              </w:rPr>
              <w:t>% of net revenue</w:t>
            </w:r>
          </w:p>
        </w:tc>
        <w:tc>
          <w:tcPr>
            <w:tcW w:w="1560" w:type="dxa"/>
            <w:vAlign w:val="bottom"/>
            <w:gridSpan w:val="3"/>
          </w:tcPr>
          <w:p>
            <w:pPr>
              <w:jc w:val="right"/>
              <w:ind w:right="20"/>
              <w:spacing w:after="0"/>
              <w:rPr>
                <w:sz w:val="20"/>
                <w:szCs w:val="20"/>
                <w:color w:val="auto"/>
              </w:rPr>
            </w:pPr>
            <w:r>
              <w:rPr>
                <w:rFonts w:ascii="Arial" w:cs="Arial" w:eastAsia="Arial" w:hAnsi="Arial"/>
                <w:sz w:val="18"/>
                <w:szCs w:val="18"/>
                <w:color w:val="auto"/>
              </w:rPr>
              <w:t>5.1%</w:t>
            </w:r>
          </w:p>
        </w:tc>
        <w:tc>
          <w:tcPr>
            <w:tcW w:w="1000" w:type="dxa"/>
            <w:vAlign w:val="bottom"/>
            <w:gridSpan w:val="3"/>
          </w:tcPr>
          <w:p>
            <w:pPr>
              <w:jc w:val="right"/>
              <w:ind w:right="60"/>
              <w:spacing w:after="0"/>
              <w:rPr>
                <w:sz w:val="20"/>
                <w:szCs w:val="20"/>
                <w:color w:val="auto"/>
              </w:rPr>
            </w:pPr>
            <w:r>
              <w:rPr>
                <w:rFonts w:ascii="Arial" w:cs="Arial" w:eastAsia="Arial" w:hAnsi="Arial"/>
                <w:sz w:val="18"/>
                <w:szCs w:val="18"/>
                <w:color w:val="auto"/>
              </w:rPr>
              <w:t>3.4%</w:t>
            </w:r>
          </w:p>
        </w:tc>
        <w:tc>
          <w:tcPr>
            <w:tcW w:w="7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4.5%</w:t>
            </w:r>
          </w:p>
        </w:tc>
        <w:tc>
          <w:tcPr>
            <w:tcW w:w="1020" w:type="dxa"/>
            <w:vAlign w:val="bottom"/>
            <w:gridSpan w:val="3"/>
          </w:tcPr>
          <w:p>
            <w:pPr>
              <w:jc w:val="right"/>
              <w:ind w:right="80"/>
              <w:spacing w:after="0"/>
              <w:rPr>
                <w:sz w:val="20"/>
                <w:szCs w:val="20"/>
                <w:color w:val="auto"/>
              </w:rPr>
            </w:pPr>
            <w:r>
              <w:rPr>
                <w:rFonts w:ascii="Arial" w:cs="Arial" w:eastAsia="Arial" w:hAnsi="Arial"/>
                <w:sz w:val="18"/>
                <w:szCs w:val="18"/>
                <w:color w:val="auto"/>
              </w:rPr>
              <w:t>3.5%</w:t>
            </w:r>
          </w:p>
        </w:tc>
        <w:tc>
          <w:tcPr>
            <w:tcW w:w="7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200" w:firstLine="324"/>
        <w:spacing w:after="0" w:line="264" w:lineRule="auto"/>
        <w:rPr>
          <w:sz w:val="20"/>
          <w:szCs w:val="20"/>
          <w:color w:val="auto"/>
        </w:rPr>
      </w:pPr>
      <w:r>
        <w:rPr>
          <w:rFonts w:ascii="Arial" w:cs="Arial" w:eastAsia="Arial" w:hAnsi="Arial"/>
          <w:sz w:val="18"/>
          <w:szCs w:val="18"/>
          <w:color w:val="auto"/>
        </w:rPr>
        <w:t>General and administrative expense consists primarily of compensation and associated costs relating to general and administrative personnel, including stock-based compensation expenses, fees for professional services, and allocated occupancy costs for these operations. The increase in absolute dollars in general and administrative expense in the second</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 xml:space="preserve">quarter of fiscal 2008 compared to the second quarter of fiscal 2007 was primarily due to an increase in legal fees of $11.1 million due largely to costs associated with </w:t>
      </w:r>
      <w:r>
        <w:rPr>
          <w:rFonts w:ascii="Arial" w:cs="Arial" w:eastAsia="Arial" w:hAnsi="Arial"/>
          <w:sz w:val="17"/>
          <w:szCs w:val="17"/>
          <w:color w:val="auto"/>
        </w:rPr>
        <w:t>our internal review by a special committee of the Board of Directors related to our historical stock option practices and related accounting matters</w:t>
      </w:r>
      <w:r>
        <w:rPr>
          <w:rFonts w:ascii="Arial" w:cs="Arial" w:eastAsia="Arial" w:hAnsi="Arial"/>
          <w:sz w:val="18"/>
          <w:szCs w:val="18"/>
          <w:color w:val="auto"/>
        </w:rPr>
        <w:t xml:space="preserve"> </w:t>
      </w:r>
      <w:r>
        <w:rPr>
          <w:rFonts w:ascii="Arial" w:cs="Arial" w:eastAsia="Arial" w:hAnsi="Arial"/>
          <w:sz w:val="17"/>
          <w:szCs w:val="17"/>
          <w:color w:val="auto"/>
        </w:rPr>
        <w:t>which was completed in the second quarter of fiscal 2008. In addition, general and administrative expense increased due to the net hiring of additional administrative personnel, which resulted in an increase in salary and related costs of $4.6 million. General and administrative expense also increased due to a net increase in stock compensation expense of $2.6 million of which $1.4 million was recorded in connection with the modification of stock options for terminated employees who could not exercise vested options due to the suspension of stock option activity during the internal review related to stock option practices. Partially offsetting the increase in general and administrative expense in the second quarter of fiscal 2008 compared to the second quarter of fiscal 2007 was a $5.1 million gain from the sale of an asset under construction.</w:t>
      </w:r>
    </w:p>
    <w:p>
      <w:pPr>
        <w:spacing w:after="0" w:line="187" w:lineRule="exact"/>
        <w:rPr>
          <w:sz w:val="20"/>
          <w:szCs w:val="20"/>
          <w:color w:val="auto"/>
        </w:rPr>
      </w:pPr>
    </w:p>
    <w:p>
      <w:pPr>
        <w:ind w:right="40" w:firstLine="324"/>
        <w:spacing w:after="0" w:line="264" w:lineRule="auto"/>
        <w:rPr>
          <w:sz w:val="20"/>
          <w:szCs w:val="20"/>
          <w:color w:val="auto"/>
        </w:rPr>
      </w:pPr>
      <w:r>
        <w:rPr>
          <w:rFonts w:ascii="Arial" w:cs="Arial" w:eastAsia="Arial" w:hAnsi="Arial"/>
          <w:sz w:val="18"/>
          <w:szCs w:val="18"/>
          <w:color w:val="auto"/>
        </w:rPr>
        <w:t xml:space="preserve">The increase in absolute dollars in general administrative expense in the first six months of fiscal 2008 compared to the first six months of the fiscal 2007 was primarily due to an increase in legal fees of $16.1 million due largely to costs associated with </w:t>
      </w:r>
      <w:r>
        <w:rPr>
          <w:rFonts w:ascii="Arial" w:cs="Arial" w:eastAsia="Arial" w:hAnsi="Arial"/>
          <w:sz w:val="17"/>
          <w:szCs w:val="17"/>
          <w:color w:val="auto"/>
        </w:rPr>
        <w:t>our internal review by a special committee of the Board of</w:t>
      </w:r>
      <w:r>
        <w:rPr>
          <w:rFonts w:ascii="Arial" w:cs="Arial" w:eastAsia="Arial" w:hAnsi="Arial"/>
          <w:sz w:val="18"/>
          <w:szCs w:val="18"/>
          <w:color w:val="auto"/>
        </w:rPr>
        <w:t xml:space="preserve"> </w:t>
      </w:r>
      <w:r>
        <w:rPr>
          <w:rFonts w:ascii="Arial" w:cs="Arial" w:eastAsia="Arial" w:hAnsi="Arial"/>
          <w:sz w:val="17"/>
          <w:szCs w:val="17"/>
          <w:color w:val="auto"/>
        </w:rPr>
        <w:t>Directors related to our historical stock option practices and related accounting matters which was completed in the second quarter of fiscal 2008. In addition, general and administrative expense increased due to the net hiring of additional administrative personnel, which resulted in an increase in salary and related costs of $7.0 million. Partially offsetting the increase in general and administrative expense in the second quarter of fiscal 2008 compared to the second quarter of fiscal 2007 was a $5.1 million gain from the sale of an asset under construction.</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03" w:lineRule="exact"/>
        <w:rPr>
          <w:sz w:val="20"/>
          <w:szCs w:val="20"/>
          <w:color w:val="auto"/>
        </w:rPr>
      </w:pPr>
    </w:p>
    <w:tbl>
      <w:tblPr>
        <w:tblLayout w:type="fixed"/>
        <w:tblInd w:w="3580" w:type="dxa"/>
        <w:tblCellMar>
          <w:top w:w="0" w:type="dxa"/>
          <w:left w:w="0" w:type="dxa"/>
          <w:bottom w:w="0" w:type="dxa"/>
          <w:right w:w="0" w:type="dxa"/>
        </w:tblCellMar>
      </w:tblPr>
      <w:tr>
        <w:trPr>
          <w:trHeight w:val="171"/>
        </w:trPr>
        <w:tc>
          <w:tcPr>
            <w:tcW w:w="1920" w:type="dxa"/>
            <w:vAlign w:val="bottom"/>
            <w:gridSpan w:val="4"/>
          </w:tcPr>
          <w:p>
            <w:pPr>
              <w:ind w:left="200"/>
              <w:spacing w:after="0"/>
              <w:rPr>
                <w:sz w:val="20"/>
                <w:szCs w:val="20"/>
                <w:color w:val="auto"/>
              </w:rPr>
            </w:pPr>
            <w:r>
              <w:rPr>
                <w:rFonts w:ascii="Arial" w:cs="Arial" w:eastAsia="Arial" w:hAnsi="Arial"/>
                <w:sz w:val="14"/>
                <w:szCs w:val="14"/>
                <w:b w:val="1"/>
                <w:bCs w:val="1"/>
                <w:color w:val="auto"/>
              </w:rPr>
              <w:t>Three Months Ended</w:t>
            </w:r>
          </w:p>
        </w:tc>
        <w:tc>
          <w:tcPr>
            <w:tcW w:w="96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Percent</w:t>
            </w:r>
          </w:p>
        </w:tc>
        <w:tc>
          <w:tcPr>
            <w:tcW w:w="1940" w:type="dxa"/>
            <w:vAlign w:val="bottom"/>
            <w:gridSpan w:val="4"/>
          </w:tcPr>
          <w:p>
            <w:pPr>
              <w:ind w:left="280"/>
              <w:spacing w:after="0"/>
              <w:rPr>
                <w:sz w:val="20"/>
                <w:szCs w:val="20"/>
                <w:color w:val="auto"/>
              </w:rPr>
            </w:pPr>
            <w:r>
              <w:rPr>
                <w:rFonts w:ascii="Arial" w:cs="Arial" w:eastAsia="Arial" w:hAnsi="Arial"/>
                <w:sz w:val="14"/>
                <w:szCs w:val="14"/>
                <w:b w:val="1"/>
                <w:bCs w:val="1"/>
                <w:color w:val="auto"/>
              </w:rPr>
              <w:t>Six Months Ended</w:t>
            </w:r>
          </w:p>
        </w:tc>
        <w:tc>
          <w:tcPr>
            <w:tcW w:w="760" w:type="dxa"/>
            <w:vAlign w:val="bottom"/>
            <w:vMerge w:val="restart"/>
          </w:tcPr>
          <w:p>
            <w:pPr>
              <w:ind w:left="14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960" w:type="dxa"/>
            <w:vAlign w:val="bottom"/>
            <w:tcBorders>
              <w:top w:val="single" w:sz="8" w:color="auto"/>
            </w:tcBorders>
            <w:gridSpan w:val="2"/>
          </w:tcPr>
          <w:p>
            <w:pPr>
              <w:jc w:val="center"/>
              <w:ind w:right="240"/>
              <w:spacing w:after="0" w:line="102" w:lineRule="exact"/>
              <w:rPr>
                <w:sz w:val="20"/>
                <w:szCs w:val="20"/>
                <w:color w:val="auto"/>
              </w:rPr>
            </w:pPr>
            <w:r>
              <w:rPr>
                <w:rFonts w:ascii="Arial" w:cs="Arial" w:eastAsia="Arial" w:hAnsi="Arial"/>
                <w:sz w:val="11"/>
                <w:szCs w:val="11"/>
                <w:b w:val="1"/>
                <w:bCs w:val="1"/>
                <w:color w:val="auto"/>
              </w:rPr>
              <w:t>July 28,</w:t>
            </w:r>
          </w:p>
        </w:tc>
        <w:tc>
          <w:tcPr>
            <w:tcW w:w="74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960" w:type="dxa"/>
            <w:vAlign w:val="bottom"/>
            <w:tcBorders>
              <w:top w:val="single" w:sz="8" w:color="auto"/>
            </w:tcBorders>
            <w:gridSpan w:val="2"/>
          </w:tcPr>
          <w:p>
            <w:pPr>
              <w:jc w:val="center"/>
              <w:ind w:right="240"/>
              <w:spacing w:after="0" w:line="102" w:lineRule="exact"/>
              <w:rPr>
                <w:sz w:val="20"/>
                <w:szCs w:val="20"/>
                <w:color w:val="auto"/>
              </w:rPr>
            </w:pPr>
            <w:r>
              <w:rPr>
                <w:rFonts w:ascii="Arial" w:cs="Arial" w:eastAsia="Arial" w:hAnsi="Arial"/>
                <w:sz w:val="11"/>
                <w:szCs w:val="11"/>
                <w:b w:val="1"/>
                <w:bCs w:val="1"/>
                <w:color w:val="auto"/>
              </w:rPr>
              <w:t>July 28,</w:t>
            </w:r>
          </w:p>
        </w:tc>
        <w:tc>
          <w:tcPr>
            <w:tcW w:w="760" w:type="dxa"/>
            <w:vAlign w:val="bottom"/>
            <w:tcBorders>
              <w:top w:val="single" w:sz="8" w:color="auto"/>
            </w:tcBorders>
          </w:tcPr>
          <w:p>
            <w:pPr>
              <w:jc w:val="center"/>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740" w:type="dxa"/>
            <w:vAlign w:val="bottom"/>
            <w:tcBorders>
              <w:bottom w:val="single" w:sz="8" w:color="auto"/>
            </w:tcBorders>
          </w:tcPr>
          <w:p>
            <w:pPr>
              <w:jc w:val="right"/>
              <w:ind w:right="175"/>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740" w:type="dxa"/>
            <w:vAlign w:val="bottom"/>
            <w:tcBorders>
              <w:bottom w:val="single" w:sz="8" w:color="auto"/>
            </w:tcBorders>
          </w:tcPr>
          <w:p>
            <w:pPr>
              <w:jc w:val="right"/>
              <w:ind w:right="178"/>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740" w:type="dxa"/>
            <w:vAlign w:val="bottom"/>
            <w:tcBorders>
              <w:bottom w:val="single" w:sz="8" w:color="auto"/>
            </w:tcBorders>
          </w:tcPr>
          <w:p>
            <w:pPr>
              <w:ind w:left="120"/>
              <w:spacing w:after="0"/>
              <w:rPr>
                <w:sz w:val="20"/>
                <w:szCs w:val="20"/>
                <w:color w:val="auto"/>
              </w:rPr>
            </w:pPr>
            <w:r>
              <w:rPr>
                <w:rFonts w:ascii="Arial" w:cs="Arial" w:eastAsia="Arial" w:hAnsi="Arial"/>
                <w:sz w:val="14"/>
                <w:szCs w:val="14"/>
                <w:b w:val="1"/>
                <w:bCs w:val="1"/>
                <w:color w:val="auto"/>
              </w:rPr>
              <w:t>Change</w:t>
            </w:r>
          </w:p>
        </w:tc>
        <w:tc>
          <w:tcPr>
            <w:tcW w:w="220" w:type="dxa"/>
            <w:vAlign w:val="bottom"/>
          </w:tcPr>
          <w:p>
            <w:pPr>
              <w:spacing w:after="0"/>
              <w:rPr>
                <w:sz w:val="14"/>
                <w:szCs w:val="14"/>
                <w:color w:val="auto"/>
              </w:rPr>
            </w:pPr>
          </w:p>
        </w:tc>
        <w:tc>
          <w:tcPr>
            <w:tcW w:w="740" w:type="dxa"/>
            <w:vAlign w:val="bottom"/>
            <w:tcBorders>
              <w:bottom w:val="single" w:sz="8" w:color="auto"/>
            </w:tcBorders>
          </w:tcPr>
          <w:p>
            <w:pPr>
              <w:jc w:val="right"/>
              <w:ind w:right="175"/>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760" w:type="dxa"/>
            <w:vAlign w:val="bottom"/>
            <w:tcBorders>
              <w:bottom w:val="single" w:sz="8" w:color="auto"/>
            </w:tcBorders>
          </w:tcPr>
          <w:p>
            <w:pPr>
              <w:jc w:val="right"/>
              <w:ind w:right="198"/>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760" w:type="dxa"/>
            <w:vAlign w:val="bottom"/>
            <w:tcBorders>
              <w:bottom w:val="single" w:sz="8" w:color="auto"/>
            </w:tcBorders>
          </w:tcPr>
          <w:p>
            <w:pPr>
              <w:ind w:left="1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bl>
    <w:p>
      <w:pPr>
        <w:sectPr>
          <w:pgSz w:w="11900" w:h="16838" w:orient="portrait"/>
          <w:cols w:equalWidth="0" w:num="1">
            <w:col w:w="11420"/>
          </w:cols>
          <w:pgMar w:left="240" w:top="368" w:right="239" w:bottom="0" w:gutter="0" w:footer="0" w:header="0"/>
        </w:sectPr>
      </w:pPr>
    </w:p>
    <w:bookmarkStart w:id="23" w:name="page24"/>
    <w:bookmarkEnd w:id="23"/>
    <w:p>
      <w:pPr>
        <w:spacing w:after="0" w:line="1" w:lineRule="exact"/>
        <w:rPr>
          <w:sz w:val="20"/>
          <w:szCs w:val="20"/>
          <w:color w:val="auto"/>
        </w:rPr>
      </w:pPr>
    </w:p>
    <w:tbl>
      <w:tblPr>
        <w:tblLayout w:type="fixed"/>
        <w:tblInd w:w="360" w:type="dxa"/>
        <w:tblCellMar>
          <w:top w:w="0" w:type="dxa"/>
          <w:left w:w="0" w:type="dxa"/>
          <w:bottom w:w="0" w:type="dxa"/>
          <w:right w:w="0" w:type="dxa"/>
        </w:tblCellMar>
      </w:tblPr>
      <w:tr>
        <w:trPr>
          <w:trHeight w:val="202"/>
        </w:trPr>
        <w:tc>
          <w:tcPr>
            <w:tcW w:w="20" w:type="dxa"/>
            <w:vAlign w:val="bottom"/>
          </w:tcPr>
          <w:p>
            <w:pPr>
              <w:spacing w:after="0"/>
              <w:rPr>
                <w:sz w:val="17"/>
                <w:szCs w:val="17"/>
                <w:color w:val="auto"/>
              </w:rPr>
            </w:pPr>
          </w:p>
        </w:tc>
        <w:tc>
          <w:tcPr>
            <w:tcW w:w="2880" w:type="dxa"/>
            <w:vAlign w:val="bottom"/>
            <w:tcBorders>
              <w:top w:val="single" w:sz="8" w:color="CCEEFF"/>
            </w:tcBorders>
            <w:shd w:val="clear" w:color="auto" w:fill="CCEEFF"/>
          </w:tcPr>
          <w:p>
            <w:pPr>
              <w:spacing w:after="0" w:line="201" w:lineRule="exact"/>
              <w:rPr>
                <w:sz w:val="20"/>
                <w:szCs w:val="20"/>
                <w:color w:val="auto"/>
              </w:rPr>
            </w:pPr>
            <w:r>
              <w:rPr>
                <w:rFonts w:ascii="Arial" w:cs="Arial" w:eastAsia="Arial" w:hAnsi="Arial"/>
                <w:sz w:val="18"/>
                <w:szCs w:val="18"/>
                <w:color w:val="auto"/>
              </w:rPr>
              <w:t>Amortization of acquired intangible</w:t>
            </w:r>
          </w:p>
        </w:tc>
        <w:tc>
          <w:tcPr>
            <w:tcW w:w="32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28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assets</w:t>
            </w: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37,293</w:t>
            </w:r>
          </w:p>
        </w:tc>
        <w:tc>
          <w:tcPr>
            <w:tcW w:w="180" w:type="dxa"/>
            <w:vAlign w:val="bottom"/>
            <w:shd w:val="clear" w:color="auto" w:fill="CCEEFF"/>
          </w:tcPr>
          <w:p>
            <w:pPr>
              <w:spacing w:after="0"/>
              <w:rPr>
                <w:sz w:val="20"/>
                <w:szCs w:val="20"/>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27,405</w:t>
            </w:r>
          </w:p>
        </w:tc>
        <w:tc>
          <w:tcPr>
            <w:tcW w:w="220" w:type="dxa"/>
            <w:vAlign w:val="bottom"/>
            <w:shd w:val="clear" w:color="auto" w:fill="CCEEFF"/>
          </w:tcPr>
          <w:p>
            <w:pPr>
              <w:spacing w:after="0"/>
              <w:rPr>
                <w:sz w:val="20"/>
                <w:szCs w:val="20"/>
                <w:color w:val="auto"/>
              </w:rPr>
            </w:pPr>
          </w:p>
        </w:tc>
        <w:tc>
          <w:tcPr>
            <w:tcW w:w="170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36.1% $  74,613</w:t>
            </w:r>
          </w:p>
        </w:tc>
        <w:tc>
          <w:tcPr>
            <w:tcW w:w="180" w:type="dxa"/>
            <w:vAlign w:val="bottom"/>
            <w:shd w:val="clear" w:color="auto" w:fill="CCEEFF"/>
          </w:tcPr>
          <w:p>
            <w:pPr>
              <w:spacing w:after="0"/>
              <w:rPr>
                <w:sz w:val="20"/>
                <w:szCs w:val="20"/>
                <w:color w:val="auto"/>
              </w:rPr>
            </w:pPr>
          </w:p>
        </w:tc>
        <w:tc>
          <w:tcPr>
            <w:tcW w:w="8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  44,756</w:t>
            </w:r>
          </w:p>
        </w:tc>
        <w:tc>
          <w:tcPr>
            <w:tcW w:w="220" w:type="dxa"/>
            <w:vAlign w:val="bottom"/>
            <w:shd w:val="clear" w:color="auto" w:fill="CCEEFF"/>
          </w:tcPr>
          <w:p>
            <w:pPr>
              <w:spacing w:after="0"/>
              <w:rPr>
                <w:sz w:val="20"/>
                <w:szCs w:val="20"/>
                <w:color w:val="auto"/>
              </w:rPr>
            </w:pPr>
          </w:p>
        </w:tc>
        <w:tc>
          <w:tcPr>
            <w:tcW w:w="9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66.7%</w:t>
            </w:r>
          </w:p>
        </w:tc>
      </w:tr>
      <w:tr>
        <w:trPr>
          <w:trHeight w:val="230"/>
        </w:trPr>
        <w:tc>
          <w:tcPr>
            <w:tcW w:w="20" w:type="dxa"/>
            <w:vAlign w:val="bottom"/>
          </w:tcPr>
          <w:p>
            <w:pPr>
              <w:spacing w:after="0"/>
              <w:rPr>
                <w:sz w:val="20"/>
                <w:szCs w:val="20"/>
                <w:color w:val="auto"/>
              </w:rPr>
            </w:pPr>
          </w:p>
        </w:tc>
        <w:tc>
          <w:tcPr>
            <w:tcW w:w="2880" w:type="dxa"/>
            <w:vAlign w:val="bottom"/>
          </w:tcPr>
          <w:p>
            <w:pPr>
              <w:spacing w:after="0"/>
              <w:rPr>
                <w:sz w:val="20"/>
                <w:szCs w:val="20"/>
                <w:color w:val="auto"/>
              </w:rPr>
            </w:pPr>
            <w:r>
              <w:rPr>
                <w:rFonts w:ascii="Arial" w:cs="Arial" w:eastAsia="Arial" w:hAnsi="Arial"/>
                <w:sz w:val="18"/>
                <w:szCs w:val="18"/>
                <w:color w:val="auto"/>
              </w:rPr>
              <w:t>% of net revenue</w:t>
            </w:r>
          </w:p>
        </w:tc>
        <w:tc>
          <w:tcPr>
            <w:tcW w:w="1240" w:type="dxa"/>
            <w:vAlign w:val="bottom"/>
            <w:gridSpan w:val="3"/>
          </w:tcPr>
          <w:p>
            <w:pPr>
              <w:jc w:val="right"/>
              <w:ind w:right="20"/>
              <w:spacing w:after="0"/>
              <w:rPr>
                <w:sz w:val="20"/>
                <w:szCs w:val="20"/>
                <w:color w:val="auto"/>
              </w:rPr>
            </w:pPr>
            <w:r>
              <w:rPr>
                <w:rFonts w:ascii="Arial" w:cs="Arial" w:eastAsia="Arial" w:hAnsi="Arial"/>
                <w:sz w:val="18"/>
                <w:szCs w:val="18"/>
                <w:color w:val="auto"/>
              </w:rPr>
              <w:t>5.7%</w:t>
            </w:r>
          </w:p>
        </w:tc>
        <w:tc>
          <w:tcPr>
            <w:tcW w:w="1000" w:type="dxa"/>
            <w:vAlign w:val="bottom"/>
            <w:gridSpan w:val="3"/>
          </w:tcPr>
          <w:p>
            <w:pPr>
              <w:jc w:val="right"/>
              <w:ind w:right="60"/>
              <w:spacing w:after="0"/>
              <w:rPr>
                <w:sz w:val="20"/>
                <w:szCs w:val="20"/>
                <w:color w:val="auto"/>
              </w:rPr>
            </w:pPr>
            <w:r>
              <w:rPr>
                <w:rFonts w:ascii="Arial" w:cs="Arial" w:eastAsia="Arial" w:hAnsi="Arial"/>
                <w:sz w:val="18"/>
                <w:szCs w:val="18"/>
                <w:color w:val="auto"/>
              </w:rPr>
              <w:t>4.8%</w:t>
            </w:r>
          </w:p>
        </w:tc>
        <w:tc>
          <w:tcPr>
            <w:tcW w:w="1880" w:type="dxa"/>
            <w:vAlign w:val="bottom"/>
            <w:gridSpan w:val="4"/>
          </w:tcPr>
          <w:p>
            <w:pPr>
              <w:jc w:val="right"/>
              <w:ind w:right="20"/>
              <w:spacing w:after="0"/>
              <w:rPr>
                <w:sz w:val="20"/>
                <w:szCs w:val="20"/>
                <w:color w:val="auto"/>
              </w:rPr>
            </w:pPr>
            <w:r>
              <w:rPr>
                <w:rFonts w:ascii="Arial" w:cs="Arial" w:eastAsia="Arial" w:hAnsi="Arial"/>
                <w:sz w:val="18"/>
                <w:szCs w:val="18"/>
                <w:color w:val="auto"/>
              </w:rPr>
              <w:t>5.8%</w:t>
            </w:r>
          </w:p>
        </w:tc>
        <w:tc>
          <w:tcPr>
            <w:tcW w:w="1020" w:type="dxa"/>
            <w:vAlign w:val="bottom"/>
            <w:gridSpan w:val="3"/>
          </w:tcPr>
          <w:p>
            <w:pPr>
              <w:jc w:val="right"/>
              <w:ind w:right="80"/>
              <w:spacing w:after="0"/>
              <w:rPr>
                <w:sz w:val="20"/>
                <w:szCs w:val="20"/>
                <w:color w:val="auto"/>
              </w:rPr>
            </w:pPr>
            <w:r>
              <w:rPr>
                <w:rFonts w:ascii="Arial" w:cs="Arial" w:eastAsia="Arial" w:hAnsi="Arial"/>
                <w:sz w:val="18"/>
                <w:szCs w:val="18"/>
                <w:color w:val="auto"/>
              </w:rPr>
              <w:t>4.1%</w:t>
            </w:r>
          </w:p>
        </w:tc>
        <w:tc>
          <w:tcPr>
            <w:tcW w:w="760" w:type="dxa"/>
            <w:vAlign w:val="bottom"/>
          </w:tcPr>
          <w:p>
            <w:pPr>
              <w:spacing w:after="0"/>
              <w:rPr>
                <w:sz w:val="20"/>
                <w:szCs w:val="20"/>
                <w:color w:val="auto"/>
              </w:rPr>
            </w:pPr>
          </w:p>
        </w:tc>
        <w:tc>
          <w:tcPr>
            <w:tcW w:w="200" w:type="dxa"/>
            <w:vAlign w:val="bottom"/>
          </w:tcPr>
          <w:p>
            <w:pPr>
              <w:spacing w:after="0"/>
              <w:rPr>
                <w:sz w:val="20"/>
                <w:szCs w:val="20"/>
                <w:color w:val="auto"/>
              </w:rPr>
            </w:pPr>
          </w:p>
        </w:tc>
      </w:tr>
    </w:tbl>
    <w:p>
      <w:pPr>
        <w:spacing w:after="0" w:line="241" w:lineRule="exact"/>
        <w:rPr>
          <w:sz w:val="20"/>
          <w:szCs w:val="20"/>
          <w:color w:val="auto"/>
        </w:rPr>
      </w:pPr>
    </w:p>
    <w:p>
      <w:pPr>
        <w:ind w:right="220" w:firstLine="324"/>
        <w:spacing w:after="0" w:line="259" w:lineRule="auto"/>
        <w:rPr>
          <w:sz w:val="20"/>
          <w:szCs w:val="20"/>
          <w:color w:val="auto"/>
        </w:rPr>
      </w:pPr>
      <w:r>
        <w:rPr>
          <w:rFonts w:ascii="Arial" w:cs="Arial" w:eastAsia="Arial" w:hAnsi="Arial"/>
          <w:sz w:val="18"/>
          <w:szCs w:val="18"/>
          <w:color w:val="auto"/>
        </w:rPr>
        <w:t>In the first six months of fiscal 2007, we made three acquisitions in which we acquired intangible assts which are being amortized over their estimated economic lives of one to six years. The increase in amortization of acquired intangible assets in the second quarter and first six months of fiscal 2008 compared to the second quarter and first six months of fiscal 2007 was due to additional amortization of intangible assets from the acquisitions made in the first six months of fiscal 2007.</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Interest and Other Income, net</w:t>
      </w:r>
    </w:p>
    <w:p>
      <w:pPr>
        <w:spacing w:after="0" w:line="203"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26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920" w:type="dxa"/>
            <w:vAlign w:val="bottom"/>
            <w:gridSpan w:val="5"/>
          </w:tcPr>
          <w:p>
            <w:pPr>
              <w:jc w:val="right"/>
              <w:ind w:right="420"/>
              <w:spacing w:after="0"/>
              <w:rPr>
                <w:sz w:val="20"/>
                <w:szCs w:val="20"/>
                <w:color w:val="auto"/>
              </w:rPr>
            </w:pPr>
            <w:r>
              <w:rPr>
                <w:rFonts w:ascii="Arial" w:cs="Arial" w:eastAsia="Arial" w:hAnsi="Arial"/>
                <w:sz w:val="14"/>
                <w:szCs w:val="14"/>
                <w:b w:val="1"/>
                <w:bCs w:val="1"/>
                <w:color w:val="auto"/>
              </w:rPr>
              <w:t>Three Months Ended</w:t>
            </w:r>
          </w:p>
        </w:tc>
        <w:tc>
          <w:tcPr>
            <w:tcW w:w="96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Percent</w:t>
            </w:r>
          </w:p>
        </w:tc>
        <w:tc>
          <w:tcPr>
            <w:tcW w:w="100" w:type="dxa"/>
            <w:vAlign w:val="bottom"/>
          </w:tcPr>
          <w:p>
            <w:pPr>
              <w:spacing w:after="0"/>
              <w:rPr>
                <w:sz w:val="14"/>
                <w:szCs w:val="14"/>
                <w:color w:val="auto"/>
              </w:rPr>
            </w:pPr>
          </w:p>
        </w:tc>
        <w:tc>
          <w:tcPr>
            <w:tcW w:w="184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rPr>
              <w:t>Six Months Ended</w:t>
            </w:r>
          </w:p>
        </w:tc>
        <w:tc>
          <w:tcPr>
            <w:tcW w:w="102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620" w:type="dxa"/>
            <w:vAlign w:val="bottom"/>
          </w:tcPr>
          <w:p>
            <w:pPr>
              <w:spacing w:after="0"/>
              <w:rPr>
                <w:sz w:val="8"/>
                <w:szCs w:val="8"/>
                <w:color w:val="auto"/>
              </w:rPr>
            </w:pPr>
          </w:p>
        </w:tc>
        <w:tc>
          <w:tcPr>
            <w:tcW w:w="500" w:type="dxa"/>
            <w:vAlign w:val="bottom"/>
          </w:tcPr>
          <w:p>
            <w:pPr>
              <w:spacing w:after="0"/>
              <w:rPr>
                <w:sz w:val="8"/>
                <w:szCs w:val="8"/>
                <w:color w:val="auto"/>
              </w:rPr>
            </w:pPr>
          </w:p>
        </w:tc>
        <w:tc>
          <w:tcPr>
            <w:tcW w:w="960" w:type="dxa"/>
            <w:vAlign w:val="bottom"/>
            <w:tcBorders>
              <w:top w:val="single" w:sz="8" w:color="auto"/>
            </w:tcBorders>
            <w:gridSpan w:val="2"/>
          </w:tcPr>
          <w:p>
            <w:pPr>
              <w:jc w:val="right"/>
              <w:ind w:right="360"/>
              <w:spacing w:after="0" w:line="102" w:lineRule="exact"/>
              <w:rPr>
                <w:sz w:val="20"/>
                <w:szCs w:val="20"/>
                <w:color w:val="auto"/>
              </w:rPr>
            </w:pPr>
            <w:r>
              <w:rPr>
                <w:rFonts w:ascii="Arial" w:cs="Arial" w:eastAsia="Arial" w:hAnsi="Arial"/>
                <w:sz w:val="11"/>
                <w:szCs w:val="11"/>
                <w:b w:val="1"/>
                <w:bCs w:val="1"/>
                <w:color w:val="auto"/>
              </w:rPr>
              <w:t>July 28,</w:t>
            </w:r>
          </w:p>
        </w:tc>
        <w:tc>
          <w:tcPr>
            <w:tcW w:w="100" w:type="dxa"/>
            <w:vAlign w:val="bottom"/>
            <w:tcBorders>
              <w:top w:val="single" w:sz="8" w:color="auto"/>
            </w:tcBorders>
          </w:tcPr>
          <w:p>
            <w:pPr>
              <w:spacing w:after="0"/>
              <w:rPr>
                <w:sz w:val="8"/>
                <w:szCs w:val="8"/>
                <w:color w:val="auto"/>
              </w:rPr>
            </w:pPr>
          </w:p>
        </w:tc>
        <w:tc>
          <w:tcPr>
            <w:tcW w:w="640" w:type="dxa"/>
            <w:vAlign w:val="bottom"/>
            <w:tcBorders>
              <w:top w:val="single" w:sz="8" w:color="auto"/>
            </w:tcBorders>
          </w:tcPr>
          <w:p>
            <w:pPr>
              <w:jc w:val="right"/>
              <w:ind w:right="64"/>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860" w:type="dxa"/>
            <w:vAlign w:val="bottom"/>
            <w:tcBorders>
              <w:top w:val="single" w:sz="8" w:color="auto"/>
            </w:tcBorders>
            <w:gridSpan w:val="2"/>
          </w:tcPr>
          <w:p>
            <w:pPr>
              <w:jc w:val="right"/>
              <w:ind w:right="360"/>
              <w:spacing w:after="0" w:line="102" w:lineRule="exact"/>
              <w:rPr>
                <w:sz w:val="20"/>
                <w:szCs w:val="20"/>
                <w:color w:val="auto"/>
              </w:rPr>
            </w:pPr>
            <w:r>
              <w:rPr>
                <w:rFonts w:ascii="Arial" w:cs="Arial" w:eastAsia="Arial" w:hAnsi="Arial"/>
                <w:sz w:val="11"/>
                <w:szCs w:val="11"/>
                <w:b w:val="1"/>
                <w:bCs w:val="1"/>
                <w:color w:val="auto"/>
              </w:rPr>
              <w:t>July 28,</w:t>
            </w:r>
          </w:p>
        </w:tc>
        <w:tc>
          <w:tcPr>
            <w:tcW w:w="100" w:type="dxa"/>
            <w:vAlign w:val="bottom"/>
            <w:tcBorders>
              <w:top w:val="single" w:sz="8" w:color="auto"/>
            </w:tcBorders>
          </w:tcPr>
          <w:p>
            <w:pPr>
              <w:spacing w:after="0"/>
              <w:rPr>
                <w:sz w:val="8"/>
                <w:szCs w:val="8"/>
                <w:color w:val="auto"/>
              </w:rPr>
            </w:pPr>
          </w:p>
        </w:tc>
        <w:tc>
          <w:tcPr>
            <w:tcW w:w="660" w:type="dxa"/>
            <w:vAlign w:val="bottom"/>
            <w:tcBorders>
              <w:top w:val="single" w:sz="8" w:color="auto"/>
            </w:tcBorders>
          </w:tcPr>
          <w:p>
            <w:pPr>
              <w:jc w:val="right"/>
              <w:ind w:right="84"/>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102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20" w:type="dxa"/>
            <w:vAlign w:val="bottom"/>
            <w:tcBorders>
              <w:bottom w:val="single" w:sz="8" w:color="CCEEFF"/>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740" w:type="dxa"/>
            <w:vAlign w:val="bottom"/>
            <w:tcBorders>
              <w:bottom w:val="single" w:sz="8" w:color="auto"/>
            </w:tcBorders>
          </w:tcPr>
          <w:p>
            <w:pPr>
              <w:jc w:val="right"/>
              <w:ind w:right="168"/>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64"/>
              <w:spacing w:after="0"/>
              <w:rPr>
                <w:sz w:val="20"/>
                <w:szCs w:val="20"/>
                <w:color w:val="auto"/>
              </w:rPr>
            </w:pPr>
            <w:r>
              <w:rPr>
                <w:rFonts w:ascii="Arial" w:cs="Arial" w:eastAsia="Arial" w:hAnsi="Arial"/>
                <w:sz w:val="14"/>
                <w:szCs w:val="14"/>
                <w:b w:val="1"/>
                <w:bCs w:val="1"/>
                <w:color w:val="auto"/>
              </w:rPr>
              <w:t>2006</w:t>
            </w:r>
          </w:p>
        </w:tc>
        <w:tc>
          <w:tcPr>
            <w:tcW w:w="220" w:type="dxa"/>
            <w:vAlign w:val="bottom"/>
            <w:tcBorders>
              <w:bottom w:val="single" w:sz="8" w:color="CCEEFF"/>
            </w:tcBorders>
          </w:tcPr>
          <w:p>
            <w:pPr>
              <w:spacing w:after="0"/>
              <w:rPr>
                <w:sz w:val="14"/>
                <w:szCs w:val="14"/>
                <w:color w:val="auto"/>
              </w:rPr>
            </w:pPr>
          </w:p>
        </w:tc>
        <w:tc>
          <w:tcPr>
            <w:tcW w:w="740" w:type="dxa"/>
            <w:vAlign w:val="bottom"/>
            <w:tcBorders>
              <w:bottom w:val="single" w:sz="8" w:color="auto"/>
            </w:tcBorders>
          </w:tcPr>
          <w:p>
            <w:pPr>
              <w:ind w:left="120"/>
              <w:spacing w:after="0"/>
              <w:rPr>
                <w:sz w:val="20"/>
                <w:szCs w:val="20"/>
                <w:color w:val="auto"/>
              </w:rPr>
            </w:pPr>
            <w:r>
              <w:rPr>
                <w:rFonts w:ascii="Arial" w:cs="Arial" w:eastAsia="Arial" w:hAnsi="Arial"/>
                <w:sz w:val="14"/>
                <w:szCs w:val="14"/>
                <w:b w:val="1"/>
                <w:bCs w:val="1"/>
                <w:color w:val="auto"/>
              </w:rPr>
              <w:t>Change</w:t>
            </w:r>
          </w:p>
        </w:tc>
        <w:tc>
          <w:tcPr>
            <w:tcW w:w="2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64"/>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84"/>
              <w:spacing w:after="0"/>
              <w:rPr>
                <w:sz w:val="20"/>
                <w:szCs w:val="20"/>
                <w:color w:val="auto"/>
              </w:rPr>
            </w:pPr>
            <w:r>
              <w:rPr>
                <w:rFonts w:ascii="Arial" w:cs="Arial" w:eastAsia="Arial" w:hAnsi="Arial"/>
                <w:sz w:val="14"/>
                <w:szCs w:val="14"/>
                <w:b w:val="1"/>
                <w:bCs w:val="1"/>
                <w:color w:val="auto"/>
              </w:rPr>
              <w:t>2006</w:t>
            </w:r>
          </w:p>
        </w:tc>
        <w:tc>
          <w:tcPr>
            <w:tcW w:w="220" w:type="dxa"/>
            <w:vAlign w:val="bottom"/>
            <w:tcBorders>
              <w:bottom w:val="single" w:sz="8" w:color="CCEEFF"/>
            </w:tcBorders>
          </w:tcPr>
          <w:p>
            <w:pPr>
              <w:spacing w:after="0"/>
              <w:rPr>
                <w:sz w:val="14"/>
                <w:szCs w:val="14"/>
                <w:color w:val="auto"/>
              </w:rPr>
            </w:pPr>
          </w:p>
        </w:tc>
        <w:tc>
          <w:tcPr>
            <w:tcW w:w="760" w:type="dxa"/>
            <w:vAlign w:val="bottom"/>
            <w:tcBorders>
              <w:bottom w:val="single" w:sz="8" w:color="auto"/>
            </w:tcBorders>
          </w:tcPr>
          <w:p>
            <w:pPr>
              <w:ind w:left="120"/>
              <w:spacing w:after="0"/>
              <w:rPr>
                <w:sz w:val="20"/>
                <w:szCs w:val="20"/>
                <w:color w:val="auto"/>
              </w:rPr>
            </w:pPr>
            <w:r>
              <w:rPr>
                <w:rFonts w:ascii="Arial" w:cs="Arial" w:eastAsia="Arial" w:hAnsi="Arial"/>
                <w:sz w:val="14"/>
                <w:szCs w:val="14"/>
                <w:b w:val="1"/>
                <w:bCs w:val="1"/>
                <w:color w:val="auto"/>
              </w:rPr>
              <w:t>Change</w:t>
            </w:r>
          </w:p>
        </w:tc>
        <w:tc>
          <w:tcPr>
            <w:tcW w:w="26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6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5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3,128</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1,714</w:t>
            </w:r>
          </w:p>
        </w:tc>
        <w:tc>
          <w:tcPr>
            <w:tcW w:w="2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82.5%</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4,447</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9,929</w:t>
            </w:r>
          </w:p>
        </w:tc>
        <w:tc>
          <w:tcPr>
            <w:tcW w:w="2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(55.2)%</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620" w:type="dxa"/>
            <w:vAlign w:val="bottom"/>
          </w:tcPr>
          <w:p>
            <w:pPr>
              <w:spacing w:after="0"/>
              <w:rPr>
                <w:sz w:val="20"/>
                <w:szCs w:val="20"/>
                <w:color w:val="auto"/>
              </w:rPr>
            </w:pPr>
            <w:r>
              <w:rPr>
                <w:rFonts w:ascii="Arial" w:cs="Arial" w:eastAsia="Arial" w:hAnsi="Arial"/>
                <w:sz w:val="18"/>
                <w:szCs w:val="18"/>
                <w:color w:val="auto"/>
              </w:rPr>
              <w:t>% of net revenue</w:t>
            </w:r>
          </w:p>
        </w:tc>
        <w:tc>
          <w:tcPr>
            <w:tcW w:w="1460" w:type="dxa"/>
            <w:vAlign w:val="bottom"/>
            <w:gridSpan w:val="3"/>
          </w:tcPr>
          <w:p>
            <w:pPr>
              <w:jc w:val="right"/>
              <w:ind w:right="60"/>
              <w:spacing w:after="0"/>
              <w:rPr>
                <w:sz w:val="20"/>
                <w:szCs w:val="20"/>
                <w:color w:val="auto"/>
              </w:rPr>
            </w:pPr>
            <w:r>
              <w:rPr>
                <w:rFonts w:ascii="Arial" w:cs="Arial" w:eastAsia="Arial" w:hAnsi="Arial"/>
                <w:sz w:val="18"/>
                <w:szCs w:val="18"/>
                <w:color w:val="auto"/>
              </w:rPr>
              <w:t>0.5%</w:t>
            </w:r>
          </w:p>
        </w:tc>
        <w:tc>
          <w:tcPr>
            <w:tcW w:w="100" w:type="dxa"/>
            <w:vAlign w:val="bottom"/>
          </w:tcPr>
          <w:p>
            <w:pPr>
              <w:spacing w:after="0"/>
              <w:rPr>
                <w:sz w:val="20"/>
                <w:szCs w:val="20"/>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0.3%</w:t>
            </w:r>
          </w:p>
        </w:tc>
        <w:tc>
          <w:tcPr>
            <w:tcW w:w="7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0.3%</w:t>
            </w:r>
          </w:p>
        </w:tc>
        <w:tc>
          <w:tcPr>
            <w:tcW w:w="100" w:type="dxa"/>
            <w:vAlign w:val="bottom"/>
          </w:tcPr>
          <w:p>
            <w:pPr>
              <w:spacing w:after="0"/>
              <w:rPr>
                <w:sz w:val="20"/>
                <w:szCs w:val="20"/>
                <w:color w:val="auto"/>
              </w:rPr>
            </w:pPr>
          </w:p>
        </w:tc>
        <w:tc>
          <w:tcPr>
            <w:tcW w:w="880" w:type="dxa"/>
            <w:vAlign w:val="bottom"/>
            <w:gridSpan w:val="2"/>
          </w:tcPr>
          <w:p>
            <w:pPr>
              <w:jc w:val="right"/>
              <w:ind w:right="80"/>
              <w:spacing w:after="0"/>
              <w:rPr>
                <w:sz w:val="20"/>
                <w:szCs w:val="20"/>
                <w:color w:val="auto"/>
              </w:rPr>
            </w:pPr>
            <w:r>
              <w:rPr>
                <w:rFonts w:ascii="Arial" w:cs="Arial" w:eastAsia="Arial" w:hAnsi="Arial"/>
                <w:sz w:val="18"/>
                <w:szCs w:val="18"/>
                <w:color w:val="auto"/>
              </w:rPr>
              <w:t>0.9%</w:t>
            </w:r>
          </w:p>
        </w:tc>
        <w:tc>
          <w:tcPr>
            <w:tcW w:w="7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20" w:firstLine="324"/>
        <w:spacing w:after="0" w:line="272" w:lineRule="auto"/>
        <w:rPr>
          <w:sz w:val="20"/>
          <w:szCs w:val="20"/>
          <w:color w:val="auto"/>
        </w:rPr>
      </w:pPr>
      <w:r>
        <w:rPr>
          <w:rFonts w:ascii="Arial" w:cs="Arial" w:eastAsia="Arial" w:hAnsi="Arial"/>
          <w:sz w:val="17"/>
          <w:szCs w:val="17"/>
          <w:color w:val="auto"/>
        </w:rPr>
        <w:t>Interest and other income, net consist primarily of interest earned on cash, cash equivalents and short-term investment balances. The increase in interest and other income for the second quarter of fiscal 2008 compared to the second quarter of fiscal 2007 is primarily due to a $5.0 million charge for a reserve recorded in the second quarter of fiscal 2007 for an advance payment to a company which subsequently filed for bankruptcy. Partially offsetting the increase in interest and other income, net was a decrease in interest income as a result of lower average cash balances for comparable periods. The decrease in interest and other income, net for the first six months of fiscal 2008 compared to the first six months of fiscal 2007 was due primarily to a decrease in interest income as a result of lower average cash balances for comparable periods partially offset by a $5.0 million charge for a reserve recorded in the first six months of fiscal 2007 for an advance payment to a company that subsequently filed for bankruptcy.</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Interest Expense</w:t>
      </w:r>
    </w:p>
    <w:p>
      <w:pPr>
        <w:spacing w:after="0" w:line="203"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220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920" w:type="dxa"/>
            <w:vAlign w:val="bottom"/>
            <w:gridSpan w:val="5"/>
          </w:tcPr>
          <w:p>
            <w:pPr>
              <w:jc w:val="right"/>
              <w:ind w:right="420"/>
              <w:spacing w:after="0"/>
              <w:rPr>
                <w:sz w:val="20"/>
                <w:szCs w:val="20"/>
                <w:color w:val="auto"/>
              </w:rPr>
            </w:pPr>
            <w:r>
              <w:rPr>
                <w:rFonts w:ascii="Arial" w:cs="Arial" w:eastAsia="Arial" w:hAnsi="Arial"/>
                <w:sz w:val="14"/>
                <w:szCs w:val="14"/>
                <w:b w:val="1"/>
                <w:bCs w:val="1"/>
                <w:color w:val="auto"/>
              </w:rPr>
              <w:t>Three Months Ended</w:t>
            </w:r>
          </w:p>
        </w:tc>
        <w:tc>
          <w:tcPr>
            <w:tcW w:w="96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Percent</w:t>
            </w:r>
          </w:p>
        </w:tc>
        <w:tc>
          <w:tcPr>
            <w:tcW w:w="100" w:type="dxa"/>
            <w:vAlign w:val="bottom"/>
          </w:tcPr>
          <w:p>
            <w:pPr>
              <w:spacing w:after="0"/>
              <w:rPr>
                <w:sz w:val="14"/>
                <w:szCs w:val="14"/>
                <w:color w:val="auto"/>
              </w:rPr>
            </w:pPr>
          </w:p>
        </w:tc>
        <w:tc>
          <w:tcPr>
            <w:tcW w:w="184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rPr>
              <w:t>Six Months Ended</w:t>
            </w:r>
          </w:p>
        </w:tc>
        <w:tc>
          <w:tcPr>
            <w:tcW w:w="96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200" w:type="dxa"/>
            <w:vAlign w:val="bottom"/>
          </w:tcPr>
          <w:p>
            <w:pPr>
              <w:spacing w:after="0"/>
              <w:rPr>
                <w:sz w:val="8"/>
                <w:szCs w:val="8"/>
                <w:color w:val="auto"/>
              </w:rPr>
            </w:pPr>
          </w:p>
        </w:tc>
        <w:tc>
          <w:tcPr>
            <w:tcW w:w="1000" w:type="dxa"/>
            <w:vAlign w:val="bottom"/>
          </w:tcPr>
          <w:p>
            <w:pPr>
              <w:spacing w:after="0"/>
              <w:rPr>
                <w:sz w:val="8"/>
                <w:szCs w:val="8"/>
                <w:color w:val="auto"/>
              </w:rPr>
            </w:pPr>
          </w:p>
        </w:tc>
        <w:tc>
          <w:tcPr>
            <w:tcW w:w="960" w:type="dxa"/>
            <w:vAlign w:val="bottom"/>
            <w:tcBorders>
              <w:top w:val="single" w:sz="8" w:color="auto"/>
            </w:tcBorders>
            <w:gridSpan w:val="2"/>
          </w:tcPr>
          <w:p>
            <w:pPr>
              <w:jc w:val="right"/>
              <w:ind w:right="360"/>
              <w:spacing w:after="0" w:line="102" w:lineRule="exact"/>
              <w:rPr>
                <w:sz w:val="20"/>
                <w:szCs w:val="20"/>
                <w:color w:val="auto"/>
              </w:rPr>
            </w:pPr>
            <w:r>
              <w:rPr>
                <w:rFonts w:ascii="Arial" w:cs="Arial" w:eastAsia="Arial" w:hAnsi="Arial"/>
                <w:sz w:val="11"/>
                <w:szCs w:val="11"/>
                <w:b w:val="1"/>
                <w:bCs w:val="1"/>
                <w:color w:val="auto"/>
              </w:rPr>
              <w:t>July 28,</w:t>
            </w:r>
          </w:p>
        </w:tc>
        <w:tc>
          <w:tcPr>
            <w:tcW w:w="100" w:type="dxa"/>
            <w:vAlign w:val="bottom"/>
            <w:tcBorders>
              <w:top w:val="single" w:sz="8" w:color="auto"/>
            </w:tcBorders>
          </w:tcPr>
          <w:p>
            <w:pPr>
              <w:spacing w:after="0"/>
              <w:rPr>
                <w:sz w:val="8"/>
                <w:szCs w:val="8"/>
                <w:color w:val="auto"/>
              </w:rPr>
            </w:pPr>
          </w:p>
        </w:tc>
        <w:tc>
          <w:tcPr>
            <w:tcW w:w="640" w:type="dxa"/>
            <w:vAlign w:val="bottom"/>
            <w:tcBorders>
              <w:top w:val="single" w:sz="8" w:color="auto"/>
            </w:tcBorders>
          </w:tcPr>
          <w:p>
            <w:pPr>
              <w:jc w:val="right"/>
              <w:ind w:right="64"/>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820" w:type="dxa"/>
            <w:vAlign w:val="bottom"/>
            <w:tcBorders>
              <w:top w:val="single" w:sz="8" w:color="auto"/>
            </w:tcBorders>
            <w:gridSpan w:val="2"/>
          </w:tcPr>
          <w:p>
            <w:pPr>
              <w:jc w:val="right"/>
              <w:ind w:right="320"/>
              <w:spacing w:after="0" w:line="102" w:lineRule="exact"/>
              <w:rPr>
                <w:sz w:val="20"/>
                <w:szCs w:val="20"/>
                <w:color w:val="auto"/>
              </w:rPr>
            </w:pPr>
            <w:r>
              <w:rPr>
                <w:rFonts w:ascii="Arial" w:cs="Arial" w:eastAsia="Arial" w:hAnsi="Arial"/>
                <w:sz w:val="11"/>
                <w:szCs w:val="11"/>
                <w:b w:val="1"/>
                <w:bCs w:val="1"/>
                <w:color w:val="auto"/>
              </w:rPr>
              <w:t>July 28,</w:t>
            </w:r>
          </w:p>
        </w:tc>
        <w:tc>
          <w:tcPr>
            <w:tcW w:w="4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jc w:val="right"/>
              <w:ind w:right="89"/>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200" w:type="dxa"/>
            <w:vAlign w:val="bottom"/>
            <w:tcBorders>
              <w:bottom w:val="single" w:sz="8" w:color="CCEEFF"/>
            </w:tcBorders>
          </w:tcPr>
          <w:p>
            <w:pPr>
              <w:spacing w:after="0"/>
              <w:rPr>
                <w:sz w:val="14"/>
                <w:szCs w:val="14"/>
                <w:color w:val="auto"/>
              </w:rPr>
            </w:pPr>
          </w:p>
        </w:tc>
        <w:tc>
          <w:tcPr>
            <w:tcW w:w="1000" w:type="dxa"/>
            <w:vAlign w:val="bottom"/>
            <w:tcBorders>
              <w:bottom w:val="single" w:sz="8" w:color="CCEEFF"/>
            </w:tcBorders>
          </w:tcPr>
          <w:p>
            <w:pPr>
              <w:spacing w:after="0"/>
              <w:rPr>
                <w:sz w:val="14"/>
                <w:szCs w:val="14"/>
                <w:color w:val="auto"/>
              </w:rPr>
            </w:pPr>
          </w:p>
        </w:tc>
        <w:tc>
          <w:tcPr>
            <w:tcW w:w="740" w:type="dxa"/>
            <w:vAlign w:val="bottom"/>
            <w:tcBorders>
              <w:bottom w:val="single" w:sz="8" w:color="auto"/>
            </w:tcBorders>
          </w:tcPr>
          <w:p>
            <w:pPr>
              <w:jc w:val="right"/>
              <w:ind w:right="168"/>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64"/>
              <w:spacing w:after="0"/>
              <w:rPr>
                <w:sz w:val="20"/>
                <w:szCs w:val="20"/>
                <w:color w:val="auto"/>
              </w:rPr>
            </w:pPr>
            <w:r>
              <w:rPr>
                <w:rFonts w:ascii="Arial" w:cs="Arial" w:eastAsia="Arial" w:hAnsi="Arial"/>
                <w:sz w:val="14"/>
                <w:szCs w:val="14"/>
                <w:b w:val="1"/>
                <w:bCs w:val="1"/>
                <w:color w:val="auto"/>
              </w:rPr>
              <w:t>2006</w:t>
            </w:r>
          </w:p>
        </w:tc>
        <w:tc>
          <w:tcPr>
            <w:tcW w:w="220" w:type="dxa"/>
            <w:vAlign w:val="bottom"/>
            <w:tcBorders>
              <w:bottom w:val="single" w:sz="8" w:color="CCEEFF"/>
            </w:tcBorders>
          </w:tcPr>
          <w:p>
            <w:pPr>
              <w:spacing w:after="0"/>
              <w:rPr>
                <w:sz w:val="14"/>
                <w:szCs w:val="14"/>
                <w:color w:val="auto"/>
              </w:rPr>
            </w:pPr>
          </w:p>
        </w:tc>
        <w:tc>
          <w:tcPr>
            <w:tcW w:w="740" w:type="dxa"/>
            <w:vAlign w:val="bottom"/>
            <w:tcBorders>
              <w:bottom w:val="single" w:sz="8" w:color="auto"/>
            </w:tcBorders>
          </w:tcPr>
          <w:p>
            <w:pPr>
              <w:ind w:left="120"/>
              <w:spacing w:after="0"/>
              <w:rPr>
                <w:sz w:val="20"/>
                <w:szCs w:val="20"/>
                <w:color w:val="auto"/>
              </w:rPr>
            </w:pPr>
            <w:r>
              <w:rPr>
                <w:rFonts w:ascii="Arial" w:cs="Arial" w:eastAsia="Arial" w:hAnsi="Arial"/>
                <w:sz w:val="14"/>
                <w:szCs w:val="14"/>
                <w:b w:val="1"/>
                <w:bCs w:val="1"/>
                <w:color w:val="auto"/>
              </w:rPr>
              <w:t>Change</w:t>
            </w:r>
          </w:p>
        </w:tc>
        <w:tc>
          <w:tcPr>
            <w:tcW w:w="2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64"/>
              <w:spacing w:after="0"/>
              <w:rPr>
                <w:sz w:val="20"/>
                <w:szCs w:val="20"/>
                <w:color w:val="auto"/>
              </w:rPr>
            </w:pPr>
            <w:r>
              <w:rPr>
                <w:rFonts w:ascii="Arial" w:cs="Arial" w:eastAsia="Arial" w:hAnsi="Arial"/>
                <w:sz w:val="14"/>
                <w:szCs w:val="14"/>
                <w:b w:val="1"/>
                <w:bCs w:val="1"/>
                <w:color w:val="auto"/>
              </w:rPr>
              <w:t>2007</w:t>
            </w:r>
          </w:p>
        </w:tc>
        <w:tc>
          <w:tcPr>
            <w:tcW w:w="18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760" w:type="dxa"/>
            <w:vAlign w:val="bottom"/>
            <w:tcBorders>
              <w:bottom w:val="single" w:sz="8" w:color="auto"/>
            </w:tcBorders>
          </w:tcPr>
          <w:p>
            <w:pPr>
              <w:jc w:val="right"/>
              <w:ind w:right="189"/>
              <w:spacing w:after="0"/>
              <w:rPr>
                <w:sz w:val="20"/>
                <w:szCs w:val="20"/>
                <w:color w:val="auto"/>
              </w:rPr>
            </w:pPr>
            <w:r>
              <w:rPr>
                <w:rFonts w:ascii="Arial" w:cs="Arial" w:eastAsia="Arial" w:hAnsi="Arial"/>
                <w:sz w:val="14"/>
                <w:szCs w:val="14"/>
                <w:b w:val="1"/>
                <w:bCs w:val="1"/>
                <w:color w:val="auto"/>
              </w:rPr>
              <w:t>2006</w:t>
            </w:r>
          </w:p>
        </w:tc>
        <w:tc>
          <w:tcPr>
            <w:tcW w:w="220" w:type="dxa"/>
            <w:vAlign w:val="bottom"/>
            <w:tcBorders>
              <w:bottom w:val="single" w:sz="8" w:color="CCEEFF"/>
            </w:tcBorders>
          </w:tcPr>
          <w:p>
            <w:pPr>
              <w:spacing w:after="0"/>
              <w:rPr>
                <w:sz w:val="14"/>
                <w:szCs w:val="14"/>
                <w:color w:val="auto"/>
              </w:rPr>
            </w:pPr>
          </w:p>
        </w:tc>
        <w:tc>
          <w:tcPr>
            <w:tcW w:w="760" w:type="dxa"/>
            <w:vAlign w:val="bottom"/>
            <w:tcBorders>
              <w:bottom w:val="single" w:sz="8" w:color="auto"/>
            </w:tcBorders>
          </w:tcPr>
          <w:p>
            <w:pPr>
              <w:ind w:left="140"/>
              <w:spacing w:after="0"/>
              <w:rPr>
                <w:sz w:val="20"/>
                <w:szCs w:val="20"/>
                <w:color w:val="auto"/>
              </w:rPr>
            </w:pPr>
            <w:r>
              <w:rPr>
                <w:rFonts w:ascii="Arial" w:cs="Arial" w:eastAsia="Arial" w:hAnsi="Arial"/>
                <w:sz w:val="14"/>
                <w:szCs w:val="14"/>
                <w:b w:val="1"/>
                <w:bCs w:val="1"/>
                <w:color w:val="auto"/>
              </w:rPr>
              <w:t>Change</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20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0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9,942</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623</w:t>
            </w:r>
          </w:p>
        </w:tc>
        <w:tc>
          <w:tcPr>
            <w:tcW w:w="2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1,495.8%</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19,917</w:t>
            </w:r>
          </w:p>
        </w:tc>
        <w:tc>
          <w:tcPr>
            <w:tcW w:w="1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1,222</w:t>
            </w:r>
          </w:p>
        </w:tc>
        <w:tc>
          <w:tcPr>
            <w:tcW w:w="2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1,529.9%</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200" w:type="dxa"/>
            <w:vAlign w:val="bottom"/>
          </w:tcPr>
          <w:p>
            <w:pPr>
              <w:spacing w:after="0"/>
              <w:rPr>
                <w:sz w:val="20"/>
                <w:szCs w:val="20"/>
                <w:color w:val="auto"/>
              </w:rPr>
            </w:pPr>
            <w:r>
              <w:rPr>
                <w:rFonts w:ascii="Arial" w:cs="Arial" w:eastAsia="Arial" w:hAnsi="Arial"/>
                <w:sz w:val="18"/>
                <w:szCs w:val="18"/>
                <w:color w:val="auto"/>
              </w:rPr>
              <w:t>% of net revenue</w:t>
            </w:r>
          </w:p>
        </w:tc>
        <w:tc>
          <w:tcPr>
            <w:tcW w:w="1960" w:type="dxa"/>
            <w:vAlign w:val="bottom"/>
            <w:gridSpan w:val="3"/>
          </w:tcPr>
          <w:p>
            <w:pPr>
              <w:jc w:val="right"/>
              <w:ind w:right="60"/>
              <w:spacing w:after="0"/>
              <w:rPr>
                <w:sz w:val="20"/>
                <w:szCs w:val="20"/>
                <w:color w:val="auto"/>
              </w:rPr>
            </w:pPr>
            <w:r>
              <w:rPr>
                <w:rFonts w:ascii="Arial" w:cs="Arial" w:eastAsia="Arial" w:hAnsi="Arial"/>
                <w:sz w:val="18"/>
                <w:szCs w:val="18"/>
                <w:color w:val="auto"/>
              </w:rPr>
              <w:t>1.5%</w:t>
            </w:r>
          </w:p>
        </w:tc>
        <w:tc>
          <w:tcPr>
            <w:tcW w:w="100" w:type="dxa"/>
            <w:vAlign w:val="bottom"/>
          </w:tcPr>
          <w:p>
            <w:pPr>
              <w:spacing w:after="0"/>
              <w:rPr>
                <w:sz w:val="20"/>
                <w:szCs w:val="20"/>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0.1%</w:t>
            </w:r>
          </w:p>
        </w:tc>
        <w:tc>
          <w:tcPr>
            <w:tcW w:w="7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1.5%</w:t>
            </w:r>
          </w:p>
        </w:tc>
        <w:tc>
          <w:tcPr>
            <w:tcW w:w="1020" w:type="dxa"/>
            <w:vAlign w:val="bottom"/>
            <w:gridSpan w:val="3"/>
          </w:tcPr>
          <w:p>
            <w:pPr>
              <w:jc w:val="right"/>
              <w:ind w:right="80"/>
              <w:spacing w:after="0"/>
              <w:rPr>
                <w:sz w:val="20"/>
                <w:szCs w:val="20"/>
                <w:color w:val="auto"/>
              </w:rPr>
            </w:pPr>
            <w:r>
              <w:rPr>
                <w:rFonts w:ascii="Arial" w:cs="Arial" w:eastAsia="Arial" w:hAnsi="Arial"/>
                <w:sz w:val="18"/>
                <w:szCs w:val="18"/>
                <w:color w:val="auto"/>
              </w:rPr>
              <w:t>0.1%</w:t>
            </w:r>
          </w:p>
        </w:tc>
        <w:tc>
          <w:tcPr>
            <w:tcW w:w="7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88"/>
        </w:trPr>
        <w:tc>
          <w:tcPr>
            <w:tcW w:w="20" w:type="dxa"/>
            <w:vAlign w:val="bottom"/>
          </w:tcPr>
          <w:p>
            <w:pPr>
              <w:spacing w:after="0"/>
              <w:rPr>
                <w:sz w:val="24"/>
                <w:szCs w:val="24"/>
                <w:color w:val="auto"/>
              </w:rPr>
            </w:pPr>
          </w:p>
        </w:tc>
        <w:tc>
          <w:tcPr>
            <w:tcW w:w="220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40" w:type="dxa"/>
            <w:vAlign w:val="bottom"/>
          </w:tcPr>
          <w:p>
            <w:pPr>
              <w:ind w:left="120"/>
              <w:spacing w:after="0"/>
              <w:rPr>
                <w:sz w:val="20"/>
                <w:szCs w:val="20"/>
                <w:color w:val="auto"/>
              </w:rPr>
            </w:pPr>
            <w:r>
              <w:rPr>
                <w:rFonts w:ascii="Arial" w:cs="Arial" w:eastAsia="Arial" w:hAnsi="Arial"/>
                <w:sz w:val="18"/>
                <w:szCs w:val="18"/>
                <w:color w:val="auto"/>
              </w:rPr>
              <w:t>33</w:t>
            </w: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220980</wp:posOffset>
            </wp:positionV>
            <wp:extent cx="7267575"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firstLine="324"/>
        <w:spacing w:after="0" w:line="264" w:lineRule="auto"/>
        <w:rPr>
          <w:sz w:val="20"/>
          <w:szCs w:val="20"/>
          <w:color w:val="auto"/>
        </w:rPr>
      </w:pPr>
      <w:r>
        <w:rPr>
          <w:rFonts w:ascii="Arial" w:cs="Arial" w:eastAsia="Arial" w:hAnsi="Arial"/>
          <w:sz w:val="18"/>
          <w:szCs w:val="18"/>
          <w:color w:val="auto"/>
        </w:rPr>
        <w:t>Interest expense consists primarily of interest paid on term loan and capital lease obligations. The increase in interest expense for the second quarter and first six months of fiscal 2008 compared to the second quarter and first six months of fiscal 2007 is primarily due to interest expense on a term loan obligation and supply agreement.</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Provision for Income Taxes</w:t>
      </w:r>
    </w:p>
    <w:p>
      <w:pPr>
        <w:spacing w:after="0" w:line="203"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920" w:type="dxa"/>
            <w:vAlign w:val="bottom"/>
            <w:gridSpan w:val="5"/>
          </w:tcPr>
          <w:p>
            <w:pPr>
              <w:jc w:val="right"/>
              <w:ind w:right="440"/>
              <w:spacing w:after="0"/>
              <w:rPr>
                <w:sz w:val="20"/>
                <w:szCs w:val="20"/>
                <w:color w:val="auto"/>
              </w:rPr>
            </w:pPr>
            <w:r>
              <w:rPr>
                <w:rFonts w:ascii="Arial" w:cs="Arial" w:eastAsia="Arial" w:hAnsi="Arial"/>
                <w:sz w:val="14"/>
                <w:szCs w:val="14"/>
                <w:b w:val="1"/>
                <w:bCs w:val="1"/>
                <w:color w:val="auto"/>
              </w:rPr>
              <w:t>Three Months Ended</w:t>
            </w:r>
          </w:p>
        </w:tc>
        <w:tc>
          <w:tcPr>
            <w:tcW w:w="98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Percent</w:t>
            </w:r>
          </w:p>
        </w:tc>
        <w:tc>
          <w:tcPr>
            <w:tcW w:w="100" w:type="dxa"/>
            <w:vAlign w:val="bottom"/>
          </w:tcPr>
          <w:p>
            <w:pPr>
              <w:spacing w:after="0"/>
              <w:rPr>
                <w:sz w:val="14"/>
                <w:szCs w:val="14"/>
                <w:color w:val="auto"/>
              </w:rPr>
            </w:pPr>
          </w:p>
        </w:tc>
        <w:tc>
          <w:tcPr>
            <w:tcW w:w="1820" w:type="dxa"/>
            <w:vAlign w:val="bottom"/>
            <w:gridSpan w:val="5"/>
          </w:tcPr>
          <w:p>
            <w:pPr>
              <w:jc w:val="right"/>
              <w:ind w:right="500"/>
              <w:spacing w:after="0"/>
              <w:rPr>
                <w:sz w:val="20"/>
                <w:szCs w:val="20"/>
                <w:color w:val="auto"/>
              </w:rPr>
            </w:pPr>
            <w:r>
              <w:rPr>
                <w:rFonts w:ascii="Arial" w:cs="Arial" w:eastAsia="Arial" w:hAnsi="Arial"/>
                <w:sz w:val="14"/>
                <w:szCs w:val="14"/>
                <w:b w:val="1"/>
                <w:bCs w:val="1"/>
                <w:color w:val="auto"/>
              </w:rPr>
              <w:t>Six Months Ended</w:t>
            </w:r>
          </w:p>
        </w:tc>
        <w:tc>
          <w:tcPr>
            <w:tcW w:w="104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520" w:type="dxa"/>
            <w:vAlign w:val="bottom"/>
          </w:tcPr>
          <w:p>
            <w:pPr>
              <w:spacing w:after="0"/>
              <w:rPr>
                <w:sz w:val="8"/>
                <w:szCs w:val="8"/>
                <w:color w:val="auto"/>
              </w:rPr>
            </w:pPr>
          </w:p>
        </w:tc>
        <w:tc>
          <w:tcPr>
            <w:tcW w:w="600" w:type="dxa"/>
            <w:vAlign w:val="bottom"/>
          </w:tcPr>
          <w:p>
            <w:pPr>
              <w:spacing w:after="0"/>
              <w:rPr>
                <w:sz w:val="8"/>
                <w:szCs w:val="8"/>
                <w:color w:val="auto"/>
              </w:rPr>
            </w:pPr>
          </w:p>
        </w:tc>
        <w:tc>
          <w:tcPr>
            <w:tcW w:w="920" w:type="dxa"/>
            <w:vAlign w:val="bottom"/>
            <w:tcBorders>
              <w:top w:val="single" w:sz="8" w:color="auto"/>
            </w:tcBorders>
            <w:gridSpan w:val="2"/>
          </w:tcPr>
          <w:p>
            <w:pPr>
              <w:jc w:val="right"/>
              <w:ind w:right="320"/>
              <w:spacing w:after="0" w:line="102" w:lineRule="exact"/>
              <w:rPr>
                <w:sz w:val="20"/>
                <w:szCs w:val="20"/>
                <w:color w:val="auto"/>
              </w:rPr>
            </w:pPr>
            <w:r>
              <w:rPr>
                <w:rFonts w:ascii="Arial" w:cs="Arial" w:eastAsia="Arial" w:hAnsi="Arial"/>
                <w:sz w:val="11"/>
                <w:szCs w:val="11"/>
                <w:b w:val="1"/>
                <w:bCs w:val="1"/>
                <w:color w:val="auto"/>
              </w:rPr>
              <w:t>July 28,</w:t>
            </w:r>
          </w:p>
        </w:tc>
        <w:tc>
          <w:tcPr>
            <w:tcW w:w="40" w:type="dxa"/>
            <w:vAlign w:val="bottom"/>
            <w:tcBorders>
              <w:top w:val="single" w:sz="8" w:color="auto"/>
            </w:tcBorders>
          </w:tcPr>
          <w:p>
            <w:pPr>
              <w:spacing w:after="0"/>
              <w:rPr>
                <w:sz w:val="8"/>
                <w:szCs w:val="8"/>
                <w:color w:val="auto"/>
              </w:rPr>
            </w:pPr>
          </w:p>
        </w:tc>
        <w:tc>
          <w:tcPr>
            <w:tcW w:w="740" w:type="dxa"/>
            <w:vAlign w:val="bottom"/>
            <w:tcBorders>
              <w:top w:val="single" w:sz="8" w:color="auto"/>
            </w:tcBorders>
          </w:tcPr>
          <w:p>
            <w:pPr>
              <w:jc w:val="right"/>
              <w:ind w:right="83"/>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980" w:type="dxa"/>
            <w:vAlign w:val="bottom"/>
            <w:gridSpan w:val="2"/>
            <w:vMerge w:val="continue"/>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820" w:type="dxa"/>
            <w:vAlign w:val="bottom"/>
            <w:tcBorders>
              <w:top w:val="single" w:sz="8" w:color="auto"/>
            </w:tcBorders>
            <w:gridSpan w:val="2"/>
          </w:tcPr>
          <w:p>
            <w:pPr>
              <w:jc w:val="right"/>
              <w:ind w:right="320"/>
              <w:spacing w:after="0" w:line="102" w:lineRule="exact"/>
              <w:rPr>
                <w:sz w:val="20"/>
                <w:szCs w:val="20"/>
                <w:color w:val="auto"/>
              </w:rPr>
            </w:pPr>
            <w:r>
              <w:rPr>
                <w:rFonts w:ascii="Arial" w:cs="Arial" w:eastAsia="Arial" w:hAnsi="Arial"/>
                <w:sz w:val="11"/>
                <w:szCs w:val="11"/>
                <w:b w:val="1"/>
                <w:bCs w:val="1"/>
                <w:color w:val="auto"/>
              </w:rPr>
              <w:t>July 28,</w:t>
            </w:r>
          </w:p>
        </w:tc>
        <w:tc>
          <w:tcPr>
            <w:tcW w:w="40" w:type="dxa"/>
            <w:vAlign w:val="bottom"/>
            <w:tcBorders>
              <w:top w:val="single" w:sz="8" w:color="auto"/>
            </w:tcBorders>
          </w:tcPr>
          <w:p>
            <w:pPr>
              <w:spacing w:after="0"/>
              <w:rPr>
                <w:sz w:val="8"/>
                <w:szCs w:val="8"/>
                <w:color w:val="auto"/>
              </w:rPr>
            </w:pPr>
          </w:p>
        </w:tc>
        <w:tc>
          <w:tcPr>
            <w:tcW w:w="760" w:type="dxa"/>
            <w:vAlign w:val="bottom"/>
            <w:tcBorders>
              <w:top w:val="single" w:sz="8" w:color="auto"/>
            </w:tcBorders>
          </w:tcPr>
          <w:p>
            <w:pPr>
              <w:jc w:val="right"/>
              <w:ind w:right="103"/>
              <w:spacing w:after="0" w:line="102" w:lineRule="exact"/>
              <w:rPr>
                <w:sz w:val="20"/>
                <w:szCs w:val="20"/>
                <w:color w:val="auto"/>
              </w:rPr>
            </w:pPr>
            <w:r>
              <w:rPr>
                <w:rFonts w:ascii="Arial" w:cs="Arial" w:eastAsia="Arial" w:hAnsi="Arial"/>
                <w:sz w:val="11"/>
                <w:szCs w:val="11"/>
                <w:b w:val="1"/>
                <w:bCs w:val="1"/>
                <w:color w:val="auto"/>
              </w:rPr>
              <w:t>July 29,</w:t>
            </w:r>
          </w:p>
        </w:tc>
        <w:tc>
          <w:tcPr>
            <w:tcW w:w="200" w:type="dxa"/>
            <w:vAlign w:val="bottom"/>
          </w:tcPr>
          <w:p>
            <w:pPr>
              <w:spacing w:after="0"/>
              <w:rPr>
                <w:sz w:val="8"/>
                <w:szCs w:val="8"/>
                <w:color w:val="auto"/>
              </w:rPr>
            </w:pPr>
          </w:p>
        </w:tc>
        <w:tc>
          <w:tcPr>
            <w:tcW w:w="10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1340" w:type="dxa"/>
            <w:vAlign w:val="bottom"/>
            <w:gridSpan w:val="2"/>
          </w:tcPr>
          <w:p>
            <w:pPr>
              <w:jc w:val="right"/>
              <w:ind w:right="196"/>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4"/>
                <w:szCs w:val="14"/>
                <w:color w:val="auto"/>
              </w:rPr>
            </w:pPr>
          </w:p>
        </w:tc>
        <w:tc>
          <w:tcPr>
            <w:tcW w:w="780" w:type="dxa"/>
            <w:vAlign w:val="bottom"/>
            <w:gridSpan w:val="2"/>
          </w:tcPr>
          <w:p>
            <w:pPr>
              <w:jc w:val="right"/>
              <w:ind w:right="203"/>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080" w:type="dxa"/>
            <w:vAlign w:val="bottom"/>
            <w:gridSpan w:val="3"/>
          </w:tcPr>
          <w:p>
            <w:pPr>
              <w:ind w:left="120"/>
              <w:spacing w:after="0"/>
              <w:rPr>
                <w:sz w:val="20"/>
                <w:szCs w:val="20"/>
                <w:color w:val="auto"/>
              </w:rPr>
            </w:pPr>
            <w:r>
              <w:rPr>
                <w:rFonts w:ascii="Arial" w:cs="Arial" w:eastAsia="Arial" w:hAnsi="Arial"/>
                <w:sz w:val="14"/>
                <w:szCs w:val="14"/>
                <w:b w:val="1"/>
                <w:bCs w:val="1"/>
                <w:color w:val="auto"/>
              </w:rPr>
              <w:t>Change</w:t>
            </w:r>
          </w:p>
        </w:tc>
        <w:tc>
          <w:tcPr>
            <w:tcW w:w="640" w:type="dxa"/>
            <w:vAlign w:val="bottom"/>
          </w:tcPr>
          <w:p>
            <w:pPr>
              <w:jc w:val="right"/>
              <w:ind w:right="164"/>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4"/>
                <w:szCs w:val="14"/>
                <w:color w:val="auto"/>
              </w:rPr>
            </w:pPr>
          </w:p>
        </w:tc>
        <w:tc>
          <w:tcPr>
            <w:tcW w:w="800" w:type="dxa"/>
            <w:vAlign w:val="bottom"/>
            <w:gridSpan w:val="2"/>
          </w:tcPr>
          <w:p>
            <w:pPr>
              <w:jc w:val="right"/>
              <w:ind w:right="203"/>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4"/>
                <w:szCs w:val="14"/>
                <w:color w:val="auto"/>
              </w:rPr>
            </w:pPr>
          </w:p>
        </w:tc>
        <w:tc>
          <w:tcPr>
            <w:tcW w:w="1040" w:type="dxa"/>
            <w:vAlign w:val="bottom"/>
            <w:gridSpan w:val="2"/>
          </w:tcPr>
          <w:p>
            <w:pPr>
              <w:ind w:left="1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25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640" w:type="dxa"/>
            <w:vAlign w:val="bottom"/>
            <w:tcBorders>
              <w:top w:val="single" w:sz="8" w:color="auto"/>
            </w:tcBorders>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Borders>
              <w:top w:val="single" w:sz="8" w:color="auto"/>
            </w:tcBorders>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52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9,619</w:t>
            </w:r>
          </w:p>
        </w:tc>
        <w:tc>
          <w:tcPr>
            <w:tcW w:w="1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8"/>
              </w:rPr>
              <w:t>$  12,114</w:t>
            </w:r>
          </w:p>
        </w:tc>
        <w:tc>
          <w:tcPr>
            <w:tcW w:w="22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(20.6)% $</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15,591</w:t>
            </w:r>
          </w:p>
        </w:tc>
        <w:tc>
          <w:tcPr>
            <w:tcW w:w="1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27,977</w:t>
            </w:r>
          </w:p>
        </w:tc>
        <w:tc>
          <w:tcPr>
            <w:tcW w:w="2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(44.3)%</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520" w:type="dxa"/>
            <w:vAlign w:val="bottom"/>
          </w:tcPr>
          <w:p>
            <w:pPr>
              <w:spacing w:after="0"/>
              <w:rPr>
                <w:sz w:val="20"/>
                <w:szCs w:val="20"/>
                <w:color w:val="auto"/>
              </w:rPr>
            </w:pPr>
            <w:r>
              <w:rPr>
                <w:rFonts w:ascii="Arial" w:cs="Arial" w:eastAsia="Arial" w:hAnsi="Arial"/>
                <w:sz w:val="18"/>
                <w:szCs w:val="18"/>
                <w:color w:val="auto"/>
              </w:rPr>
              <w:t>% of net revenue</w:t>
            </w:r>
          </w:p>
        </w:tc>
        <w:tc>
          <w:tcPr>
            <w:tcW w:w="1520" w:type="dxa"/>
            <w:vAlign w:val="bottom"/>
            <w:gridSpan w:val="3"/>
          </w:tcPr>
          <w:p>
            <w:pPr>
              <w:jc w:val="right"/>
              <w:ind w:right="40"/>
              <w:spacing w:after="0"/>
              <w:rPr>
                <w:sz w:val="20"/>
                <w:szCs w:val="20"/>
                <w:color w:val="auto"/>
              </w:rPr>
            </w:pPr>
            <w:r>
              <w:rPr>
                <w:rFonts w:ascii="Arial" w:cs="Arial" w:eastAsia="Arial" w:hAnsi="Arial"/>
                <w:sz w:val="18"/>
                <w:szCs w:val="18"/>
                <w:color w:val="auto"/>
              </w:rPr>
              <w:t>1.5%</w:t>
            </w:r>
          </w:p>
        </w:tc>
        <w:tc>
          <w:tcPr>
            <w:tcW w:w="1000" w:type="dxa"/>
            <w:vAlign w:val="bottom"/>
            <w:gridSpan w:val="3"/>
          </w:tcPr>
          <w:p>
            <w:pPr>
              <w:jc w:val="right"/>
              <w:ind w:right="80"/>
              <w:spacing w:after="0"/>
              <w:rPr>
                <w:sz w:val="20"/>
                <w:szCs w:val="20"/>
                <w:color w:val="auto"/>
              </w:rPr>
            </w:pPr>
            <w:r>
              <w:rPr>
                <w:rFonts w:ascii="Arial" w:cs="Arial" w:eastAsia="Arial" w:hAnsi="Arial"/>
                <w:sz w:val="18"/>
                <w:szCs w:val="18"/>
                <w:color w:val="auto"/>
              </w:rPr>
              <w:t>2.1%</w:t>
            </w:r>
          </w:p>
        </w:tc>
        <w:tc>
          <w:tcPr>
            <w:tcW w:w="7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1.2%</w:t>
            </w:r>
          </w:p>
        </w:tc>
        <w:tc>
          <w:tcPr>
            <w:tcW w:w="1000" w:type="dxa"/>
            <w:vAlign w:val="bottom"/>
            <w:gridSpan w:val="3"/>
          </w:tcPr>
          <w:p>
            <w:pPr>
              <w:jc w:val="right"/>
              <w:ind w:right="60"/>
              <w:spacing w:after="0"/>
              <w:rPr>
                <w:sz w:val="20"/>
                <w:szCs w:val="20"/>
                <w:color w:val="auto"/>
              </w:rPr>
            </w:pPr>
            <w:r>
              <w:rPr>
                <w:rFonts w:ascii="Arial" w:cs="Arial" w:eastAsia="Arial" w:hAnsi="Arial"/>
                <w:sz w:val="18"/>
                <w:szCs w:val="18"/>
                <w:color w:val="auto"/>
              </w:rPr>
              <w:t>2.5%</w:t>
            </w:r>
          </w:p>
        </w:tc>
        <w:tc>
          <w:tcPr>
            <w:tcW w:w="7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120" w:firstLine="324"/>
        <w:spacing w:after="0" w:line="276" w:lineRule="auto"/>
        <w:rPr>
          <w:sz w:val="20"/>
          <w:szCs w:val="20"/>
          <w:color w:val="auto"/>
        </w:rPr>
      </w:pPr>
      <w:r>
        <w:rPr>
          <w:rFonts w:ascii="Arial" w:cs="Arial" w:eastAsia="Arial" w:hAnsi="Arial"/>
          <w:sz w:val="17"/>
          <w:szCs w:val="17"/>
          <w:color w:val="auto"/>
        </w:rPr>
        <w:t>Our effective tax rate was (20.5%) and (16.6%) for the three and six months ended July 28, 2007 compared to 21.3% and 19.8% for the three and six months ended July 29, 2006. The effective tax rates were affected by non-tax-deductible expenses, such as FAS 123R stock based compensation expenses and amortization of acquired intangibles. Additionally, the effective tax rate for the three and six months ended July 28, 2007 increased by the fact that a smaller proportion of profit was earned in zero or low tax jurisdictions during the quarter ended July 28, 2007, and due to tax on the gain associated with the sale of an asset under construction which was treated as a discrete item in the quarter.</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Cumulative Effects of Change in Accounting Principle, net of Tax Effect</w:t>
      </w:r>
    </w:p>
    <w:p>
      <w:pPr>
        <w:spacing w:after="0" w:line="203" w:lineRule="exact"/>
        <w:rPr>
          <w:sz w:val="20"/>
          <w:szCs w:val="20"/>
          <w:color w:val="auto"/>
        </w:rPr>
      </w:pPr>
    </w:p>
    <w:tbl>
      <w:tblPr>
        <w:tblLayout w:type="fixed"/>
        <w:tblInd w:w="3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20" w:type="dxa"/>
            <w:vAlign w:val="bottom"/>
            <w:gridSpan w:val="5"/>
          </w:tcPr>
          <w:p>
            <w:pPr>
              <w:ind w:left="100"/>
              <w:spacing w:after="0"/>
              <w:rPr>
                <w:sz w:val="20"/>
                <w:szCs w:val="20"/>
                <w:color w:val="auto"/>
              </w:rPr>
            </w:pPr>
            <w:r>
              <w:rPr>
                <w:rFonts w:ascii="Arial" w:cs="Arial" w:eastAsia="Arial" w:hAnsi="Arial"/>
                <w:sz w:val="14"/>
                <w:szCs w:val="14"/>
                <w:b w:val="1"/>
                <w:bCs w:val="1"/>
                <w:color w:val="auto"/>
              </w:rPr>
              <w:t>Three Months Ended</w:t>
            </w:r>
          </w:p>
        </w:tc>
        <w:tc>
          <w:tcPr>
            <w:tcW w:w="96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Percent</w:t>
            </w:r>
          </w:p>
        </w:tc>
        <w:tc>
          <w:tcPr>
            <w:tcW w:w="100" w:type="dxa"/>
            <w:vAlign w:val="bottom"/>
          </w:tcPr>
          <w:p>
            <w:pPr>
              <w:spacing w:after="0"/>
              <w:rPr>
                <w:sz w:val="14"/>
                <w:szCs w:val="14"/>
                <w:color w:val="auto"/>
              </w:rPr>
            </w:pPr>
          </w:p>
        </w:tc>
        <w:tc>
          <w:tcPr>
            <w:tcW w:w="1840" w:type="dxa"/>
            <w:vAlign w:val="bottom"/>
            <w:gridSpan w:val="5"/>
          </w:tcPr>
          <w:p>
            <w:pPr>
              <w:ind w:left="180"/>
              <w:spacing w:after="0"/>
              <w:rPr>
                <w:sz w:val="20"/>
                <w:szCs w:val="20"/>
                <w:color w:val="auto"/>
              </w:rPr>
            </w:pPr>
            <w:r>
              <w:rPr>
                <w:rFonts w:ascii="Arial" w:cs="Arial" w:eastAsia="Arial" w:hAnsi="Arial"/>
                <w:sz w:val="14"/>
                <w:szCs w:val="14"/>
                <w:b w:val="1"/>
                <w:bCs w:val="1"/>
                <w:color w:val="auto"/>
              </w:rPr>
              <w:t>Six Months Ended</w:t>
            </w:r>
          </w:p>
        </w:tc>
        <w:tc>
          <w:tcPr>
            <w:tcW w:w="102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120" w:type="dxa"/>
            <w:vAlign w:val="bottom"/>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960" w:type="dxa"/>
            <w:vAlign w:val="bottom"/>
            <w:tcBorders>
              <w:top w:val="single" w:sz="8" w:color="auto"/>
            </w:tcBorders>
            <w:gridSpan w:val="3"/>
          </w:tcPr>
          <w:p>
            <w:pPr>
              <w:jc w:val="center"/>
              <w:ind w:right="440"/>
              <w:spacing w:after="0" w:line="102" w:lineRule="exact"/>
              <w:rPr>
                <w:sz w:val="20"/>
                <w:szCs w:val="20"/>
                <w:color w:val="auto"/>
              </w:rPr>
            </w:pPr>
            <w:r>
              <w:rPr>
                <w:rFonts w:ascii="Arial" w:cs="Arial" w:eastAsia="Arial" w:hAnsi="Arial"/>
                <w:sz w:val="11"/>
                <w:szCs w:val="11"/>
                <w:b w:val="1"/>
                <w:bCs w:val="1"/>
                <w:color w:val="auto"/>
              </w:rPr>
              <w:t>July 28,</w:t>
            </w:r>
          </w:p>
        </w:tc>
        <w:tc>
          <w:tcPr>
            <w:tcW w:w="640" w:type="dxa"/>
            <w:vAlign w:val="bottom"/>
            <w:tcBorders>
              <w:top w:val="single" w:sz="8" w:color="auto"/>
            </w:tcBorders>
          </w:tcPr>
          <w:p>
            <w:pPr>
              <w:jc w:val="center"/>
              <w:ind w:right="44"/>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960" w:type="dxa"/>
            <w:vAlign w:val="bottom"/>
            <w:gridSpan w:val="2"/>
            <w:vMerge w:val="continue"/>
          </w:tcPr>
          <w:p>
            <w:pPr>
              <w:spacing w:after="0"/>
              <w:rPr>
                <w:sz w:val="8"/>
                <w:szCs w:val="8"/>
                <w:color w:val="auto"/>
              </w:rPr>
            </w:pPr>
          </w:p>
        </w:tc>
        <w:tc>
          <w:tcPr>
            <w:tcW w:w="100" w:type="dxa"/>
            <w:vAlign w:val="bottom"/>
            <w:tcBorders>
              <w:top w:val="single" w:sz="8" w:color="auto"/>
            </w:tcBorders>
          </w:tcPr>
          <w:p>
            <w:pPr>
              <w:spacing w:after="0"/>
              <w:rPr>
                <w:sz w:val="8"/>
                <w:szCs w:val="8"/>
                <w:color w:val="auto"/>
              </w:rPr>
            </w:pPr>
          </w:p>
        </w:tc>
        <w:tc>
          <w:tcPr>
            <w:tcW w:w="960" w:type="dxa"/>
            <w:vAlign w:val="bottom"/>
            <w:tcBorders>
              <w:top w:val="single" w:sz="8" w:color="auto"/>
            </w:tcBorders>
            <w:gridSpan w:val="3"/>
          </w:tcPr>
          <w:p>
            <w:pPr>
              <w:jc w:val="center"/>
              <w:ind w:right="440"/>
              <w:spacing w:after="0" w:line="102" w:lineRule="exact"/>
              <w:rPr>
                <w:sz w:val="20"/>
                <w:szCs w:val="20"/>
                <w:color w:val="auto"/>
              </w:rPr>
            </w:pPr>
            <w:r>
              <w:rPr>
                <w:rFonts w:ascii="Arial" w:cs="Arial" w:eastAsia="Arial" w:hAnsi="Arial"/>
                <w:sz w:val="11"/>
                <w:szCs w:val="11"/>
                <w:b w:val="1"/>
                <w:bCs w:val="1"/>
                <w:color w:val="auto"/>
              </w:rPr>
              <w:t>July 28,</w:t>
            </w:r>
          </w:p>
        </w:tc>
        <w:tc>
          <w:tcPr>
            <w:tcW w:w="660" w:type="dxa"/>
            <w:vAlign w:val="bottom"/>
            <w:tcBorders>
              <w:top w:val="single" w:sz="8" w:color="auto"/>
            </w:tcBorders>
          </w:tcPr>
          <w:p>
            <w:pPr>
              <w:jc w:val="right"/>
              <w:ind w:right="84"/>
              <w:spacing w:after="0" w:line="102" w:lineRule="exact"/>
              <w:rPr>
                <w:sz w:val="20"/>
                <w:szCs w:val="20"/>
                <w:color w:val="auto"/>
              </w:rPr>
            </w:pPr>
            <w:r>
              <w:rPr>
                <w:rFonts w:ascii="Arial" w:cs="Arial" w:eastAsia="Arial" w:hAnsi="Arial"/>
                <w:sz w:val="11"/>
                <w:szCs w:val="11"/>
                <w:b w:val="1"/>
                <w:bCs w:val="1"/>
                <w:color w:val="auto"/>
              </w:rPr>
              <w:t>July 29,</w:t>
            </w:r>
          </w:p>
        </w:tc>
        <w:tc>
          <w:tcPr>
            <w:tcW w:w="220" w:type="dxa"/>
            <w:vAlign w:val="bottom"/>
          </w:tcPr>
          <w:p>
            <w:pPr>
              <w:spacing w:after="0"/>
              <w:rPr>
                <w:sz w:val="8"/>
                <w:szCs w:val="8"/>
                <w:color w:val="auto"/>
              </w:rPr>
            </w:pPr>
          </w:p>
        </w:tc>
        <w:tc>
          <w:tcPr>
            <w:tcW w:w="102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jc w:val="right"/>
              <w:ind w:right="165"/>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jc w:val="right"/>
              <w:ind w:right="164"/>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060" w:type="dxa"/>
            <w:vAlign w:val="bottom"/>
            <w:gridSpan w:val="3"/>
          </w:tcPr>
          <w:p>
            <w:pPr>
              <w:ind w:left="120"/>
              <w:spacing w:after="0"/>
              <w:rPr>
                <w:sz w:val="20"/>
                <w:szCs w:val="20"/>
                <w:color w:val="auto"/>
              </w:rPr>
            </w:pPr>
            <w:r>
              <w:rPr>
                <w:rFonts w:ascii="Arial" w:cs="Arial" w:eastAsia="Arial" w:hAnsi="Arial"/>
                <w:sz w:val="14"/>
                <w:szCs w:val="14"/>
                <w:b w:val="1"/>
                <w:bCs w:val="1"/>
                <w:color w:val="auto"/>
              </w:rPr>
              <w:t>Change</w:t>
            </w:r>
          </w:p>
        </w:tc>
        <w:tc>
          <w:tcPr>
            <w:tcW w:w="640" w:type="dxa"/>
            <w:vAlign w:val="bottom"/>
          </w:tcPr>
          <w:p>
            <w:pPr>
              <w:jc w:val="right"/>
              <w:ind w:right="164"/>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60" w:type="dxa"/>
            <w:vAlign w:val="bottom"/>
          </w:tcPr>
          <w:p>
            <w:pPr>
              <w:jc w:val="right"/>
              <w:ind w:right="184"/>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4"/>
                <w:szCs w:val="14"/>
                <w:color w:val="auto"/>
              </w:rPr>
            </w:pPr>
          </w:p>
        </w:tc>
        <w:tc>
          <w:tcPr>
            <w:tcW w:w="1020" w:type="dxa"/>
            <w:vAlign w:val="bottom"/>
            <w:gridSpan w:val="2"/>
          </w:tcPr>
          <w:p>
            <w:pPr>
              <w:ind w:left="1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31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64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64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64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66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760" w:type="dxa"/>
            <w:vAlign w:val="bottom"/>
            <w:tcBorders>
              <w:top w:val="single" w:sz="8" w:color="auto"/>
            </w:tcBorders>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vMerge w:val="continue"/>
          </w:tcPr>
          <w:p>
            <w:pPr>
              <w:spacing w:after="0"/>
              <w:rPr>
                <w:sz w:val="17"/>
                <w:szCs w:val="17"/>
                <w:color w:val="auto"/>
              </w:rPr>
            </w:pPr>
          </w:p>
        </w:tc>
        <w:tc>
          <w:tcPr>
            <w:tcW w:w="322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Cumulative effects of change in</w:t>
            </w:r>
          </w:p>
        </w:tc>
        <w:tc>
          <w:tcPr>
            <w:tcW w:w="6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22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5"/>
              </w:rPr>
              <w:t>accounting principle, net of tax effect   $</w:t>
            </w:r>
          </w:p>
        </w:tc>
        <w:tc>
          <w:tcPr>
            <w:tcW w:w="960" w:type="dxa"/>
            <w:vAlign w:val="bottom"/>
            <w:gridSpan w:val="3"/>
            <w:shd w:val="clear" w:color="auto" w:fill="CCEEFF"/>
          </w:tcPr>
          <w:p>
            <w:pPr>
              <w:ind w:left="460"/>
              <w:spacing w:after="0"/>
              <w:rPr>
                <w:sz w:val="20"/>
                <w:szCs w:val="20"/>
                <w:color w:val="auto"/>
              </w:rPr>
            </w:pPr>
            <w:r>
              <w:rPr>
                <w:rFonts w:ascii="Arial" w:cs="Arial" w:eastAsia="Arial" w:hAnsi="Arial"/>
                <w:sz w:val="18"/>
                <w:szCs w:val="18"/>
                <w:color w:val="auto"/>
              </w:rPr>
              <w:t>—   $</w:t>
            </w:r>
          </w:p>
        </w:tc>
        <w:tc>
          <w:tcPr>
            <w:tcW w:w="8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060" w:type="dxa"/>
            <w:vAlign w:val="bottom"/>
            <w:gridSpan w:val="3"/>
            <w:shd w:val="clear" w:color="auto" w:fill="CCEEFF"/>
          </w:tcPr>
          <w:p>
            <w:pPr>
              <w:ind w:left="540"/>
              <w:spacing w:after="0"/>
              <w:rPr>
                <w:sz w:val="20"/>
                <w:szCs w:val="20"/>
                <w:color w:val="auto"/>
              </w:rPr>
            </w:pPr>
            <w:r>
              <w:rPr>
                <w:rFonts w:ascii="Arial" w:cs="Arial" w:eastAsia="Arial" w:hAnsi="Arial"/>
                <w:sz w:val="18"/>
                <w:szCs w:val="18"/>
                <w:color w:val="auto"/>
              </w:rPr>
              <w:t>—% $</w:t>
            </w:r>
          </w:p>
        </w:tc>
        <w:tc>
          <w:tcPr>
            <w:tcW w:w="960" w:type="dxa"/>
            <w:vAlign w:val="bottom"/>
            <w:gridSpan w:val="3"/>
            <w:shd w:val="clear" w:color="auto" w:fill="CCEEFF"/>
          </w:tcPr>
          <w:p>
            <w:pPr>
              <w:ind w:left="440"/>
              <w:spacing w:after="0"/>
              <w:rPr>
                <w:sz w:val="20"/>
                <w:szCs w:val="20"/>
                <w:color w:val="auto"/>
              </w:rPr>
            </w:pPr>
            <w:r>
              <w:rPr>
                <w:rFonts w:ascii="Arial" w:cs="Arial" w:eastAsia="Arial" w:hAnsi="Arial"/>
                <w:sz w:val="18"/>
                <w:szCs w:val="18"/>
                <w:color w:val="auto"/>
              </w:rPr>
              <w:t>—   $</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8,846</w:t>
            </w:r>
          </w:p>
        </w:tc>
        <w:tc>
          <w:tcPr>
            <w:tcW w:w="220" w:type="dxa"/>
            <w:vAlign w:val="bottom"/>
            <w:shd w:val="clear" w:color="auto" w:fill="CCEEFF"/>
          </w:tcPr>
          <w:p>
            <w:pPr>
              <w:spacing w:after="0"/>
              <w:rPr>
                <w:sz w:val="20"/>
                <w:szCs w:val="20"/>
                <w:color w:val="auto"/>
              </w:rPr>
            </w:pPr>
          </w:p>
        </w:tc>
        <w:tc>
          <w:tcPr>
            <w:tcW w:w="10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220" w:type="dxa"/>
            <w:vAlign w:val="bottom"/>
            <w:gridSpan w:val="2"/>
          </w:tcPr>
          <w:p>
            <w:pPr>
              <w:spacing w:after="0"/>
              <w:rPr>
                <w:sz w:val="20"/>
                <w:szCs w:val="20"/>
                <w:color w:val="auto"/>
              </w:rPr>
            </w:pPr>
            <w:r>
              <w:rPr>
                <w:rFonts w:ascii="Arial" w:cs="Arial" w:eastAsia="Arial" w:hAnsi="Arial"/>
                <w:sz w:val="18"/>
                <w:szCs w:val="18"/>
                <w:color w:val="auto"/>
              </w:rPr>
              <w:t>% of net revenue</w:t>
            </w:r>
          </w:p>
        </w:tc>
        <w:tc>
          <w:tcPr>
            <w:tcW w:w="960" w:type="dxa"/>
            <w:vAlign w:val="bottom"/>
            <w:gridSpan w:val="3"/>
          </w:tcPr>
          <w:p>
            <w:pPr>
              <w:ind w:left="460"/>
              <w:spacing w:after="0"/>
              <w:rPr>
                <w:sz w:val="20"/>
                <w:szCs w:val="20"/>
                <w:color w:val="auto"/>
              </w:rPr>
            </w:pPr>
            <w:r>
              <w:rPr>
                <w:rFonts w:ascii="Arial" w:cs="Arial" w:eastAsia="Arial" w:hAnsi="Arial"/>
                <w:sz w:val="18"/>
                <w:szCs w:val="18"/>
                <w:color w:val="auto"/>
              </w:rPr>
              <w:t>—%</w:t>
            </w:r>
          </w:p>
        </w:tc>
        <w:tc>
          <w:tcPr>
            <w:tcW w:w="8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7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60" w:type="dxa"/>
            <w:vAlign w:val="bottom"/>
            <w:gridSpan w:val="3"/>
          </w:tcPr>
          <w:p>
            <w:pPr>
              <w:ind w:left="44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80"/>
              <w:spacing w:after="0"/>
              <w:rPr>
                <w:sz w:val="20"/>
                <w:szCs w:val="20"/>
                <w:color w:val="auto"/>
              </w:rPr>
            </w:pPr>
            <w:r>
              <w:rPr>
                <w:rFonts w:ascii="Arial" w:cs="Arial" w:eastAsia="Arial" w:hAnsi="Arial"/>
                <w:sz w:val="18"/>
                <w:szCs w:val="18"/>
                <w:color w:val="auto"/>
              </w:rPr>
              <w:t>0.8%</w:t>
            </w:r>
          </w:p>
        </w:tc>
        <w:tc>
          <w:tcPr>
            <w:tcW w:w="7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41" w:lineRule="exact"/>
        <w:rPr>
          <w:sz w:val="20"/>
          <w:szCs w:val="20"/>
          <w:color w:val="auto"/>
        </w:rPr>
      </w:pPr>
    </w:p>
    <w:p>
      <w:pPr>
        <w:ind w:right="440" w:firstLine="324"/>
        <w:spacing w:after="0" w:line="277" w:lineRule="auto"/>
        <w:rPr>
          <w:sz w:val="20"/>
          <w:szCs w:val="20"/>
          <w:color w:val="auto"/>
        </w:rPr>
      </w:pPr>
      <w:r>
        <w:rPr>
          <w:rFonts w:ascii="Arial" w:cs="Arial" w:eastAsia="Arial" w:hAnsi="Arial"/>
          <w:sz w:val="18"/>
          <w:szCs w:val="18"/>
          <w:color w:val="auto"/>
        </w:rPr>
        <w:t>During the first quarter of fiscal 2007, we recorded an adjustment for the cumulative effect of a change in accounting principle related to estimating forfeitures in our adoption of SFAS 123R.</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29" w:lineRule="exact"/>
        <w:rPr>
          <w:sz w:val="20"/>
          <w:szCs w:val="20"/>
          <w:color w:val="auto"/>
        </w:rPr>
      </w:pPr>
    </w:p>
    <w:p>
      <w:pPr>
        <w:ind w:right="700" w:firstLine="324"/>
        <w:spacing w:after="0" w:line="264" w:lineRule="auto"/>
        <w:rPr>
          <w:sz w:val="20"/>
          <w:szCs w:val="20"/>
          <w:color w:val="auto"/>
        </w:rPr>
      </w:pPr>
      <w:r>
        <w:rPr>
          <w:rFonts w:ascii="Arial" w:cs="Arial" w:eastAsia="Arial" w:hAnsi="Arial"/>
          <w:sz w:val="18"/>
          <w:szCs w:val="18"/>
          <w:color w:val="auto"/>
        </w:rPr>
        <w:t>Our principal source of liquidity as of July 28, 2007 consisted of $496.4 million of cash, cash equivalents and short-term investments. Since our inception, we have financed our operations through a combination of sales of equity securities, cash generated by operations and cash assumed in acquisitions.</w:t>
      </w:r>
    </w:p>
    <w:p>
      <w:pPr>
        <w:sectPr>
          <w:pgSz w:w="11900" w:h="16838" w:orient="portrait"/>
          <w:cols w:equalWidth="0" w:num="1">
            <w:col w:w="11400"/>
          </w:cols>
          <w:pgMar w:left="240" w:top="120" w:right="259" w:bottom="53" w:gutter="0" w:footer="0" w:header="0"/>
        </w:sectPr>
      </w:pPr>
    </w:p>
    <w:p>
      <w:pPr>
        <w:spacing w:after="0" w:line="181" w:lineRule="exact"/>
        <w:rPr>
          <w:sz w:val="20"/>
          <w:szCs w:val="20"/>
          <w:color w:val="auto"/>
        </w:rPr>
      </w:pPr>
    </w:p>
    <w:p>
      <w:pPr>
        <w:ind w:left="260"/>
        <w:spacing w:after="0"/>
        <w:rPr>
          <w:sz w:val="20"/>
          <w:szCs w:val="20"/>
          <w:color w:val="auto"/>
        </w:rPr>
      </w:pPr>
      <w:r>
        <w:rPr>
          <w:rFonts w:ascii="Arial" w:cs="Arial" w:eastAsia="Arial" w:hAnsi="Arial"/>
          <w:sz w:val="15"/>
          <w:szCs w:val="15"/>
          <w:b w:val="1"/>
          <w:bCs w:val="1"/>
          <w:i w:val="1"/>
          <w:iCs w:val="1"/>
          <w:color w:val="auto"/>
        </w:rPr>
        <w:t>Net Cash (Used In) Provided by Operating Activities</w:t>
      </w:r>
    </w:p>
    <w:p>
      <w:pPr>
        <w:sectPr>
          <w:pgSz w:w="11900" w:h="16838" w:orient="portrait"/>
          <w:cols w:equalWidth="0" w:num="1">
            <w:col w:w="11400"/>
          </w:cols>
          <w:pgMar w:left="240" w:top="120" w:right="259" w:bottom="53" w:gutter="0" w:footer="0" w:header="0"/>
          <w:type w:val="continuous"/>
        </w:sectPr>
      </w:pPr>
    </w:p>
    <w:bookmarkStart w:id="24" w:name="page25"/>
    <w:bookmarkEnd w:id="24"/>
    <w:p>
      <w:pPr>
        <w:ind w:right="120" w:firstLine="324"/>
        <w:spacing w:after="0" w:line="286" w:lineRule="auto"/>
        <w:rPr>
          <w:sz w:val="20"/>
          <w:szCs w:val="20"/>
          <w:color w:val="auto"/>
        </w:rPr>
      </w:pPr>
      <w:r>
        <w:rPr>
          <w:rFonts w:ascii="Arial" w:cs="Arial" w:eastAsia="Arial" w:hAnsi="Arial"/>
          <w:sz w:val="16"/>
          <w:szCs w:val="16"/>
          <w:color w:val="auto"/>
        </w:rPr>
        <w:t>Net cash used in operating activities was $10.8 million for the six months ended July 28, 2007 compared to net cash provided by operating activities of $215 million for the six months ended July 29, 2006. The cash inflow from operations in the first six months of fiscal 2008 was primarily due to changes in working capital. Non-cash charges in the first six months of fiscal 2008 included $74.6 million related to amortization of acquired intangible assets, $52.4 million of depreciation and amortization expense, $105.7 million of stock-based compensation and $77.6 for a fair market value adjustment to cost of goods sold from a supply contract. Significant working capital changes contributing to the use of cash in operating activities included an increase in inventories of $88.7 million from inventory purchase commitments and build up of inventory to support increased revenue levels. The number of days in inventory has increased at the end of the second quarter to fiscal 2008 to 80 days from 75 days at the end of the second quarter of fiscal 2007 due to the higher comparable inventory balance at the end of each respective quarter. Also contributing to the use of cash in operating activities was an increase in accounts receivable of $28.7 million primarily due to the timing of payments received from customers. The days outstanding, or DSO metric decreased to 49 days at the end of the second quarter of fiscal 2008 compared to 54 days in at the end of the second quarter of fiscal 2007. Many of our larger customers have regularly scheduled payment dates that fall immediately before or after our fiscal quarter-end. As a result, our accounts receivable balance and DSO may fluctuate depending on the timing of large payments made by our customers. Also, contributing to the use of cash in operating activities was a decrease in accrued liabilities and other of $26.2 million due primarily to a reduction in accrued legal expenses and payment of an acquisition contingency.</w:t>
      </w:r>
    </w:p>
    <w:p>
      <w:pPr>
        <w:spacing w:after="0" w:line="3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both"/>
        <w:ind w:right="120" w:firstLine="324"/>
        <w:spacing w:after="0" w:line="286" w:lineRule="auto"/>
        <w:rPr>
          <w:sz w:val="20"/>
          <w:szCs w:val="20"/>
          <w:color w:val="auto"/>
        </w:rPr>
      </w:pPr>
      <w:r>
        <w:rPr>
          <w:rFonts w:ascii="Arial" w:cs="Arial" w:eastAsia="Arial" w:hAnsi="Arial"/>
          <w:sz w:val="17"/>
          <w:szCs w:val="17"/>
          <w:color w:val="auto"/>
        </w:rPr>
        <w:t>Significant working capital changes contributing to positive cash flows in the first six months of fiscal 2008 included a decrease in prepaid expense and other assets of $54.0 million due primarily to the utilization of prepaid foundry capacity and prepaid wafers. Also contributing to positive cash flows was an increase in accounts payable of $22.3 million due to the increase in overall activity and to the increase in inventory.</w:t>
      </w:r>
    </w:p>
    <w:p>
      <w:pPr>
        <w:spacing w:after="0" w:line="166" w:lineRule="exact"/>
        <w:rPr>
          <w:sz w:val="20"/>
          <w:szCs w:val="20"/>
          <w:color w:val="auto"/>
        </w:rPr>
      </w:pPr>
    </w:p>
    <w:p>
      <w:pPr>
        <w:ind w:right="140" w:firstLine="324"/>
        <w:spacing w:after="0" w:line="257" w:lineRule="auto"/>
        <w:rPr>
          <w:sz w:val="20"/>
          <w:szCs w:val="20"/>
          <w:color w:val="auto"/>
        </w:rPr>
      </w:pPr>
      <w:r>
        <w:rPr>
          <w:rFonts w:ascii="Arial" w:cs="Arial" w:eastAsia="Arial" w:hAnsi="Arial"/>
          <w:sz w:val="18"/>
          <w:szCs w:val="18"/>
          <w:color w:val="auto"/>
        </w:rPr>
        <w:t>Significant working capital changes contributing to positive cash inflow in the first six months of fiscal 2007 included an increase of $25.4 million in income tax payable resulting from higher taxable income in the first six months of fiscal 2007 and an increase in accounts payable of $15.5 million resulting primarily from amounts due to our suppliers relating to increased inventory purchases as well as higher overall spending activity related to our expanding operations. Inventory decreased $7.1 million, primarily as a result of the build up of inventory to support our increasing revenue and additional inventory from our acquisitions.</w:t>
      </w:r>
    </w:p>
    <w:p>
      <w:pPr>
        <w:spacing w:after="0" w:line="188" w:lineRule="exact"/>
        <w:rPr>
          <w:sz w:val="20"/>
          <w:szCs w:val="20"/>
          <w:color w:val="auto"/>
        </w:rPr>
      </w:pPr>
    </w:p>
    <w:p>
      <w:pPr>
        <w:ind w:right="180" w:firstLine="324"/>
        <w:spacing w:after="0" w:line="255" w:lineRule="auto"/>
        <w:rPr>
          <w:sz w:val="20"/>
          <w:szCs w:val="20"/>
          <w:color w:val="auto"/>
        </w:rPr>
      </w:pPr>
      <w:r>
        <w:rPr>
          <w:rFonts w:ascii="Arial" w:cs="Arial" w:eastAsia="Arial" w:hAnsi="Arial"/>
          <w:sz w:val="18"/>
          <w:szCs w:val="18"/>
          <w:color w:val="auto"/>
        </w:rPr>
        <w:t>Significant working capital changes offsetting positive cash flows in the first six months of fiscal 2007 included an increase in accounts receivable of $97.6 million primarily due to higher total net revenue in the first six months of fiscal 2007 compared to the first six months of fiscal 2006. Accounts receivable increased and the days sales outstanding, or DSO, metric increased to 54 days at the end of second quarter of fiscal 2007 compared to 48 days at the end of the second quarter of fiscal 2006. Also contributing to working capital changes offsetting positive cash flow in the first six months of fiscal 2007 was an increase in prepaid expenses and other current assets of $28.5 million due primarily to payments made in connection with a capacity reservation agreement with a foundry.</w:t>
      </w:r>
    </w:p>
    <w:p>
      <w:pPr>
        <w:spacing w:after="0" w:line="193"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225" w:lineRule="exact"/>
        <w:rPr>
          <w:sz w:val="20"/>
          <w:szCs w:val="20"/>
          <w:color w:val="auto"/>
        </w:rPr>
      </w:pPr>
    </w:p>
    <w:p>
      <w:pPr>
        <w:ind w:firstLine="324"/>
        <w:spacing w:after="0" w:line="273" w:lineRule="auto"/>
        <w:rPr>
          <w:sz w:val="20"/>
          <w:szCs w:val="20"/>
          <w:color w:val="auto"/>
        </w:rPr>
      </w:pPr>
      <w:r>
        <w:rPr>
          <w:rFonts w:ascii="Arial" w:cs="Arial" w:eastAsia="Arial" w:hAnsi="Arial"/>
          <w:sz w:val="17"/>
          <w:szCs w:val="17"/>
          <w:color w:val="auto"/>
        </w:rPr>
        <w:t>Net cash used in investing activities was $148.2 million for the first six months of fiscal 2008 while net cash used in investing activities was $240.8 million for the first six months of fiscal 2007. The net cash used in investing activities in the first six months of fiscal 2008 was due to purchases of short-term investments of $113.7 million, purchases of property and equipment of $64.5 million and purchases of technology licenses of $16.9 million, partially offset by sales and maturities of short-term investments of $50.0 million. The net cash provided by investing activities in the first six months of fiscal 2007 was due to sales and maturities of short-term investments of $265.2 million, purchases of property and equipment of $71.5 million and cash paid for acquisitions of $283.0 million partially offset by purchases of short-term investments of $141.4 million.</w:t>
      </w:r>
    </w:p>
    <w:p>
      <w:pPr>
        <w:spacing w:after="0" w:line="178"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Net Cash (Used in) Provided by Financing Activities</w:t>
      </w:r>
    </w:p>
    <w:p>
      <w:pPr>
        <w:spacing w:after="0" w:line="225"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Net cash used in financing activities was $4.9 million for the six months ended July 28, 2007 while net cash provided by financing activities was $25.7 million for the six months ended July 29, 2006. In the first six months of fiscal 2008, net cash used in financing activities was attributable to principal payments on capital lease and debt obligations partially offset by proceeds from the issuance of common stock under stock option plans. In the first six months of fiscal 2007, net cash provided by financing activities was attributable to proceeds from the issuance of common stock under our stock option plans, partially offset by principal payments on capital lease obligations. The proceeds from the issuance of common stock are primarily due to the exercises of stock options.</w:t>
      </w:r>
    </w:p>
    <w:p>
      <w:pPr>
        <w:spacing w:after="0" w:line="189"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29"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In connection with the acquisition of the ICAP Business, we entered into a product supply agreement with Intel. Under the terms of the agreement we have committed to purchase a minimum number of wafers through June 2008. If at the end of any fiscal quarter for Intel, there is a shortfall between the quantity of supply ordered by the Company and the quantities of supply required under the supply agreement commitment, Intel will invoice the Company for the shortfall and will deliver the corresponding quantity upon receipt of payment from the Company. The agreement requires us to prepay for certain wafers six months in advance of delivery and requires us to issue non cancellable purchase orders at least six months in advance of requested delivery dates for all purchases under the supply agreement. As of July 28, 2007, we recorded $49.6 million in prepaid assets for prepayment of wafers and had non cancellable purchase orders outstanding of $207.1 million.</w:t>
      </w:r>
    </w:p>
    <w:p>
      <w:pPr>
        <w:spacing w:after="0" w:line="189" w:lineRule="exact"/>
        <w:rPr>
          <w:sz w:val="20"/>
          <w:szCs w:val="20"/>
          <w:color w:val="auto"/>
        </w:rPr>
      </w:pPr>
    </w:p>
    <w:p>
      <w:pPr>
        <w:ind w:right="180" w:firstLine="324"/>
        <w:spacing w:after="0" w:line="264" w:lineRule="auto"/>
        <w:rPr>
          <w:sz w:val="20"/>
          <w:szCs w:val="20"/>
          <w:color w:val="auto"/>
        </w:rPr>
      </w:pPr>
      <w:r>
        <w:rPr>
          <w:rFonts w:ascii="Arial" w:cs="Arial" w:eastAsia="Arial" w:hAnsi="Arial"/>
          <w:sz w:val="18"/>
          <w:szCs w:val="18"/>
          <w:color w:val="auto"/>
        </w:rPr>
        <w:t>Under our manufacturing relationships with all other foundries, cancellation of all outstanding purchase orders are allowed but require repayment of all expenses incurred through the date of cancellation. As of July 28, 2007, these foundries had incurred approximately $215.4 million of manufacturing expenses on our outstanding purchase orders.</w:t>
      </w:r>
    </w:p>
    <w:p>
      <w:pPr>
        <w:spacing w:after="0" w:line="181" w:lineRule="exact"/>
        <w:rPr>
          <w:sz w:val="20"/>
          <w:szCs w:val="20"/>
          <w:color w:val="auto"/>
        </w:rPr>
      </w:pPr>
    </w:p>
    <w:p>
      <w:pPr>
        <w:ind w:right="40" w:firstLine="324"/>
        <w:spacing w:after="0" w:line="264" w:lineRule="auto"/>
        <w:rPr>
          <w:sz w:val="20"/>
          <w:szCs w:val="20"/>
          <w:color w:val="auto"/>
        </w:rPr>
      </w:pPr>
      <w:r>
        <w:rPr>
          <w:rFonts w:ascii="Arial" w:cs="Arial" w:eastAsia="Arial" w:hAnsi="Arial"/>
          <w:sz w:val="18"/>
          <w:szCs w:val="18"/>
          <w:color w:val="auto"/>
        </w:rPr>
        <w:t>On February 28, 2005 and as amended on March 31, 2005, we entered into an agreement with a foundry to reserve and secure foundry fabrication capacity for a fixed number of wafers at agreed upon prices for a period of five and a half years beginning on October 1, 2005. In return, we agreed to pay the foundry $174.2 million over a period of eighteen months. The</w:t>
      </w:r>
    </w:p>
    <w:p>
      <w:pPr>
        <w:sectPr>
          <w:pgSz w:w="11900" w:h="16838" w:orient="portrait"/>
          <w:cols w:equalWidth="0" w:num="1">
            <w:col w:w="11420"/>
          </w:cols>
          <w:pgMar w:left="240" w:top="125" w:right="239" w:bottom="96" w:gutter="0" w:footer="0" w:header="0"/>
        </w:sectPr>
      </w:pPr>
    </w:p>
    <w:p>
      <w:pPr>
        <w:spacing w:after="0" w:line="397"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96" w:gutter="0" w:footer="0" w:header="0"/>
          <w:type w:val="continuous"/>
        </w:sectPr>
      </w:pPr>
    </w:p>
    <w:bookmarkStart w:id="25" w:name="page26"/>
    <w:bookmarkEnd w:id="25"/>
    <w:p>
      <w:pPr>
        <w:ind w:right="280"/>
        <w:spacing w:after="0" w:line="286" w:lineRule="auto"/>
        <w:rPr>
          <w:sz w:val="20"/>
          <w:szCs w:val="20"/>
          <w:color w:val="auto"/>
        </w:rPr>
      </w:pPr>
      <w:r>
        <w:rPr>
          <w:rFonts w:ascii="Arial" w:cs="Arial" w:eastAsia="Arial" w:hAnsi="Arial"/>
          <w:sz w:val="17"/>
          <w:szCs w:val="17"/>
          <w:color w:val="auto"/>
        </w:rPr>
        <w:t>amendment extends the term of the agreement and the agreed upon pricing terms until December 31, 2015. As of July 28, 2007, payments totaling $174.2 million (included in prepaid expenses and other current assets and other noncurrent assets) had been made and approximately $112.7 million of the prepayment had been utilized as of July 28, 2007. At July 28, 2007, there are no more outstanding commitments under the agreement.</w:t>
      </w:r>
    </w:p>
    <w:p>
      <w:pPr>
        <w:spacing w:after="0" w:line="166" w:lineRule="exact"/>
        <w:rPr>
          <w:sz w:val="20"/>
          <w:szCs w:val="20"/>
          <w:color w:val="auto"/>
        </w:rPr>
      </w:pPr>
    </w:p>
    <w:p>
      <w:pPr>
        <w:ind w:left="340"/>
        <w:spacing w:after="0"/>
        <w:rPr>
          <w:sz w:val="20"/>
          <w:szCs w:val="20"/>
          <w:color w:val="auto"/>
        </w:rPr>
      </w:pPr>
      <w:r>
        <w:rPr>
          <w:rFonts w:ascii="Arial" w:cs="Arial" w:eastAsia="Arial" w:hAnsi="Arial"/>
          <w:sz w:val="16"/>
          <w:szCs w:val="16"/>
          <w:color w:val="auto"/>
        </w:rPr>
        <w:t>As of July 28, 2007, the Company had approximately $83.1 million of other outstanding non-cancelable purchase orders for capital purchase obligations.</w:t>
      </w:r>
    </w:p>
    <w:p>
      <w:pPr>
        <w:spacing w:after="0" w:line="248" w:lineRule="exact"/>
        <w:rPr>
          <w:sz w:val="20"/>
          <w:szCs w:val="20"/>
          <w:color w:val="auto"/>
        </w:rPr>
      </w:pPr>
    </w:p>
    <w:p>
      <w:pPr>
        <w:ind w:right="160" w:firstLine="324"/>
        <w:spacing w:after="0" w:line="257" w:lineRule="auto"/>
        <w:rPr>
          <w:sz w:val="20"/>
          <w:szCs w:val="20"/>
          <w:color w:val="auto"/>
        </w:rPr>
      </w:pPr>
      <w:r>
        <w:rPr>
          <w:rFonts w:ascii="Arial" w:cs="Arial" w:eastAsia="Arial" w:hAnsi="Arial"/>
          <w:sz w:val="18"/>
          <w:szCs w:val="18"/>
          <w:color w:val="auto"/>
        </w:rPr>
        <w:t>As a result of our facility move in February 2002, we obtained a sublease on one of our facilities that had a non cancellable lease. Actual sublease income approximated the estimated sublease income, but is less than our actual lease commitment, resulting in future negative cash flow over the remaining term of the sublease of approximately $2.9 million as of January 27, 2007. At July 28, 2007, cash payments of $11.1 million, net of sublease income had been made in connection with this charge. Approximately $2.4 million was accrued for this facilities consolidation charge as of July 28, 2007 of which $0.7 million is current and $1.7 million is long-term, payable through 2010.</w:t>
      </w:r>
    </w:p>
    <w:p>
      <w:pPr>
        <w:spacing w:after="0" w:line="188" w:lineRule="exact"/>
        <w:rPr>
          <w:sz w:val="20"/>
          <w:szCs w:val="20"/>
          <w:color w:val="auto"/>
        </w:rPr>
      </w:pPr>
    </w:p>
    <w:p>
      <w:pPr>
        <w:jc w:val="both"/>
        <w:ind w:right="80" w:firstLine="324"/>
        <w:spacing w:after="0" w:line="297" w:lineRule="auto"/>
        <w:rPr>
          <w:sz w:val="20"/>
          <w:szCs w:val="20"/>
          <w:color w:val="auto"/>
        </w:rPr>
      </w:pPr>
      <w:r>
        <w:rPr>
          <w:rFonts w:ascii="Arial" w:cs="Arial" w:eastAsia="Arial" w:hAnsi="Arial"/>
          <w:sz w:val="16"/>
          <w:szCs w:val="16"/>
          <w:color w:val="auto"/>
        </w:rPr>
        <w:t>In May 2006, we completed the acquisition of the printer semiconductor business of Avago. The acquisition was completed in accordance with the terms and conditions of an Asset Purchase Agreement dated February 21, 2006, as amended. Under the terms of the Agreement, we paid $249.6 million for certain assets and intellectual property and were committed to two additional contingent cash payments of $10.0 million and $25.0 million upon the achievement of certain levels of revenue. In the third quarter of fiscal 2007, the Company recorded contingent consideration and additional goodwill for the first contingent payment of $10 million. The second contingent payment of $25.0 million is based on the achievement of certain levels of revenue during fiscal 2008.</w:t>
      </w:r>
    </w:p>
    <w:p>
      <w:pPr>
        <w:spacing w:after="0" w:line="158"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We currently intend to fund our short and long-term capital requirements, as well as our liquidity needs, with existing cash, cash equivalents and short-term investment balances as well as cash generated by operations. We believe that our existing cash, cash equivalents and short-term investment balances will be sufficient to meet our working capital needs, capital requirements, investment requirements, including acquisitions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To the extent that our existing cash, cash equivalents and investment balances and cash generated by operations are insufficient to fund our future activities, we may need to raise additional funds through public or private debt or equity financing. We may enter into acquisitions or strategic arrangements in the future, which could also require us to seek additional debt or equity financing, which in turn may be dilutive to our current shareholders. Additional funds may not be available on terms favorable to us or at all.</w:t>
      </w:r>
    </w:p>
    <w:p>
      <w:pPr>
        <w:spacing w:after="0" w:line="167" w:lineRule="exact"/>
        <w:rPr>
          <w:sz w:val="20"/>
          <w:szCs w:val="20"/>
          <w:color w:val="auto"/>
        </w:rPr>
      </w:pPr>
    </w:p>
    <w:p>
      <w:pPr>
        <w:ind w:right="140" w:firstLine="324"/>
        <w:spacing w:after="0" w:line="277" w:lineRule="auto"/>
        <w:rPr>
          <w:sz w:val="20"/>
          <w:szCs w:val="20"/>
          <w:color w:val="auto"/>
        </w:rPr>
      </w:pPr>
      <w:r>
        <w:rPr>
          <w:rFonts w:ascii="Arial" w:cs="Arial" w:eastAsia="Arial" w:hAnsi="Arial"/>
          <w:sz w:val="18"/>
          <w:szCs w:val="18"/>
          <w:color w:val="auto"/>
        </w:rPr>
        <w:t>The following table summarizes our contractual obligations as of July 28, 2007 and the effect such obligations are expected to have on our liquidity and cash flow in future periods (in thousands):</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2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120" w:type="dxa"/>
            <w:vAlign w:val="bottom"/>
            <w:tcBorders>
              <w:bottom w:val="single" w:sz="8" w:color="auto"/>
            </w:tcBorders>
            <w:gridSpan w:val="6"/>
          </w:tcPr>
          <w:p>
            <w:pPr>
              <w:jc w:val="right"/>
              <w:spacing w:after="0"/>
              <w:rPr>
                <w:sz w:val="20"/>
                <w:szCs w:val="20"/>
                <w:color w:val="auto"/>
              </w:rPr>
            </w:pPr>
            <w:r>
              <w:rPr>
                <w:rFonts w:ascii="Arial" w:cs="Arial" w:eastAsia="Arial" w:hAnsi="Arial"/>
                <w:sz w:val="14"/>
                <w:szCs w:val="14"/>
                <w:b w:val="1"/>
                <w:bCs w:val="1"/>
                <w:color w:val="auto"/>
              </w:rPr>
              <w:t>Payments Due by Period</w:t>
            </w:r>
          </w:p>
        </w:tc>
        <w:tc>
          <w:tcPr>
            <w:tcW w:w="52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260" w:type="dxa"/>
            <w:vAlign w:val="bottom"/>
          </w:tcPr>
          <w:p>
            <w:pPr>
              <w:spacing w:after="0"/>
              <w:rPr>
                <w:sz w:val="14"/>
                <w:szCs w:val="14"/>
                <w:color w:val="auto"/>
              </w:rPr>
            </w:pPr>
          </w:p>
        </w:tc>
      </w:tr>
      <w:tr>
        <w:trPr>
          <w:trHeight w:val="129"/>
        </w:trPr>
        <w:tc>
          <w:tcPr>
            <w:tcW w:w="32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840" w:type="dxa"/>
            <w:vAlign w:val="bottom"/>
            <w:tcBorders>
              <w:bottom w:val="single" w:sz="8" w:color="auto"/>
            </w:tcBorders>
          </w:tcPr>
          <w:p>
            <w:pPr>
              <w:jc w:val="center"/>
              <w:ind w:right="18"/>
              <w:spacing w:after="0" w:line="129" w:lineRule="exact"/>
              <w:rPr>
                <w:sz w:val="20"/>
                <w:szCs w:val="20"/>
                <w:color w:val="auto"/>
              </w:rPr>
            </w:pPr>
            <w:r>
              <w:rPr>
                <w:rFonts w:ascii="Arial" w:cs="Arial" w:eastAsia="Arial" w:hAnsi="Arial"/>
                <w:sz w:val="14"/>
                <w:szCs w:val="14"/>
                <w:b w:val="1"/>
                <w:bCs w:val="1"/>
                <w:color w:val="auto"/>
                <w:w w:val="96"/>
              </w:rPr>
              <w:t>2008</w:t>
            </w:r>
          </w:p>
        </w:tc>
        <w:tc>
          <w:tcPr>
            <w:tcW w:w="280" w:type="dxa"/>
            <w:vAlign w:val="bottom"/>
          </w:tcPr>
          <w:p>
            <w:pPr>
              <w:spacing w:after="0"/>
              <w:rPr>
                <w:sz w:val="11"/>
                <w:szCs w:val="11"/>
                <w:color w:val="auto"/>
              </w:rPr>
            </w:pPr>
          </w:p>
        </w:tc>
        <w:tc>
          <w:tcPr>
            <w:tcW w:w="160" w:type="dxa"/>
            <w:vAlign w:val="bottom"/>
            <w:tcBorders>
              <w:bottom w:val="single" w:sz="8" w:color="auto"/>
            </w:tcBorders>
          </w:tcPr>
          <w:p>
            <w:pPr>
              <w:spacing w:after="0"/>
              <w:rPr>
                <w:sz w:val="11"/>
                <w:szCs w:val="11"/>
                <w:color w:val="auto"/>
              </w:rPr>
            </w:pPr>
          </w:p>
        </w:tc>
        <w:tc>
          <w:tcPr>
            <w:tcW w:w="620" w:type="dxa"/>
            <w:vAlign w:val="bottom"/>
            <w:tcBorders>
              <w:bottom w:val="single" w:sz="8" w:color="auto"/>
            </w:tcBorders>
          </w:tcPr>
          <w:p>
            <w:pPr>
              <w:jc w:val="right"/>
              <w:ind w:right="153"/>
              <w:spacing w:after="0" w:line="129" w:lineRule="exact"/>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1"/>
                <w:szCs w:val="11"/>
                <w:color w:val="auto"/>
              </w:rPr>
            </w:pPr>
          </w:p>
        </w:tc>
        <w:tc>
          <w:tcPr>
            <w:tcW w:w="200" w:type="dxa"/>
            <w:vAlign w:val="bottom"/>
            <w:tcBorders>
              <w:bottom w:val="single" w:sz="8" w:color="auto"/>
            </w:tcBorders>
          </w:tcPr>
          <w:p>
            <w:pPr>
              <w:spacing w:after="0"/>
              <w:rPr>
                <w:sz w:val="11"/>
                <w:szCs w:val="11"/>
                <w:color w:val="auto"/>
              </w:rPr>
            </w:pPr>
          </w:p>
        </w:tc>
        <w:tc>
          <w:tcPr>
            <w:tcW w:w="680" w:type="dxa"/>
            <w:vAlign w:val="bottom"/>
            <w:tcBorders>
              <w:bottom w:val="single" w:sz="8" w:color="auto"/>
            </w:tcBorders>
          </w:tcPr>
          <w:p>
            <w:pPr>
              <w:jc w:val="right"/>
              <w:ind w:right="214"/>
              <w:spacing w:after="0" w:line="129" w:lineRule="exact"/>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1"/>
                <w:szCs w:val="11"/>
                <w:color w:val="auto"/>
              </w:rPr>
            </w:pPr>
          </w:p>
        </w:tc>
        <w:tc>
          <w:tcPr>
            <w:tcW w:w="160" w:type="dxa"/>
            <w:vAlign w:val="bottom"/>
            <w:tcBorders>
              <w:bottom w:val="single" w:sz="8" w:color="auto"/>
            </w:tcBorders>
          </w:tcPr>
          <w:p>
            <w:pPr>
              <w:spacing w:after="0"/>
              <w:rPr>
                <w:sz w:val="11"/>
                <w:szCs w:val="11"/>
                <w:color w:val="auto"/>
              </w:rPr>
            </w:pPr>
          </w:p>
        </w:tc>
        <w:tc>
          <w:tcPr>
            <w:tcW w:w="600" w:type="dxa"/>
            <w:vAlign w:val="bottom"/>
            <w:tcBorders>
              <w:bottom w:val="single" w:sz="8" w:color="auto"/>
            </w:tcBorders>
          </w:tcPr>
          <w:p>
            <w:pPr>
              <w:jc w:val="right"/>
              <w:ind w:right="173"/>
              <w:spacing w:after="0" w:line="129" w:lineRule="exact"/>
              <w:rPr>
                <w:sz w:val="20"/>
                <w:szCs w:val="20"/>
                <w:color w:val="auto"/>
              </w:rPr>
            </w:pPr>
            <w:r>
              <w:rPr>
                <w:rFonts w:ascii="Arial" w:cs="Arial" w:eastAsia="Arial" w:hAnsi="Arial"/>
                <w:sz w:val="14"/>
                <w:szCs w:val="14"/>
                <w:b w:val="1"/>
                <w:bCs w:val="1"/>
                <w:color w:val="auto"/>
              </w:rPr>
              <w:t>2011</w:t>
            </w:r>
          </w:p>
        </w:tc>
        <w:tc>
          <w:tcPr>
            <w:tcW w:w="260" w:type="dxa"/>
            <w:vAlign w:val="bottom"/>
          </w:tcPr>
          <w:p>
            <w:pPr>
              <w:spacing w:after="0"/>
              <w:rPr>
                <w:sz w:val="11"/>
                <w:szCs w:val="11"/>
                <w:color w:val="auto"/>
              </w:rPr>
            </w:pPr>
          </w:p>
        </w:tc>
        <w:tc>
          <w:tcPr>
            <w:tcW w:w="140" w:type="dxa"/>
            <w:vAlign w:val="bottom"/>
            <w:tcBorders>
              <w:bottom w:val="single" w:sz="8" w:color="auto"/>
            </w:tcBorders>
          </w:tcPr>
          <w:p>
            <w:pPr>
              <w:spacing w:after="0"/>
              <w:rPr>
                <w:sz w:val="11"/>
                <w:szCs w:val="11"/>
                <w:color w:val="auto"/>
              </w:rPr>
            </w:pPr>
          </w:p>
        </w:tc>
        <w:tc>
          <w:tcPr>
            <w:tcW w:w="520" w:type="dxa"/>
            <w:vAlign w:val="bottom"/>
            <w:tcBorders>
              <w:bottom w:val="single" w:sz="8" w:color="auto"/>
            </w:tcBorders>
          </w:tcPr>
          <w:p>
            <w:pPr>
              <w:jc w:val="right"/>
              <w:ind w:right="113"/>
              <w:spacing w:after="0" w:line="129" w:lineRule="exact"/>
              <w:rPr>
                <w:sz w:val="20"/>
                <w:szCs w:val="20"/>
                <w:color w:val="auto"/>
              </w:rPr>
            </w:pPr>
            <w:r>
              <w:rPr>
                <w:rFonts w:ascii="Arial" w:cs="Arial" w:eastAsia="Arial" w:hAnsi="Arial"/>
                <w:sz w:val="14"/>
                <w:szCs w:val="14"/>
                <w:b w:val="1"/>
                <w:bCs w:val="1"/>
                <w:color w:val="auto"/>
                <w:w w:val="96"/>
              </w:rPr>
              <w:t>2012</w:t>
            </w:r>
          </w:p>
        </w:tc>
        <w:tc>
          <w:tcPr>
            <w:tcW w:w="260" w:type="dxa"/>
            <w:vAlign w:val="bottom"/>
          </w:tcPr>
          <w:p>
            <w:pPr>
              <w:spacing w:after="0"/>
              <w:rPr>
                <w:sz w:val="11"/>
                <w:szCs w:val="11"/>
                <w:color w:val="auto"/>
              </w:rPr>
            </w:pPr>
          </w:p>
        </w:tc>
        <w:tc>
          <w:tcPr>
            <w:tcW w:w="100" w:type="dxa"/>
            <w:vAlign w:val="bottom"/>
            <w:tcBorders>
              <w:bottom w:val="single" w:sz="8" w:color="auto"/>
            </w:tcBorders>
          </w:tcPr>
          <w:p>
            <w:pPr>
              <w:spacing w:after="0"/>
              <w:rPr>
                <w:sz w:val="11"/>
                <w:szCs w:val="11"/>
                <w:color w:val="auto"/>
              </w:rPr>
            </w:pPr>
          </w:p>
        </w:tc>
        <w:tc>
          <w:tcPr>
            <w:tcW w:w="760" w:type="dxa"/>
            <w:vAlign w:val="bottom"/>
            <w:tcBorders>
              <w:bottom w:val="single" w:sz="8" w:color="auto"/>
            </w:tcBorders>
          </w:tcPr>
          <w:p>
            <w:pPr>
              <w:jc w:val="right"/>
              <w:ind w:right="13"/>
              <w:spacing w:after="0" w:line="129" w:lineRule="exact"/>
              <w:rPr>
                <w:sz w:val="20"/>
                <w:szCs w:val="20"/>
                <w:color w:val="auto"/>
              </w:rPr>
            </w:pPr>
            <w:r>
              <w:rPr>
                <w:rFonts w:ascii="Arial" w:cs="Arial" w:eastAsia="Arial" w:hAnsi="Arial"/>
                <w:sz w:val="14"/>
                <w:szCs w:val="14"/>
                <w:b w:val="1"/>
                <w:bCs w:val="1"/>
                <w:color w:val="auto"/>
                <w:w w:val="93"/>
              </w:rPr>
              <w:t>Thereafter</w:t>
            </w:r>
          </w:p>
        </w:tc>
        <w:tc>
          <w:tcPr>
            <w:tcW w:w="260" w:type="dxa"/>
            <w:vAlign w:val="bottom"/>
          </w:tcPr>
          <w:p>
            <w:pPr>
              <w:spacing w:after="0"/>
              <w:rPr>
                <w:sz w:val="11"/>
                <w:szCs w:val="11"/>
                <w:color w:val="auto"/>
              </w:rPr>
            </w:pPr>
          </w:p>
        </w:tc>
        <w:tc>
          <w:tcPr>
            <w:tcW w:w="200" w:type="dxa"/>
            <w:vAlign w:val="bottom"/>
            <w:tcBorders>
              <w:bottom w:val="single" w:sz="8" w:color="auto"/>
            </w:tcBorders>
          </w:tcPr>
          <w:p>
            <w:pPr>
              <w:spacing w:after="0"/>
              <w:rPr>
                <w:sz w:val="11"/>
                <w:szCs w:val="11"/>
                <w:color w:val="auto"/>
              </w:rPr>
            </w:pPr>
          </w:p>
        </w:tc>
        <w:tc>
          <w:tcPr>
            <w:tcW w:w="840" w:type="dxa"/>
            <w:vAlign w:val="bottom"/>
            <w:tcBorders>
              <w:bottom w:val="single" w:sz="8" w:color="auto"/>
            </w:tcBorders>
          </w:tcPr>
          <w:p>
            <w:pPr>
              <w:jc w:val="right"/>
              <w:ind w:right="273"/>
              <w:spacing w:after="0" w:line="129" w:lineRule="exact"/>
              <w:rPr>
                <w:sz w:val="20"/>
                <w:szCs w:val="20"/>
                <w:color w:val="auto"/>
              </w:rPr>
            </w:pPr>
            <w:r>
              <w:rPr>
                <w:rFonts w:ascii="Arial" w:cs="Arial" w:eastAsia="Arial" w:hAnsi="Arial"/>
                <w:sz w:val="14"/>
                <w:szCs w:val="14"/>
                <w:b w:val="1"/>
                <w:bCs w:val="1"/>
                <w:color w:val="auto"/>
              </w:rPr>
              <w:t>Total</w:t>
            </w:r>
          </w:p>
        </w:tc>
        <w:tc>
          <w:tcPr>
            <w:tcW w:w="260" w:type="dxa"/>
            <w:vAlign w:val="bottom"/>
          </w:tcPr>
          <w:p>
            <w:pPr>
              <w:spacing w:after="0"/>
              <w:rPr>
                <w:sz w:val="11"/>
                <w:szCs w:val="11"/>
                <w:color w:val="auto"/>
              </w:rPr>
            </w:pPr>
          </w:p>
        </w:tc>
      </w:tr>
      <w:tr>
        <w:trPr>
          <w:trHeight w:val="102"/>
        </w:trPr>
        <w:tc>
          <w:tcPr>
            <w:tcW w:w="3200" w:type="dxa"/>
            <w:vAlign w:val="bottom"/>
          </w:tcPr>
          <w:p>
            <w:pPr>
              <w:spacing w:after="0"/>
              <w:rPr>
                <w:sz w:val="8"/>
                <w:szCs w:val="8"/>
                <w:color w:val="auto"/>
              </w:rPr>
            </w:pPr>
          </w:p>
        </w:tc>
        <w:tc>
          <w:tcPr>
            <w:tcW w:w="420" w:type="dxa"/>
            <w:vAlign w:val="bottom"/>
          </w:tcPr>
          <w:p>
            <w:pPr>
              <w:spacing w:after="0"/>
              <w:rPr>
                <w:sz w:val="8"/>
                <w:szCs w:val="8"/>
                <w:color w:val="auto"/>
              </w:rPr>
            </w:pPr>
          </w:p>
        </w:tc>
        <w:tc>
          <w:tcPr>
            <w:tcW w:w="100" w:type="dxa"/>
            <w:vAlign w:val="bottom"/>
          </w:tcPr>
          <w:p>
            <w:pPr>
              <w:spacing w:after="0"/>
              <w:rPr>
                <w:sz w:val="8"/>
                <w:szCs w:val="8"/>
                <w:color w:val="auto"/>
              </w:rPr>
            </w:pPr>
          </w:p>
        </w:tc>
        <w:tc>
          <w:tcPr>
            <w:tcW w:w="840" w:type="dxa"/>
            <w:vAlign w:val="bottom"/>
          </w:tcPr>
          <w:p>
            <w:pPr>
              <w:jc w:val="center"/>
              <w:ind w:right="38"/>
              <w:spacing w:after="0" w:line="102" w:lineRule="exact"/>
              <w:rPr>
                <w:sz w:val="20"/>
                <w:szCs w:val="20"/>
                <w:color w:val="auto"/>
              </w:rPr>
            </w:pPr>
            <w:r>
              <w:rPr>
                <w:rFonts w:ascii="Arial" w:cs="Arial" w:eastAsia="Arial" w:hAnsi="Arial"/>
                <w:sz w:val="11"/>
                <w:szCs w:val="11"/>
                <w:b w:val="1"/>
                <w:bCs w:val="1"/>
                <w:color w:val="auto"/>
              </w:rPr>
              <w:t>(remaining</w:t>
            </w:r>
          </w:p>
        </w:tc>
        <w:tc>
          <w:tcPr>
            <w:tcW w:w="280" w:type="dxa"/>
            <w:vAlign w:val="bottom"/>
          </w:tcPr>
          <w:p>
            <w:pPr>
              <w:spacing w:after="0"/>
              <w:rPr>
                <w:sz w:val="8"/>
                <w:szCs w:val="8"/>
                <w:color w:val="auto"/>
              </w:rPr>
            </w:pPr>
          </w:p>
        </w:tc>
        <w:tc>
          <w:tcPr>
            <w:tcW w:w="16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80" w:type="dxa"/>
            <w:vAlign w:val="bottom"/>
          </w:tcPr>
          <w:p>
            <w:pPr>
              <w:spacing w:after="0"/>
              <w:rPr>
                <w:sz w:val="8"/>
                <w:szCs w:val="8"/>
                <w:color w:val="auto"/>
              </w:rPr>
            </w:pPr>
          </w:p>
        </w:tc>
        <w:tc>
          <w:tcPr>
            <w:tcW w:w="280" w:type="dxa"/>
            <w:vAlign w:val="bottom"/>
          </w:tcPr>
          <w:p>
            <w:pPr>
              <w:spacing w:after="0"/>
              <w:rPr>
                <w:sz w:val="8"/>
                <w:szCs w:val="8"/>
                <w:color w:val="auto"/>
              </w:rPr>
            </w:pPr>
          </w:p>
        </w:tc>
        <w:tc>
          <w:tcPr>
            <w:tcW w:w="160" w:type="dxa"/>
            <w:vAlign w:val="bottom"/>
          </w:tcPr>
          <w:p>
            <w:pPr>
              <w:spacing w:after="0"/>
              <w:rPr>
                <w:sz w:val="8"/>
                <w:szCs w:val="8"/>
                <w:color w:val="auto"/>
              </w:rPr>
            </w:pPr>
          </w:p>
        </w:tc>
        <w:tc>
          <w:tcPr>
            <w:tcW w:w="60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520" w:type="dxa"/>
            <w:vAlign w:val="bottom"/>
          </w:tcPr>
          <w:p>
            <w:pPr>
              <w:spacing w:after="0"/>
              <w:rPr>
                <w:sz w:val="8"/>
                <w:szCs w:val="8"/>
                <w:color w:val="auto"/>
              </w:rPr>
            </w:pPr>
          </w:p>
        </w:tc>
        <w:tc>
          <w:tcPr>
            <w:tcW w:w="260" w:type="dxa"/>
            <w:vAlign w:val="bottom"/>
          </w:tcPr>
          <w:p>
            <w:pPr>
              <w:spacing w:after="0"/>
              <w:rPr>
                <w:sz w:val="8"/>
                <w:szCs w:val="8"/>
                <w:color w:val="auto"/>
              </w:rPr>
            </w:pPr>
          </w:p>
        </w:tc>
        <w:tc>
          <w:tcPr>
            <w:tcW w:w="100" w:type="dxa"/>
            <w:vAlign w:val="bottom"/>
          </w:tcPr>
          <w:p>
            <w:pPr>
              <w:spacing w:after="0"/>
              <w:rPr>
                <w:sz w:val="8"/>
                <w:szCs w:val="8"/>
                <w:color w:val="auto"/>
              </w:rPr>
            </w:pPr>
          </w:p>
        </w:tc>
        <w:tc>
          <w:tcPr>
            <w:tcW w:w="7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0" w:type="dxa"/>
            <w:vAlign w:val="bottom"/>
          </w:tcPr>
          <w:p>
            <w:pPr>
              <w:spacing w:after="0"/>
              <w:rPr>
                <w:sz w:val="8"/>
                <w:szCs w:val="8"/>
                <w:color w:val="auto"/>
              </w:rPr>
            </w:pPr>
          </w:p>
        </w:tc>
        <w:tc>
          <w:tcPr>
            <w:tcW w:w="840" w:type="dxa"/>
            <w:vAlign w:val="bottom"/>
          </w:tcPr>
          <w:p>
            <w:pPr>
              <w:spacing w:after="0"/>
              <w:rPr>
                <w:sz w:val="8"/>
                <w:szCs w:val="8"/>
                <w:color w:val="auto"/>
              </w:rPr>
            </w:pPr>
          </w:p>
        </w:tc>
        <w:tc>
          <w:tcPr>
            <w:tcW w:w="260" w:type="dxa"/>
            <w:vAlign w:val="bottom"/>
          </w:tcPr>
          <w:p>
            <w:pPr>
              <w:spacing w:after="0"/>
              <w:rPr>
                <w:sz w:val="8"/>
                <w:szCs w:val="8"/>
                <w:color w:val="auto"/>
              </w:rPr>
            </w:pPr>
          </w:p>
        </w:tc>
      </w:tr>
      <w:tr>
        <w:trPr>
          <w:trHeight w:val="162"/>
        </w:trPr>
        <w:tc>
          <w:tcPr>
            <w:tcW w:w="32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2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9"/>
              </w:rPr>
              <w:t>six months)</w:t>
            </w: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60" w:type="dxa"/>
            <w:vAlign w:val="bottom"/>
          </w:tcPr>
          <w:p>
            <w:pPr>
              <w:spacing w:after="0"/>
              <w:rPr>
                <w:sz w:val="14"/>
                <w:szCs w:val="14"/>
                <w:color w:val="auto"/>
              </w:rPr>
            </w:pPr>
          </w:p>
        </w:tc>
      </w:tr>
      <w:tr>
        <w:trPr>
          <w:trHeight w:val="216"/>
        </w:trPr>
        <w:tc>
          <w:tcPr>
            <w:tcW w:w="3200" w:type="dxa"/>
            <w:vAlign w:val="bottom"/>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r>
      <w:tr>
        <w:trPr>
          <w:trHeight w:val="216"/>
        </w:trPr>
        <w:tc>
          <w:tcPr>
            <w:tcW w:w="3200" w:type="dxa"/>
            <w:vAlign w:val="bottom"/>
          </w:tcPr>
          <w:p>
            <w:pPr>
              <w:ind w:left="180"/>
              <w:spacing w:after="0"/>
              <w:rPr>
                <w:sz w:val="20"/>
                <w:szCs w:val="20"/>
                <w:color w:val="auto"/>
              </w:rPr>
            </w:pPr>
            <w:r>
              <w:rPr>
                <w:rFonts w:ascii="Arial" w:cs="Arial" w:eastAsia="Arial" w:hAnsi="Arial"/>
                <w:sz w:val="18"/>
                <w:szCs w:val="18"/>
                <w:color w:val="auto"/>
              </w:rPr>
              <w:t>Operating leases</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6,574</w:t>
            </w:r>
          </w:p>
        </w:tc>
        <w:tc>
          <w:tcPr>
            <w:tcW w:w="280" w:type="dxa"/>
            <w:vAlign w:val="bottom"/>
          </w:tcPr>
          <w:p>
            <w:pPr>
              <w:spacing w:after="0"/>
              <w:rPr>
                <w:sz w:val="18"/>
                <w:szCs w:val="18"/>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14,759</w:t>
            </w:r>
          </w:p>
        </w:tc>
        <w:tc>
          <w:tcPr>
            <w:tcW w:w="480" w:type="dxa"/>
            <w:vAlign w:val="bottom"/>
            <w:gridSpan w:val="2"/>
          </w:tcPr>
          <w:p>
            <w:pPr>
              <w:jc w:val="right"/>
              <w:ind w:right="1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11,613</w:t>
            </w:r>
          </w:p>
        </w:tc>
        <w:tc>
          <w:tcPr>
            <w:tcW w:w="280" w:type="dxa"/>
            <w:vAlign w:val="bottom"/>
          </w:tcPr>
          <w:p>
            <w:pPr>
              <w:spacing w:after="0"/>
              <w:rPr>
                <w:sz w:val="18"/>
                <w:szCs w:val="18"/>
                <w:color w:val="auto"/>
              </w:rPr>
            </w:pPr>
          </w:p>
        </w:tc>
        <w:tc>
          <w:tcPr>
            <w:tcW w:w="160" w:type="dxa"/>
            <w:vAlign w:val="bottom"/>
          </w:tcPr>
          <w:p>
            <w:pPr>
              <w:jc w:val="right"/>
              <w:ind w:right="5"/>
              <w:spacing w:after="0"/>
              <w:rPr>
                <w:sz w:val="20"/>
                <w:szCs w:val="20"/>
                <w:color w:val="auto"/>
              </w:rPr>
            </w:pPr>
            <w:r>
              <w:rPr>
                <w:rFonts w:ascii="Arial" w:cs="Arial" w:eastAsia="Arial" w:hAnsi="Arial"/>
                <w:sz w:val="15"/>
                <w:szCs w:val="15"/>
                <w:color w:val="auto"/>
                <w:w w:val="71"/>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8,162</w:t>
            </w:r>
          </w:p>
        </w:tc>
        <w:tc>
          <w:tcPr>
            <w:tcW w:w="26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4,114</w:t>
            </w:r>
          </w:p>
        </w:tc>
        <w:tc>
          <w:tcPr>
            <w:tcW w:w="26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13,156</w:t>
            </w:r>
          </w:p>
        </w:tc>
        <w:tc>
          <w:tcPr>
            <w:tcW w:w="460" w:type="dxa"/>
            <w:vAlign w:val="bottom"/>
            <w:gridSpan w:val="2"/>
          </w:tcPr>
          <w:p>
            <w:pPr>
              <w:jc w:val="right"/>
              <w:ind w:right="10"/>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58,378</w:t>
            </w:r>
          </w:p>
        </w:tc>
        <w:tc>
          <w:tcPr>
            <w:tcW w:w="260" w:type="dxa"/>
            <w:vAlign w:val="bottom"/>
          </w:tcPr>
          <w:p>
            <w:pPr>
              <w:spacing w:after="0"/>
              <w:rPr>
                <w:sz w:val="18"/>
                <w:szCs w:val="18"/>
                <w:color w:val="auto"/>
              </w:rPr>
            </w:pPr>
          </w:p>
        </w:tc>
      </w:tr>
      <w:tr>
        <w:trPr>
          <w:trHeight w:val="216"/>
        </w:trPr>
        <w:tc>
          <w:tcPr>
            <w:tcW w:w="32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lease obligations</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19,984</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40,712</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20,649</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12,464</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3,854</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97,663</w:t>
            </w:r>
          </w:p>
        </w:tc>
        <w:tc>
          <w:tcPr>
            <w:tcW w:w="260" w:type="dxa"/>
            <w:vAlign w:val="bottom"/>
            <w:shd w:val="clear" w:color="auto" w:fill="CCEEFF"/>
          </w:tcPr>
          <w:p>
            <w:pPr>
              <w:spacing w:after="0"/>
              <w:rPr>
                <w:sz w:val="18"/>
                <w:szCs w:val="18"/>
                <w:color w:val="auto"/>
              </w:rPr>
            </w:pPr>
          </w:p>
        </w:tc>
      </w:tr>
      <w:tr>
        <w:trPr>
          <w:trHeight w:val="216"/>
        </w:trPr>
        <w:tc>
          <w:tcPr>
            <w:tcW w:w="3200" w:type="dxa"/>
            <w:vAlign w:val="bottom"/>
          </w:tcPr>
          <w:p>
            <w:pPr>
              <w:ind w:left="180"/>
              <w:spacing w:after="0"/>
              <w:rPr>
                <w:sz w:val="20"/>
                <w:szCs w:val="20"/>
                <w:color w:val="auto"/>
              </w:rPr>
            </w:pPr>
            <w:r>
              <w:rPr>
                <w:rFonts w:ascii="Arial" w:cs="Arial" w:eastAsia="Arial" w:hAnsi="Arial"/>
                <w:sz w:val="18"/>
                <w:szCs w:val="18"/>
                <w:color w:val="auto"/>
              </w:rPr>
              <w:t>Purchase commitments to foundries</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422,453</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422,453</w:t>
            </w:r>
          </w:p>
        </w:tc>
        <w:tc>
          <w:tcPr>
            <w:tcW w:w="260" w:type="dxa"/>
            <w:vAlign w:val="bottom"/>
          </w:tcPr>
          <w:p>
            <w:pPr>
              <w:spacing w:after="0"/>
              <w:rPr>
                <w:sz w:val="18"/>
                <w:szCs w:val="18"/>
                <w:color w:val="auto"/>
              </w:rPr>
            </w:pPr>
          </w:p>
        </w:tc>
      </w:tr>
      <w:tr>
        <w:trPr>
          <w:trHeight w:val="216"/>
        </w:trPr>
        <w:tc>
          <w:tcPr>
            <w:tcW w:w="32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purchase obligations</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83,099</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83,099</w:t>
            </w:r>
          </w:p>
        </w:tc>
        <w:tc>
          <w:tcPr>
            <w:tcW w:w="260" w:type="dxa"/>
            <w:vAlign w:val="bottom"/>
            <w:shd w:val="clear" w:color="auto" w:fill="CCEEFF"/>
          </w:tcPr>
          <w:p>
            <w:pPr>
              <w:spacing w:after="0"/>
              <w:rPr>
                <w:sz w:val="18"/>
                <w:szCs w:val="18"/>
                <w:color w:val="auto"/>
              </w:rPr>
            </w:pPr>
          </w:p>
        </w:tc>
      </w:tr>
      <w:tr>
        <w:trPr>
          <w:trHeight w:val="216"/>
        </w:trPr>
        <w:tc>
          <w:tcPr>
            <w:tcW w:w="3200" w:type="dxa"/>
            <w:vAlign w:val="bottom"/>
          </w:tcPr>
          <w:p>
            <w:pPr>
              <w:ind w:left="180"/>
              <w:spacing w:after="0"/>
              <w:rPr>
                <w:sz w:val="20"/>
                <w:szCs w:val="20"/>
                <w:color w:val="auto"/>
              </w:rPr>
            </w:pPr>
            <w:r>
              <w:rPr>
                <w:rFonts w:ascii="Arial" w:cs="Arial" w:eastAsia="Arial" w:hAnsi="Arial"/>
                <w:sz w:val="18"/>
                <w:szCs w:val="18"/>
                <w:color w:val="auto"/>
              </w:rPr>
              <w:t>Long-term debt obligations</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4,427</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4,000</w:t>
            </w: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390,750</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399,177</w:t>
            </w:r>
          </w:p>
        </w:tc>
        <w:tc>
          <w:tcPr>
            <w:tcW w:w="260" w:type="dxa"/>
            <w:vAlign w:val="bottom"/>
          </w:tcPr>
          <w:p>
            <w:pPr>
              <w:spacing w:after="0"/>
              <w:rPr>
                <w:sz w:val="18"/>
                <w:szCs w:val="18"/>
                <w:color w:val="auto"/>
              </w:rPr>
            </w:pPr>
          </w:p>
        </w:tc>
      </w:tr>
      <w:tr>
        <w:trPr>
          <w:trHeight w:val="210"/>
        </w:trPr>
        <w:tc>
          <w:tcPr>
            <w:tcW w:w="32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contractual cash obligations</w:t>
            </w:r>
          </w:p>
        </w:tc>
        <w:tc>
          <w:tcPr>
            <w:tcW w:w="4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536,537</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59,471</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423,012</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20,626</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7,968</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13,156</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1,060,770</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32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r>
    </w:tbl>
    <w:p>
      <w:pPr>
        <w:spacing w:after="0" w:line="350" w:lineRule="exact"/>
        <w:rPr>
          <w:sz w:val="20"/>
          <w:szCs w:val="20"/>
          <w:color w:val="auto"/>
        </w:rPr>
      </w:pPr>
    </w:p>
    <w:p>
      <w:pPr>
        <w:ind w:right="140" w:firstLine="324"/>
        <w:spacing w:after="0" w:line="297" w:lineRule="auto"/>
        <w:rPr>
          <w:sz w:val="20"/>
          <w:szCs w:val="20"/>
          <w:color w:val="auto"/>
        </w:rPr>
      </w:pPr>
      <w:r>
        <w:rPr>
          <w:rFonts w:ascii="Arial" w:cs="Arial" w:eastAsia="Arial" w:hAnsi="Arial"/>
          <w:sz w:val="16"/>
          <w:szCs w:val="16"/>
          <w:color w:val="auto"/>
        </w:rPr>
        <w:t>As discussed in Note 9 – Income Taxes, effective January 28, 2007, we adopted the provisions of FIN 48. The adoption of FIN 48 did not result in any reclassifications of uncertain income tax liabilities and did not have a cumulative impact to retained earnings. The cumulative uncertain income tax position balance as of July 28, 2007 is $128.6 million which has been accrued for in the current and prior year tax provisions. Each year this accrued balance is adjusted for income tax statutes of the taxing jurisdictions within which we conduct business. We are unable to make a reasonably reliable estimate as to when cash settlement with taxing authorities may occur for the recorded liabilities, therefore our FIN 48 liabilities are not included in the above table.</w:t>
      </w:r>
    </w:p>
    <w:p>
      <w:pPr>
        <w:spacing w:after="0" w:line="3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i w:val="1"/>
          <w:iCs w:val="1"/>
          <w:color w:val="auto"/>
        </w:rPr>
        <w:t xml:space="preserve">Stock option review related impacts: </w:t>
      </w:r>
      <w:r>
        <w:rPr>
          <w:rFonts w:ascii="Arial" w:cs="Arial" w:eastAsia="Arial" w:hAnsi="Arial"/>
          <w:sz w:val="18"/>
          <w:szCs w:val="18"/>
          <w:color w:val="auto"/>
        </w:rPr>
        <w:t>The additional payable for payroll taxes associated with affected stock option grants of approximately $10.6 million,</w:t>
      </w:r>
      <w:r>
        <w:rPr>
          <w:rFonts w:ascii="Arial" w:cs="Arial" w:eastAsia="Arial" w:hAnsi="Arial"/>
          <w:sz w:val="18"/>
          <w:szCs w:val="18"/>
          <w:i w:val="1"/>
          <w:iCs w:val="1"/>
          <w:color w:val="auto"/>
        </w:rPr>
        <w:t xml:space="preserve"> </w:t>
      </w:r>
      <w:r>
        <w:rPr>
          <w:rFonts w:ascii="Arial" w:cs="Arial" w:eastAsia="Arial" w:hAnsi="Arial"/>
          <w:sz w:val="18"/>
          <w:szCs w:val="18"/>
          <w:color w:val="auto"/>
        </w:rPr>
        <w:t>additional Section 409A expenses for the adverse tax consequences of the re-measure options exercised during calendar year 2006 of approximately $24.2 million, and Section 162(m) liabilities of $26.5 million for cumulative period from fiscal 2001 through 2007, represents potential cash outflow totaling $61.3 million and was accrued during the restated fiscal years 2001 through 2006 as well as in fiscal year 2007. Through July 28, 2007, $20.3 million has been paid on account of Section 409A and employment taxes on gross up payments. The remaining balances appear on the balance sheet in current liabilities. The liabilities recorded in connection with the stock option review are not included in the above table because it is not feasible to reasonably estimate when the liabilities will be paid.</w:t>
      </w:r>
    </w:p>
    <w:p>
      <w:pPr>
        <w:spacing w:after="0" w:line="189"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The IRS has provided taxpayers with the following two ways of correcting unexercised discounted stock options: 1) setting a fixed exercise date; and 2) increasing the exercise price of the option up to the fair market price on the date of grant. We are actively evaluating these options. The discount associated with unexercised stock options outstanding as of January 27, 2007 amounted to approximately $51.7 million. As of July 28, 2007, we have not determined the tax consequences, if any associated with these potential future remedies.</w:t>
      </w:r>
    </w:p>
    <w:p>
      <w:pPr>
        <w:spacing w:after="0" w:line="187" w:lineRule="exact"/>
        <w:rPr>
          <w:sz w:val="20"/>
          <w:szCs w:val="20"/>
          <w:color w:val="auto"/>
        </w:rPr>
      </w:pPr>
    </w:p>
    <w:p>
      <w:pPr>
        <w:ind w:right="260" w:firstLine="324"/>
        <w:spacing w:after="0" w:line="255" w:lineRule="auto"/>
        <w:rPr>
          <w:sz w:val="20"/>
          <w:szCs w:val="20"/>
          <w:color w:val="auto"/>
        </w:rPr>
      </w:pPr>
      <w:r>
        <w:rPr>
          <w:rFonts w:ascii="Arial" w:cs="Arial" w:eastAsia="Arial" w:hAnsi="Arial"/>
          <w:sz w:val="18"/>
          <w:szCs w:val="18"/>
          <w:i w:val="1"/>
          <w:iCs w:val="1"/>
          <w:color w:val="auto"/>
        </w:rPr>
        <w:t xml:space="preserve">Prospective capital needs: </w:t>
      </w:r>
      <w:r>
        <w:rPr>
          <w:rFonts w:ascii="Arial" w:cs="Arial" w:eastAsia="Arial" w:hAnsi="Arial"/>
          <w:sz w:val="18"/>
          <w:szCs w:val="18"/>
          <w:color w:val="auto"/>
        </w:rPr>
        <w:t>We believe that our existing cash, cash equivalents and marketable securities, together with cash generated from operations</w:t>
      </w:r>
      <w:r>
        <w:rPr>
          <w:rFonts w:ascii="Arial" w:cs="Arial" w:eastAsia="Arial" w:hAnsi="Arial"/>
          <w:sz w:val="18"/>
          <w:szCs w:val="18"/>
          <w:i w:val="1"/>
          <w:iCs w:val="1"/>
          <w:color w:val="auto"/>
        </w:rPr>
        <w:t xml:space="preserve"> </w:t>
      </w:r>
      <w:r>
        <w:rPr>
          <w:rFonts w:ascii="Arial" w:cs="Arial" w:eastAsia="Arial" w:hAnsi="Arial"/>
          <w:sz w:val="18"/>
          <w:szCs w:val="18"/>
          <w:color w:val="auto"/>
        </w:rPr>
        <w:t>and from exercise of employee stock options will be sufficient to cover our working capital needs, capital expenditures, investment requirements and commitments for at least the next 12 months. In the event that we may need or desire to raise additional funds to prepay our term loan obligation or consummate acquisitions of other businesses, assets, products or technologies, we could raise such funds by electing to sell equity or debt securities to the public or to selected investors, or by borrowing money from financial institutions. Our existing credit agreement however limits our ability to borrow additional funds. Certain covenants would have to be met.</w:t>
      </w:r>
    </w:p>
    <w:p>
      <w:pPr>
        <w:sectPr>
          <w:pgSz w:w="11900" w:h="16838" w:orient="portrait"/>
          <w:cols w:equalWidth="0" w:num="1">
            <w:col w:w="11420"/>
          </w:cols>
          <w:pgMar w:left="240" w:top="368" w:right="239" w:bottom="108" w:gutter="0" w:footer="0" w:header="0"/>
        </w:sectPr>
      </w:pPr>
    </w:p>
    <w:bookmarkStart w:id="26" w:name="page27"/>
    <w:bookmarkEnd w:id="26"/>
    <w:p>
      <w:pPr>
        <w:spacing w:after="0" w:line="73" w:lineRule="exact"/>
        <w:rPr>
          <w:sz w:val="20"/>
          <w:szCs w:val="20"/>
          <w:color w:val="auto"/>
        </w:rPr>
      </w:pPr>
    </w:p>
    <w:p>
      <w:pPr>
        <w:ind w:right="20" w:firstLine="324"/>
        <w:spacing w:after="0" w:line="291" w:lineRule="auto"/>
        <w:rPr>
          <w:sz w:val="20"/>
          <w:szCs w:val="20"/>
          <w:color w:val="auto"/>
        </w:rPr>
      </w:pPr>
      <w:r>
        <w:rPr>
          <w:rFonts w:ascii="Arial" w:cs="Arial" w:eastAsia="Arial" w:hAnsi="Arial"/>
          <w:sz w:val="16"/>
          <w:szCs w:val="16"/>
          <w:color w:val="auto"/>
        </w:rPr>
        <w:t>If the SEC disagrees with the manner in which we have accounted for and reported, or not reported, the financial impact of past stock option grants, there could be further delays in filing subsequent SEC reports or other actions that might result in the delisting of our common stock from the NASDAQ Global Select Market. If we are unable to maintain compliance with the conditions for continued listing required by NASDAQ, then our common shares may subject to delisting from the NASDAQ Global Select Market. Additionally, we have not been in full compliance with NASDAQ Marketplace Rule 4310 (c)(14) which requires us to timely file with the SEC all filings required by the Securities Exchange Act of 1934, as amended. If our shares are delisted from the NASDAQ Global Select Market, they may not be eligible to trade on any national securities exchange or the over-the-counter market. If our common shares are no longer traded through a market system, the liquidity of our common shares may be greatly reduced, which could negatively affect its price.</w:t>
      </w:r>
    </w:p>
    <w:p>
      <w:pPr>
        <w:spacing w:after="0" w:line="167"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Because one of the eligibility requirements for use of a Form S-3 filing is that an issuer must have timely filed all reports required to be filed with the SEC during the preceding twelve calendar months, we currently cannot register securities on Form S-3 and would be required register these securities using a Form S-1 registration statement, which can be more complex, time consuming and expensive.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stock.</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As of July 28, 2007, we did not have any material off-balance-sheet arrangements, as defined in Item 303(a)(4)(ii) of SEC Regulation S-K.</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29"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In June 2006, the FASB ratified the Emerging Issues Task Force (EITF) consensus on EITF Issue No. 06-2, “Accounting for Sabbatical Leave and Other Similar Benefits Pursuant to FASB Statement No. 43” (EITF 06-2”). EITF 06-2 requires companies to accrue the cost of such compensated absences over the require service period. We currently accrue the cost of compensated absences for sabbatical programs when the eligible employee complete the requisite service period. We are required to apply the provision of EITF 06-2 at the beginning of fiscal 2008. EITF 06-02 allows for adoption through retrospective application to all prior periods or through a cumulative effect adjustment to retained earnings if it is impracticable to determine the period specific effects of the change on prior periods presented. We adopted EITF 06-2 in the first quarter of fiscal 2008. The adoption did not have a material impact on our financial position and results of operations.</w:t>
      </w:r>
    </w:p>
    <w:p>
      <w:pPr>
        <w:spacing w:after="0" w:line="189" w:lineRule="exact"/>
        <w:rPr>
          <w:sz w:val="20"/>
          <w:szCs w:val="20"/>
          <w:color w:val="auto"/>
        </w:rPr>
      </w:pPr>
    </w:p>
    <w:p>
      <w:pPr>
        <w:ind w:right="540" w:firstLine="324"/>
        <w:spacing w:after="0" w:line="277" w:lineRule="auto"/>
        <w:rPr>
          <w:sz w:val="20"/>
          <w:szCs w:val="20"/>
          <w:color w:val="auto"/>
        </w:rPr>
      </w:pPr>
      <w:r>
        <w:rPr>
          <w:rFonts w:ascii="Arial" w:cs="Arial" w:eastAsia="Arial" w:hAnsi="Arial"/>
          <w:sz w:val="18"/>
          <w:szCs w:val="18"/>
          <w:color w:val="auto"/>
        </w:rPr>
        <w:t>In July 2006, the FASB issued FASB Interpretation No. 48, “Accounting for Uncertainty in Income Taxes — an Interpretation of FASB Statement No. 109” (FIN 48), which clarifies the accounting for uncertainty in income tax positions.</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This Interpretation requires that we recognize in our financial statements the impact of an income tax position if that position is more likely than not of being sustained on audit, based on the technical merits of the position. The provisions of FIN 48 are effective as of the beginning of fiscal 2008, with the cumulative effect, if any, of the change in accounting principle recorded as an adjustment to our opening retained earnings. On May 2, 2007, the FASB issued FASB Staff Position No. FIN 48-1 “Definition of Settlement in FASB Interpretation No. 48-1” (“FSP FIN 48-1”). FSP FIN 48-1 provides guidance on how an entity should determine whether a tax position is effectively settled for the purpose of recognizing previously unrecognized tax benefits. Effective January 28, 2007, we adopted FIN 48. See Note 9 – Income Taxes for further details.</w:t>
      </w:r>
    </w:p>
    <w:p>
      <w:pPr>
        <w:spacing w:after="0" w:line="193" w:lineRule="exact"/>
        <w:rPr>
          <w:sz w:val="20"/>
          <w:szCs w:val="20"/>
          <w:color w:val="auto"/>
        </w:rPr>
      </w:pPr>
    </w:p>
    <w:p>
      <w:pPr>
        <w:ind w:right="160" w:firstLine="324"/>
        <w:spacing w:after="0" w:line="259" w:lineRule="auto"/>
        <w:rPr>
          <w:sz w:val="20"/>
          <w:szCs w:val="20"/>
          <w:color w:val="auto"/>
        </w:rPr>
      </w:pPr>
      <w:r>
        <w:rPr>
          <w:rFonts w:ascii="Arial" w:cs="Arial" w:eastAsia="Arial" w:hAnsi="Arial"/>
          <w:sz w:val="18"/>
          <w:szCs w:val="18"/>
          <w:color w:val="auto"/>
        </w:rPr>
        <w:t>In September 2006, the FASB issued Statement of Financial Accounting Standards No. 157 (“SFAS 157”), Fair Value Measurements. The statement defines fair value, establishes a framework for measuring fair value in generally accepted accounting principles, and expands disclosures about fair value measurements. SFAS 157 is effective for financial statements issued for fiscal periods beginning after November 15, 2007. We are currently evaluating the impact of SFAS 157 on our consolidated financial statements.</w:t>
      </w:r>
    </w:p>
    <w:p>
      <w:pPr>
        <w:spacing w:after="0" w:line="187" w:lineRule="exact"/>
        <w:rPr>
          <w:sz w:val="20"/>
          <w:szCs w:val="20"/>
          <w:color w:val="auto"/>
        </w:rPr>
      </w:pPr>
    </w:p>
    <w:p>
      <w:pPr>
        <w:ind w:right="60" w:firstLine="324"/>
        <w:spacing w:after="0" w:line="257" w:lineRule="auto"/>
        <w:rPr>
          <w:sz w:val="20"/>
          <w:szCs w:val="20"/>
          <w:color w:val="auto"/>
        </w:rPr>
      </w:pPr>
      <w:r>
        <w:rPr>
          <w:rFonts w:ascii="Arial" w:cs="Arial" w:eastAsia="Arial" w:hAnsi="Arial"/>
          <w:sz w:val="18"/>
          <w:szCs w:val="18"/>
          <w:color w:val="auto"/>
        </w:rPr>
        <w:t>In February 2007, the FASB issued Statement of Financial Accounting Standards No. 159, “The Fair Value Option for Financial Assets and Financial Liabilities — Including an Amendment of FASB Statement No. 115” which is effective for fiscal years beginning after November 15, 2007. This statement expands the standards under SFAS No. 157 which permits an entity to choose to measure many financial instruments and certain other items at fair value at specified election dates. Subsequent unrealized gains and losses on items for which the fair value option has been elected will be reported in earnings. We are currently evaluating the potential impact of this statement.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229" w:lineRule="exact"/>
        <w:rPr>
          <w:sz w:val="20"/>
          <w:szCs w:val="20"/>
          <w:color w:val="auto"/>
        </w:rPr>
      </w:pPr>
    </w:p>
    <w:p>
      <w:pPr>
        <w:ind w:right="100" w:firstLine="324"/>
        <w:spacing w:after="0" w:line="255" w:lineRule="auto"/>
        <w:rPr>
          <w:sz w:val="20"/>
          <w:szCs w:val="20"/>
          <w:color w:val="auto"/>
        </w:rPr>
      </w:pPr>
      <w:r>
        <w:rPr>
          <w:rFonts w:ascii="Arial" w:cs="Arial" w:eastAsia="Arial" w:hAnsi="Arial"/>
          <w:sz w:val="18"/>
          <w:szCs w:val="18"/>
          <w:color w:val="auto"/>
        </w:rPr>
        <w:t>During second quarters of fiscal 2008 and 2007, we incurred approximately $21,000 and $0.1 million, respectively of expenses from an unrelated third-party entity, ACM Aviation, Inc. (“ACM”) for charter aircraft services provided to MSI for Estopia Air LLC (“Estopia Air”). During the first six months of fiscal 2008 and 2007, we incurred approximately $73,000 and $0.5 million respectively of expenses from an unrelated third party entity, ACM for charter aircraft services provided to MSI. The aircraft provided by ACM to us for such services is owned by Estopia Air. Our President and Chief Executive Officer, Dr. Sehat Sutardja and Director of Strategic Marketing and Business Development, Weili Dai, through their control and ownership in Estopia Air, own the aircraft provided by ACM. Dr. Sutardja and Weili Dai are husband and wife. Expenses were incurred for business travel use of the aircraft at a cost determined to be at fair market value.</w:t>
      </w:r>
    </w:p>
    <w:p>
      <w:pPr>
        <w:spacing w:after="0" w:line="189" w:lineRule="exact"/>
        <w:rPr>
          <w:sz w:val="20"/>
          <w:szCs w:val="20"/>
          <w:color w:val="auto"/>
        </w:rPr>
      </w:pPr>
    </w:p>
    <w:p>
      <w:pPr>
        <w:ind w:right="20" w:firstLine="324"/>
        <w:spacing w:after="0" w:line="291" w:lineRule="auto"/>
        <w:rPr>
          <w:sz w:val="20"/>
          <w:szCs w:val="20"/>
          <w:color w:val="auto"/>
        </w:rPr>
      </w:pPr>
      <w:r>
        <w:rPr>
          <w:rFonts w:ascii="Arial" w:cs="Arial" w:eastAsia="Arial" w:hAnsi="Arial"/>
          <w:sz w:val="16"/>
          <w:szCs w:val="16"/>
          <w:color w:val="auto"/>
        </w:rPr>
        <w:t>On August 19, 2005, through our subsidiaries MSI and Marvell International Ltd., we entered into a License and Manufacturing Services Agreement (the “License Agreement”) with C2 Microsystems, Inc. (“C2Micro”). The License Agreement has substantially similar terms as other license and manufacturing services agreements with other third parties. We recognized $9,000 and $93,000 of revenue under the License Agreement with C2Micro during the second quarters of fiscal 2008 and 2007, respectively. We recognized $39,000 and $0.3 million of revenue under the License Agreement with C2Micro during the first six months of fiscal 2008 and 2007, respectively. As of July 28, 2007, we had a receivable of $9,000 from C2Micro. Sehat Sutardja, Ph.D., and Weili Dai, through their ownership and control of Estopia LLP, are indirect shareholders of C2Micro. Herbert Chang, through his ownership and control of C-Squared venture entities, is also an indirect shareholder of C2Micro. Pantas Sutardja, Ph.D., our Chief Technology Officer, is also a shareholder of C2Micro.</w:t>
      </w:r>
    </w:p>
    <w:p>
      <w:pPr>
        <w:spacing w:after="0" w:line="167" w:lineRule="exact"/>
        <w:rPr>
          <w:sz w:val="20"/>
          <w:szCs w:val="20"/>
          <w:color w:val="auto"/>
        </w:rPr>
      </w:pPr>
    </w:p>
    <w:p>
      <w:pPr>
        <w:ind w:right="200" w:firstLine="324"/>
        <w:spacing w:after="0" w:line="312" w:lineRule="auto"/>
        <w:rPr>
          <w:sz w:val="20"/>
          <w:szCs w:val="20"/>
          <w:color w:val="auto"/>
        </w:rPr>
      </w:pPr>
      <w:r>
        <w:rPr>
          <w:rFonts w:ascii="Arial" w:cs="Arial" w:eastAsia="Arial" w:hAnsi="Arial"/>
          <w:sz w:val="16"/>
          <w:szCs w:val="16"/>
          <w:color w:val="auto"/>
        </w:rPr>
        <w:t>On January 8, 2007, through our subsidiary Marvell International Ltd., we entered into a Library/IP/Software Evaluation License Agreement (the “License Agreement”) with Verisilicon Holdings Co., Ltd. (“Verisilicon”). The License Agreement has no consideration. We also incurred $119,000 and $191,000 of royalty expense from Versilicon under a core license agreement assumed from our acquisition of the UTStarcom Business during the three and</w:t>
      </w:r>
    </w:p>
    <w:p>
      <w:pPr>
        <w:sectPr>
          <w:pgSz w:w="11900" w:h="16912" w:orient="portrait"/>
          <w:cols w:equalWidth="0" w:num="1">
            <w:col w:w="11400"/>
          </w:cols>
          <w:pgMar w:left="240" w:top="125" w:right="259" w:bottom="0" w:gutter="0" w:footer="0" w:header="0"/>
        </w:sectPr>
      </w:pPr>
    </w:p>
    <w:bookmarkStart w:id="27" w:name="page28"/>
    <w:bookmarkEnd w:id="27"/>
    <w:p>
      <w:pPr>
        <w:ind w:right="900"/>
        <w:spacing w:after="0" w:line="277" w:lineRule="auto"/>
        <w:rPr>
          <w:sz w:val="20"/>
          <w:szCs w:val="20"/>
          <w:color w:val="auto"/>
        </w:rPr>
      </w:pPr>
      <w:r>
        <w:rPr>
          <w:rFonts w:ascii="Arial" w:cs="Arial" w:eastAsia="Arial" w:hAnsi="Arial"/>
          <w:sz w:val="18"/>
          <w:szCs w:val="18"/>
          <w:color w:val="auto"/>
        </w:rPr>
        <w:t>six months ended July 28, 2007. Sehat Sutardja, Ph.D. and Weili Dai, through their ownership and control of Estopia, are indirect shareholders of Verisilicon. Pantas Sutardja, Ph.D., our Chief Technology Officer, is also a shareholder of Verisilicon.</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7"/>
          <w:szCs w:val="17"/>
          <w:b w:val="1"/>
          <w:bCs w:val="1"/>
          <w:i w:val="1"/>
          <w:iCs w:val="1"/>
          <w:color w:val="auto"/>
        </w:rPr>
        <w:t>Quantitative and Qualitative Disclosures About Market Risk</w:t>
      </w:r>
    </w:p>
    <w:p>
      <w:pPr>
        <w:spacing w:after="0" w:line="229" w:lineRule="exact"/>
        <w:rPr>
          <w:sz w:val="20"/>
          <w:szCs w:val="20"/>
          <w:color w:val="auto"/>
        </w:rPr>
      </w:pPr>
    </w:p>
    <w:p>
      <w:pPr>
        <w:ind w:right="200"/>
        <w:spacing w:after="0" w:line="287" w:lineRule="auto"/>
        <w:rPr>
          <w:sz w:val="20"/>
          <w:szCs w:val="20"/>
          <w:color w:val="auto"/>
        </w:rPr>
      </w:pPr>
      <w:r>
        <w:rPr>
          <w:rFonts w:ascii="Arial" w:cs="Arial" w:eastAsia="Arial" w:hAnsi="Arial"/>
          <w:sz w:val="16"/>
          <w:szCs w:val="16"/>
          <w:i w:val="1"/>
          <w:iCs w:val="1"/>
          <w:color w:val="auto"/>
        </w:rPr>
        <w:t>I</w:t>
      </w:r>
      <w:r>
        <w:rPr>
          <w:rFonts w:ascii="Arial" w:cs="Arial" w:eastAsia="Arial" w:hAnsi="Arial"/>
          <w:sz w:val="15"/>
          <w:szCs w:val="15"/>
          <w:i w:val="1"/>
          <w:iCs w:val="1"/>
          <w:color w:val="auto"/>
        </w:rPr>
        <w:t>nterest Rate Risk.</w:t>
      </w:r>
      <w:r>
        <w:rPr>
          <w:rFonts w:ascii="Arial" w:cs="Arial" w:eastAsia="Arial" w:hAnsi="Arial"/>
          <w:sz w:val="16"/>
          <w:szCs w:val="16"/>
          <w:i w:val="1"/>
          <w:iCs w:val="1"/>
          <w:color w:val="auto"/>
        </w:rPr>
        <w:t xml:space="preserve"> </w:t>
      </w:r>
      <w:r>
        <w:rPr>
          <w:rFonts w:ascii="Arial" w:cs="Arial" w:eastAsia="Arial" w:hAnsi="Arial"/>
          <w:sz w:val="16"/>
          <w:szCs w:val="16"/>
          <w:color w:val="auto"/>
        </w:rPr>
        <w:t>The primary objective of our investment activities is to preserve principal while at the same time maximize the income we receive from</w:t>
      </w:r>
      <w:r>
        <w:rPr>
          <w:rFonts w:ascii="Arial" w:cs="Arial" w:eastAsia="Arial" w:hAnsi="Arial"/>
          <w:sz w:val="16"/>
          <w:szCs w:val="16"/>
          <w:i w:val="1"/>
          <w:iCs w:val="1"/>
          <w:color w:val="auto"/>
        </w:rPr>
        <w:t xml:space="preserve"> </w:t>
      </w:r>
      <w:r>
        <w:rPr>
          <w:rFonts w:ascii="Arial" w:cs="Arial" w:eastAsia="Arial" w:hAnsi="Arial"/>
          <w:sz w:val="16"/>
          <w:szCs w:val="16"/>
          <w:color w:val="auto"/>
        </w:rPr>
        <w:t>our investments without significantly increasing risk. Some of the securities in which we have invested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July 28, 2007 (in thousands). This table does not include money market funds because those funds are not subject to market risk. Although auction rate securities generally have legally stated maturities in excess of one year, auction rate securities are presented below with an expected fiscal year maturity date in 2008 because such securities are structured with short-term interest reset dates of generally less than 90 days at which time we can sell or continue to hold the securities at par.</w:t>
      </w:r>
    </w:p>
    <w:p>
      <w:pPr>
        <w:spacing w:after="0" w:line="14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90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2660" w:type="dxa"/>
            <w:vAlign w:val="bottom"/>
            <w:tcBorders>
              <w:bottom w:val="single" w:sz="8" w:color="auto"/>
            </w:tcBorders>
            <w:gridSpan w:val="6"/>
          </w:tcPr>
          <w:p>
            <w:pPr>
              <w:ind w:left="280"/>
              <w:spacing w:after="0"/>
              <w:rPr>
                <w:sz w:val="20"/>
                <w:szCs w:val="20"/>
                <w:color w:val="auto"/>
              </w:rPr>
            </w:pPr>
            <w:r>
              <w:rPr>
                <w:rFonts w:ascii="Arial" w:cs="Arial" w:eastAsia="Arial" w:hAnsi="Arial"/>
                <w:sz w:val="14"/>
                <w:szCs w:val="14"/>
                <w:b w:val="1"/>
                <w:bCs w:val="1"/>
                <w:color w:val="auto"/>
              </w:rPr>
              <w:t>Expected Fiscal Year Maturity Date</w:t>
            </w:r>
          </w:p>
        </w:tc>
        <w:tc>
          <w:tcPr>
            <w:tcW w:w="2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r>
      <w:tr>
        <w:trPr>
          <w:trHeight w:val="129"/>
        </w:trPr>
        <w:tc>
          <w:tcPr>
            <w:tcW w:w="39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60" w:type="dxa"/>
            <w:vAlign w:val="bottom"/>
          </w:tcPr>
          <w:p>
            <w:pPr>
              <w:jc w:val="right"/>
              <w:ind w:right="194"/>
              <w:spacing w:after="0" w:line="129" w:lineRule="exact"/>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40" w:type="dxa"/>
            <w:vAlign w:val="bottom"/>
          </w:tcPr>
          <w:p>
            <w:pPr>
              <w:jc w:val="right"/>
              <w:ind w:right="194"/>
              <w:spacing w:after="0" w:line="129" w:lineRule="exact"/>
              <w:rPr>
                <w:sz w:val="20"/>
                <w:szCs w:val="20"/>
                <w:color w:val="auto"/>
              </w:rPr>
            </w:pPr>
            <w:r>
              <w:rPr>
                <w:rFonts w:ascii="Arial" w:cs="Arial" w:eastAsia="Arial" w:hAnsi="Arial"/>
                <w:sz w:val="14"/>
                <w:szCs w:val="14"/>
                <w:b w:val="1"/>
                <w:bCs w:val="1"/>
                <w:color w:val="auto"/>
              </w:rPr>
              <w:t>2009</w:t>
            </w:r>
          </w:p>
        </w:tc>
        <w:tc>
          <w:tcPr>
            <w:tcW w:w="2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80" w:type="dxa"/>
            <w:vAlign w:val="bottom"/>
          </w:tcPr>
          <w:p>
            <w:pPr>
              <w:ind w:left="100"/>
              <w:spacing w:after="0" w:line="129" w:lineRule="exact"/>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60" w:type="dxa"/>
            <w:vAlign w:val="bottom"/>
          </w:tcPr>
          <w:p>
            <w:pPr>
              <w:ind w:left="100"/>
              <w:spacing w:after="0" w:line="129" w:lineRule="exact"/>
              <w:rPr>
                <w:sz w:val="20"/>
                <w:szCs w:val="20"/>
                <w:color w:val="auto"/>
              </w:rPr>
            </w:pPr>
            <w:r>
              <w:rPr>
                <w:rFonts w:ascii="Arial" w:cs="Arial" w:eastAsia="Arial" w:hAnsi="Arial"/>
                <w:sz w:val="14"/>
                <w:szCs w:val="14"/>
                <w:b w:val="1"/>
                <w:bCs w:val="1"/>
                <w:color w:val="auto"/>
              </w:rPr>
              <w:t>2011</w:t>
            </w:r>
          </w:p>
        </w:tc>
        <w:tc>
          <w:tcPr>
            <w:tcW w:w="88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rPr>
              <w:t>2012</w:t>
            </w:r>
          </w:p>
        </w:tc>
        <w:tc>
          <w:tcPr>
            <w:tcW w:w="2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40" w:type="dxa"/>
            <w:vAlign w:val="bottom"/>
            <w:gridSpan w:val="2"/>
          </w:tcPr>
          <w:p>
            <w:pPr>
              <w:jc w:val="right"/>
              <w:ind w:right="540"/>
              <w:spacing w:after="0" w:line="129" w:lineRule="exact"/>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1"/>
                <w:szCs w:val="11"/>
                <w:color w:val="auto"/>
              </w:rPr>
            </w:pPr>
          </w:p>
        </w:tc>
        <w:tc>
          <w:tcPr>
            <w:tcW w:w="780" w:type="dxa"/>
            <w:vAlign w:val="bottom"/>
          </w:tcPr>
          <w:p>
            <w:pPr>
              <w:jc w:val="right"/>
              <w:ind w:right="56"/>
              <w:spacing w:after="0" w:line="129" w:lineRule="exact"/>
              <w:rPr>
                <w:sz w:val="20"/>
                <w:szCs w:val="20"/>
                <w:color w:val="auto"/>
              </w:rPr>
            </w:pPr>
            <w:r>
              <w:rPr>
                <w:rFonts w:ascii="Arial" w:cs="Arial" w:eastAsia="Arial" w:hAnsi="Arial"/>
                <w:sz w:val="14"/>
                <w:szCs w:val="14"/>
                <w:b w:val="1"/>
                <w:bCs w:val="1"/>
                <w:color w:val="auto"/>
                <w:w w:val="92"/>
              </w:rPr>
              <w:t>Fair Value</w:t>
            </w:r>
          </w:p>
        </w:tc>
        <w:tc>
          <w:tcPr>
            <w:tcW w:w="20" w:type="dxa"/>
            <w:vAlign w:val="bottom"/>
          </w:tcPr>
          <w:p>
            <w:pPr>
              <w:spacing w:after="0"/>
              <w:rPr>
                <w:sz w:val="11"/>
                <w:szCs w:val="11"/>
                <w:color w:val="auto"/>
              </w:rPr>
            </w:pPr>
          </w:p>
        </w:tc>
      </w:tr>
      <w:tr>
        <w:trPr>
          <w:trHeight w:val="210"/>
        </w:trPr>
        <w:tc>
          <w:tcPr>
            <w:tcW w:w="39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Variable Rate</w:t>
            </w: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68,709</w:t>
            </w:r>
          </w:p>
        </w:tc>
        <w:tc>
          <w:tcPr>
            <w:tcW w:w="20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tcBorders>
            <w:shd w:val="clear" w:color="auto" w:fill="CCEEFF"/>
          </w:tcPr>
          <w:p>
            <w:pPr>
              <w:ind w:left="480"/>
              <w:spacing w:after="0"/>
              <w:rPr>
                <w:sz w:val="20"/>
                <w:szCs w:val="20"/>
                <w:color w:val="auto"/>
              </w:rPr>
            </w:pPr>
            <w:r>
              <w:rPr>
                <w:rFonts w:ascii="Arial" w:cs="Arial" w:eastAsia="Arial" w:hAnsi="Arial"/>
                <w:sz w:val="18"/>
                <w:szCs w:val="18"/>
                <w:color w:val="auto"/>
                <w:w w:val="99"/>
              </w:rPr>
              <w:t>—</w:t>
            </w:r>
          </w:p>
        </w:tc>
        <w:tc>
          <w:tcPr>
            <w:tcW w:w="2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tcBorders>
            <w:shd w:val="clear" w:color="auto" w:fill="CCEEFF"/>
          </w:tcPr>
          <w:p>
            <w:pPr>
              <w:ind w:left="480"/>
              <w:spacing w:after="0"/>
              <w:rPr>
                <w:sz w:val="20"/>
                <w:szCs w:val="20"/>
                <w:color w:val="auto"/>
              </w:rPr>
            </w:pPr>
            <w:r>
              <w:rPr>
                <w:rFonts w:ascii="Arial" w:cs="Arial" w:eastAsia="Arial" w:hAnsi="Arial"/>
                <w:sz w:val="18"/>
                <w:szCs w:val="18"/>
                <w:color w:val="auto"/>
                <w:w w:val="88"/>
              </w:rPr>
              <w:t>—</w:t>
            </w:r>
          </w:p>
        </w:tc>
        <w:tc>
          <w:tcPr>
            <w:tcW w:w="26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ind w:right="430"/>
              <w:spacing w:after="0"/>
              <w:rPr>
                <w:sz w:val="20"/>
                <w:szCs w:val="20"/>
                <w:color w:val="auto"/>
              </w:rPr>
            </w:pPr>
            <w:r>
              <w:rPr>
                <w:rFonts w:ascii="Arial" w:cs="Arial" w:eastAsia="Arial" w:hAnsi="Arial"/>
                <w:sz w:val="18"/>
                <w:szCs w:val="18"/>
                <w:color w:val="auto"/>
                <w:w w:val="79"/>
              </w:rPr>
              <w:t>$</w:t>
            </w:r>
          </w:p>
        </w:tc>
        <w:tc>
          <w:tcPr>
            <w:tcW w:w="240" w:type="dxa"/>
            <w:vAlign w:val="bottom"/>
            <w:tcBorders>
              <w:top w:val="single" w:sz="8" w:color="auto"/>
            </w:tcBorders>
            <w:shd w:val="clear" w:color="auto" w:fill="CCEEFF"/>
          </w:tcPr>
          <w:p>
            <w:pPr>
              <w:ind w:left="40"/>
              <w:spacing w:after="0"/>
              <w:rPr>
                <w:sz w:val="20"/>
                <w:szCs w:val="20"/>
                <w:color w:val="auto"/>
              </w:rPr>
            </w:pPr>
            <w:r>
              <w:rPr>
                <w:rFonts w:ascii="Arial" w:cs="Arial" w:eastAsia="Arial" w:hAnsi="Arial"/>
                <w:sz w:val="18"/>
                <w:szCs w:val="18"/>
                <w:color w:val="auto"/>
                <w:w w:val="99"/>
              </w:rPr>
              <w:t>—</w:t>
            </w: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68,709</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68,709</w:t>
            </w:r>
          </w:p>
        </w:tc>
        <w:tc>
          <w:tcPr>
            <w:tcW w:w="20" w:type="dxa"/>
            <w:vAlign w:val="bottom"/>
            <w:tcBorders>
              <w:top w:val="single" w:sz="8" w:color="CCEEFF"/>
            </w:tcBorders>
            <w:shd w:val="clear" w:color="auto" w:fill="CCEEFF"/>
          </w:tcPr>
          <w:p>
            <w:pPr>
              <w:spacing w:after="0"/>
              <w:rPr>
                <w:sz w:val="18"/>
                <w:szCs w:val="18"/>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Average Interest Rate</w:t>
            </w:r>
          </w:p>
        </w:tc>
        <w:tc>
          <w:tcPr>
            <w:tcW w:w="18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5.29%</w:t>
            </w: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680" w:type="dxa"/>
            <w:vAlign w:val="bottom"/>
          </w:tcPr>
          <w:p>
            <w:pPr>
              <w:ind w:left="480"/>
              <w:spacing w:after="0"/>
              <w:rPr>
                <w:sz w:val="20"/>
                <w:szCs w:val="20"/>
                <w:color w:val="auto"/>
              </w:rPr>
            </w:pPr>
            <w:r>
              <w:rPr>
                <w:rFonts w:ascii="Arial" w:cs="Arial" w:eastAsia="Arial" w:hAnsi="Arial"/>
                <w:sz w:val="18"/>
                <w:szCs w:val="18"/>
                <w:color w:val="auto"/>
                <w:w w:val="99"/>
              </w:rPr>
              <w:t>—</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ind w:left="480"/>
              <w:spacing w:after="0"/>
              <w:rPr>
                <w:sz w:val="20"/>
                <w:szCs w:val="20"/>
                <w:color w:val="auto"/>
              </w:rPr>
            </w:pPr>
            <w:r>
              <w:rPr>
                <w:rFonts w:ascii="Arial" w:cs="Arial" w:eastAsia="Arial" w:hAnsi="Arial"/>
                <w:sz w:val="18"/>
                <w:szCs w:val="18"/>
                <w:color w:val="auto"/>
                <w:w w:val="88"/>
              </w:rPr>
              <w:t>—</w:t>
            </w:r>
          </w:p>
        </w:tc>
        <w:tc>
          <w:tcPr>
            <w:tcW w:w="2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40" w:type="dxa"/>
            <w:vAlign w:val="bottom"/>
          </w:tcPr>
          <w:p>
            <w:pPr>
              <w:ind w:left="40"/>
              <w:spacing w:after="0"/>
              <w:rPr>
                <w:sz w:val="20"/>
                <w:szCs w:val="20"/>
                <w:color w:val="auto"/>
              </w:rPr>
            </w:pPr>
            <w:r>
              <w:rPr>
                <w:rFonts w:ascii="Arial" w:cs="Arial" w:eastAsia="Arial" w:hAnsi="Arial"/>
                <w:sz w:val="18"/>
                <w:szCs w:val="18"/>
                <w:color w:val="auto"/>
                <w:w w:val="99"/>
              </w:rPr>
              <w:t>—</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40" w:type="dxa"/>
            <w:vAlign w:val="bottom"/>
            <w:gridSpan w:val="2"/>
          </w:tcPr>
          <w:p>
            <w:pPr>
              <w:jc w:val="right"/>
              <w:ind w:right="120"/>
              <w:spacing w:after="0"/>
              <w:rPr>
                <w:sz w:val="20"/>
                <w:szCs w:val="20"/>
                <w:color w:val="auto"/>
              </w:rPr>
            </w:pPr>
            <w:r>
              <w:rPr>
                <w:rFonts w:ascii="Arial" w:cs="Arial" w:eastAsia="Arial" w:hAnsi="Arial"/>
                <w:sz w:val="18"/>
                <w:szCs w:val="18"/>
                <w:color w:val="auto"/>
              </w:rPr>
              <w:t>5.29%</w:t>
            </w: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Fixed Rate</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8,578</w:t>
            </w:r>
          </w:p>
        </w:tc>
        <w:tc>
          <w:tcPr>
            <w:tcW w:w="20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25"/>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15,222</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ind w:left="480"/>
              <w:spacing w:after="0"/>
              <w:rPr>
                <w:sz w:val="20"/>
                <w:szCs w:val="20"/>
                <w:color w:val="auto"/>
              </w:rPr>
            </w:pPr>
            <w:r>
              <w:rPr>
                <w:rFonts w:ascii="Arial" w:cs="Arial" w:eastAsia="Arial" w:hAnsi="Arial"/>
                <w:sz w:val="18"/>
                <w:szCs w:val="18"/>
                <w:color w:val="auto"/>
                <w:w w:val="99"/>
              </w:rPr>
              <w:t>—</w:t>
            </w:r>
          </w:p>
        </w:tc>
        <w:tc>
          <w:tcPr>
            <w:tcW w:w="440" w:type="dxa"/>
            <w:vAlign w:val="bottom"/>
            <w:gridSpan w:val="2"/>
            <w:shd w:val="clear" w:color="auto" w:fill="CCEEFF"/>
          </w:tcPr>
          <w:p>
            <w:pPr>
              <w:jc w:val="right"/>
              <w:ind w:right="25"/>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ind w:left="480"/>
              <w:spacing w:after="0"/>
              <w:rPr>
                <w:sz w:val="20"/>
                <w:szCs w:val="20"/>
                <w:color w:val="auto"/>
              </w:rPr>
            </w:pPr>
            <w:r>
              <w:rPr>
                <w:rFonts w:ascii="Arial" w:cs="Arial" w:eastAsia="Arial" w:hAnsi="Arial"/>
                <w:sz w:val="18"/>
                <w:szCs w:val="18"/>
                <w:color w:val="auto"/>
                <w:w w:val="88"/>
              </w:rPr>
              <w:t>—</w:t>
            </w:r>
          </w:p>
        </w:tc>
        <w:tc>
          <w:tcPr>
            <w:tcW w:w="880" w:type="dxa"/>
            <w:vAlign w:val="bottom"/>
            <w:gridSpan w:val="2"/>
            <w:shd w:val="clear" w:color="auto" w:fill="CCEEFF"/>
          </w:tcPr>
          <w:p>
            <w:pPr>
              <w:jc w:val="right"/>
              <w:ind w:right="43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ind w:left="40"/>
              <w:spacing w:after="0"/>
              <w:rPr>
                <w:sz w:val="20"/>
                <w:szCs w:val="20"/>
                <w:color w:val="auto"/>
              </w:rPr>
            </w:pPr>
            <w:r>
              <w:rPr>
                <w:rFonts w:ascii="Arial" w:cs="Arial" w:eastAsia="Arial" w:hAnsi="Arial"/>
                <w:sz w:val="18"/>
                <w:szCs w:val="18"/>
                <w:color w:val="auto"/>
                <w:w w:val="99"/>
              </w:rPr>
              <w:t>—</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28,800</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23,560</w:t>
            </w:r>
          </w:p>
        </w:tc>
        <w:tc>
          <w:tcPr>
            <w:tcW w:w="20" w:type="dxa"/>
            <w:vAlign w:val="bottom"/>
            <w:shd w:val="clear" w:color="auto" w:fill="CCEEFF"/>
          </w:tcPr>
          <w:p>
            <w:pPr>
              <w:spacing w:after="0"/>
              <w:rPr>
                <w:sz w:val="18"/>
                <w:szCs w:val="18"/>
                <w:color w:val="auto"/>
              </w:rPr>
            </w:pPr>
          </w:p>
        </w:tc>
      </w:tr>
      <w:tr>
        <w:trPr>
          <w:trHeight w:val="230"/>
        </w:trPr>
        <w:tc>
          <w:tcPr>
            <w:tcW w:w="3900" w:type="dxa"/>
            <w:vAlign w:val="bottom"/>
          </w:tcPr>
          <w:p>
            <w:pPr>
              <w:spacing w:after="0"/>
              <w:rPr>
                <w:sz w:val="20"/>
                <w:szCs w:val="20"/>
                <w:color w:val="auto"/>
              </w:rPr>
            </w:pPr>
            <w:r>
              <w:rPr>
                <w:rFonts w:ascii="Arial" w:cs="Arial" w:eastAsia="Arial" w:hAnsi="Arial"/>
                <w:sz w:val="18"/>
                <w:szCs w:val="18"/>
                <w:color w:val="auto"/>
              </w:rPr>
              <w:t>Average Interest Rate</w:t>
            </w:r>
          </w:p>
        </w:tc>
        <w:tc>
          <w:tcPr>
            <w:tcW w:w="180" w:type="dxa"/>
            <w:vAlign w:val="bottom"/>
          </w:tcPr>
          <w:p>
            <w:pPr>
              <w:spacing w:after="0"/>
              <w:rPr>
                <w:sz w:val="20"/>
                <w:szCs w:val="20"/>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3.41%</w:t>
            </w:r>
          </w:p>
        </w:tc>
        <w:tc>
          <w:tcPr>
            <w:tcW w:w="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3.58%</w:t>
            </w:r>
          </w:p>
        </w:tc>
        <w:tc>
          <w:tcPr>
            <w:tcW w:w="180" w:type="dxa"/>
            <w:vAlign w:val="bottom"/>
          </w:tcPr>
          <w:p>
            <w:pPr>
              <w:spacing w:after="0"/>
              <w:rPr>
                <w:sz w:val="20"/>
                <w:szCs w:val="20"/>
                <w:color w:val="auto"/>
              </w:rPr>
            </w:pPr>
          </w:p>
        </w:tc>
        <w:tc>
          <w:tcPr>
            <w:tcW w:w="680" w:type="dxa"/>
            <w:vAlign w:val="bottom"/>
          </w:tcPr>
          <w:p>
            <w:pPr>
              <w:ind w:left="480"/>
              <w:spacing w:after="0"/>
              <w:rPr>
                <w:sz w:val="20"/>
                <w:szCs w:val="20"/>
                <w:color w:val="auto"/>
              </w:rPr>
            </w:pPr>
            <w:r>
              <w:rPr>
                <w:rFonts w:ascii="Arial" w:cs="Arial" w:eastAsia="Arial" w:hAnsi="Arial"/>
                <w:sz w:val="18"/>
                <w:szCs w:val="18"/>
                <w:color w:val="auto"/>
                <w:w w:val="99"/>
              </w:rPr>
              <w:t>—</w:t>
            </w:r>
          </w:p>
        </w:tc>
        <w:tc>
          <w:tcPr>
            <w:tcW w:w="2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60" w:type="dxa"/>
            <w:vAlign w:val="bottom"/>
          </w:tcPr>
          <w:p>
            <w:pPr>
              <w:ind w:left="480"/>
              <w:spacing w:after="0"/>
              <w:rPr>
                <w:sz w:val="20"/>
                <w:szCs w:val="20"/>
                <w:color w:val="auto"/>
              </w:rPr>
            </w:pPr>
            <w:r>
              <w:rPr>
                <w:rFonts w:ascii="Arial" w:cs="Arial" w:eastAsia="Arial" w:hAnsi="Arial"/>
                <w:sz w:val="18"/>
                <w:szCs w:val="18"/>
                <w:color w:val="auto"/>
                <w:w w:val="88"/>
              </w:rPr>
              <w:t>—</w:t>
            </w:r>
          </w:p>
        </w:tc>
        <w:tc>
          <w:tcPr>
            <w:tcW w:w="2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40" w:type="dxa"/>
            <w:vAlign w:val="bottom"/>
          </w:tcPr>
          <w:p>
            <w:pPr>
              <w:ind w:left="40"/>
              <w:spacing w:after="0"/>
              <w:rPr>
                <w:sz w:val="20"/>
                <w:szCs w:val="20"/>
                <w:color w:val="auto"/>
              </w:rPr>
            </w:pPr>
            <w:r>
              <w:rPr>
                <w:rFonts w:ascii="Arial" w:cs="Arial" w:eastAsia="Arial" w:hAnsi="Arial"/>
                <w:sz w:val="18"/>
                <w:szCs w:val="18"/>
                <w:color w:val="auto"/>
                <w:w w:val="99"/>
              </w:rPr>
              <w:t>—</w:t>
            </w: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940" w:type="dxa"/>
            <w:vAlign w:val="bottom"/>
            <w:gridSpan w:val="2"/>
          </w:tcPr>
          <w:p>
            <w:pPr>
              <w:jc w:val="right"/>
              <w:ind w:right="120"/>
              <w:spacing w:after="0"/>
              <w:rPr>
                <w:sz w:val="20"/>
                <w:szCs w:val="20"/>
                <w:color w:val="auto"/>
              </w:rPr>
            </w:pPr>
            <w:r>
              <w:rPr>
                <w:rFonts w:ascii="Arial" w:cs="Arial" w:eastAsia="Arial" w:hAnsi="Arial"/>
                <w:sz w:val="18"/>
                <w:szCs w:val="18"/>
                <w:color w:val="auto"/>
              </w:rPr>
              <w:t>3.52%</w:t>
            </w:r>
          </w:p>
        </w:tc>
        <w:tc>
          <w:tcPr>
            <w:tcW w:w="1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r>
    </w:tbl>
    <w:p>
      <w:pPr>
        <w:spacing w:after="0" w:line="336" w:lineRule="exact"/>
        <w:rPr>
          <w:sz w:val="20"/>
          <w:szCs w:val="20"/>
          <w:color w:val="auto"/>
        </w:rPr>
      </w:pPr>
    </w:p>
    <w:p>
      <w:pPr>
        <w:ind w:right="120" w:firstLine="324"/>
        <w:spacing w:after="0" w:line="264"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July 28, 2007 would have an immaterial effect on our financial position, results of operations and cash flows.</w:t>
      </w:r>
    </w:p>
    <w:p>
      <w:pPr>
        <w:spacing w:after="0" w:line="181" w:lineRule="exact"/>
        <w:rPr>
          <w:sz w:val="20"/>
          <w:szCs w:val="20"/>
          <w:color w:val="auto"/>
        </w:rPr>
      </w:pPr>
    </w:p>
    <w:p>
      <w:pPr>
        <w:ind w:right="40" w:firstLine="324"/>
        <w:spacing w:after="0" w:line="257" w:lineRule="auto"/>
        <w:rPr>
          <w:sz w:val="20"/>
          <w:szCs w:val="20"/>
          <w:color w:val="auto"/>
        </w:rPr>
      </w:pPr>
      <w:r>
        <w:rPr>
          <w:rFonts w:ascii="Arial" w:cs="Arial" w:eastAsia="Arial" w:hAnsi="Arial"/>
          <w:sz w:val="18"/>
          <w:szCs w:val="18"/>
          <w:color w:val="auto"/>
        </w:rPr>
        <w:t>Our term debt bears interest at the higher of the lender’s prime rate or 0.5% per annum above the Federal Funds Effective Rate, as defined in the agreement, plus a 1% margin. In the case of Eurodollar loans, amounts borrowed bear interest at a rate equal to the Adjusted London Interbank Offered Rate, or LIBOR, plus 2% margin. Such margins are subject to reductions or increases depending on our future credit rating if obtained. We pay interest and principal amounts equal to 0.25% of the aggregate principal amount of loans on a quarterly basis on the last business day of each March, June, September and December. The interest rate as of July 28, 2007 was 7.35%.</w:t>
      </w:r>
    </w:p>
    <w:p>
      <w:pPr>
        <w:spacing w:after="0" w:line="188" w:lineRule="exact"/>
        <w:rPr>
          <w:sz w:val="20"/>
          <w:szCs w:val="20"/>
          <w:color w:val="auto"/>
        </w:rPr>
      </w:pPr>
    </w:p>
    <w:p>
      <w:pPr>
        <w:spacing w:after="0"/>
        <w:rPr>
          <w:sz w:val="20"/>
          <w:szCs w:val="20"/>
          <w:color w:val="auto"/>
        </w:rPr>
      </w:pPr>
      <w:r>
        <w:rPr>
          <w:rFonts w:ascii="Arial" w:cs="Arial" w:eastAsia="Arial" w:hAnsi="Arial"/>
          <w:sz w:val="17"/>
          <w:szCs w:val="17"/>
          <w:i w:val="1"/>
          <w:iCs w:val="1"/>
          <w:color w:val="auto"/>
        </w:rPr>
        <w:t>I</w:t>
      </w:r>
      <w:r>
        <w:rPr>
          <w:rFonts w:ascii="Arial" w:cs="Arial" w:eastAsia="Arial" w:hAnsi="Arial"/>
          <w:sz w:val="16"/>
          <w:szCs w:val="16"/>
          <w:i w:val="1"/>
          <w:iCs w:val="1"/>
          <w:color w:val="auto"/>
        </w:rPr>
        <w:t>nvestment Risk.</w:t>
      </w:r>
      <w:r>
        <w:rPr>
          <w:rFonts w:ascii="Arial" w:cs="Arial" w:eastAsia="Arial" w:hAnsi="Arial"/>
          <w:sz w:val="17"/>
          <w:szCs w:val="17"/>
          <w:i w:val="1"/>
          <w:iCs w:val="1"/>
          <w:color w:val="auto"/>
        </w:rPr>
        <w:t xml:space="preserve"> </w:t>
      </w:r>
      <w:r>
        <w:rPr>
          <w:rFonts w:ascii="Arial" w:cs="Arial" w:eastAsia="Arial" w:hAnsi="Arial"/>
          <w:sz w:val="17"/>
          <w:szCs w:val="17"/>
          <w:color w:val="auto"/>
        </w:rPr>
        <w:t>We invest in equity instruments of privately-held companies for business and strategic purposes. These investments, which totaled</w:t>
      </w:r>
    </w:p>
    <w:p>
      <w:pPr>
        <w:spacing w:after="0" w:line="35" w:lineRule="exact"/>
        <w:rPr>
          <w:sz w:val="20"/>
          <w:szCs w:val="20"/>
          <w:color w:val="auto"/>
        </w:rPr>
      </w:pPr>
    </w:p>
    <w:p>
      <w:pPr>
        <w:ind w:right="180"/>
        <w:spacing w:after="0" w:line="254" w:lineRule="auto"/>
        <w:rPr>
          <w:sz w:val="20"/>
          <w:szCs w:val="20"/>
          <w:color w:val="auto"/>
        </w:rPr>
      </w:pPr>
      <w:r>
        <w:rPr>
          <w:rFonts w:ascii="Arial" w:cs="Arial" w:eastAsia="Arial" w:hAnsi="Arial"/>
          <w:sz w:val="18"/>
          <w:szCs w:val="18"/>
          <w:color w:val="auto"/>
        </w:rPr>
        <w:t>$6.7 million at July 28, 2007, are included in other non-current assets in the accompanying balance sheets and are accounted for under the cost method because our ownership is less than 20% and we do not have the ability to exercise significant influence over the operations on these companies. We monitor these investments for impairment and make appropriate reductions in carrying value when an impairment is deemed to be other than temporary. An impairment of $4.9 million was recorded in the three months ended April 28, 2007.</w:t>
      </w:r>
    </w:p>
    <w:p>
      <w:pPr>
        <w:spacing w:after="0" w:line="190"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i w:val="1"/>
          <w:iCs w:val="1"/>
          <w:color w:val="auto"/>
        </w:rPr>
        <w:t>F</w:t>
      </w:r>
      <w:r>
        <w:rPr>
          <w:rFonts w:ascii="Arial" w:cs="Arial" w:eastAsia="Arial" w:hAnsi="Arial"/>
          <w:sz w:val="17"/>
          <w:szCs w:val="17"/>
          <w:i w:val="1"/>
          <w:iCs w:val="1"/>
          <w:color w:val="auto"/>
        </w:rPr>
        <w:t>oreign Currency Exchange Risk.</w:t>
      </w:r>
      <w:r>
        <w:rPr>
          <w:rFonts w:ascii="Arial" w:cs="Arial" w:eastAsia="Arial" w:hAnsi="Arial"/>
          <w:sz w:val="18"/>
          <w:szCs w:val="18"/>
          <w:i w:val="1"/>
          <w:iCs w:val="1"/>
          <w:color w:val="auto"/>
        </w:rPr>
        <w:t xml:space="preserve"> </w:t>
      </w:r>
      <w:r>
        <w:rPr>
          <w:rFonts w:ascii="Arial" w:cs="Arial" w:eastAsia="Arial" w:hAnsi="Arial"/>
          <w:sz w:val="18"/>
          <w:szCs w:val="18"/>
          <w:color w:val="auto"/>
        </w:rPr>
        <w:t>Substantially all of our sales and the majority of our expenses to date have been denominated in United States dollars, and,</w:t>
      </w:r>
      <w:r>
        <w:rPr>
          <w:rFonts w:ascii="Arial" w:cs="Arial" w:eastAsia="Arial" w:hAnsi="Arial"/>
          <w:sz w:val="18"/>
          <w:szCs w:val="18"/>
          <w:i w:val="1"/>
          <w:iCs w:val="1"/>
          <w:color w:val="auto"/>
        </w:rPr>
        <w:t xml:space="preserve"> </w:t>
      </w:r>
      <w:r>
        <w:rPr>
          <w:rFonts w:ascii="Arial" w:cs="Arial" w:eastAsia="Arial" w:hAnsi="Arial"/>
          <w:sz w:val="18"/>
          <w:szCs w:val="18"/>
          <w:color w:val="auto"/>
        </w:rPr>
        <w:t>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29"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Our management, with the participation of our Chief Executive Officer and our interim Chief Financial Officer, has evaluated the effectiveness of our disclosure controls and procedures (as defined in Rule 13a-15(e) of the Securities Exchange Act of 1934) as of July 28, 2007. Disclosure controls and procedures are designed to ensure that information required to be disclosed is recorded, processed, summarized and reported within the time periods specified in the rules and forms of the Securities and Exchange Commission and that such information is accumulated and communicated to management, including the Chief Executive Officer and interim Chief Financial Officer, as appropriate, to allow timely decisions regarding required disclosure. Based in this evaluation, our management, including our Chief Executive Officer and interim Chief Financial Officer, has concluded that our disclosure controls and procedures were not effective because of the material weaknesses described under “Management’s Report on Internal Control Over Financial Reporting” in Item 9A of the Company’s Annual Report on Form 10-K for the year ended January 27, 2007, which the Company is still in the process of remediating. These material weaknesses are described below:</w:t>
      </w:r>
    </w:p>
    <w:p>
      <w:pPr>
        <w:spacing w:after="0" w:line="182" w:lineRule="exact"/>
        <w:rPr>
          <w:sz w:val="20"/>
          <w:szCs w:val="20"/>
          <w:color w:val="auto"/>
        </w:rPr>
      </w:pPr>
    </w:p>
    <w:p>
      <w:pPr>
        <w:ind w:right="40" w:firstLine="324"/>
        <w:spacing w:after="0" w:line="297" w:lineRule="auto"/>
        <w:rPr>
          <w:sz w:val="20"/>
          <w:szCs w:val="20"/>
          <w:color w:val="auto"/>
        </w:rPr>
      </w:pPr>
      <w:r>
        <w:rPr>
          <w:rFonts w:ascii="Arial" w:cs="Arial" w:eastAsia="Arial" w:hAnsi="Arial"/>
          <w:sz w:val="16"/>
          <w:szCs w:val="16"/>
          <w:i w:val="1"/>
          <w:iCs w:val="1"/>
          <w:color w:val="auto"/>
        </w:rPr>
        <w:t xml:space="preserve">Control environment. </w:t>
      </w:r>
      <w:r>
        <w:rPr>
          <w:rFonts w:ascii="Arial" w:cs="Arial" w:eastAsia="Arial" w:hAnsi="Arial"/>
          <w:sz w:val="16"/>
          <w:szCs w:val="16"/>
          <w:color w:val="auto"/>
        </w:rPr>
        <w:t>We did not maintain an effective control environment based on criteria established in the COSO framework and commensurate</w:t>
      </w:r>
      <w:r>
        <w:rPr>
          <w:rFonts w:ascii="Arial" w:cs="Arial" w:eastAsia="Arial" w:hAnsi="Arial"/>
          <w:sz w:val="16"/>
          <w:szCs w:val="16"/>
          <w:i w:val="1"/>
          <w:iCs w:val="1"/>
          <w:color w:val="auto"/>
        </w:rPr>
        <w:t xml:space="preserve"> </w:t>
      </w:r>
      <w:r>
        <w:rPr>
          <w:rFonts w:ascii="Arial" w:cs="Arial" w:eastAsia="Arial" w:hAnsi="Arial"/>
          <w:sz w:val="16"/>
          <w:szCs w:val="16"/>
          <w:color w:val="auto"/>
        </w:rPr>
        <w:t>with our rapid growth and increasing complexity. Our management, including those individuals responsible for our Finance and Legal Departments, did not exercise the necessary rigor and commitment to internal control over financial reporting. Specifically, (1) internal control deficiencies were not remediated in a timely manner; (2) certain individuals involved in the stock option process said that they did not feel able to provide frank advice to senior management regarding controls over processing, recording and reporting of stock options transactions; and (3) we did not maintain a sufficient complement of personnel</w:t>
      </w:r>
    </w:p>
    <w:p>
      <w:pPr>
        <w:sectPr>
          <w:pgSz w:w="11900" w:h="16838" w:orient="portrait"/>
          <w:cols w:equalWidth="0" w:num="1">
            <w:col w:w="11420"/>
          </w:cols>
          <w:pgMar w:left="240" w:top="125" w:right="239" w:bottom="0" w:gutter="0" w:footer="0" w:header="0"/>
        </w:sectPr>
      </w:pPr>
    </w:p>
    <w:bookmarkStart w:id="28" w:name="page29"/>
    <w:bookmarkEnd w:id="28"/>
    <w:p>
      <w:pPr>
        <w:ind w:right="20"/>
        <w:spacing w:after="0" w:line="293" w:lineRule="auto"/>
        <w:rPr>
          <w:sz w:val="20"/>
          <w:szCs w:val="20"/>
          <w:color w:val="auto"/>
        </w:rPr>
      </w:pPr>
      <w:r>
        <w:rPr>
          <w:rFonts w:ascii="Arial" w:cs="Arial" w:eastAsia="Arial" w:hAnsi="Arial"/>
          <w:sz w:val="16"/>
          <w:szCs w:val="16"/>
          <w:color w:val="auto"/>
        </w:rPr>
        <w:t>with a level of accounting knowledge, experience and training in the application of generally accepted accounting principles commensurate with our financial reporting requirements. This lack of an effective control environment contributed to the restatement of the consolidated financial statements of annual periods through fiscal 2006, each of the quarters of fiscal year 2006, as well as the first quarter of fiscal year 2007. Additionally, this lack of an effective control environment could result in misstatements of any of our financial statement accounts and disclosures that would result in a material misstatement to the annual or interim consolidated financial statements that would not be prevent or detected; this lack of effective control environment also contributed to the material weakness described below. Accordingly, our management has determined that this control deficiency constitutes a material weakness.</w:t>
      </w:r>
    </w:p>
    <w:p>
      <w:pPr>
        <w:spacing w:after="0" w:line="165" w:lineRule="exact"/>
        <w:rPr>
          <w:sz w:val="20"/>
          <w:szCs w:val="20"/>
          <w:color w:val="auto"/>
        </w:rPr>
      </w:pPr>
    </w:p>
    <w:p>
      <w:pPr>
        <w:ind w:right="60" w:firstLine="324"/>
        <w:spacing w:after="0" w:line="254" w:lineRule="auto"/>
        <w:rPr>
          <w:sz w:val="20"/>
          <w:szCs w:val="20"/>
          <w:color w:val="auto"/>
        </w:rPr>
      </w:pPr>
      <w:r>
        <w:rPr>
          <w:rFonts w:ascii="Arial" w:cs="Arial" w:eastAsia="Arial" w:hAnsi="Arial"/>
          <w:sz w:val="18"/>
          <w:szCs w:val="18"/>
          <w:i w:val="1"/>
          <w:iCs w:val="1"/>
          <w:color w:val="auto"/>
        </w:rPr>
        <w:t xml:space="preserve">Controls over stock-based compensation expense under FASB Statement of Financial Accounting Standards No. 123 (revised 2004), “Share Based Payments” (“FAS 123(R)”). </w:t>
      </w:r>
      <w:r>
        <w:rPr>
          <w:rFonts w:ascii="Arial" w:cs="Arial" w:eastAsia="Arial" w:hAnsi="Arial"/>
          <w:sz w:val="18"/>
          <w:szCs w:val="18"/>
          <w:color w:val="auto"/>
        </w:rPr>
        <w:t>We did not maintain effective controls over the accounting for and disclosure of our stock-based compensation expense under</w:t>
      </w:r>
      <w:r>
        <w:rPr>
          <w:rFonts w:ascii="Arial" w:cs="Arial" w:eastAsia="Arial" w:hAnsi="Arial"/>
          <w:sz w:val="18"/>
          <w:szCs w:val="18"/>
          <w:i w:val="1"/>
          <w:iCs w:val="1"/>
          <w:color w:val="auto"/>
        </w:rPr>
        <w:t xml:space="preserve"> </w:t>
      </w:r>
      <w:r>
        <w:rPr>
          <w:rFonts w:ascii="Arial" w:cs="Arial" w:eastAsia="Arial" w:hAnsi="Arial"/>
          <w:sz w:val="18"/>
          <w:szCs w:val="18"/>
          <w:color w:val="auto"/>
        </w:rPr>
        <w:t>FAS 123(R). Our controls, including monitoring controls, policies and procedures relating to the accounting for and disclosure of stock-based compensation were not effective. Specifically, effective controls were not maintained to ensure the existence, completeness, accuracy, valuation and presentation of our stock-based compensation expense. This control deficiency resulted in audit adjustments to stock-based compensation expense for the year ended January 27, 2007. This control deficiency could also result in a misstatement to compensation expense that would result in a material misstatement to our annual or interim financial statements that would not be prevented or detected. Accordingly, our management has determined that this control deficiency constitutes a material weakness.</w:t>
      </w:r>
    </w:p>
    <w:p>
      <w:pPr>
        <w:spacing w:after="0" w:line="192" w:lineRule="exact"/>
        <w:rPr>
          <w:sz w:val="20"/>
          <w:szCs w:val="20"/>
          <w:color w:val="auto"/>
        </w:rPr>
      </w:pPr>
    </w:p>
    <w:p>
      <w:pPr>
        <w:ind w:right="80" w:firstLine="324"/>
        <w:spacing w:after="0" w:line="255" w:lineRule="auto"/>
        <w:rPr>
          <w:sz w:val="20"/>
          <w:szCs w:val="20"/>
          <w:color w:val="auto"/>
        </w:rPr>
      </w:pPr>
      <w:r>
        <w:rPr>
          <w:rFonts w:ascii="Arial" w:cs="Arial" w:eastAsia="Arial" w:hAnsi="Arial"/>
          <w:sz w:val="18"/>
          <w:szCs w:val="18"/>
          <w:color w:val="auto"/>
        </w:rPr>
        <w:t>Because of these material weaknesses which the Company is still in the process of remediating, management has concluded that we did not maintain effective internal control over financial reporting as of July 28, 2007, based on the criteria established in “Internal Control - Integrated Framework” issued by the COSO. We have undertaken the remediation steps described below and in connection with the preparation of this Quarterly Report, our management undertook and completed reconciliations, analyses, reviews and control procedures in addition to those historically completed to confirm that this Quarterly Report fairly presents in all material aspects our financial position, results of operations and cash flows as of, and for the period presented in accordance with U.S. generally accepted accounting principles.</w:t>
      </w:r>
    </w:p>
    <w:p>
      <w:pPr>
        <w:spacing w:after="0" w:line="189"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29" w:lineRule="exact"/>
        <w:rPr>
          <w:sz w:val="20"/>
          <w:szCs w:val="20"/>
          <w:color w:val="auto"/>
        </w:rPr>
      </w:pPr>
    </w:p>
    <w:p>
      <w:pPr>
        <w:ind w:right="360" w:firstLine="324"/>
        <w:spacing w:after="0" w:line="273" w:lineRule="auto"/>
        <w:rPr>
          <w:sz w:val="20"/>
          <w:szCs w:val="20"/>
          <w:color w:val="auto"/>
        </w:rPr>
      </w:pPr>
      <w:r>
        <w:rPr>
          <w:rFonts w:ascii="Arial" w:cs="Arial" w:eastAsia="Arial" w:hAnsi="Arial"/>
          <w:sz w:val="17"/>
          <w:szCs w:val="17"/>
          <w:color w:val="auto"/>
        </w:rPr>
        <w:t>As required by Rule 13a-15(d) of the Securities Exchange Act of 1934, our management, including our Chief Executive Officer and interim Chief Financial Officer, also conducted an evaluation of our “internal control over financial reporting” as defined in Exchange Act Rule 13a-15(f) to determine whether any changes in our internal control over financial reporting occurred during the second quarter of fiscal 2008 that materially affected, or are reasonably likely to materially affect, our internal control over financial reporting. Based on that evaluation, there were no changes in our internal control over financial reporting during the most recently completed fiscal quarter that have materially affected, or are reasonably likely to materially affect, our internal control over financial reporting, except as described below.</w:t>
      </w:r>
    </w:p>
    <w:p>
      <w:pPr>
        <w:spacing w:after="0" w:line="3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Implemented or Planned Remedial Actions of Material Weaknesses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7"/>
          <w:szCs w:val="17"/>
          <w:color w:val="auto"/>
        </w:rPr>
        <w:t>During the quarter ended July 28, 2007 and subsequent to that date, we implemented or plan to implement further remedial actions, specifically:</w:t>
      </w:r>
    </w:p>
    <w:p>
      <w:pPr>
        <w:spacing w:after="0" w:line="237" w:lineRule="exact"/>
        <w:rPr>
          <w:sz w:val="20"/>
          <w:szCs w:val="20"/>
          <w:color w:val="auto"/>
        </w:rPr>
      </w:pPr>
    </w:p>
    <w:p>
      <w:pPr>
        <w:ind w:left="340" w:right="200" w:hanging="332"/>
        <w:spacing w:after="0" w:line="277" w:lineRule="auto"/>
        <w:tabs>
          <w:tab w:leader="none" w:pos="304" w:val="left"/>
        </w:tabs>
        <w:numPr>
          <w:ilvl w:val="0"/>
          <w:numId w:val="4"/>
        </w:numPr>
        <w:rPr>
          <w:rFonts w:ascii="Arial" w:cs="Arial" w:eastAsia="Arial" w:hAnsi="Arial"/>
          <w:sz w:val="18"/>
          <w:szCs w:val="18"/>
          <w:color w:val="auto"/>
        </w:rPr>
      </w:pPr>
      <w:r>
        <w:rPr>
          <w:rFonts w:ascii="Arial" w:cs="Arial" w:eastAsia="Arial" w:hAnsi="Arial"/>
          <w:sz w:val="18"/>
          <w:szCs w:val="18"/>
          <w:color w:val="auto"/>
        </w:rPr>
        <w:t>Implemented or planned remediation efforts regarding the material weakness in internal control over financial reporting related to an ineffective control environment include the following:</w:t>
      </w:r>
    </w:p>
    <w:p>
      <w:pPr>
        <w:spacing w:after="0" w:line="170" w:lineRule="exact"/>
        <w:rPr>
          <w:sz w:val="20"/>
          <w:szCs w:val="20"/>
          <w:color w:val="auto"/>
        </w:rPr>
      </w:pPr>
    </w:p>
    <w:p>
      <w:pPr>
        <w:ind w:left="340" w:right="60" w:firstLine="324"/>
        <w:spacing w:after="0" w:line="279" w:lineRule="auto"/>
        <w:rPr>
          <w:sz w:val="20"/>
          <w:szCs w:val="20"/>
          <w:color w:val="auto"/>
        </w:rPr>
      </w:pPr>
      <w:r>
        <w:rPr>
          <w:rFonts w:ascii="Arial" w:cs="Arial" w:eastAsia="Arial" w:hAnsi="Arial"/>
          <w:sz w:val="17"/>
          <w:szCs w:val="17"/>
          <w:color w:val="auto"/>
        </w:rPr>
        <w:t>Following the Special Committee’s recommendations, we are conducting a search for a new Chief Financial Officer and General Counsel and are planning to conduct a search for a new Chief Operating Officer and Vice President of Compliance. The Vice President of Compliance will report directly to the Audit Committee of the Board. Additionally, the Board’s Governance Committee is conducting a search for three new independent directors to fill existing vacancies. One of these independent directors will succeed Dr. Sutardja as Chairman of the Board.</w:t>
      </w:r>
    </w:p>
    <w:p>
      <w:pPr>
        <w:spacing w:after="0" w:line="171" w:lineRule="exact"/>
        <w:rPr>
          <w:sz w:val="20"/>
          <w:szCs w:val="20"/>
          <w:color w:val="auto"/>
        </w:rPr>
      </w:pPr>
    </w:p>
    <w:p>
      <w:pPr>
        <w:ind w:left="340" w:right="340" w:firstLine="324"/>
        <w:spacing w:after="0" w:line="277" w:lineRule="auto"/>
        <w:rPr>
          <w:sz w:val="20"/>
          <w:szCs w:val="20"/>
          <w:color w:val="auto"/>
        </w:rPr>
      </w:pPr>
      <w:r>
        <w:rPr>
          <w:rFonts w:ascii="Arial" w:cs="Arial" w:eastAsia="Arial" w:hAnsi="Arial"/>
          <w:sz w:val="18"/>
          <w:szCs w:val="18"/>
          <w:color w:val="auto"/>
        </w:rPr>
        <w:t>We continue to adopt enhancements to the process undertaken by our management and Audit Committee of the Board of Directors in connection with the finalization of our Quarterly Reports on Form 10-Q for filing with the SEC.</w:t>
      </w:r>
    </w:p>
    <w:p>
      <w:pPr>
        <w:spacing w:after="0" w:line="170" w:lineRule="exact"/>
        <w:rPr>
          <w:sz w:val="20"/>
          <w:szCs w:val="20"/>
          <w:color w:val="auto"/>
        </w:rPr>
      </w:pPr>
    </w:p>
    <w:p>
      <w:pPr>
        <w:ind w:left="340" w:right="160" w:firstLine="324"/>
        <w:spacing w:after="0" w:line="259" w:lineRule="auto"/>
        <w:rPr>
          <w:sz w:val="20"/>
          <w:szCs w:val="20"/>
          <w:color w:val="auto"/>
        </w:rPr>
      </w:pPr>
      <w:r>
        <w:rPr>
          <w:rFonts w:ascii="Arial" w:cs="Arial" w:eastAsia="Arial" w:hAnsi="Arial"/>
          <w:sz w:val="18"/>
          <w:szCs w:val="18"/>
          <w:color w:val="auto"/>
        </w:rPr>
        <w:t>Management is committed to a goal to significantly reduce internal control deficiencies. We are in the process of developing our detailed remediation plan for internal control deficiencies, prioritized based on our risk assessment of the deficiencies. We are actively assessing controls over other processes that may be more susceptible to potentially material misstatements. We have identified the general nature of our deficiencies at January 28, 2007 and have already begun remediation efforts.</w:t>
      </w:r>
    </w:p>
    <w:p>
      <w:pPr>
        <w:spacing w:after="0" w:line="187" w:lineRule="exact"/>
        <w:rPr>
          <w:sz w:val="20"/>
          <w:szCs w:val="20"/>
          <w:color w:val="auto"/>
        </w:rPr>
      </w:pPr>
    </w:p>
    <w:p>
      <w:pPr>
        <w:ind w:left="340" w:right="40" w:firstLine="324"/>
        <w:spacing w:after="0" w:line="279" w:lineRule="auto"/>
        <w:rPr>
          <w:sz w:val="20"/>
          <w:szCs w:val="20"/>
          <w:color w:val="auto"/>
        </w:rPr>
      </w:pPr>
      <w:r>
        <w:rPr>
          <w:rFonts w:ascii="Arial" w:cs="Arial" w:eastAsia="Arial" w:hAnsi="Arial"/>
          <w:sz w:val="17"/>
          <w:szCs w:val="17"/>
          <w:color w:val="auto"/>
        </w:rPr>
        <w:t>We are actively conducting a search for a new General Counsel and Chief Financial Officer. We also plan to further strengthen our controls over the monthly closing and financial reporting processes by continuing to hire additional personnel with knowledge, experience and training in the application of U.S. generally accepted accounting principles commensurate with our financial reporting requirements. The hiring of additional, qualified personnel is critical to the building of a finance organization with the depth and breadth of knowledge to support our planned operations.</w:t>
      </w:r>
    </w:p>
    <w:p>
      <w:pPr>
        <w:spacing w:after="0" w:line="171" w:lineRule="exact"/>
        <w:rPr>
          <w:sz w:val="20"/>
          <w:szCs w:val="20"/>
          <w:color w:val="auto"/>
        </w:rPr>
      </w:pPr>
    </w:p>
    <w:p>
      <w:pPr>
        <w:ind w:left="340" w:hanging="332"/>
        <w:spacing w:after="0" w:line="308" w:lineRule="auto"/>
        <w:tabs>
          <w:tab w:leader="none" w:pos="304" w:val="left"/>
        </w:tabs>
        <w:numPr>
          <w:ilvl w:val="0"/>
          <w:numId w:val="5"/>
        </w:numPr>
        <w:rPr>
          <w:rFonts w:ascii="Arial" w:cs="Arial" w:eastAsia="Arial" w:hAnsi="Arial"/>
          <w:sz w:val="17"/>
          <w:szCs w:val="17"/>
          <w:color w:val="auto"/>
        </w:rPr>
      </w:pPr>
      <w:r>
        <w:rPr>
          <w:rFonts w:ascii="Arial" w:cs="Arial" w:eastAsia="Arial" w:hAnsi="Arial"/>
          <w:sz w:val="17"/>
          <w:szCs w:val="17"/>
          <w:color w:val="auto"/>
        </w:rPr>
        <w:t>Implemented or planned remediation efforts regarding the material weakness over accounting for and disclosure of our stock-based compensation expense under FAS 123R include the changes in internal control over financial reporting, as stated above, along with the following:</w:t>
      </w:r>
    </w:p>
    <w:p>
      <w:pPr>
        <w:spacing w:after="0" w:line="147" w:lineRule="exact"/>
        <w:rPr>
          <w:sz w:val="20"/>
          <w:szCs w:val="20"/>
          <w:color w:val="auto"/>
        </w:rPr>
      </w:pPr>
    </w:p>
    <w:p>
      <w:pPr>
        <w:ind w:left="340" w:right="40" w:firstLine="324"/>
        <w:spacing w:after="0" w:line="259" w:lineRule="auto"/>
        <w:rPr>
          <w:sz w:val="20"/>
          <w:szCs w:val="20"/>
          <w:color w:val="auto"/>
        </w:rPr>
      </w:pPr>
      <w:r>
        <w:rPr>
          <w:rFonts w:ascii="Arial" w:cs="Arial" w:eastAsia="Arial" w:hAnsi="Arial"/>
          <w:sz w:val="18"/>
          <w:szCs w:val="18"/>
          <w:color w:val="auto"/>
        </w:rPr>
        <w:t>We are in the process of developing effective internal controls over accounting for and disclosure of our stock-based compensation expense under FAS 123R. We are continuing to assess the need for additional managerial and qualified staff resources. As more qualified individuals are hired and training of appropriate personnel is completed, effective monitoring controls will be in place and maintained to ensure existence, completeness, accuracy, valuation and presentation of our stock-based compensation expense.</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229" w:lineRule="exact"/>
        <w:rPr>
          <w:sz w:val="20"/>
          <w:szCs w:val="20"/>
          <w:color w:val="auto"/>
        </w:rPr>
      </w:pPr>
    </w:p>
    <w:p>
      <w:pPr>
        <w:ind w:right="340" w:firstLine="324"/>
        <w:spacing w:after="0" w:line="312"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w:t>
      </w:r>
    </w:p>
    <w:p>
      <w:pPr>
        <w:sectPr>
          <w:pgSz w:w="11900" w:h="16838" w:orient="portrait"/>
          <w:cols w:equalWidth="0" w:num="1">
            <w:col w:w="11420"/>
          </w:cols>
          <w:pgMar w:left="240" w:top="125" w:right="239" w:bottom="0" w:gutter="0" w:footer="0" w:header="0"/>
        </w:sectPr>
      </w:pPr>
    </w:p>
    <w:bookmarkStart w:id="29" w:name="page30"/>
    <w:bookmarkEnd w:id="29"/>
    <w:p>
      <w:pPr>
        <w:ind w:right="360"/>
        <w:spacing w:after="0" w:line="342" w:lineRule="auto"/>
        <w:rPr>
          <w:sz w:val="20"/>
          <w:szCs w:val="20"/>
          <w:color w:val="auto"/>
        </w:rPr>
      </w:pPr>
      <w:r>
        <w:rPr>
          <w:rFonts w:ascii="Arial" w:cs="Arial" w:eastAsia="Arial" w:hAnsi="Arial"/>
          <w:sz w:val="16"/>
          <w:szCs w:val="16"/>
          <w:color w:val="auto"/>
        </w:rPr>
        <w:t>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3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29" w:lineRule="exact"/>
        <w:rPr>
          <w:sz w:val="20"/>
          <w:szCs w:val="20"/>
          <w:color w:val="auto"/>
        </w:rPr>
      </w:pPr>
    </w:p>
    <w:p>
      <w:pPr>
        <w:ind w:firstLine="324"/>
        <w:spacing w:after="0" w:line="283"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w:t>
      </w:r>
      <w:r>
        <w:rPr>
          <w:rFonts w:ascii="Arial" w:cs="Arial" w:eastAsia="Arial" w:hAnsi="Arial"/>
          <w:sz w:val="16"/>
          <w:szCs w:val="16"/>
          <w:i w:val="1"/>
          <w:iCs w:val="1"/>
          <w:color w:val="auto"/>
        </w:rPr>
        <w:t xml:space="preserve"> </w:t>
      </w:r>
      <w:r>
        <w:rPr>
          <w:rFonts w:ascii="Arial" w:cs="Arial" w:eastAsia="Arial" w:hAnsi="Arial"/>
          <w:sz w:val="16"/>
          <w:szCs w:val="16"/>
          <w:color w:val="auto"/>
        </w:rPr>
        <w:t>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we were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granted the motions in part and denied them in part, thus allowing the case to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approved the proposed settlement, which if approved by the court would result in the plaintiffs’ dismissing the case against us and granting releases that extend to all of our officers and directors. Definitive settlement documentation were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Private Securities Litigation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A final settlement approval hearing on the proposed issuer settlement was held on April 24, 2006. The court took the matter under submission. Meanwhile the consolidated case against the underwriters proceeded. On October 2004, the district court certified a class. On December 5, 2006, however, the United States Court of Appeals for the Second Circuit reversed, holding that a class could not be certified. The Second Circuit’s holding, while directly affecting only the underwriters, raises some doubt as to whether the settlement class contemplated by the proposed issuer settlement would be approved in its present form. On January 5, 2007, plaintiffs petitioned the Second Circuit for rehearing of the Second Circuit’s decision. On April 6, 2007, the Second Circuit denied the petition. At a status conference on April 23, 2007, the district court suggested that the issuers’ settlement could not be approved in its present form, given the Second Circuit’s ruling. On June 25, 2007, a stipulation terminating the settlement was filed. On September 27, 2007, Plaintiffs will file their opening brief on the motion to certify the classes. On December 21, 2007, responsive briefs are due. On February 15, 2008, reply briefs are due.</w:t>
      </w:r>
    </w:p>
    <w:p>
      <w:pPr>
        <w:spacing w:after="0" w:line="200" w:lineRule="exact"/>
        <w:rPr>
          <w:sz w:val="20"/>
          <w:szCs w:val="20"/>
          <w:color w:val="auto"/>
        </w:rPr>
      </w:pPr>
    </w:p>
    <w:p>
      <w:pPr>
        <w:spacing w:after="0" w:line="205"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i w:val="1"/>
          <w:iCs w:val="1"/>
          <w:color w:val="auto"/>
        </w:rPr>
        <w:t xml:space="preserve">Jasmine Networks Litigation. </w:t>
      </w:r>
      <w:r>
        <w:rPr>
          <w:rFonts w:ascii="Arial" w:cs="Arial" w:eastAsia="Arial" w:hAnsi="Arial"/>
          <w:sz w:val="18"/>
          <w:szCs w:val="18"/>
          <w:color w:val="auto"/>
        </w:rPr>
        <w:t>On September 12, 2001, Jasmine Networks, Inc. (“Jasmine”) filed a lawsuit in the Santa Clara County Superior Court</w:t>
      </w:r>
      <w:r>
        <w:rPr>
          <w:rFonts w:ascii="Arial" w:cs="Arial" w:eastAsia="Arial" w:hAnsi="Arial"/>
          <w:sz w:val="18"/>
          <w:szCs w:val="18"/>
          <w:i w:val="1"/>
          <w:iCs w:val="1"/>
          <w:color w:val="auto"/>
        </w:rPr>
        <w:t xml:space="preserve"> </w:t>
      </w:r>
      <w:r>
        <w:rPr>
          <w:rFonts w:ascii="Arial" w:cs="Arial" w:eastAsia="Arial" w:hAnsi="Arial"/>
          <w:sz w:val="18"/>
          <w:szCs w:val="18"/>
          <w:color w:val="auto"/>
        </w:rPr>
        <w:t>alleging claims against three officers and us for improperly obtaining and using information and technologies during the course of the negotiations with our personnel regarding the potential acquisition of certain Jasmine assets by us. The lawsuit claims that our officers improperly obtained and used such information and technologies after we signed a non-disclosure agreement with Jasmine. We believe the claims asserted against our officers and us are without merit and we intend to defend all claims vigorously.</w:t>
      </w:r>
    </w:p>
    <w:p>
      <w:pPr>
        <w:spacing w:after="0" w:line="188" w:lineRule="exact"/>
        <w:rPr>
          <w:sz w:val="20"/>
          <w:szCs w:val="20"/>
          <w:color w:val="auto"/>
        </w:rPr>
      </w:pPr>
    </w:p>
    <w:p>
      <w:pPr>
        <w:ind w:firstLine="324"/>
        <w:spacing w:after="0" w:line="302" w:lineRule="auto"/>
        <w:rPr>
          <w:sz w:val="20"/>
          <w:szCs w:val="20"/>
          <w:color w:val="auto"/>
        </w:rPr>
      </w:pPr>
      <w:r>
        <w:rPr>
          <w:rFonts w:ascii="Arial" w:cs="Arial" w:eastAsia="Arial" w:hAnsi="Arial"/>
          <w:sz w:val="16"/>
          <w:szCs w:val="16"/>
          <w:color w:val="auto"/>
        </w:rPr>
        <w:t>On June 21, 2005, we filed a cross complaint in the above disclosed action in the Santa Clara County Superior Court asserting claims against Jasmine and unnamed Jasmine officers and employees. The cross complaint was later amended to name two individual officers of Jasmine. On May 15, 2007, we filed a second amended cross complaint to add additional causes of action for declaratory relief against Jasmine. Among other actions, the cross complaint alleges that Jasmine and its personnel engaged in fraud in connection with their effort to sell to us technology that Jasmine and its personnel wrongfully</w:t>
      </w: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90" w:lineRule="auto"/>
        <w:rPr>
          <w:sz w:val="20"/>
          <w:szCs w:val="20"/>
          <w:color w:val="auto"/>
        </w:rPr>
      </w:pPr>
      <w:r>
        <w:rPr>
          <w:rFonts w:ascii="Arial" w:cs="Arial" w:eastAsia="Arial" w:hAnsi="Arial"/>
          <w:sz w:val="16"/>
          <w:szCs w:val="16"/>
          <w:color w:val="auto"/>
        </w:rPr>
        <w:t>obtained from a third party in violation of such third party’s rights. The cross complaint seeks declaratory judgment that our technology does not incorporate any of Jasmine’s alleged technology. The cross complaint seeks further declaratory judgment that Jasmine and its personnel misappropriated certain aspects of Jasmine’s alleged technology. We intend to prosecute the cross complaint against Jasmine and its personnel vigorously, including, but not limited to, filing certain dispositive motions regarding the ownership of the technology which is the subject of the cross complaint. On June 13, 2007, Jasmine filed a demurrer to the fifth, sixth, and seventh causes of action of our second amended cross-complaint. The demurrer was heard on July 19, 2007 and denied. On August 3, 2007, Jasmine filed its answer to the second amended complaint. We have reserved October 30, 2007 as a hearing date for a motion for summary adjudication on its fifth and sixth causes of action for declaratory relief, which will seek, among other things, a determination that Jasmine held no propriety interest in the “JSLIP” algorithm, which was one of the core technologies Jasmine asserts was misappropriated by Marvell.</w:t>
      </w:r>
    </w:p>
    <w:p>
      <w:pPr>
        <w:spacing w:after="0" w:line="166" w:lineRule="exact"/>
        <w:rPr>
          <w:sz w:val="20"/>
          <w:szCs w:val="20"/>
          <w:color w:val="auto"/>
        </w:rPr>
      </w:pPr>
    </w:p>
    <w:p>
      <w:pPr>
        <w:ind w:right="80" w:firstLine="324"/>
        <w:spacing w:after="0" w:line="297" w:lineRule="auto"/>
        <w:rPr>
          <w:sz w:val="20"/>
          <w:szCs w:val="20"/>
          <w:color w:val="auto"/>
        </w:rPr>
      </w:pPr>
      <w:r>
        <w:rPr>
          <w:rFonts w:ascii="Arial" w:cs="Arial" w:eastAsia="Arial" w:hAnsi="Arial"/>
          <w:sz w:val="16"/>
          <w:szCs w:val="16"/>
          <w:i w:val="1"/>
          <w:iCs w:val="1"/>
          <w:color w:val="auto"/>
        </w:rPr>
        <w:t xml:space="preserve">CSIRO Litigation. </w:t>
      </w:r>
      <w:r>
        <w:rPr>
          <w:rFonts w:ascii="Arial" w:cs="Arial" w:eastAsia="Arial" w:hAnsi="Arial"/>
          <w:sz w:val="16"/>
          <w:szCs w:val="16"/>
          <w:color w:val="auto"/>
        </w:rPr>
        <w:t>In 2004, Australia’s Commonwealth Scientific and Industrial Research Organisation (“CSIRO”) sent notice letters to a number of Wi-Fi System manufacturers regarding CSIRO’s patent, U.S. Patent No. 5,487,069 as it relates to IEEE 802.11a and 802.11g wireless standards. In May 2005, a group of system manufacturers, including customers of our 802.11a or 802.11g wireless LAN products, filed an action in the United States District Court for the Northern District of California seeking a declaratory judgment against CSIRO that the plaintiff manufacturers’ products employing the IEEE 802.11a or 802.11g wireless standards do not infringe CSIRO’s patent, U.S. Patent No. 5,487,069. In September 2006, CSIRO filed an answer and counterclaims</w:t>
      </w:r>
    </w:p>
    <w:p>
      <w:pPr>
        <w:sectPr>
          <w:pgSz w:w="11900" w:h="16838" w:orient="portrait"/>
          <w:cols w:equalWidth="0" w:num="1">
            <w:col w:w="11420"/>
          </w:cols>
          <w:pgMar w:left="240" w:top="125" w:right="239" w:bottom="0" w:gutter="0" w:footer="0" w:header="0"/>
        </w:sectPr>
      </w:pPr>
    </w:p>
    <w:bookmarkStart w:id="30" w:name="page31"/>
    <w:bookmarkEnd w:id="30"/>
    <w:p>
      <w:pPr>
        <w:spacing w:after="0" w:line="96" w:lineRule="exact"/>
        <w:rPr>
          <w:sz w:val="20"/>
          <w:szCs w:val="20"/>
          <w:color w:val="auto"/>
        </w:rPr>
      </w:pPr>
    </w:p>
    <w:p>
      <w:pPr>
        <w:ind w:right="80"/>
        <w:spacing w:after="0" w:line="269" w:lineRule="auto"/>
        <w:rPr>
          <w:sz w:val="20"/>
          <w:szCs w:val="20"/>
          <w:color w:val="auto"/>
        </w:rPr>
      </w:pPr>
      <w:r>
        <w:rPr>
          <w:rFonts w:ascii="Arial" w:cs="Arial" w:eastAsia="Arial" w:hAnsi="Arial"/>
          <w:sz w:val="17"/>
          <w:szCs w:val="17"/>
          <w:color w:val="auto"/>
        </w:rPr>
        <w:t>alleging that plaintiffs’ products that employ those wireless standards infringe the CSIRO patent and seeking damages, including enhanced damages and attorneys’ fees and costs, and an injunction against sales of infringing products. In December 2006, the district court granted CSIRO’s motion to transfer the case to the United States District Court for the Eastern District of Texas, where CSIRO had brought a similar lawsuit against another company. As a result of CSIRO’s counterclaims for patent infringement, a customer of ours has sought indemnification from us. Also in December 2006, CSIRO filed suit in the United States District Court for the Eastern District of Texas against several manufacturers and suppliers of wireless products, including customers of our 802.11a or 802.11g wireless LAN products. The complaint alleges that the manufacture, use and sale of wireless products compliant with the IEEE 802.11a or 802.11g wireless standards infringes on the CSIRO patent. As a result of CSIRO’s claim for patent infringement, another customer of ours has sought indemnification from us. In response to these demands for indemnification, we have acknowledged the demands and incurred costs in response to them. On July 3, 2007, we moved to intervene in the two actions described above pending in the Eastern District of Texas, for the purposes of staying the actions as to products incorporating Marvell parts in favor of the separate action that we filed as described in the next paragraph. Alternatively we moved to disqualify the firm of Townsend, Townsend and Crew from continuing to represent CSIRO because of a conflict of interest. CSIRO opposed these motions on August 3, 2007.</w:t>
      </w:r>
    </w:p>
    <w:p>
      <w:pPr>
        <w:spacing w:after="0" w:line="180"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On May 4, 2007, we filed an action in the United States District Court for the Eastern District of Texas seeking a declaratory judgment against CSIRO that the CSIRO patent is invalid and unenforceable and that we and our customers do not infringe the CSIRO patent. The complaint also seeks damages and a license for us and our customers on reasonable and non-discriminatory terms in the event our 802.11a/g wireless LAN products are found to infringe and the CSIRO patent is found to be valid and enforceable. On August 3, 2007, CSIRO moved to dismiss the complaint for lack of case or controversy and failure to state a claim upon which relief can be granted, or, in the alternative, to stay the case pending the resolution of the pending lawsuits described in the preceding paragraph. Marvell will oppose that motion.</w:t>
      </w:r>
    </w:p>
    <w:p>
      <w:pPr>
        <w:spacing w:after="0" w:line="193" w:lineRule="exact"/>
        <w:rPr>
          <w:sz w:val="20"/>
          <w:szCs w:val="20"/>
          <w:color w:val="auto"/>
        </w:rPr>
      </w:pPr>
    </w:p>
    <w:p>
      <w:pPr>
        <w:ind w:right="20" w:firstLine="324"/>
        <w:spacing w:after="0" w:line="291" w:lineRule="auto"/>
        <w:rPr>
          <w:sz w:val="20"/>
          <w:szCs w:val="20"/>
          <w:color w:val="auto"/>
        </w:rPr>
      </w:pPr>
      <w:r>
        <w:rPr>
          <w:rFonts w:ascii="Arial" w:cs="Arial" w:eastAsia="Arial" w:hAnsi="Arial"/>
          <w:sz w:val="16"/>
          <w:szCs w:val="16"/>
          <w:i w:val="1"/>
          <w:iCs w:val="1"/>
          <w:color w:val="auto"/>
        </w:rPr>
        <w:t xml:space="preserve">Shareholder Derivative Litigation. </w:t>
      </w:r>
      <w:r>
        <w:rPr>
          <w:rFonts w:ascii="Arial" w:cs="Arial" w:eastAsia="Arial" w:hAnsi="Arial"/>
          <w:sz w:val="16"/>
          <w:szCs w:val="16"/>
          <w:color w:val="auto"/>
        </w:rPr>
        <w:t>Between July 7, 2006 and August 2, 2006, three purported shareholder derivative actions were filed in the United</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States District Court for the Northern District of California. Each of these lawsuits names us as a nominal defendant and a number of our current and former directors and officers as defendants. Each lawsuit seeks to recover damages purportedly sustained by us in connection with our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6"/>
          <w:szCs w:val="16"/>
          <w:i w:val="1"/>
          <w:iCs w:val="1"/>
          <w:color w:val="auto"/>
        </w:rPr>
        <w:t>In re Marvell Technology Group Ltd. Derivative Litigation</w:t>
      </w:r>
      <w:r>
        <w:rPr>
          <w:rFonts w:ascii="Arial" w:cs="Arial" w:eastAsia="Arial" w:hAnsi="Arial"/>
          <w:sz w:val="16"/>
          <w:szCs w:val="16"/>
          <w:color w:val="auto"/>
        </w:rPr>
        <w:t>. The plaintiffs filed an amended and consolidated complaint on November 1, 2006. On January 16, 2007, we filed a motion to dismiss the consolidated complaint for lack of standing or, in the alternative, stay proceedings. Pursuant to stipulations among the parties and orders of the court, our motion is currently scheduled to be heard on November 2, 2007.</w:t>
      </w:r>
    </w:p>
    <w:p>
      <w:pPr>
        <w:spacing w:after="0" w:line="167" w:lineRule="exact"/>
        <w:rPr>
          <w:sz w:val="20"/>
          <w:szCs w:val="20"/>
          <w:color w:val="auto"/>
        </w:rPr>
      </w:pPr>
    </w:p>
    <w:p>
      <w:pPr>
        <w:ind w:right="100" w:firstLine="324"/>
        <w:spacing w:after="0" w:line="257"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Like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us as a nominal defendant and a number of our current and former directors and</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officers as defendants. It seeks to recover damages purportedly sustained by us in connection with our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 re Marvell Technology Group Ltd.</w:t>
      </w:r>
      <w:r>
        <w:rPr>
          <w:rFonts w:ascii="Arial" w:cs="Arial" w:eastAsia="Arial" w:hAnsi="Arial"/>
          <w:sz w:val="18"/>
          <w:szCs w:val="18"/>
          <w:color w:val="auto"/>
        </w:rPr>
        <w:t xml:space="preserve"> </w:t>
      </w:r>
      <w:r>
        <w:rPr>
          <w:rFonts w:ascii="Arial" w:cs="Arial" w:eastAsia="Arial" w:hAnsi="Arial"/>
          <w:sz w:val="18"/>
          <w:szCs w:val="18"/>
          <w:i w:val="1"/>
          <w:iCs w:val="1"/>
          <w:color w:val="auto"/>
        </w:rPr>
        <w:t>Derivative Litigation</w:t>
      </w:r>
      <w:r>
        <w:rPr>
          <w:rFonts w:ascii="Arial" w:cs="Arial" w:eastAsia="Arial" w:hAnsi="Arial"/>
          <w:sz w:val="18"/>
          <w:szCs w:val="18"/>
          <w:color w:val="auto"/>
        </w:rPr>
        <w:t>.</w:t>
      </w:r>
    </w:p>
    <w:p>
      <w:pPr>
        <w:spacing w:after="0" w:line="200" w:lineRule="exact"/>
        <w:rPr>
          <w:sz w:val="20"/>
          <w:szCs w:val="20"/>
          <w:color w:val="auto"/>
        </w:rPr>
      </w:pPr>
    </w:p>
    <w:p>
      <w:pPr>
        <w:spacing w:after="0" w:line="2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our motion to dismiss.</w:t>
      </w:r>
    </w:p>
    <w:p>
      <w:pPr>
        <w:spacing w:after="0" w:line="225" w:lineRule="exact"/>
        <w:rPr>
          <w:sz w:val="20"/>
          <w:szCs w:val="20"/>
          <w:color w:val="auto"/>
        </w:rPr>
      </w:pPr>
    </w:p>
    <w:p>
      <w:pPr>
        <w:ind w:right="100" w:firstLine="324"/>
        <w:spacing w:after="0" w:line="291" w:lineRule="auto"/>
        <w:rPr>
          <w:sz w:val="20"/>
          <w:szCs w:val="20"/>
          <w:color w:val="auto"/>
        </w:rPr>
      </w:pPr>
      <w:r>
        <w:rPr>
          <w:rFonts w:ascii="Arial" w:cs="Arial" w:eastAsia="Arial" w:hAnsi="Arial"/>
          <w:sz w:val="16"/>
          <w:szCs w:val="16"/>
          <w:i w:val="1"/>
          <w:iCs w:val="1"/>
          <w:color w:val="auto"/>
        </w:rPr>
        <w:t>Securities Litigation</w:t>
      </w:r>
      <w:r>
        <w:rPr>
          <w:rFonts w:ascii="Arial" w:cs="Arial" w:eastAsia="Arial" w:hAnsi="Arial"/>
          <w:sz w:val="16"/>
          <w:szCs w:val="16"/>
          <w:color w:val="auto"/>
        </w:rPr>
        <w:t>. Between October 5, 2006 and November 13, 2006, four putative class actions were filed in the United States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Northern District of California against us and certain of our officers and directors. The complaints allege that we and certain of our officers and directors violated the federal securities laws by making false and misleading statements and omissions relating to the grants of stock options. The complaints seek, on behalf of persons who purchased our common stock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The plaintiffs filed an amended complaint on August 16, 2007. Pursuant to stipulation and by order of the court, defendants have 45 days to respond to the complaint.</w:t>
      </w:r>
    </w:p>
    <w:p>
      <w:pPr>
        <w:spacing w:after="0" w:line="167" w:lineRule="exact"/>
        <w:rPr>
          <w:sz w:val="20"/>
          <w:szCs w:val="20"/>
          <w:color w:val="auto"/>
        </w:rPr>
      </w:pPr>
    </w:p>
    <w:p>
      <w:pPr>
        <w:ind w:right="40" w:firstLine="324"/>
        <w:spacing w:after="0" w:line="297" w:lineRule="auto"/>
        <w:rPr>
          <w:sz w:val="20"/>
          <w:szCs w:val="20"/>
          <w:color w:val="auto"/>
        </w:rPr>
      </w:pPr>
      <w:r>
        <w:rPr>
          <w:rFonts w:ascii="Arial" w:cs="Arial" w:eastAsia="Arial" w:hAnsi="Arial"/>
          <w:sz w:val="16"/>
          <w:szCs w:val="16"/>
          <w:i w:val="1"/>
          <w:iCs w:val="1"/>
          <w:color w:val="auto"/>
        </w:rPr>
        <w:t xml:space="preserve">SEC and United States Attorney Inquiries. </w:t>
      </w:r>
      <w:r>
        <w:rPr>
          <w:rFonts w:ascii="Arial" w:cs="Arial" w:eastAsia="Arial" w:hAnsi="Arial"/>
          <w:sz w:val="16"/>
          <w:szCs w:val="16"/>
          <w:color w:val="auto"/>
        </w:rPr>
        <w:t>In July 2006, we received a letter of informal inquiry from the Securities and Exchange Commission (“SEC”)</w:t>
      </w:r>
      <w:r>
        <w:rPr>
          <w:rFonts w:ascii="Arial" w:cs="Arial" w:eastAsia="Arial" w:hAnsi="Arial"/>
          <w:sz w:val="16"/>
          <w:szCs w:val="16"/>
          <w:i w:val="1"/>
          <w:iCs w:val="1"/>
          <w:color w:val="auto"/>
        </w:rPr>
        <w:t xml:space="preserve"> </w:t>
      </w:r>
      <w:r>
        <w:rPr>
          <w:rFonts w:ascii="Arial" w:cs="Arial" w:eastAsia="Arial" w:hAnsi="Arial"/>
          <w:sz w:val="16"/>
          <w:szCs w:val="16"/>
          <w:color w:val="auto"/>
        </w:rPr>
        <w:t>requesting certain documents relating to our stock option grants and practices. We also received a grand jury subpoena from the office of the United States Attorney for the Northern District of California requesting substantially similar documents. On April 20, 2007, we were informed that the SEC is now conducting a formal investigation in this matter. On June 8, 2007 and July 3, 2007, we received document subpoenas from the SEC. We have cooperated with the SEC and the United States Attorney regarding these matters and intend to continue to do so. We cannot predict the outcome of these investigations.</w:t>
      </w:r>
    </w:p>
    <w:p>
      <w:pPr>
        <w:spacing w:after="0" w:line="158"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 xml:space="preserve">General. </w:t>
      </w:r>
      <w:r>
        <w:rPr>
          <w:rFonts w:ascii="Arial" w:cs="Arial" w:eastAsia="Arial" w:hAnsi="Arial"/>
          <w:sz w:val="18"/>
          <w:szCs w:val="18"/>
          <w:color w:val="auto"/>
        </w:rPr>
        <w:t>We are also party to other legal proceedings and claims arising in the normal course of business.</w:t>
      </w:r>
    </w:p>
    <w:p>
      <w:pPr>
        <w:spacing w:after="0" w:line="225" w:lineRule="exact"/>
        <w:rPr>
          <w:sz w:val="20"/>
          <w:szCs w:val="20"/>
          <w:color w:val="auto"/>
        </w:rPr>
      </w:pPr>
    </w:p>
    <w:p>
      <w:pPr>
        <w:ind w:right="100" w:firstLine="324"/>
        <w:spacing w:after="0" w:line="271" w:lineRule="auto"/>
        <w:rPr>
          <w:sz w:val="20"/>
          <w:szCs w:val="20"/>
          <w:color w:val="auto"/>
        </w:rPr>
      </w:pPr>
      <w:r>
        <w:rPr>
          <w:rFonts w:ascii="Arial" w:cs="Arial" w:eastAsia="Arial" w:hAnsi="Arial"/>
          <w:sz w:val="17"/>
          <w:szCs w:val="17"/>
          <w:color w:val="auto"/>
        </w:rPr>
        <w:t>The legal proceedings and claims described above could result in substantial costs and could divert the attention and resources of our management. Although the legal responsibility and financial impact with respect to these proceedings and claims cannot currently be ascertained, we do not believe that these matters will result in our payment of monetary damages, net of any applicable insurance proceeds, that in the aggregate would be material in relation to our consolidated financial position or results of operations. However, litigation is subject to inherent uncertainties and unfavorable rulings could occur. An unfavorable ruling in litigation could require us to pay damages or one-time license fees or royalty payments, which could adversely impact gross margins in future periods, or could prevent us from manufacturing or selling some of our products or limit or restrict the type of work that employees involved in such litigation may perform for us. There can be no assurance that these matters will be resolved in a manner that is not adverse to our business, financial condition, results of operations or cash flows.</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29" w:lineRule="exact"/>
        <w:rPr>
          <w:sz w:val="20"/>
          <w:szCs w:val="20"/>
          <w:color w:val="auto"/>
        </w:rPr>
      </w:pPr>
    </w:p>
    <w:p>
      <w:pPr>
        <w:ind w:right="60" w:firstLine="324"/>
        <w:spacing w:after="0" w:line="312" w:lineRule="auto"/>
        <w:rPr>
          <w:sz w:val="20"/>
          <w:szCs w:val="20"/>
          <w:color w:val="auto"/>
        </w:rPr>
      </w:pPr>
      <w:r>
        <w:rPr>
          <w:rFonts w:ascii="Arial" w:cs="Arial" w:eastAsia="Arial" w:hAnsi="Arial"/>
          <w:sz w:val="16"/>
          <w:szCs w:val="16"/>
          <w:color w:val="auto"/>
        </w:rPr>
        <w:t>In addition to the factors discussed in the “Overview” and “Liquidity and Capital Resources” sections of Item 2 “Management’s Discussion and Analysis of Financial Condition and Results of Operations,” the following are examples of additional factors that may affect our future results. Many of these factors are beyond our control, including but not limited to business cycles and seasonal trends of the computing, semiconductor and related industries.</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Recent changes in our management may cause uncertainty in, or be disruptive to, our business.</w:t>
      </w:r>
    </w:p>
    <w:p>
      <w:pPr>
        <w:spacing w:after="0" w:line="225" w:lineRule="exact"/>
        <w:rPr>
          <w:sz w:val="20"/>
          <w:szCs w:val="20"/>
          <w:color w:val="auto"/>
        </w:rPr>
      </w:pPr>
    </w:p>
    <w:p>
      <w:pPr>
        <w:ind w:right="80" w:firstLine="324"/>
        <w:spacing w:after="0" w:line="342" w:lineRule="auto"/>
        <w:rPr>
          <w:sz w:val="20"/>
          <w:szCs w:val="20"/>
          <w:color w:val="auto"/>
        </w:rPr>
      </w:pPr>
      <w:r>
        <w:rPr>
          <w:rFonts w:ascii="Arial" w:cs="Arial" w:eastAsia="Arial" w:hAnsi="Arial"/>
          <w:sz w:val="16"/>
          <w:szCs w:val="16"/>
          <w:color w:val="auto"/>
        </w:rPr>
        <w:t>We have recently experienced significant changes in our management and our board of directors. In May 2007, our former Chief Financial Officer resigned and our Executive Vice President and Chief Operating Officer, who is one of our co-founders, resigned from those positions and as a member of our</w:t>
      </w:r>
    </w:p>
    <w:p>
      <w:pPr>
        <w:sectPr>
          <w:pgSz w:w="11900" w:h="16935" w:orient="portrait"/>
          <w:cols w:equalWidth="0" w:num="1">
            <w:col w:w="11420"/>
          </w:cols>
          <w:pgMar w:left="240" w:top="125" w:right="239" w:bottom="0" w:gutter="0" w:footer="0" w:header="0"/>
        </w:sectPr>
      </w:pPr>
    </w:p>
    <w:bookmarkStart w:id="31" w:name="page32"/>
    <w:bookmarkEnd w:id="31"/>
    <w:p>
      <w:pPr>
        <w:spacing w:after="0" w:line="287" w:lineRule="auto"/>
        <w:rPr>
          <w:sz w:val="20"/>
          <w:szCs w:val="20"/>
          <w:color w:val="auto"/>
        </w:rPr>
      </w:pPr>
      <w:r>
        <w:rPr>
          <w:rFonts w:ascii="Arial" w:cs="Arial" w:eastAsia="Arial" w:hAnsi="Arial"/>
          <w:sz w:val="16"/>
          <w:szCs w:val="16"/>
          <w:color w:val="auto"/>
        </w:rPr>
        <w:t>board of directors and will continue in a non-management role. Also, the general counsel of our U.S. operating subsidiary was terminated in March 2007. If we cannot recruit qualified permanent replacements for our Chief Operating Officer, Chief Financial Officer and General Counsel positions, our business may suffer. Moreover, we have also commenced a search for new independent directors to fill the three existing vacancies on our board of directors, one of whom will succeed Dr. Sehat Sutardja as Chairman of the Board. In addition, we are searching for a replacement for one of our independent director whose term expires at our next annual general meeting of shareholders and who will not be standing for reelection. These changes in our management and board of directors may be disruptive to our business, and, during the transition period, there may be uncertainty among customers, investors, vendors, employees and others concerning our future direction and performance. Our future success will depend to a significant extent on the ability of our management team to work together effectively. The loss of any of our management or other key personnel could harm our ability to implement our business strategy and respond to the rapidly changing market conditions in which we operate. Moreover, our success will depend on our ability to attract, hire and retain qualified management and other key personnel and on the abilities of the new management personnel to function effectively, both individually and as a group, going forward. If we are unable to attract and retain effective qualified replacements for our key executives and board of directors positions in a timely manner, our business, financial condition, results of operations and cash flows may be adversely affected and our ability to execute our business model could be impaired.</w:t>
      </w:r>
    </w:p>
    <w:p>
      <w:pPr>
        <w:spacing w:after="0" w:line="38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b w:val="1"/>
          <w:bCs w:val="1"/>
          <w:i w:val="1"/>
          <w:iCs w:val="1"/>
          <w:color w:val="auto"/>
        </w:rPr>
        <w:t>A number of our current and former executive officers and directors have been named as parties to several derivative action lawsuits arising from our internal option review, and there is a possibility of additional lawsuits, all of which could require significant management time and attention and result in significant legal expenses.</w:t>
      </w:r>
    </w:p>
    <w:p>
      <w:pPr>
        <w:spacing w:after="0" w:line="181" w:lineRule="exact"/>
        <w:rPr>
          <w:sz w:val="20"/>
          <w:szCs w:val="20"/>
          <w:color w:val="auto"/>
        </w:rPr>
      </w:pPr>
    </w:p>
    <w:p>
      <w:pPr>
        <w:ind w:right="20" w:firstLine="360"/>
        <w:spacing w:after="0" w:line="255" w:lineRule="auto"/>
        <w:rPr>
          <w:sz w:val="20"/>
          <w:szCs w:val="20"/>
          <w:color w:val="auto"/>
        </w:rPr>
      </w:pPr>
      <w:r>
        <w:rPr>
          <w:rFonts w:ascii="Arial" w:cs="Arial" w:eastAsia="Arial" w:hAnsi="Arial"/>
          <w:sz w:val="18"/>
          <w:szCs w:val="18"/>
          <w:color w:val="auto"/>
        </w:rPr>
        <w:t>We are subject to a number of lawsuits purportedly on behalf of us against certain of our current and former executive officers and board members, and we may become the subject of additional private lawsuits. Subject to certain limitations, we are obligated to indemnify our current and former directors, officers and employees in connection with the investigation of our historical stock option practices and such lawsuits. The expenses associated with these lawsuits may be significant, the amount of time to resolve these lawsuits is unpredictable and defending these lawsuits may divert management’s attention from the day-to-day operations of our business, which could have a material adverse effect on our financial condition, business, results of operations and cash flows.</w:t>
      </w:r>
    </w:p>
    <w:p>
      <w:pPr>
        <w:spacing w:after="0" w:line="193" w:lineRule="exact"/>
        <w:rPr>
          <w:sz w:val="20"/>
          <w:szCs w:val="20"/>
          <w:color w:val="auto"/>
        </w:rPr>
      </w:pPr>
    </w:p>
    <w:p>
      <w:pPr>
        <w:ind w:right="340"/>
        <w:spacing w:after="0" w:line="342" w:lineRule="auto"/>
        <w:rPr>
          <w:sz w:val="20"/>
          <w:szCs w:val="20"/>
          <w:color w:val="auto"/>
        </w:rPr>
      </w:pPr>
      <w:r>
        <w:rPr>
          <w:rFonts w:ascii="Arial" w:cs="Arial" w:eastAsia="Arial" w:hAnsi="Arial"/>
          <w:sz w:val="16"/>
          <w:szCs w:val="16"/>
          <w:b w:val="1"/>
          <w:bCs w:val="1"/>
          <w:i w:val="1"/>
          <w:iCs w:val="1"/>
          <w:color w:val="auto"/>
        </w:rPr>
        <w:t>We have been named as a party to several purported class action and derivative lawsuits relating to our past option granting practices, and we may be named in additional litigation, all of which could cause our business, financial condition, results of operations and cash flows to suffer.</w:t>
      </w:r>
    </w:p>
    <w:p>
      <w:pPr>
        <w:spacing w:after="0" w:line="124" w:lineRule="exact"/>
        <w:rPr>
          <w:sz w:val="20"/>
          <w:szCs w:val="20"/>
          <w:color w:val="auto"/>
        </w:rPr>
      </w:pPr>
    </w:p>
    <w:p>
      <w:pPr>
        <w:ind w:firstLine="360"/>
        <w:spacing w:after="0" w:line="291" w:lineRule="auto"/>
        <w:rPr>
          <w:sz w:val="20"/>
          <w:szCs w:val="20"/>
          <w:color w:val="auto"/>
        </w:rPr>
      </w:pPr>
      <w:r>
        <w:rPr>
          <w:rFonts w:ascii="Arial" w:cs="Arial" w:eastAsia="Arial" w:hAnsi="Arial"/>
          <w:sz w:val="16"/>
          <w:szCs w:val="16"/>
          <w:color w:val="auto"/>
        </w:rPr>
        <w:t>We have been named as a nominal defendant in purported shareholder derivative actions that name a number of our current and former directors and officers as defendants and that seek to recover damages purportedly sustained by us in connection with our option granting practices. Further, putative class actions have been filed against us and certain of our officers and directors that allege violations of the federal securities laws and seek to recover damages. We may in the future be subject to additional litigation relating to our past option granting practices. We cannot predict the outcome of these lawsuits. Regardless of the outcome, these lawsuits, and any other litigation that may be brought against us or our directors and officers, could be time consuming, result in significant expense, and divert the attention and resources of our management and other key employees. An unfavorable outcome in such litigation could have a material adverse effect on our business, financial condition, financial results, results of operations and cash flows.</w:t>
      </w:r>
    </w:p>
    <w:p>
      <w:pPr>
        <w:spacing w:after="0" w:line="167" w:lineRule="exact"/>
        <w:rPr>
          <w:sz w:val="20"/>
          <w:szCs w:val="20"/>
          <w:color w:val="auto"/>
        </w:rPr>
      </w:pPr>
    </w:p>
    <w:p>
      <w:pPr>
        <w:ind w:right="60"/>
        <w:spacing w:after="0" w:line="262" w:lineRule="auto"/>
        <w:rPr>
          <w:sz w:val="20"/>
          <w:szCs w:val="20"/>
          <w:color w:val="auto"/>
        </w:rPr>
      </w:pPr>
      <w:r>
        <w:rPr>
          <w:rFonts w:ascii="Arial" w:cs="Arial" w:eastAsia="Arial" w:hAnsi="Arial"/>
          <w:sz w:val="18"/>
          <w:szCs w:val="18"/>
          <w:b w:val="1"/>
          <w:bCs w:val="1"/>
          <w:i w:val="1"/>
          <w:iCs w:val="1"/>
          <w:color w:val="auto"/>
        </w:rPr>
        <w:t xml:space="preserve">Matters related to the internal review of our historical stock option granting practices and the restatement of our financial statements may result in additional litigation, regulatory proceedings and government enforcement actions, </w:t>
      </w:r>
      <w:r>
        <w:rPr>
          <w:rFonts w:ascii="Arial" w:cs="Arial" w:eastAsia="Arial" w:hAnsi="Arial"/>
          <w:sz w:val="17"/>
          <w:szCs w:val="17"/>
          <w:b w:val="1"/>
          <w:bCs w:val="1"/>
          <w:i w:val="1"/>
          <w:iCs w:val="1"/>
          <w:color w:val="auto"/>
        </w:rPr>
        <w:t>and could have a negative impact on our reputation, business, financial</w:t>
      </w:r>
      <w:r>
        <w:rPr>
          <w:rFonts w:ascii="Arial" w:cs="Arial" w:eastAsia="Arial" w:hAnsi="Arial"/>
          <w:sz w:val="18"/>
          <w:szCs w:val="18"/>
          <w:b w:val="1"/>
          <w:bCs w:val="1"/>
          <w:i w:val="1"/>
          <w:iCs w:val="1"/>
          <w:color w:val="auto"/>
        </w:rPr>
        <w:t xml:space="preserve"> </w:t>
      </w:r>
      <w:r>
        <w:rPr>
          <w:rFonts w:ascii="Arial" w:cs="Arial" w:eastAsia="Arial" w:hAnsi="Arial"/>
          <w:sz w:val="17"/>
          <w:szCs w:val="17"/>
          <w:b w:val="1"/>
          <w:bCs w:val="1"/>
          <w:i w:val="1"/>
          <w:iCs w:val="1"/>
          <w:color w:val="auto"/>
        </w:rPr>
        <w:t>condition and financial results.</w:t>
      </w:r>
    </w:p>
    <w:p>
      <w:pPr>
        <w:spacing w:after="0" w:line="186"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Our historical stock option granting practices and the restatement of our financial statements have exposed us to greater risks associated with litigation, regulatory proceedings and government enforcement actions. For more information regarding our current litigation and related inquiries, please see the discussion included in Part II, Item 1 — “Legal Proceedings,” of this Report as well as the other risk factors related to litigation set forth in this section. We have provided the results of our internal review to the Securities and Exchange Commission (“SEC”) and the United States Attorney’s Office for the Northern District of California, and in that regard we have responded to formal and informal requests for documents and additional information. No assurance can be given regarding the outcomes of litigation, regulatory proceedings or government enforcement actions relating to our past stock option practices. The resolution of these matters has been and will be time consuming, expensive, and may distract management from the conduct of our business. Further, if we are subject to adverse findings in litigation, regulatory proceedings or government enforcement actions, we could be required to pay damages or penalties or have other remedies imposed against us, our directors, executive officers or other officers, or employees, which could harm our reputation, business, financial condition, results of operations and cash flows.</w:t>
      </w:r>
    </w:p>
    <w:p>
      <w:pPr>
        <w:spacing w:after="0" w:line="178" w:lineRule="exact"/>
        <w:rPr>
          <w:sz w:val="20"/>
          <w:szCs w:val="20"/>
          <w:color w:val="auto"/>
        </w:rPr>
      </w:pPr>
    </w:p>
    <w:p>
      <w:pPr>
        <w:ind w:right="20" w:firstLine="360"/>
        <w:spacing w:after="0" w:line="257" w:lineRule="auto"/>
        <w:rPr>
          <w:sz w:val="20"/>
          <w:szCs w:val="20"/>
          <w:color w:val="auto"/>
        </w:rPr>
      </w:pPr>
      <w:r>
        <w:rPr>
          <w:rFonts w:ascii="Arial" w:cs="Arial" w:eastAsia="Arial" w:hAnsi="Arial"/>
          <w:sz w:val="18"/>
          <w:szCs w:val="18"/>
          <w:color w:val="auto"/>
        </w:rPr>
        <w:t>The restatement of our financial statements, the findings and recommendations of our Special Committee, the ongoing government investigations, and the pending derivative and class actions could have a negative impact on our relationships with customers, suppliers and business partners, our ability to generate revenue, our ability to obtain director and officer insurance coverage, our ability to attract and retain employees, officers, and directors, our ability to access debt and equity markets, investor confidence in the board and management, and our revenue, net income, expenses, results of operations, profitability, earnings-per-share, and cash flows.</w:t>
      </w:r>
    </w:p>
    <w:p>
      <w:pPr>
        <w:spacing w:after="0" w:line="188" w:lineRule="exact"/>
        <w:rPr>
          <w:sz w:val="20"/>
          <w:szCs w:val="20"/>
          <w:color w:val="auto"/>
        </w:rPr>
      </w:pPr>
    </w:p>
    <w:p>
      <w:pPr>
        <w:ind w:right="60" w:firstLine="324"/>
        <w:spacing w:after="0" w:line="279" w:lineRule="auto"/>
        <w:rPr>
          <w:sz w:val="20"/>
          <w:szCs w:val="20"/>
          <w:color w:val="auto"/>
        </w:rPr>
      </w:pPr>
      <w:r>
        <w:rPr>
          <w:rFonts w:ascii="Arial" w:cs="Arial" w:eastAsia="Arial" w:hAnsi="Arial"/>
          <w:sz w:val="17"/>
          <w:szCs w:val="17"/>
          <w:color w:val="auto"/>
        </w:rPr>
        <w:t>In addition, while we believe that we have, in completing the restatement of our financial statements, made appropriate judgments in determining the correct measurement dates and disclosures relating to our stock option investigation, the SEC may disagree with the manner in which we reported the results of the investigation or accounted for and reported, or did not report, the corresponding financial impact. Accordingly, it is possible that we will be required to restate further our prior financial statements, amend prior filings with the SEC, or take other actions not currently contemplated.</w:t>
      </w:r>
    </w:p>
    <w:p>
      <w:pPr>
        <w:spacing w:after="0" w:line="3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139"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ectPr>
          <w:pgSz w:w="11900" w:h="16838" w:orient="portrait"/>
          <w:cols w:equalWidth="0" w:num="1">
            <w:col w:w="11400"/>
          </w:cols>
          <w:pgMar w:left="240" w:top="125" w:right="259" w:bottom="139" w:gutter="0" w:footer="0" w:header="0"/>
          <w:type w:val="continuous"/>
        </w:sectPr>
      </w:pPr>
    </w:p>
    <w:bookmarkStart w:id="32" w:name="page33"/>
    <w:bookmarkEnd w:id="32"/>
    <w:p>
      <w:pPr>
        <w:spacing w:after="0" w:line="51" w:lineRule="exact"/>
        <w:rPr>
          <w:sz w:val="20"/>
          <w:szCs w:val="20"/>
          <w:color w:val="auto"/>
        </w:rPr>
      </w:pPr>
    </w:p>
    <w:p>
      <w:pPr>
        <w:ind w:firstLine="324"/>
        <w:spacing w:after="0" w:line="283"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as amended.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we were not named as a defendant, plaintiffs allege that the defendants violated various provisions of the Securities Act of 1933, as amended and the Securities Exchange Act of 1934, as amended.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granted the motions in part and denied them in part, thus allowing the case to proceed against the underwriters and us as to alleged violations of Section 11 of the Securities Act of 1933, as amended and Section 10(b) of the Securities Exchange Act of 1934, as amended.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approved the proposed settlement, which if approved by the court would result in the plaintiffs’ dismissing the case against us and granting releases that extend to all of our officers and directors. Definitive settlement documentation were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Private Securities Litigation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 2006 due to difficulties in mailing the required notice to class members. A final settlement approval hearing on the proposed issuer settlement was held on April 24, 2006. The court took the matter under submission. Meanwhile the consolidated case against the underwriters proceeded. On October 2004, the district court certified a class. On December 5, 2006, however, the United States Court of Appeals for the Second Circuit reversed, holding that a class could not be certified. The Second Circuit’s holding, while directly affecting only the underwriters, raises some doubt as to whether the settlement class contemplated by the proposed issuer settlement would be approved in its present form. On January 5, 2007, plaintiffs petitioned the Second Circuit for rehearing of the Second Circuit’s decision. On April 6, 2007, the Second Circuit denied the petition. At a status conference on April 23, 2007, the district court suggested that the issuers’ settlement could not be approved in its present form, given the Second Circuit’s ruling. On June 25, 2007, a stipulation terminating the settlement was filed. On September 27, 2007, Plaintiffs will file their opening brief on the motion to certify the classes. On December 21, 2007, responsive briefs are due. On February 15, 2008, reply briefs are due.</w:t>
      </w:r>
    </w:p>
    <w:p>
      <w:pPr>
        <w:spacing w:after="0" w:line="188" w:lineRule="exact"/>
        <w:rPr>
          <w:sz w:val="20"/>
          <w:szCs w:val="20"/>
          <w:color w:val="auto"/>
        </w:rPr>
      </w:pPr>
    </w:p>
    <w:p>
      <w:pPr>
        <w:ind w:right="100" w:firstLine="360"/>
        <w:spacing w:after="0" w:line="257"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additional securities litigation. Any securities litigation could result in substantial costs, could divert the attention and resources of our management, and could have a material adverse effect on our reputation, business, financial condition, financial results, results of operations and cash flows.</w:t>
      </w:r>
    </w:p>
    <w:p>
      <w:pPr>
        <w:spacing w:after="0" w:line="188"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b w:val="1"/>
          <w:bCs w:val="1"/>
          <w:i w:val="1"/>
          <w:iCs w:val="1"/>
          <w:color w:val="auto"/>
        </w:rPr>
        <w:t>We have had material weaknesses in internal control over financial reporting and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timely and investors may lose confidence in our reported financial information, which could lead to a decline in our stock price.</w:t>
      </w:r>
    </w:p>
    <w:p>
      <w:pPr>
        <w:spacing w:after="0" w:line="187" w:lineRule="exact"/>
        <w:rPr>
          <w:sz w:val="20"/>
          <w:szCs w:val="20"/>
          <w:color w:val="auto"/>
        </w:rPr>
      </w:pPr>
    </w:p>
    <w:p>
      <w:pPr>
        <w:ind w:right="260" w:firstLine="324"/>
        <w:spacing w:after="0" w:line="259" w:lineRule="auto"/>
        <w:rPr>
          <w:sz w:val="20"/>
          <w:szCs w:val="20"/>
          <w:color w:val="auto"/>
        </w:rPr>
      </w:pPr>
      <w:r>
        <w:rPr>
          <w:rFonts w:ascii="Arial" w:cs="Arial" w:eastAsia="Arial" w:hAnsi="Arial"/>
          <w:sz w:val="18"/>
          <w:szCs w:val="18"/>
          <w:color w:val="auto"/>
        </w:rPr>
        <w:t>We have assessed that we have had material weaknesses in internal control over financial reporting.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color w:val="auto"/>
        </w:rPr>
        <w:t>Our management, including our Chief Executive Officer and interim Chief Financial Officer, does not expect that our internal control over financial reporting will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Because of the inherent limitations in all control systems, no evaluation of controls can provide absolute assurance that all control issues and instances of fraud, if any, involving us have been, or will be, detected. These inherent limitations include the realities that judgments in decision making can be faulty, breakdowns can occur because of simple error or mistake and errors discovered by personnel within control systems may not be properly disclosed and addressed. Controls can also be circumvented by the individual 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73" w:lineRule="exact"/>
        <w:rPr>
          <w:sz w:val="20"/>
          <w:szCs w:val="20"/>
          <w:color w:val="auto"/>
        </w:rPr>
      </w:pPr>
    </w:p>
    <w:p>
      <w:pPr>
        <w:ind w:firstLine="324"/>
        <w:spacing w:after="0" w:line="288" w:lineRule="auto"/>
        <w:rPr>
          <w:sz w:val="20"/>
          <w:szCs w:val="20"/>
          <w:color w:val="auto"/>
        </w:rPr>
      </w:pPr>
      <w:r>
        <w:rPr>
          <w:rFonts w:ascii="Arial" w:cs="Arial" w:eastAsia="Arial" w:hAnsi="Arial"/>
          <w:sz w:val="16"/>
          <w:szCs w:val="16"/>
          <w:color w:val="auto"/>
        </w:rPr>
        <w:t>We cannot assure you that significant deficiencies or material weaknesses in our internal control over financial reporting will not be identified in the future. We may not be able to effectively and timely implement necessary control changes and employee training to ensure continued compliance with the Sarbanes-Oxley Act and other regulatory and reporting requirements. Our rapid growth and numerous acquisitions in recent periods, and our possible future expansion through additional acquisitions, present challenges to maintain the internal control and disclosure control standards applicable to public companies. Any failure to maintain or implement required new or improved controls, or any difficulties we encounter in their implementation, could result in significant deficiencies or material weaknesses, cause us to fail to timely meet our periodic reporting obligations, or result in material misstatements in our financial statements. Any such failure could also adversely affect the results of periodic management evaluations and annual auditor attestation reports regarding disclosure controls and the effectiveness of our internal control over financial reporting required under the Sarbanes-Oxley Act. The existence of a material weakness could result in errors in our financial statements that could result in a restatement of financial statements, cause us to fail to timely meet our reporting obligations and cause investors to lose confidence in our reported financial information, leading to a decline in our stock price. If we fail to</w:t>
      </w:r>
    </w:p>
    <w:p>
      <w:pPr>
        <w:sectPr>
          <w:pgSz w:w="11900" w:h="16890" w:orient="portrait"/>
          <w:cols w:equalWidth="0" w:num="1">
            <w:col w:w="11420"/>
          </w:cols>
          <w:pgMar w:left="240" w:top="125" w:right="239" w:bottom="0" w:gutter="0" w:footer="0" w:header="0"/>
        </w:sectPr>
      </w:pPr>
    </w:p>
    <w:bookmarkStart w:id="33" w:name="page34"/>
    <w:bookmarkEnd w:id="33"/>
    <w:p>
      <w:pPr>
        <w:spacing w:after="0" w:line="33" w:lineRule="exact"/>
        <w:rPr>
          <w:sz w:val="20"/>
          <w:szCs w:val="20"/>
          <w:color w:val="auto"/>
        </w:rPr>
      </w:pPr>
    </w:p>
    <w:p>
      <w:pPr>
        <w:ind w:right="380"/>
        <w:spacing w:after="0" w:line="286" w:lineRule="auto"/>
        <w:rPr>
          <w:sz w:val="20"/>
          <w:szCs w:val="20"/>
          <w:color w:val="auto"/>
        </w:rPr>
      </w:pPr>
      <w:r>
        <w:rPr>
          <w:rFonts w:ascii="Arial" w:cs="Arial" w:eastAsia="Arial" w:hAnsi="Arial"/>
          <w:sz w:val="17"/>
          <w:szCs w:val="17"/>
          <w:color w:val="auto"/>
        </w:rPr>
        <w:t>maintain effective internal controls, we could be subject to regulatory scrutiny and sanctions and investors could lose confidence in the accuracy and completeness of our financial reports. We cannot assure you that we will be able to fully comply with the requirements of the Sarbanes-Oxley Act or that management or our auditors will conclude that our internal control over financial reporting is effective in future periods.</w:t>
      </w:r>
    </w:p>
    <w:p>
      <w:pPr>
        <w:spacing w:after="0" w:line="166" w:lineRule="exact"/>
        <w:rPr>
          <w:sz w:val="20"/>
          <w:szCs w:val="20"/>
          <w:color w:val="auto"/>
        </w:rPr>
      </w:pPr>
    </w:p>
    <w:p>
      <w:pPr>
        <w:ind w:right="40"/>
        <w:spacing w:after="0" w:line="342" w:lineRule="auto"/>
        <w:rPr>
          <w:sz w:val="20"/>
          <w:szCs w:val="20"/>
          <w:color w:val="auto"/>
        </w:rPr>
      </w:pPr>
      <w:r>
        <w:rPr>
          <w:rFonts w:ascii="Arial" w:cs="Arial" w:eastAsia="Arial" w:hAnsi="Arial"/>
          <w:sz w:val="16"/>
          <w:szCs w:val="16"/>
          <w:b w:val="1"/>
          <w:bCs w:val="1"/>
          <w:i w:val="1"/>
          <w:iCs w:val="1"/>
          <w:color w:val="auto"/>
        </w:rPr>
        <w:t>We are obligated to purchase and pre-pay for specified volumes of wafers from Intel Corporation which will adversely affect our cash flow and could lead to inventory write-downs and related charges to our earnings, but Intel is not obligated to increase supply if we encounter unexpected demand.</w:t>
      </w:r>
    </w:p>
    <w:p>
      <w:pPr>
        <w:spacing w:after="0" w:line="124"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In connection with our acquisition of Intel’s communications and application processor business, we entered into a supply agreement with Intel in an effort to secure supplies of the products and wafers that we will need to sell the acquired product lines. Under the terms of the supply agreement we have committed to purchase and Intel has agreed to supply, through June 2008, a minimum number of wafers at fixed prices. If at the end of any Intel fiscal quarter, there is a shortfall between the quantity of supply ordered by us and the quantities of supply required under the supply agreement commitment, Intel can invoice us for the shortfall and will deliver the corresponding quantity upon receipt of payment from us. The agreement requires us to prepay for certain wafers six months in advance of delivery and issue non-cancellable purchase orders at least six months in advance of requested delivery dates for all purchases under the supply agreement.</w:t>
      </w:r>
    </w:p>
    <w:p>
      <w:pPr>
        <w:spacing w:after="0" w:line="189" w:lineRule="exact"/>
        <w:rPr>
          <w:sz w:val="20"/>
          <w:szCs w:val="20"/>
          <w:color w:val="auto"/>
        </w:rPr>
      </w:pPr>
    </w:p>
    <w:p>
      <w:pPr>
        <w:ind w:right="120" w:firstLine="324"/>
        <w:spacing w:after="0" w:line="255" w:lineRule="auto"/>
        <w:rPr>
          <w:sz w:val="20"/>
          <w:szCs w:val="20"/>
          <w:color w:val="auto"/>
        </w:rPr>
      </w:pPr>
      <w:r>
        <w:rPr>
          <w:rFonts w:ascii="Arial" w:cs="Arial" w:eastAsia="Arial" w:hAnsi="Arial"/>
          <w:sz w:val="18"/>
          <w:szCs w:val="18"/>
          <w:color w:val="auto"/>
        </w:rPr>
        <w:t>The supply agreement contractually commits us to purchase supply from Intel regardless of future end customer demand for these products. The amount of wafers we committed to purchase was largely based on our forecasted demand over an extended period of time. Forecasting demand over such a period of time is difficult and is subject to many risks. Moreover, the data used in forecasting the demand was derived from information represented to us during our due diligence of the Intel communications and application processor business. If the information was incomplete or inaccurate or if the demand in volume changes and or there are delays in consuming the wafers, we may incur additional charges for excess inventory purchases and commitments which could be material.</w:t>
      </w:r>
    </w:p>
    <w:p>
      <w:pPr>
        <w:spacing w:after="0" w:line="200" w:lineRule="exact"/>
        <w:rPr>
          <w:sz w:val="20"/>
          <w:szCs w:val="20"/>
          <w:color w:val="auto"/>
        </w:rPr>
      </w:pP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The supply agreement also requires us to purchase inventory earlier than anticipated product shipments to our customers. As a result, we expect our inventory balances for these products to increase, resulting in higher inventory balances and the associated carrying costs. Additionally, these higher levels of inventory increase our risk of holding excess and obsolete inventory. This could harm our business, results of operations and cash flows by leading to inventory write-downs and related charges to our earnings.</w:t>
      </w:r>
    </w:p>
    <w:p>
      <w:pPr>
        <w:spacing w:after="0" w:line="187" w:lineRule="exact"/>
        <w:rPr>
          <w:sz w:val="20"/>
          <w:szCs w:val="20"/>
          <w:color w:val="auto"/>
        </w:rPr>
      </w:pPr>
    </w:p>
    <w:p>
      <w:pPr>
        <w:ind w:right="100" w:firstLine="324"/>
        <w:spacing w:after="0" w:line="264" w:lineRule="auto"/>
        <w:rPr>
          <w:sz w:val="20"/>
          <w:szCs w:val="20"/>
          <w:color w:val="auto"/>
        </w:rPr>
      </w:pPr>
      <w:r>
        <w:rPr>
          <w:rFonts w:ascii="Arial" w:cs="Arial" w:eastAsia="Arial" w:hAnsi="Arial"/>
          <w:sz w:val="18"/>
          <w:szCs w:val="18"/>
          <w:color w:val="auto"/>
        </w:rPr>
        <w:t>The supply agreement also limits the amount of product that Intel is required to supply to us. If we experience an increase in demand, we might not be able to secure enough supply from Intel to meet that demand. This would lead to lost sales in the short term as well as the long term due to possible customer dissatisfaction.</w:t>
      </w:r>
    </w:p>
    <w:p>
      <w:pPr>
        <w:spacing w:after="0" w:line="181" w:lineRule="exact"/>
        <w:rPr>
          <w:sz w:val="20"/>
          <w:szCs w:val="20"/>
          <w:color w:val="auto"/>
        </w:rPr>
      </w:pPr>
    </w:p>
    <w:p>
      <w:pPr>
        <w:jc w:val="both"/>
        <w:ind w:right="220"/>
        <w:spacing w:after="0" w:line="264" w:lineRule="auto"/>
        <w:rPr>
          <w:sz w:val="20"/>
          <w:szCs w:val="20"/>
          <w:color w:val="auto"/>
        </w:rPr>
      </w:pPr>
      <w:r>
        <w:rPr>
          <w:rFonts w:ascii="Arial" w:cs="Arial" w:eastAsia="Arial" w:hAnsi="Arial"/>
          <w:sz w:val="18"/>
          <w:szCs w:val="18"/>
          <w:b w:val="1"/>
          <w:bCs w:val="1"/>
          <w:i w:val="1"/>
          <w:iCs w:val="1"/>
          <w:color w:val="auto"/>
        </w:rPr>
        <w:t>If we are unable to quickly and successfully transition away from reliance on the supply agreement with Intel Corporation and secure other production capacity for our communications and application processor business, our gross margins will be harmed and we could lose a significant portion of that business.</w:t>
      </w:r>
    </w:p>
    <w:p>
      <w:pPr>
        <w:spacing w:after="0" w:line="181" w:lineRule="exact"/>
        <w:rPr>
          <w:sz w:val="20"/>
          <w:szCs w:val="20"/>
          <w:color w:val="auto"/>
        </w:rPr>
      </w:pPr>
    </w:p>
    <w:p>
      <w:pPr>
        <w:ind w:right="20" w:firstLine="324"/>
        <w:spacing w:after="0" w:line="268" w:lineRule="auto"/>
        <w:rPr>
          <w:sz w:val="20"/>
          <w:szCs w:val="20"/>
          <w:color w:val="auto"/>
        </w:rPr>
      </w:pPr>
      <w:r>
        <w:rPr>
          <w:rFonts w:ascii="Arial" w:cs="Arial" w:eastAsia="Arial" w:hAnsi="Arial"/>
          <w:sz w:val="17"/>
          <w:szCs w:val="17"/>
          <w:color w:val="auto"/>
        </w:rPr>
        <w:t>Our supply agreement with Intel was entered into to secure a supply of wafers and products during a transition period while we arranged for our independent foundries and other contractors to begin fabrication, assembly and test for these products. We record the cellular and handset inventory that we are contractually obligated to purchase under the Intel supply agreement at estimated fair value as required under purchase accounting. However, because of the long lead times necessary to transition the production of wafers and products to other foundries, we anticipate that in the future we will source cellular and handset inventory under the Intel supply agreement and that such purchases will in significant part be beyond our minimum committed levels under the agreement. We will record such inventory at cost, which will adversely impact our gross margins relative to periods where we only purchased inventory at the minimum committed level. If we cannot complete the transition of production of wafers and products in a timely manner and must continue to purchase inventory pursuant to the Intel supply agreement beyond our minimum committed level, our gross margins and results of operations will suffer. Moreover, Intel is only obligated to supply specified quantities of product for a limited amount of time, no later than June 2008. Some of these products are at earlier stages in their new product introduction processes, where manufacturing yields are not yet consistent and changes to the design and processes may still have to be made. This can make the transition of the manufacture of these products to independent foundries and other contractors more complicated and expensive. If we do not successfully transition the production of the wafers and products to independent foundries and other contractors, we will be unable to meet customer demand for these products. This could result in a material decline in revenues, net income, and cash flow. Additionally, our customers could become dissatisfied with us and not continue to use our products if and when we were able to resume providing them with products or if the newly transitioned products would require extended customer re-qualification.</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There are numerous risks with our acquisition of the Intel communications and application processor business</w:t>
      </w:r>
      <w:r>
        <w:rPr>
          <w:rFonts w:ascii="Arial" w:cs="Arial" w:eastAsia="Arial" w:hAnsi="Arial"/>
          <w:sz w:val="18"/>
          <w:szCs w:val="18"/>
          <w:color w:val="auto"/>
        </w:rPr>
        <w:t>.</w:t>
      </w:r>
    </w:p>
    <w:p>
      <w:pPr>
        <w:spacing w:after="0" w:line="225" w:lineRule="exact"/>
        <w:rPr>
          <w:sz w:val="20"/>
          <w:szCs w:val="20"/>
          <w:color w:val="auto"/>
        </w:rPr>
      </w:pPr>
    </w:p>
    <w:p>
      <w:pPr>
        <w:ind w:right="160" w:firstLine="324"/>
        <w:spacing w:after="0" w:line="257" w:lineRule="auto"/>
        <w:rPr>
          <w:sz w:val="20"/>
          <w:szCs w:val="20"/>
          <w:color w:val="auto"/>
        </w:rPr>
      </w:pPr>
      <w:r>
        <w:rPr>
          <w:rFonts w:ascii="Arial" w:cs="Arial" w:eastAsia="Arial" w:hAnsi="Arial"/>
          <w:sz w:val="18"/>
          <w:szCs w:val="18"/>
          <w:color w:val="auto"/>
        </w:rPr>
        <w:t>We face significant challenges in connection with the integration of the Intel communications and application processor business that we acquired in fiscal year 2007. We have incurred substantial direct transaction costs as a result of this acquisition and anticipate incurring substantial additional costs to support the integration of the Intel communications and application processor business. Moreover, this acquisition could fail to produce anticipated benefits, or could result in unforeseen liabilities or expenses such as impairment charges of acquired assets and goodwill or other adverse effects that we currently do not foresee, which could harm our business and operating results.</w:t>
      </w:r>
    </w:p>
    <w:p>
      <w:pPr>
        <w:spacing w:after="0" w:line="188" w:lineRule="exact"/>
        <w:rPr>
          <w:sz w:val="20"/>
          <w:szCs w:val="20"/>
          <w:color w:val="auto"/>
        </w:rPr>
      </w:pPr>
    </w:p>
    <w:p>
      <w:pPr>
        <w:ind w:right="160" w:firstLine="324"/>
        <w:spacing w:after="0" w:line="297" w:lineRule="auto"/>
        <w:rPr>
          <w:sz w:val="20"/>
          <w:szCs w:val="20"/>
          <w:color w:val="auto"/>
        </w:rPr>
      </w:pPr>
      <w:r>
        <w:rPr>
          <w:rFonts w:ascii="Arial" w:cs="Arial" w:eastAsia="Arial" w:hAnsi="Arial"/>
          <w:sz w:val="16"/>
          <w:szCs w:val="16"/>
          <w:color w:val="auto"/>
        </w:rPr>
        <w:t>The integration of these business assets and personnel has been and will continue to be a time consuming and expensive process that may disrupt our operations if it is not completed in a timely and efficient manner. If customers do not accept or are dissatisfied with the way we have integrated the manufacturing processes of the business, they may adopt competing products and solutions. If our integration efforts are not successful, our results of operations could be harmed, employee morale could decline, key employees could leave, and customer relations could be damaged. In addition, we may not achieve anticipated synergies or other benefits. The total cost of the integration may exceed our expectations, which would harm our operating results.</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225"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In November 2006, we completed our acquisition of the communications and application processor business of Intel. In May 2006 we acquired the printer semiconductor division of Avago Technologies, Pte., as well as certain intellectual property and property and equipment from another company, and in 2005, we acquired the hard disk and tape drive controller semiconductor business of QLogic Corporation and the semiconductor design business division of UTStarcom, Inc.</w:t>
      </w:r>
    </w:p>
    <w:p>
      <w:pPr>
        <w:sectPr>
          <w:pgSz w:w="11900" w:h="16872" w:orient="portrait"/>
          <w:cols w:equalWidth="0" w:num="1">
            <w:col w:w="11420"/>
          </w:cols>
          <w:pgMar w:left="240" w:top="125" w:right="239" w:bottom="0" w:gutter="0" w:footer="0" w:header="0"/>
        </w:sectPr>
      </w:pPr>
    </w:p>
    <w:bookmarkStart w:id="34" w:name="page35"/>
    <w:bookmarkEnd w:id="34"/>
    <w:p>
      <w:pPr>
        <w:ind w:right="40" w:firstLine="324"/>
        <w:spacing w:after="0" w:line="272" w:lineRule="auto"/>
        <w:rPr>
          <w:sz w:val="20"/>
          <w:szCs w:val="20"/>
          <w:color w:val="auto"/>
        </w:rPr>
      </w:pPr>
      <w:r>
        <w:rPr>
          <w:rFonts w:ascii="Arial" w:cs="Arial" w:eastAsia="Arial" w:hAnsi="Arial"/>
          <w:sz w:val="17"/>
          <w:szCs w:val="17"/>
          <w:color w:val="auto"/>
        </w:rPr>
        <w:t>Any of these acquisitions, as well as acquisitions in the future, could materially harm our operating results or liquidity as a result of possible concurrent issuances of dilutive equity securities or payment of cash. In addition, the purchase price of any acquired businesses may exceed the current fair values of the net tangible assets of the acquired businesses. As a result, we would be required to record material amounts of goodwill, and acquired in-process research and development charges and other intangible assets, which could result in significant impairment and acquired in-process research and development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3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324"/>
        <w:spacing w:after="0" w:line="271" w:lineRule="auto"/>
        <w:rPr>
          <w:sz w:val="20"/>
          <w:szCs w:val="20"/>
          <w:color w:val="auto"/>
        </w:rPr>
      </w:pPr>
      <w:r>
        <w:rPr>
          <w:rFonts w:ascii="Arial" w:cs="Arial" w:eastAsia="Arial" w:hAnsi="Arial"/>
          <w:sz w:val="17"/>
          <w:szCs w:val="17"/>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If presently unforeseen events or changes in circumstances arise which indicate that the carrying value of our goodwill or other intangible assets may not be recoverable, we will be required to perform impairment reviews of these assets, which have carrying values of approximately $2.5 billion as of July 28, 2007. An impairment review could result in a write-down of all or a portion of these assets to their fair values. We intend to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79"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b w:val="1"/>
          <w:bCs w:val="1"/>
          <w:i w:val="1"/>
          <w:iCs w:val="1"/>
          <w:color w:val="auto"/>
        </w:rPr>
        <w:t>We have made and may continue to make acquisitions and investments which could divert management’s attention, cause ownership dilution to our stockholders, be difficult to integrate and adversely affect our financial results.</w:t>
      </w:r>
    </w:p>
    <w:p>
      <w:pPr>
        <w:spacing w:after="0" w:line="170" w:lineRule="exact"/>
        <w:rPr>
          <w:sz w:val="20"/>
          <w:szCs w:val="20"/>
          <w:color w:val="auto"/>
        </w:rPr>
      </w:pPr>
    </w:p>
    <w:p>
      <w:pPr>
        <w:ind w:right="20" w:firstLine="324"/>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54" w:lineRule="exact"/>
        <w:rPr>
          <w:sz w:val="20"/>
          <w:szCs w:val="20"/>
          <w:color w:val="auto"/>
        </w:rPr>
      </w:pPr>
    </w:p>
    <w:p>
      <w:pPr>
        <w:ind w:right="60" w:firstLine="324"/>
        <w:spacing w:after="0" w:line="293" w:lineRule="auto"/>
        <w:rPr>
          <w:sz w:val="20"/>
          <w:szCs w:val="20"/>
          <w:color w:val="auto"/>
        </w:rPr>
      </w:pPr>
      <w:r>
        <w:rPr>
          <w:rFonts w:ascii="Arial" w:cs="Arial" w:eastAsia="Arial" w:hAnsi="Arial"/>
          <w:sz w:val="16"/>
          <w:szCs w:val="16"/>
          <w:color w:val="auto"/>
        </w:rPr>
        <w:t>Integrating newly acquired businesses or technologies could put a strain on our resources, could be costly and time consuming, and might not be successful. Such acquisitions could divert our management’s attention from other business concerns. In addition, we might lose key employees while integrating new organizations. Acquisitions could also result in customer dissatisfaction, performance problems with an acquired company or technology, potentially dilutive issuances of equity securities or the incurrence of debt, the assumption or incurrence of contingent liabilities, possible impairment charges related to goodwill or other intangible assets or other unanticipated events or circumstances, any of which could harm our business. We might not be successful in integrating any acquired businesses, products or technologies, and might not achieve anticipated revenues and cost benefits.</w:t>
      </w:r>
    </w:p>
    <w:p>
      <w:pPr>
        <w:spacing w:after="0" w:line="165" w:lineRule="exact"/>
        <w:rPr>
          <w:sz w:val="20"/>
          <w:szCs w:val="20"/>
          <w:color w:val="auto"/>
        </w:rPr>
      </w:pPr>
    </w:p>
    <w:p>
      <w:pPr>
        <w:ind w:right="140" w:firstLine="324"/>
        <w:spacing w:after="0" w:line="279" w:lineRule="auto"/>
        <w:rPr>
          <w:sz w:val="20"/>
          <w:szCs w:val="20"/>
          <w:color w:val="auto"/>
        </w:rPr>
      </w:pPr>
      <w:r>
        <w:rPr>
          <w:rFonts w:ascii="Arial" w:cs="Arial" w:eastAsia="Arial" w:hAnsi="Arial"/>
          <w:sz w:val="17"/>
          <w:szCs w:val="17"/>
          <w:color w:val="auto"/>
        </w:rPr>
        <w:t>Our ability to realize the expected benefits of our acquisition of the communications and application processor business of Intel Corporation and to eliminate the operating losses of that business will depend in large part on our ability to transition the manufacturing of that business’ products from Intel to third-party foundries, increase the gross margin of those products, and retain the business’ relationship with its principal customers, along with other matters described above relating to our ability to integrate effectively the acquired business and its technologies, operations and personnel.</w:t>
      </w:r>
    </w:p>
    <w:p>
      <w:pPr>
        <w:spacing w:after="0" w:line="17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alternate technologies.</w:t>
      </w:r>
    </w:p>
    <w:p>
      <w:pPr>
        <w:spacing w:after="0" w:line="170"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89" w:lineRule="exact"/>
        <w:rPr>
          <w:sz w:val="20"/>
          <w:szCs w:val="20"/>
          <w:color w:val="auto"/>
        </w:rPr>
      </w:pPr>
    </w:p>
    <w:p>
      <w:pPr>
        <w:ind w:right="40" w:firstLine="324"/>
        <w:spacing w:after="0" w:line="297" w:lineRule="auto"/>
        <w:rPr>
          <w:sz w:val="20"/>
          <w:szCs w:val="20"/>
          <w:color w:val="auto"/>
        </w:rPr>
      </w:pPr>
      <w:r>
        <w:rPr>
          <w:rFonts w:ascii="Arial" w:cs="Arial" w:eastAsia="Arial" w:hAnsi="Arial"/>
          <w:sz w:val="16"/>
          <w:szCs w:val="16"/>
          <w:color w:val="auto"/>
        </w:rPr>
        <w:t>Future changes in the nature of information storage products may reduce demand for traditional hard disk drives. For instance, products using alternative technologies, such as semiconductor memory, optical storage, and other storage technologies could become a significant source of competition to manufacturers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3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b w:val="1"/>
          <w:bCs w:val="1"/>
          <w:i w:val="1"/>
          <w:iCs w:val="1"/>
          <w:color w:val="auto"/>
        </w:rPr>
        <w:t>Our sales are concentrated in a few customers and if we lose or experience a significant reduction in sales to any of these key customers, our revenues may decrease substantially.</w:t>
      </w:r>
    </w:p>
    <w:p>
      <w:pPr>
        <w:spacing w:after="0" w:line="170"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We receive a significant amount of our revenues from a limited number of customers. For the six months ended July 28, 2007 one customer accounted for 15% of our net revenue. For the six months ended July 29, 2006, four customers each represented more than 10% of our net revenue, for a combined total of 51%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due from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w:t>
      </w:r>
    </w:p>
    <w:p>
      <w:pPr>
        <w:sectPr>
          <w:pgSz w:w="11900" w:h="16838" w:orient="portrait"/>
          <w:cols w:equalWidth="0" w:num="1">
            <w:col w:w="11420"/>
          </w:cols>
          <w:pgMar w:left="240" w:top="125" w:right="239" w:bottom="0" w:gutter="0" w:footer="0" w:header="0"/>
        </w:sectPr>
      </w:pPr>
    </w:p>
    <w:bookmarkStart w:id="35" w:name="page36"/>
    <w:bookmarkEnd w:id="35"/>
    <w:p>
      <w:pPr>
        <w:spacing w:after="0" w:line="96"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future, these customers may decide not to purchase our products at all, purchase fewer products than they did in the past, or alter their purchasing patterns in some other way, particularly because:</w:t>
      </w:r>
    </w:p>
    <w:p>
      <w:pPr>
        <w:spacing w:after="0" w:line="170" w:lineRule="exact"/>
        <w:rPr>
          <w:sz w:val="20"/>
          <w:szCs w:val="20"/>
          <w:color w:val="auto"/>
        </w:rPr>
      </w:pPr>
    </w:p>
    <w:p>
      <w:pPr>
        <w:ind w:left="980" w:right="500" w:hanging="324"/>
        <w:spacing w:after="0" w:line="277" w:lineRule="auto"/>
        <w:tabs>
          <w:tab w:leader="none" w:pos="944" w:val="left"/>
        </w:tabs>
        <w:numPr>
          <w:ilvl w:val="0"/>
          <w:numId w:val="6"/>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If we are unable to accurately predict our future sales and to appropriately budget for our expenses, our operating results could suffer.</w:t>
      </w:r>
    </w:p>
    <w:p>
      <w:pPr>
        <w:spacing w:after="0" w:line="237" w:lineRule="exact"/>
        <w:rPr>
          <w:sz w:val="20"/>
          <w:szCs w:val="20"/>
          <w:color w:val="auto"/>
        </w:rPr>
      </w:pPr>
    </w:p>
    <w:p>
      <w:pPr>
        <w:ind w:firstLine="324"/>
        <w:spacing w:after="0" w:line="279" w:lineRule="auto"/>
        <w:rPr>
          <w:sz w:val="20"/>
          <w:szCs w:val="20"/>
          <w:color w:val="auto"/>
        </w:rPr>
      </w:pPr>
      <w:r>
        <w:rPr>
          <w:rFonts w:ascii="Arial" w:cs="Arial" w:eastAsia="Arial" w:hAnsi="Arial"/>
          <w:sz w:val="17"/>
          <w:szCs w:val="17"/>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financial and operating results may vary which may cause the price of our common stock to decline.</w:t>
      </w:r>
    </w:p>
    <w:p>
      <w:pPr>
        <w:spacing w:after="0" w:line="225" w:lineRule="exact"/>
        <w:rPr>
          <w:sz w:val="20"/>
          <w:szCs w:val="20"/>
          <w:color w:val="auto"/>
        </w:rPr>
      </w:pPr>
    </w:p>
    <w:p>
      <w:pPr>
        <w:ind w:firstLine="337"/>
        <w:spacing w:after="0" w:line="257" w:lineRule="auto"/>
        <w:rPr>
          <w:sz w:val="20"/>
          <w:szCs w:val="20"/>
          <w:color w:val="auto"/>
        </w:rPr>
      </w:pPr>
      <w:r>
        <w:rPr>
          <w:rFonts w:ascii="Arial" w:cs="Arial" w:eastAsia="Arial" w:hAnsi="Arial"/>
          <w:sz w:val="18"/>
          <w:szCs w:val="18"/>
          <w:color w:val="auto"/>
        </w:rPr>
        <w:t>We currently provide guidance on revenue and gross margin on a quarterly basis. Our quarterly operating results have fluctuated in the past and are likely to do so in the future. Because our operating results are difficult to predict, you should not rely on quarterly comparisons of our results of operations as an indication of our future performance. We have made substantial investments in expanding our operations which has resulted in an increase in our operating expenses. We may not be able to increase revenues in an amount sufficient to offset these increased expenditures, which may lead to a loss for a quarterly period.</w:t>
      </w:r>
    </w:p>
    <w:p>
      <w:pPr>
        <w:spacing w:after="0" w:line="188" w:lineRule="exact"/>
        <w:rPr>
          <w:sz w:val="20"/>
          <w:szCs w:val="20"/>
          <w:color w:val="auto"/>
        </w:rPr>
      </w:pPr>
    </w:p>
    <w:p>
      <w:pPr>
        <w:ind w:right="160" w:firstLine="337"/>
        <w:spacing w:after="0" w:line="277" w:lineRule="auto"/>
        <w:rPr>
          <w:sz w:val="20"/>
          <w:szCs w:val="20"/>
          <w:color w:val="auto"/>
        </w:rPr>
      </w:pPr>
      <w:r>
        <w:rPr>
          <w:rFonts w:ascii="Arial" w:cs="Arial" w:eastAsia="Arial" w:hAnsi="Arial"/>
          <w:sz w:val="18"/>
          <w:szCs w:val="18"/>
          <w:color w:val="auto"/>
        </w:rPr>
        <w:t>Fluctuations in our operating results may be due to a number of factors, including, but not limited to, those listed below and those identified throughout this “Risk Factors” section:</w:t>
      </w:r>
    </w:p>
    <w:p>
      <w:pPr>
        <w:spacing w:after="0" w:line="170" w:lineRule="exact"/>
        <w:rPr>
          <w:sz w:val="20"/>
          <w:szCs w:val="20"/>
          <w:color w:val="auto"/>
        </w:rPr>
      </w:pPr>
    </w:p>
    <w:p>
      <w:pPr>
        <w:ind w:left="640" w:hanging="295"/>
        <w:spacing w:after="0"/>
        <w:tabs>
          <w:tab w:leader="none" w:pos="640" w:val="left"/>
        </w:tabs>
        <w:numPr>
          <w:ilvl w:val="0"/>
          <w:numId w:val="7"/>
        </w:numPr>
        <w:rPr>
          <w:rFonts w:ascii="Arial" w:cs="Arial" w:eastAsia="Arial" w:hAnsi="Arial"/>
          <w:sz w:val="18"/>
          <w:szCs w:val="18"/>
          <w:color w:val="auto"/>
        </w:rPr>
      </w:pPr>
      <w:r>
        <w:rPr>
          <w:rFonts w:ascii="Arial" w:cs="Arial" w:eastAsia="Arial" w:hAnsi="Arial"/>
          <w:sz w:val="18"/>
          <w:szCs w:val="18"/>
          <w:color w:val="auto"/>
        </w:rPr>
        <w:t>order or shipment cancellations, rescheduling or deferrals of significant customer orders;</w:t>
      </w:r>
    </w:p>
    <w:p>
      <w:pPr>
        <w:spacing w:after="0" w:line="225" w:lineRule="exact"/>
        <w:rPr>
          <w:rFonts w:ascii="Arial" w:cs="Arial" w:eastAsia="Arial" w:hAnsi="Arial"/>
          <w:sz w:val="18"/>
          <w:szCs w:val="18"/>
          <w:color w:val="auto"/>
        </w:rPr>
      </w:pPr>
    </w:p>
    <w:p>
      <w:pPr>
        <w:ind w:left="660" w:right="100" w:hanging="315"/>
        <w:spacing w:after="0" w:line="277" w:lineRule="auto"/>
        <w:tabs>
          <w:tab w:leader="none" w:pos="624"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and services or demand for new products requested by our customers;</w:t>
      </w:r>
    </w:p>
    <w:p>
      <w:pPr>
        <w:spacing w:after="0" w:line="170" w:lineRule="exact"/>
        <w:rPr>
          <w:rFonts w:ascii="Arial" w:cs="Arial" w:eastAsia="Arial" w:hAnsi="Arial"/>
          <w:sz w:val="18"/>
          <w:szCs w:val="18"/>
          <w:color w:val="auto"/>
        </w:rPr>
      </w:pPr>
    </w:p>
    <w:p>
      <w:pPr>
        <w:ind w:left="640" w:hanging="295"/>
        <w:spacing w:after="0"/>
        <w:tabs>
          <w:tab w:leader="none" w:pos="64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gain or loss of a key customer;</w:t>
      </w:r>
    </w:p>
    <w:p>
      <w:pPr>
        <w:spacing w:after="0" w:line="225" w:lineRule="exact"/>
        <w:rPr>
          <w:rFonts w:ascii="Arial" w:cs="Arial" w:eastAsia="Arial" w:hAnsi="Arial"/>
          <w:sz w:val="18"/>
          <w:szCs w:val="18"/>
          <w:color w:val="auto"/>
        </w:rPr>
      </w:pPr>
    </w:p>
    <w:p>
      <w:pPr>
        <w:ind w:left="640" w:hanging="295"/>
        <w:spacing w:after="0"/>
        <w:tabs>
          <w:tab w:leader="none" w:pos="64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225" w:lineRule="exact"/>
        <w:rPr>
          <w:rFonts w:ascii="Arial" w:cs="Arial" w:eastAsia="Arial" w:hAnsi="Arial"/>
          <w:sz w:val="18"/>
          <w:szCs w:val="18"/>
          <w:color w:val="auto"/>
        </w:rPr>
      </w:pPr>
    </w:p>
    <w:p>
      <w:pPr>
        <w:ind w:left="640" w:hanging="295"/>
        <w:spacing w:after="0"/>
        <w:tabs>
          <w:tab w:leader="none" w:pos="640" w:val="left"/>
        </w:tabs>
        <w:numPr>
          <w:ilvl w:val="0"/>
          <w:numId w:val="7"/>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225" w:lineRule="exact"/>
        <w:rPr>
          <w:rFonts w:ascii="Arial" w:cs="Arial" w:eastAsia="Arial" w:hAnsi="Arial"/>
          <w:sz w:val="18"/>
          <w:szCs w:val="18"/>
          <w:color w:val="auto"/>
        </w:rPr>
      </w:pPr>
    </w:p>
    <w:p>
      <w:pPr>
        <w:ind w:left="640" w:hanging="295"/>
        <w:spacing w:after="0"/>
        <w:tabs>
          <w:tab w:leader="none" w:pos="64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225" w:lineRule="exact"/>
        <w:rPr>
          <w:rFonts w:ascii="Arial" w:cs="Arial" w:eastAsia="Arial" w:hAnsi="Arial"/>
          <w:sz w:val="18"/>
          <w:szCs w:val="18"/>
          <w:color w:val="auto"/>
        </w:rPr>
      </w:pPr>
    </w:p>
    <w:p>
      <w:pPr>
        <w:ind w:left="640" w:hanging="295"/>
        <w:spacing w:after="0"/>
        <w:tabs>
          <w:tab w:leader="none" w:pos="640" w:val="left"/>
        </w:tabs>
        <w:numPr>
          <w:ilvl w:val="0"/>
          <w:numId w:val="7"/>
        </w:numPr>
        <w:rPr>
          <w:rFonts w:ascii="Arial" w:cs="Arial" w:eastAsia="Arial" w:hAnsi="Arial"/>
          <w:sz w:val="18"/>
          <w:szCs w:val="18"/>
          <w:color w:val="auto"/>
        </w:rPr>
      </w:pPr>
      <w:r>
        <w:rPr>
          <w:rFonts w:ascii="Arial" w:cs="Arial" w:eastAsia="Arial" w:hAnsi="Arial"/>
          <w:sz w:val="18"/>
          <w:szCs w:val="18"/>
          <w:color w:val="auto"/>
        </w:rPr>
        <w:t>effective and timely update of equipment and facilities as required for leading edge production capabilities; and</w:t>
      </w:r>
    </w:p>
    <w:p>
      <w:pPr>
        <w:spacing w:after="0" w:line="225" w:lineRule="exact"/>
        <w:rPr>
          <w:rFonts w:ascii="Arial" w:cs="Arial" w:eastAsia="Arial" w:hAnsi="Arial"/>
          <w:sz w:val="18"/>
          <w:szCs w:val="18"/>
          <w:color w:val="auto"/>
        </w:rPr>
      </w:pPr>
    </w:p>
    <w:p>
      <w:pPr>
        <w:ind w:left="640" w:hanging="295"/>
        <w:spacing w:after="0"/>
        <w:tabs>
          <w:tab w:leader="none" w:pos="64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realize the benefits expected from our acquisition of the Intel communications and application processor business.</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324"/>
        <w:spacing w:after="0" w:line="297" w:lineRule="auto"/>
        <w:rPr>
          <w:sz w:val="20"/>
          <w:szCs w:val="20"/>
          <w:color w:val="auto"/>
        </w:rPr>
      </w:pPr>
      <w:r>
        <w:rPr>
          <w:rFonts w:ascii="Arial" w:cs="Arial" w:eastAsia="Arial" w:hAnsi="Arial"/>
          <w:sz w:val="16"/>
          <w:szCs w:val="16"/>
          <w:color w:val="auto"/>
        </w:rPr>
        <w:t>Due to fluctuations in our quarterly operating results and other factors, the price at which our common stock will trade is likely to continue to be highly volatile. In future periods, if our revenues or operating results are below our estimates or the estimates or expectations of public market analysts and investors, our stock price could decline.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run our business.</w:t>
      </w:r>
    </w:p>
    <w:p>
      <w:pPr>
        <w:spacing w:after="0" w:line="158" w:lineRule="exact"/>
        <w:rPr>
          <w:sz w:val="20"/>
          <w:szCs w:val="20"/>
          <w:color w:val="auto"/>
        </w:rPr>
      </w:pPr>
    </w:p>
    <w:p>
      <w:pPr>
        <w:ind w:right="560"/>
        <w:spacing w:after="0" w:line="277" w:lineRule="auto"/>
        <w:rPr>
          <w:sz w:val="20"/>
          <w:szCs w:val="20"/>
          <w:color w:val="auto"/>
        </w:rPr>
      </w:pPr>
      <w:r>
        <w:rPr>
          <w:rFonts w:ascii="Arial" w:cs="Arial" w:eastAsia="Arial" w:hAnsi="Arial"/>
          <w:sz w:val="18"/>
          <w:szCs w:val="18"/>
          <w:b w:val="1"/>
          <w:bCs w:val="1"/>
          <w:i w:val="1"/>
          <w:iCs w:val="1"/>
          <w:color w:val="auto"/>
        </w:rPr>
        <w:t>Changes in financial accounting standards or practices or existing taxation rules or practices may cause adverse unexpected revenue and expense fluctuations and affect our reported results of operations.</w:t>
      </w:r>
    </w:p>
    <w:p>
      <w:pPr>
        <w:spacing w:after="0" w:line="170" w:lineRule="exact"/>
        <w:rPr>
          <w:sz w:val="20"/>
          <w:szCs w:val="20"/>
          <w:color w:val="auto"/>
        </w:rPr>
      </w:pPr>
    </w:p>
    <w:p>
      <w:pPr>
        <w:ind w:right="20" w:firstLine="324"/>
        <w:spacing w:after="0" w:line="279" w:lineRule="auto"/>
        <w:rPr>
          <w:sz w:val="20"/>
          <w:szCs w:val="20"/>
          <w:color w:val="auto"/>
        </w:rPr>
      </w:pPr>
      <w:r>
        <w:rPr>
          <w:rFonts w:ascii="Arial" w:cs="Arial" w:eastAsia="Arial" w:hAnsi="Arial"/>
          <w:sz w:val="17"/>
          <w:szCs w:val="17"/>
          <w:color w:val="auto"/>
        </w:rPr>
        <w:t>A change in accounting standards or practices or a change in existing taxation rules or practices can have a significant effect on our reported results and may even affect our reporting of transactions completed before the change is effective. New accounting pronouncements and taxation rules and varying interpretations of accounting pronouncements and taxation practice have occurred and may occur in the future. Changes to existing rules or the questioning of current practices by regulators may adversely affect our reported financial results or the way we conduct our business.</w:t>
      </w:r>
    </w:p>
    <w:p>
      <w:pPr>
        <w:spacing w:after="0" w:line="171" w:lineRule="exact"/>
        <w:rPr>
          <w:sz w:val="20"/>
          <w:szCs w:val="20"/>
          <w:color w:val="auto"/>
        </w:rPr>
      </w:pPr>
    </w:p>
    <w:p>
      <w:pPr>
        <w:ind w:right="20" w:firstLine="324"/>
        <w:spacing w:after="0" w:line="279" w:lineRule="auto"/>
        <w:rPr>
          <w:sz w:val="20"/>
          <w:szCs w:val="20"/>
          <w:color w:val="auto"/>
        </w:rPr>
      </w:pPr>
      <w:r>
        <w:rPr>
          <w:rFonts w:ascii="Arial" w:cs="Arial" w:eastAsia="Arial" w:hAnsi="Arial"/>
          <w:sz w:val="17"/>
          <w:szCs w:val="17"/>
          <w:color w:val="auto"/>
        </w:rPr>
        <w:t xml:space="preserve">For example, the Financial Accounting Standards Board (“FASB”) issued its final standard on accounting for share-based payments, FASB Statement No. 123R (revised 2004), </w:t>
      </w:r>
      <w:r>
        <w:rPr>
          <w:rFonts w:ascii="Arial" w:cs="Arial" w:eastAsia="Arial" w:hAnsi="Arial"/>
          <w:sz w:val="17"/>
          <w:szCs w:val="17"/>
          <w:i w:val="1"/>
          <w:iCs w:val="1"/>
          <w:color w:val="auto"/>
        </w:rPr>
        <w:t>Share-Based Payment</w:t>
      </w:r>
      <w:r>
        <w:rPr>
          <w:rFonts w:ascii="Arial" w:cs="Arial" w:eastAsia="Arial" w:hAnsi="Arial"/>
          <w:sz w:val="17"/>
          <w:szCs w:val="17"/>
          <w:color w:val="auto"/>
        </w:rPr>
        <w:t xml:space="preserve"> (FAS 123R), which required us, starting January 29, 2006, to measure compensation costs for all stock-based compensation (including stock options) at fair value and to recognize these costs as expenses in our statements of operations. The recognition of these expenses in our statements of operations will reduce our earnings per share, which could negatively impact our future stock price.</w:t>
      </w:r>
    </w:p>
    <w:p>
      <w:pPr>
        <w:spacing w:after="0" w:line="171" w:lineRule="exact"/>
        <w:rPr>
          <w:sz w:val="20"/>
          <w:szCs w:val="20"/>
          <w:color w:val="auto"/>
        </w:rPr>
      </w:pPr>
    </w:p>
    <w:p>
      <w:pPr>
        <w:ind w:right="70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operating results and competitive position will be harmed.</w:t>
      </w:r>
    </w:p>
    <w:p>
      <w:pPr>
        <w:spacing w:after="0" w:line="170" w:lineRule="exact"/>
        <w:rPr>
          <w:sz w:val="20"/>
          <w:szCs w:val="20"/>
          <w:color w:val="auto"/>
        </w:rPr>
      </w:pPr>
    </w:p>
    <w:p>
      <w:pPr>
        <w:ind w:right="340" w:firstLine="324"/>
        <w:spacing w:after="0" w:line="342"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w:t>
      </w:r>
    </w:p>
    <w:p>
      <w:pPr>
        <w:sectPr>
          <w:pgSz w:w="11900" w:h="16935" w:orient="portrait"/>
          <w:cols w:equalWidth="0" w:num="1">
            <w:col w:w="11400"/>
          </w:cols>
          <w:pgMar w:left="240" w:top="125" w:right="259" w:bottom="0" w:gutter="0" w:footer="0" w:header="0"/>
        </w:sectPr>
      </w:pPr>
    </w:p>
    <w:bookmarkStart w:id="36" w:name="page37"/>
    <w:bookmarkEnd w:id="36"/>
    <w:p>
      <w:pPr>
        <w:jc w:val="both"/>
        <w:ind w:right="160"/>
        <w:spacing w:after="0" w:line="259" w:lineRule="auto"/>
        <w:rPr>
          <w:sz w:val="20"/>
          <w:szCs w:val="20"/>
          <w:color w:val="auto"/>
        </w:rPr>
      </w:pPr>
      <w:r>
        <w:rPr>
          <w:rFonts w:ascii="Arial" w:cs="Arial" w:eastAsia="Arial" w:hAnsi="Arial"/>
          <w:sz w:val="18"/>
          <w:szCs w:val="18"/>
          <w:color w:val="auto"/>
        </w:rPr>
        <w:t>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87"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3"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pacing w:after="0" w:line="170" w:lineRule="exact"/>
        <w:rPr>
          <w:sz w:val="20"/>
          <w:szCs w:val="20"/>
          <w:color w:val="auto"/>
        </w:rPr>
      </w:pPr>
    </w:p>
    <w:p>
      <w:pPr>
        <w:ind w:right="120" w:firstLine="324"/>
        <w:spacing w:after="0" w:line="271" w:lineRule="auto"/>
        <w:rPr>
          <w:sz w:val="20"/>
          <w:szCs w:val="20"/>
          <w:color w:val="auto"/>
        </w:rPr>
      </w:pPr>
      <w:r>
        <w:rPr>
          <w:rFonts w:ascii="Arial" w:cs="Arial" w:eastAsia="Arial" w:hAnsi="Arial"/>
          <w:sz w:val="17"/>
          <w:szCs w:val="17"/>
          <w:color w:val="auto"/>
        </w:rPr>
        <w:t>To achieve our business objectives, we anticipate that we will need to continue to expand. We have experienced rapid growth and expansion in the past. Through internal growth and acquisitions, we significantly increased the scope of our operations and expanded our workforce from 1,205 employees, as of January 31, 2003, to 5,644 employees, as of July 28, 2007. Nonetheless, we may not be able to expand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operating expenses may exceed the rate of increase in our revenue, which would adversely affect our operating results.</w:t>
      </w:r>
    </w:p>
    <w:p>
      <w:pPr>
        <w:spacing w:after="0" w:line="3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00" w:firstLine="324"/>
        <w:spacing w:after="0" w:line="270" w:lineRule="auto"/>
        <w:rPr>
          <w:sz w:val="20"/>
          <w:szCs w:val="20"/>
          <w:color w:val="auto"/>
        </w:rPr>
      </w:pPr>
      <w:r>
        <w:rPr>
          <w:rFonts w:ascii="Arial" w:cs="Arial" w:eastAsia="Arial" w:hAnsi="Arial"/>
          <w:sz w:val="17"/>
          <w:szCs w:val="17"/>
          <w:color w:val="auto"/>
        </w:rPr>
        <w:t>Our past growth has placed, and any future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and are implementing a new human resources management system, we anticipate that we will also need to continue to 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expenses may exceed the rate of increase in our revenue, either of which would materially and adversely affect our current or future business.</w:t>
      </w:r>
    </w:p>
    <w:p>
      <w:pPr>
        <w:spacing w:after="0" w:line="182"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81" w:lineRule="exact"/>
        <w:rPr>
          <w:sz w:val="20"/>
          <w:szCs w:val="20"/>
          <w:color w:val="auto"/>
        </w:rPr>
      </w:pPr>
    </w:p>
    <w:p>
      <w:pPr>
        <w:ind w:right="80" w:firstLine="324"/>
        <w:spacing w:after="0" w:line="270" w:lineRule="auto"/>
        <w:rPr>
          <w:sz w:val="20"/>
          <w:szCs w:val="20"/>
          <w:color w:val="auto"/>
        </w:rPr>
      </w:pPr>
      <w:r>
        <w:rPr>
          <w:rFonts w:ascii="Arial" w:cs="Arial" w:eastAsia="Arial" w:hAnsi="Arial"/>
          <w:sz w:val="17"/>
          <w:szCs w:val="17"/>
          <w:color w:val="auto"/>
        </w:rPr>
        <w:t>We do not have our own manufacturing or assembly facilities and have very limited in-house testing facilities. Therefore, we rely on third-party vendors to manufacture, assemble and test the products we design. We currently rely on several third-party foundries to produce substantially all of our integrated circuit products. We also currently rely on several third-party assembly and test subcontractors to assemble, package and test our products.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182" w:lineRule="exact"/>
        <w:rPr>
          <w:sz w:val="20"/>
          <w:szCs w:val="20"/>
          <w:color w:val="auto"/>
        </w:rPr>
      </w:pPr>
    </w:p>
    <w:p>
      <w:pPr>
        <w:ind w:right="60" w:firstLine="324"/>
        <w:spacing w:after="0" w:line="253" w:lineRule="auto"/>
        <w:rPr>
          <w:sz w:val="20"/>
          <w:szCs w:val="20"/>
          <w:color w:val="auto"/>
        </w:rPr>
      </w:pPr>
      <w:r>
        <w:rPr>
          <w:rFonts w:ascii="Arial" w:cs="Arial" w:eastAsia="Arial" w:hAnsi="Arial"/>
          <w:sz w:val="18"/>
          <w:szCs w:val="18"/>
          <w:color w:val="auto"/>
        </w:rPr>
        <w:t>With limited exceptions, our vendors are not obligated to perform services or supply products to us for any specific period, in any specific quantities, or at any specific price, except as may be provided in a particular purchase order. These vendors may allocate capacity to the production of other companies’ products while reducing deliveries to us on short notice. In particular, some foundry customers may have long-term agreements with these foundries that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qualify a new provider. Such a change may also require the approval of our customers, which would take time to effect and could cause our customers to cancel orders or fail to place new orders.</w:t>
      </w:r>
    </w:p>
    <w:p>
      <w:pPr>
        <w:spacing w:after="0" w:line="197" w:lineRule="exact"/>
        <w:rPr>
          <w:sz w:val="20"/>
          <w:szCs w:val="20"/>
          <w:color w:val="auto"/>
        </w:rPr>
      </w:pPr>
    </w:p>
    <w:p>
      <w:pPr>
        <w:ind w:right="620"/>
        <w:spacing w:after="0" w:line="308" w:lineRule="auto"/>
        <w:rPr>
          <w:sz w:val="20"/>
          <w:szCs w:val="20"/>
          <w:color w:val="auto"/>
        </w:rPr>
      </w:pPr>
      <w:r>
        <w:rPr>
          <w:rFonts w:ascii="Arial" w:cs="Arial" w:eastAsia="Arial" w:hAnsi="Arial"/>
          <w:sz w:val="17"/>
          <w:szCs w:val="17"/>
          <w:b w:val="1"/>
          <w:bCs w:val="1"/>
          <w:i w:val="1"/>
          <w:iCs w:val="1"/>
          <w:color w:val="auto"/>
        </w:rPr>
        <w:t>A number of our subsidiaries are incorporated under the laws of, and their principal offices are located in, the State of Israel and, therefore, their business operations may be harmed by adverse political, economic and military conditions affecting Israel.</w:t>
      </w:r>
    </w:p>
    <w:p>
      <w:pPr>
        <w:spacing w:after="0" w:line="147" w:lineRule="exact"/>
        <w:rPr>
          <w:sz w:val="20"/>
          <w:szCs w:val="20"/>
          <w:color w:val="auto"/>
        </w:rPr>
      </w:pPr>
    </w:p>
    <w:p>
      <w:pPr>
        <w:ind w:right="160" w:firstLine="324"/>
        <w:spacing w:after="0" w:line="271" w:lineRule="auto"/>
        <w:rPr>
          <w:sz w:val="20"/>
          <w:szCs w:val="20"/>
          <w:color w:val="auto"/>
        </w:rPr>
      </w:pPr>
      <w:r>
        <w:rPr>
          <w:rFonts w:ascii="Arial" w:cs="Arial" w:eastAsia="Arial" w:hAnsi="Arial"/>
          <w:sz w:val="17"/>
          <w:szCs w:val="17"/>
          <w:color w:val="auto"/>
        </w:rPr>
        <w:t>Each of Marvell Semiconductor Israel Ltd. (“MSIL”), Marvell T.I. Ltd. (“MTIL”), Marvell Software Solutions Israel Ltd. (“MSSI”) and Marvell DSPC Ltd. (“DSPC”) is incorporated under the laws of and has its principal offices in Israel. In addition, MSIL, MSSI and DSPC maintain their research and development operations in Israel. Thus, MSIL, MTIL, MSSI and DSPC are directly influenced by the political, economic and military conditions affecting Israel. Any potential hostilities involving or within Israel could disrupt MSIL, MTIL, MSSI and DSPC’s operations. For example, past hostilities between Israel and the Palestinian authority and other groups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MSSI and DSPC.</w:t>
      </w:r>
    </w:p>
    <w:p>
      <w:pPr>
        <w:sectPr>
          <w:pgSz w:w="11900" w:h="16838" w:orient="portrait"/>
          <w:cols w:equalWidth="0" w:num="1">
            <w:col w:w="11420"/>
          </w:cols>
          <w:pgMar w:left="240" w:top="125" w:right="239" w:bottom="26" w:gutter="0" w:footer="0" w:header="0"/>
        </w:sectPr>
      </w:pPr>
    </w:p>
    <w:bookmarkStart w:id="37" w:name="page38"/>
    <w:bookmarkEnd w:id="37"/>
    <w:p>
      <w:pPr>
        <w:jc w:val="center"/>
        <w:ind w:right="-1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right="80" w:firstLine="324"/>
        <w:spacing w:after="0" w:line="270" w:lineRule="auto"/>
        <w:rPr>
          <w:sz w:val="20"/>
          <w:szCs w:val="20"/>
          <w:color w:val="auto"/>
        </w:rPr>
      </w:pPr>
      <w:r>
        <w:rPr>
          <w:rFonts w:ascii="Arial" w:cs="Arial" w:eastAsia="Arial" w:hAnsi="Arial"/>
          <w:sz w:val="17"/>
          <w:szCs w:val="17"/>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8"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profit margin, or, conversely, we may have insufficient inventory, which would result in lost revenue opportunities and potentially in loss of market share and damaged customer relationships.</w:t>
      </w:r>
    </w:p>
    <w:p>
      <w:pPr>
        <w:spacing w:after="0" w:line="181" w:lineRule="exact"/>
        <w:rPr>
          <w:sz w:val="20"/>
          <w:szCs w:val="20"/>
          <w:color w:val="auto"/>
        </w:rPr>
      </w:pPr>
    </w:p>
    <w:p>
      <w:pPr>
        <w:ind w:firstLine="324"/>
        <w:spacing w:after="0" w:line="268" w:lineRule="auto"/>
        <w:rPr>
          <w:sz w:val="20"/>
          <w:szCs w:val="20"/>
          <w:color w:val="auto"/>
        </w:rPr>
      </w:pPr>
      <w:r>
        <w:rPr>
          <w:rFonts w:ascii="Arial" w:cs="Arial" w:eastAsia="Arial" w:hAnsi="Arial"/>
          <w:sz w:val="17"/>
          <w:szCs w:val="17"/>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 orders for our products. We cannot accurately predict what or how many products our customers will need in the future. Anticipating demand is difficult because our customers face volatile pricing and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 to sell when we expect to, if at all. As a result, we would hold excess or obsolete inventory, which would reduce our profit margins and adversely affect our financial results. Conversely, if we underestimate customer demand or if insufficient manufacturing capacity is available, we would forgo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pacing w:after="0" w:line="183"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 xml:space="preserve">The international nature of our business exposes us to financial and regulatory risks that </w:t>
      </w:r>
      <w:r>
        <w:rPr>
          <w:rFonts w:ascii="Arial" w:cs="Arial" w:eastAsia="Arial" w:hAnsi="Arial"/>
          <w:sz w:val="16"/>
          <w:szCs w:val="16"/>
          <w:b w:val="1"/>
          <w:bCs w:val="1"/>
          <w:i w:val="1"/>
          <w:iCs w:val="1"/>
          <w:color w:val="auto"/>
        </w:rPr>
        <w:t>may adversely impact our revenues and profitability.</w:t>
      </w:r>
    </w:p>
    <w:p>
      <w:pPr>
        <w:spacing w:after="0" w:line="237" w:lineRule="exact"/>
        <w:rPr>
          <w:sz w:val="20"/>
          <w:szCs w:val="20"/>
          <w:color w:val="auto"/>
        </w:rPr>
      </w:pPr>
    </w:p>
    <w:p>
      <w:pPr>
        <w:ind w:right="280" w:firstLine="324"/>
        <w:spacing w:after="0" w:line="277" w:lineRule="auto"/>
        <w:rPr>
          <w:sz w:val="20"/>
          <w:szCs w:val="20"/>
          <w:color w:val="auto"/>
        </w:rPr>
      </w:pPr>
      <w:r>
        <w:rPr>
          <w:rFonts w:ascii="Arial" w:cs="Arial" w:eastAsia="Arial" w:hAnsi="Arial"/>
          <w:sz w:val="18"/>
          <w:szCs w:val="18"/>
          <w:color w:val="auto"/>
        </w:rPr>
        <w:t>International operations are subject to a number of risks that may limit our ability to design, develop, test or market certain technologies and products, which could in turn have an adverse effect on our results of operations and financial condition, including:</w:t>
      </w:r>
    </w:p>
    <w:p>
      <w:pPr>
        <w:spacing w:after="0" w:line="170" w:lineRule="exact"/>
        <w:rPr>
          <w:sz w:val="20"/>
          <w:szCs w:val="20"/>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international terrorism and anti-American sentiment, particularly in the emerging markets;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security concerns, including crime, political instability, armed conflict and civil or military unrest;</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local business and cultural factors that differ from our normal standards and practices in the United States;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regulatory requirements and prohibitions that differ between jurisdictions;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laws and business practices favoring local companies;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differing employment practices and labor issues;</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980" w:right="260" w:hanging="324"/>
        <w:spacing w:after="0" w:line="277" w:lineRule="auto"/>
        <w:tabs>
          <w:tab w:leader="none" w:pos="930" w:val="left"/>
        </w:tabs>
        <w:numPr>
          <w:ilvl w:val="0"/>
          <w:numId w:val="9"/>
        </w:numPr>
        <w:rPr>
          <w:rFonts w:ascii="Arial" w:cs="Arial" w:eastAsia="Arial" w:hAnsi="Arial"/>
          <w:sz w:val="18"/>
          <w:szCs w:val="18"/>
          <w:color w:val="auto"/>
        </w:rPr>
      </w:pPr>
      <w:r>
        <w:rPr>
          <w:rFonts w:ascii="Arial" w:cs="Arial" w:eastAsia="Arial" w:hAnsi="Arial"/>
          <w:sz w:val="18"/>
          <w:szCs w:val="18"/>
          <w:color w:val="auto"/>
        </w:rPr>
        <w:t>withholding tax obligations on revenues that we may not be able to offset fully against our U.S. tax obligations, including the further risk that foreign tax authorities may increase tax rates, which could result in increased tax withholdings and penalties;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225" w:lineRule="exact"/>
        <w:rPr>
          <w:rFonts w:ascii="Arial" w:cs="Arial" w:eastAsia="Arial" w:hAnsi="Arial"/>
          <w:sz w:val="18"/>
          <w:szCs w:val="18"/>
          <w:color w:val="auto"/>
        </w:rPr>
      </w:pPr>
    </w:p>
    <w:p>
      <w:pPr>
        <w:ind w:left="980" w:right="180" w:hanging="324"/>
        <w:spacing w:after="0" w:line="277" w:lineRule="auto"/>
        <w:tabs>
          <w:tab w:leader="none" w:pos="930" w:val="left"/>
        </w:tabs>
        <w:numPr>
          <w:ilvl w:val="0"/>
          <w:numId w:val="9"/>
        </w:numPr>
        <w:rPr>
          <w:rFonts w:ascii="Arial" w:cs="Arial" w:eastAsia="Arial" w:hAnsi="Arial"/>
          <w:sz w:val="18"/>
          <w:szCs w:val="18"/>
          <w:color w:val="auto"/>
        </w:rPr>
      </w:pPr>
      <w:r>
        <w:rPr>
          <w:rFonts w:ascii="Arial" w:cs="Arial" w:eastAsia="Arial" w:hAnsi="Arial"/>
          <w:sz w:val="18"/>
          <w:szCs w:val="18"/>
          <w:color w:val="auto"/>
        </w:rPr>
        <w:t>limited infrastructure and disruptions, such as large-scale outages or interruptions of service from utilities or telecommunications providers and natural disasters.</w:t>
      </w:r>
    </w:p>
    <w:p>
      <w:pPr>
        <w:spacing w:after="0" w:line="170" w:lineRule="exact"/>
        <w:rPr>
          <w:sz w:val="20"/>
          <w:szCs w:val="20"/>
          <w:color w:val="auto"/>
        </w:rPr>
      </w:pPr>
    </w:p>
    <w:p>
      <w:pPr>
        <w:ind w:right="280" w:firstLine="324"/>
        <w:spacing w:after="0" w:line="259" w:lineRule="auto"/>
        <w:rPr>
          <w:sz w:val="20"/>
          <w:szCs w:val="20"/>
          <w:color w:val="auto"/>
        </w:rPr>
      </w:pPr>
      <w:r>
        <w:rPr>
          <w:rFonts w:ascii="Arial" w:cs="Arial" w:eastAsia="Arial" w:hAnsi="Arial"/>
          <w:sz w:val="18"/>
          <w:szCs w:val="18"/>
          <w:color w:val="auto"/>
        </w:rPr>
        <w:t>These conditions make it extremely difficult for our customers, our vendors and for us to accurately forecast and plan future business activities. We cannot predict the timing, strength or duration of any economic recovery, worldwide, or in our served markets. If the worldwide economy or our served markets in which we operate were to experience any of the conditions above, our business, financial condition and results of operations could be adversely affected.</w:t>
      </w:r>
    </w:p>
    <w:p>
      <w:pPr>
        <w:sectPr>
          <w:pgSz w:w="11900" w:h="16838" w:orient="portrait"/>
          <w:cols w:equalWidth="0" w:num="1">
            <w:col w:w="11420"/>
          </w:cols>
          <w:pgMar w:left="240" w:top="125" w:right="239" w:bottom="0" w:gutter="0" w:footer="0" w:header="0"/>
        </w:sectPr>
      </w:pPr>
    </w:p>
    <w:p>
      <w:pPr>
        <w:spacing w:after="0" w:line="187" w:lineRule="exact"/>
        <w:rPr>
          <w:sz w:val="20"/>
          <w:szCs w:val="20"/>
          <w:color w:val="auto"/>
        </w:rPr>
      </w:pPr>
    </w:p>
    <w:p>
      <w:pPr>
        <w:ind w:right="18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ectPr>
          <w:pgSz w:w="11900" w:h="16838" w:orient="portrait"/>
          <w:cols w:equalWidth="0" w:num="1">
            <w:col w:w="11420"/>
          </w:cols>
          <w:pgMar w:left="240" w:top="125" w:right="239" w:bottom="0" w:gutter="0" w:footer="0" w:header="0"/>
          <w:type w:val="continuous"/>
        </w:sectPr>
      </w:pPr>
    </w:p>
    <w:bookmarkStart w:id="38" w:name="page39"/>
    <w:bookmarkEnd w:id="38"/>
    <w:p>
      <w:pPr>
        <w:spacing w:after="0" w:line="66" w:lineRule="exact"/>
        <w:rPr>
          <w:sz w:val="20"/>
          <w:szCs w:val="20"/>
          <w:color w:val="auto"/>
        </w:rPr>
      </w:pPr>
    </w:p>
    <w:p>
      <w:pPr>
        <w:ind w:right="20" w:firstLine="324"/>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customers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25"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66"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70" w:lineRule="exact"/>
        <w:rPr>
          <w:sz w:val="20"/>
          <w:szCs w:val="20"/>
          <w:color w:val="auto"/>
        </w:rPr>
      </w:pPr>
    </w:p>
    <w:p>
      <w:pPr>
        <w:ind w:right="60" w:firstLine="324"/>
        <w:spacing w:after="0" w:line="289" w:lineRule="auto"/>
        <w:rPr>
          <w:sz w:val="20"/>
          <w:szCs w:val="20"/>
          <w:color w:val="auto"/>
        </w:rPr>
      </w:pPr>
      <w:r>
        <w:rPr>
          <w:rFonts w:ascii="Arial" w:cs="Arial" w:eastAsia="Arial" w:hAnsi="Arial"/>
          <w:sz w:val="16"/>
          <w:szCs w:val="16"/>
          <w:color w:val="auto"/>
        </w:rPr>
        <w:t>Availability of foundry capacity has from time to time in the past been constrained due to strong demand.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Although we use several independent foundries to manufacture substantially all of our semiconductor products, most of our components are not manufactured at more than one</w:t>
      </w:r>
    </w:p>
    <w:p>
      <w:pPr>
        <w:spacing w:after="0" w:line="38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0"/>
        <w:spacing w:after="0" w:line="276" w:lineRule="auto"/>
        <w:rPr>
          <w:sz w:val="20"/>
          <w:szCs w:val="20"/>
          <w:color w:val="auto"/>
        </w:rPr>
      </w:pPr>
      <w:r>
        <w:rPr>
          <w:rFonts w:ascii="Arial" w:cs="Arial" w:eastAsia="Arial" w:hAnsi="Arial"/>
          <w:sz w:val="17"/>
          <w:szCs w:val="17"/>
          <w:color w:val="auto"/>
        </w:rPr>
        <w:t>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 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173" w:lineRule="exact"/>
        <w:rPr>
          <w:sz w:val="20"/>
          <w:szCs w:val="20"/>
          <w:color w:val="auto"/>
        </w:rPr>
      </w:pPr>
    </w:p>
    <w:p>
      <w:pPr>
        <w:ind w:firstLine="324"/>
        <w:spacing w:after="0" w:line="286" w:lineRule="auto"/>
        <w:rPr>
          <w:sz w:val="20"/>
          <w:szCs w:val="20"/>
          <w:color w:val="auto"/>
        </w:rPr>
      </w:pPr>
      <w:r>
        <w:rPr>
          <w:rFonts w:ascii="Arial" w:cs="Arial" w:eastAsia="Arial" w:hAnsi="Arial"/>
          <w:sz w:val="17"/>
          <w:szCs w:val="17"/>
          <w:color w:val="auto"/>
        </w:rPr>
        <w:t>In order to secure sufficient foundry capacity when demand is high and mitigate the risks described in the foregoing paragraph, we may enter into various arrangements with suppliers that could be costly and harm our operating results, such as nonrefundable deposits with or loans to foundries in exchange for capacity commitments, and contracts that commit us to purchase specified quantities of integrated circuits over extended periods.</w:t>
      </w:r>
    </w:p>
    <w:p>
      <w:pPr>
        <w:spacing w:after="0" w:line="166" w:lineRule="exact"/>
        <w:rPr>
          <w:sz w:val="20"/>
          <w:szCs w:val="20"/>
          <w:color w:val="auto"/>
        </w:rPr>
      </w:pPr>
    </w:p>
    <w:p>
      <w:pPr>
        <w:jc w:val="both"/>
        <w:ind w:right="60" w:firstLine="324"/>
        <w:spacing w:after="0" w:line="279" w:lineRule="auto"/>
        <w:rPr>
          <w:sz w:val="20"/>
          <w:szCs w:val="20"/>
          <w:color w:val="auto"/>
        </w:rPr>
      </w:pPr>
      <w:r>
        <w:rPr>
          <w:rFonts w:ascii="Arial" w:cs="Arial" w:eastAsia="Arial" w:hAnsi="Arial"/>
          <w:sz w:val="17"/>
          <w:szCs w:val="17"/>
          <w:color w:val="auto"/>
        </w:rPr>
        <w:t>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of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71" w:lineRule="exact"/>
        <w:rPr>
          <w:sz w:val="20"/>
          <w:szCs w:val="20"/>
          <w:color w:val="auto"/>
        </w:rPr>
      </w:pPr>
    </w:p>
    <w:p>
      <w:pPr>
        <w:ind w:right="440"/>
        <w:spacing w:after="0" w:line="381" w:lineRule="auto"/>
        <w:rPr>
          <w:sz w:val="20"/>
          <w:szCs w:val="20"/>
          <w:color w:val="auto"/>
        </w:rPr>
      </w:pPr>
      <w:r>
        <w:rPr>
          <w:rFonts w:ascii="Arial" w:cs="Arial" w:eastAsia="Arial" w:hAnsi="Arial"/>
          <w:sz w:val="15"/>
          <w:szCs w:val="15"/>
          <w:b w:val="1"/>
          <w:bCs w:val="1"/>
          <w:i w:val="1"/>
          <w:iCs w:val="1"/>
          <w:color w:val="auto"/>
        </w:rPr>
        <w:t>The complexity of our products could result in unforeseen delays or expenses or undetected defects or bugs, which could adversely affect the market acceptance of new products, damage our reputation with current or prospective customers, and materially and adversely affect our operating costs.</w:t>
      </w:r>
    </w:p>
    <w:p>
      <w:pPr>
        <w:spacing w:after="0" w:line="101"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resolve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69"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right="260" w:firstLine="324"/>
        <w:spacing w:after="0" w:line="302"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w:t>
      </w:r>
    </w:p>
    <w:p>
      <w:pPr>
        <w:sectPr>
          <w:pgSz w:w="11900" w:h="16904" w:orient="portrait"/>
          <w:cols w:equalWidth="0" w:num="1">
            <w:col w:w="11400"/>
          </w:cols>
          <w:pgMar w:left="240" w:top="125" w:right="259" w:bottom="0" w:gutter="0" w:footer="0" w:header="0"/>
        </w:sectPr>
      </w:pPr>
    </w:p>
    <w:bookmarkStart w:id="39" w:name="page40"/>
    <w:bookmarkEnd w:id="39"/>
    <w:p>
      <w:pPr>
        <w:spacing w:after="0" w:line="270" w:lineRule="auto"/>
        <w:rPr>
          <w:sz w:val="20"/>
          <w:szCs w:val="20"/>
          <w:color w:val="auto"/>
        </w:rPr>
      </w:pPr>
      <w:r>
        <w:rPr>
          <w:rFonts w:ascii="Arial" w:cs="Arial" w:eastAsia="Arial" w:hAnsi="Arial"/>
          <w:sz w:val="17"/>
          <w:szCs w:val="17"/>
          <w:color w:val="auto"/>
        </w:rPr>
        <w:t>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any of our foundry subcontractors or we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operating results, as we may reduce our revenue by integrating the functionality of multiple chips into a single chip.</w:t>
      </w:r>
    </w:p>
    <w:p>
      <w:pPr>
        <w:spacing w:after="0" w:line="3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b w:val="1"/>
          <w:bCs w:val="1"/>
          <w:i w:val="1"/>
          <w:iCs w:val="1"/>
          <w:color w:val="auto"/>
        </w:rPr>
        <w:t>We have a large amount of debt and our debt service obligations may prevent us from taking actions that we would otherwise consider to be in our best interests.</w:t>
      </w:r>
    </w:p>
    <w:p>
      <w:pPr>
        <w:spacing w:after="0" w:line="170" w:lineRule="exact"/>
        <w:rPr>
          <w:sz w:val="20"/>
          <w:szCs w:val="20"/>
          <w:color w:val="auto"/>
        </w:rPr>
      </w:pPr>
    </w:p>
    <w:p>
      <w:pPr>
        <w:ind w:right="40" w:firstLine="324"/>
        <w:spacing w:after="0" w:line="272" w:lineRule="auto"/>
        <w:rPr>
          <w:sz w:val="20"/>
          <w:szCs w:val="20"/>
          <w:color w:val="auto"/>
        </w:rPr>
      </w:pPr>
      <w:r>
        <w:rPr>
          <w:rFonts w:ascii="Arial" w:cs="Arial" w:eastAsia="Arial" w:hAnsi="Arial"/>
          <w:sz w:val="17"/>
          <w:szCs w:val="17"/>
          <w:color w:val="auto"/>
        </w:rPr>
        <w:t>As of July 28, 2007, the aggregate principal amount of our total consolidated debt was $396.8 million. Covenants in the agreements governing our existing debt, and debt we may incur in the future, may materially restrict our operations, including our ability to incur debt, pay dividends, make certain investments and payments, make acquisitions, and encumber or dispose of assets. In addition, financial covenants contained in agreements relating to our existing and future debt could lead to a default in the event our results of operations do not meet our plans and we are unable to amend those financial covenants. A default and acceleration under one debt instrument may also trigger cross-acceleration under our other debt instruments. An event of default under any debt instrument, if not cured or waived, could result in the lenders requiring us to repay the debt, which could have a material adverse effect on our business, financial condition, results of operations and cash flows.</w:t>
      </w:r>
    </w:p>
    <w:p>
      <w:pPr>
        <w:spacing w:after="0" w:line="17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In addition, the level of our indebtedness could have significant negative consequences for our future operations, including:</w:t>
      </w:r>
    </w:p>
    <w:p>
      <w:pPr>
        <w:spacing w:after="0" w:line="225" w:lineRule="exact"/>
        <w:rPr>
          <w:sz w:val="20"/>
          <w:szCs w:val="20"/>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increasing our vulnerability to general adverse economic and industry conditions;</w:t>
      </w:r>
    </w:p>
    <w:p>
      <w:pPr>
        <w:spacing w:after="0" w:line="225" w:lineRule="exact"/>
        <w:rPr>
          <w:rFonts w:ascii="Arial" w:cs="Arial" w:eastAsia="Arial" w:hAnsi="Arial"/>
          <w:sz w:val="18"/>
          <w:szCs w:val="18"/>
          <w:color w:val="auto"/>
        </w:rPr>
      </w:pPr>
    </w:p>
    <w:p>
      <w:pPr>
        <w:ind w:left="980" w:right="80" w:hanging="324"/>
        <w:spacing w:after="0" w:line="277" w:lineRule="auto"/>
        <w:tabs>
          <w:tab w:leader="none" w:pos="944" w:val="left"/>
        </w:tabs>
        <w:numPr>
          <w:ilvl w:val="0"/>
          <w:numId w:val="10"/>
        </w:numPr>
        <w:rPr>
          <w:rFonts w:ascii="Arial" w:cs="Arial" w:eastAsia="Arial" w:hAnsi="Arial"/>
          <w:sz w:val="18"/>
          <w:szCs w:val="18"/>
          <w:color w:val="auto"/>
        </w:rPr>
      </w:pPr>
      <w:r>
        <w:rPr>
          <w:rFonts w:ascii="Arial" w:cs="Arial" w:eastAsia="Arial" w:hAnsi="Arial"/>
          <w:sz w:val="18"/>
          <w:szCs w:val="18"/>
          <w:color w:val="auto"/>
        </w:rPr>
        <w:t>limiting our ability to obtain additional financing for working capital, capital and research and development expenditures, and general corporate purposes;</w:t>
      </w:r>
    </w:p>
    <w:p>
      <w:pPr>
        <w:spacing w:after="0" w:line="170" w:lineRule="exact"/>
        <w:rPr>
          <w:rFonts w:ascii="Arial" w:cs="Arial" w:eastAsia="Arial" w:hAnsi="Arial"/>
          <w:sz w:val="18"/>
          <w:szCs w:val="18"/>
          <w:color w:val="auto"/>
        </w:rPr>
      </w:pPr>
    </w:p>
    <w:p>
      <w:pPr>
        <w:ind w:left="980" w:right="100" w:hanging="324"/>
        <w:spacing w:after="0" w:line="342" w:lineRule="auto"/>
        <w:tabs>
          <w:tab w:leader="none" w:pos="944" w:val="left"/>
        </w:tabs>
        <w:numPr>
          <w:ilvl w:val="0"/>
          <w:numId w:val="10"/>
        </w:numPr>
        <w:rPr>
          <w:rFonts w:ascii="Arial" w:cs="Arial" w:eastAsia="Arial" w:hAnsi="Arial"/>
          <w:sz w:val="16"/>
          <w:szCs w:val="16"/>
          <w:color w:val="auto"/>
        </w:rPr>
      </w:pPr>
      <w:r>
        <w:rPr>
          <w:rFonts w:ascii="Arial" w:cs="Arial" w:eastAsia="Arial" w:hAnsi="Arial"/>
          <w:sz w:val="16"/>
          <w:szCs w:val="16"/>
          <w:color w:val="auto"/>
        </w:rPr>
        <w:t>requiring the dedication of a substantial portion of our expected cash flow or our existing cash to service our indebtedness, thereby reducing the amount of our cash available for other purposes, including working capital, capital expenditures and research and development expenditures;</w:t>
      </w:r>
    </w:p>
    <w:p>
      <w:pPr>
        <w:spacing w:after="0" w:line="123" w:lineRule="exact"/>
        <w:rPr>
          <w:rFonts w:ascii="Arial" w:cs="Arial" w:eastAsia="Arial" w:hAnsi="Arial"/>
          <w:sz w:val="16"/>
          <w:szCs w:val="16"/>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our business and the industry in which we compete; or</w:t>
      </w:r>
    </w:p>
    <w:p>
      <w:pPr>
        <w:spacing w:after="0" w:line="225" w:lineRule="exact"/>
        <w:rPr>
          <w:rFonts w:ascii="Arial" w:cs="Arial" w:eastAsia="Arial" w:hAnsi="Arial"/>
          <w:sz w:val="18"/>
          <w:szCs w:val="18"/>
          <w:color w:val="auto"/>
        </w:rPr>
      </w:pPr>
    </w:p>
    <w:p>
      <w:pPr>
        <w:ind w:left="980" w:right="440" w:hanging="324"/>
        <w:spacing w:after="0" w:line="277" w:lineRule="auto"/>
        <w:tabs>
          <w:tab w:leader="none" w:pos="944" w:val="left"/>
        </w:tabs>
        <w:numPr>
          <w:ilvl w:val="0"/>
          <w:numId w:val="10"/>
        </w:numPr>
        <w:rPr>
          <w:rFonts w:ascii="Arial" w:cs="Arial" w:eastAsia="Arial" w:hAnsi="Arial"/>
          <w:sz w:val="18"/>
          <w:szCs w:val="18"/>
          <w:color w:val="auto"/>
        </w:rPr>
      </w:pPr>
      <w:r>
        <w:rPr>
          <w:rFonts w:ascii="Arial" w:cs="Arial" w:eastAsia="Arial" w:hAnsi="Arial"/>
          <w:sz w:val="18"/>
          <w:szCs w:val="18"/>
          <w:color w:val="auto"/>
        </w:rPr>
        <w:t>placing us at a possible competitive disadvantage compared to less leveraged competitors and competitors that have better access to capital resources.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right="360" w:firstLine="324"/>
        <w:spacing w:after="0" w:line="277" w:lineRule="auto"/>
        <w:rPr>
          <w:sz w:val="20"/>
          <w:szCs w:val="20"/>
          <w:color w:val="auto"/>
        </w:rPr>
      </w:pPr>
      <w:r>
        <w:rPr>
          <w:rFonts w:ascii="Arial" w:cs="Arial" w:eastAsia="Arial" w:hAnsi="Arial"/>
          <w:sz w:val="18"/>
          <w:szCs w:val="18"/>
          <w:color w:val="auto"/>
        </w:rPr>
        <w:t>Our U.S. headquarters located in Santa Clara California, building under construction in Singapore, building in Malaysia, building in Switzerland and buildings in Shanghai, China subject us to the risks of owning real property, including:</w:t>
      </w:r>
    </w:p>
    <w:p>
      <w:pPr>
        <w:spacing w:after="0" w:line="170" w:lineRule="exact"/>
        <w:rPr>
          <w:sz w:val="20"/>
          <w:szCs w:val="20"/>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5" w:lineRule="exact"/>
        <w:rPr>
          <w:rFonts w:ascii="Arial" w:cs="Arial" w:eastAsia="Arial" w:hAnsi="Arial"/>
          <w:sz w:val="18"/>
          <w:szCs w:val="18"/>
          <w:color w:val="auto"/>
        </w:rPr>
      </w:pPr>
    </w:p>
    <w:p>
      <w:pPr>
        <w:ind w:left="980" w:right="240" w:hanging="324"/>
        <w:spacing w:after="0" w:line="277" w:lineRule="auto"/>
        <w:tabs>
          <w:tab w:leader="none" w:pos="944" w:val="left"/>
        </w:tabs>
        <w:numPr>
          <w:ilvl w:val="0"/>
          <w:numId w:val="11"/>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248" w:lineRule="exact"/>
        <w:rPr>
          <w:rFonts w:ascii="Arial" w:cs="Arial" w:eastAsia="Arial" w:hAnsi="Arial"/>
          <w:sz w:val="16"/>
          <w:szCs w:val="16"/>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5" w:lineRule="exact"/>
        <w:rPr>
          <w:rFonts w:ascii="Arial" w:cs="Arial" w:eastAsia="Arial" w:hAnsi="Arial"/>
          <w:sz w:val="18"/>
          <w:szCs w:val="18"/>
          <w:color w:val="auto"/>
        </w:rPr>
      </w:pPr>
    </w:p>
    <w:p>
      <w:pPr>
        <w:ind w:left="980" w:right="160" w:hanging="324"/>
        <w:spacing w:after="0" w:line="277" w:lineRule="auto"/>
        <w:tabs>
          <w:tab w:leader="none" w:pos="944"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3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46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24" w:lineRule="exact"/>
        <w:rPr>
          <w:sz w:val="20"/>
          <w:szCs w:val="20"/>
          <w:color w:val="auto"/>
        </w:rPr>
      </w:pPr>
    </w:p>
    <w:p>
      <w:pPr>
        <w:ind w:right="460" w:firstLine="324"/>
        <w:spacing w:after="0" w:line="342"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w:t>
      </w:r>
    </w:p>
    <w:p>
      <w:pPr>
        <w:sectPr>
          <w:pgSz w:w="11900" w:h="16838" w:orient="portrait"/>
          <w:cols w:equalWidth="0" w:num="1">
            <w:col w:w="11400"/>
          </w:cols>
          <w:pgMar w:left="240" w:top="125" w:right="259" w:bottom="0" w:gutter="0" w:footer="0" w:header="0"/>
        </w:sectPr>
      </w:pPr>
    </w:p>
    <w:bookmarkStart w:id="40" w:name="page41"/>
    <w:bookmarkEnd w:id="40"/>
    <w:p>
      <w:pPr>
        <w:ind w:right="380"/>
        <w:spacing w:after="0" w:line="277" w:lineRule="auto"/>
        <w:rPr>
          <w:sz w:val="20"/>
          <w:szCs w:val="20"/>
          <w:color w:val="auto"/>
        </w:rPr>
      </w:pPr>
      <w:r>
        <w:rPr>
          <w:rFonts w:ascii="Arial" w:cs="Arial" w:eastAsia="Arial" w:hAnsi="Arial"/>
          <w:sz w:val="18"/>
          <w:szCs w:val="18"/>
          <w:color w:val="auto"/>
        </w:rPr>
        <w:t>personnel, could delay the development and introduction of and harm our ability to sell our products. We do not have employment contracts with our key personnel, and their knowledge of our business and industry would be extremely difficult to replace.</w:t>
      </w:r>
    </w:p>
    <w:p>
      <w:pPr>
        <w:spacing w:after="0" w:line="170" w:lineRule="exact"/>
        <w:rPr>
          <w:sz w:val="20"/>
          <w:szCs w:val="20"/>
          <w:color w:val="auto"/>
        </w:rPr>
      </w:pPr>
    </w:p>
    <w:p>
      <w:pPr>
        <w:ind w:right="80" w:firstLine="324"/>
        <w:spacing w:after="0" w:line="257"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88" w:lineRule="exact"/>
        <w:rPr>
          <w:sz w:val="20"/>
          <w:szCs w:val="20"/>
          <w:color w:val="auto"/>
        </w:rPr>
      </w:pPr>
    </w:p>
    <w:p>
      <w:pPr>
        <w:jc w:val="both"/>
        <w:ind w:right="60"/>
        <w:spacing w:after="0" w:line="286" w:lineRule="auto"/>
        <w:rPr>
          <w:sz w:val="20"/>
          <w:szCs w:val="20"/>
          <w:color w:val="auto"/>
        </w:rPr>
      </w:pPr>
      <w:r>
        <w:rPr>
          <w:rFonts w:ascii="Arial" w:cs="Arial" w:eastAsia="Arial" w:hAnsi="Arial"/>
          <w:sz w:val="17"/>
          <w:szCs w:val="17"/>
          <w:b w:val="1"/>
          <w:bCs w:val="1"/>
          <w:i w:val="1"/>
          <w:iCs w:val="1"/>
          <w:color w:val="auto"/>
        </w:rPr>
        <w:t>Our officers and directors own a large percentage of our voting stock, and two of them, together with another employee, are also significant shareholders and are related by blood or marriage. These factors may allow the officers and directors as a group or the three related employees to greatly influence the election of directors and the approval or disapproval of significant corporate actions.</w:t>
      </w:r>
    </w:p>
    <w:p>
      <w:pPr>
        <w:spacing w:after="0" w:line="166"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As of July 28, 2007, our executive officers and directors beneficially owned or controlled, directly or indirectly, approximately 20% of the outstanding shares our common stock. Additionally, Dr. Sehat Sutardja, our Chief Executive Officer, and Weili Dai, who serves as our Director of Strategic Marketing and Business Development, are husband and wife and Dr. Sehat Sutardja and Dr. Pantas Sutardja are brothers. Together, these three individuals held approximately 19% of our outstanding common stock as of July 28, 2007. As a result, if the directors and officers as a group or any of Dr. Sehat Sutardja, Weili Dai and Dr. Pantas Sutardja act together, they will significantly influence the election of our directors and the approval or disapproval of our significant corporate actions. This influence over our affairs might be adverse to the interests of other shareholders. For instance, the voting power of these officers, directors and others could have the effect of delaying or preventing an acquisition of our company on terms that other shareholders may desire. Furthermore, we have a classified board, which could also further delay or prevent an acquisition, under certain circumstances.</w:t>
      </w:r>
    </w:p>
    <w:p>
      <w:pPr>
        <w:spacing w:after="0" w:line="166" w:lineRule="exact"/>
        <w:rPr>
          <w:sz w:val="20"/>
          <w:szCs w:val="20"/>
          <w:color w:val="auto"/>
        </w:rPr>
      </w:pPr>
    </w:p>
    <w:p>
      <w:pPr>
        <w:ind w:right="120" w:firstLine="324"/>
        <w:spacing w:after="0" w:line="289"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67"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0" w:lineRule="exact"/>
        <w:rPr>
          <w:sz w:val="20"/>
          <w:szCs w:val="20"/>
          <w:color w:val="auto"/>
        </w:rPr>
      </w:pPr>
    </w:p>
    <w:p>
      <w:pPr>
        <w:ind w:right="20" w:firstLine="324"/>
        <w:spacing w:after="0" w:line="29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83% of our net revenue in the first six months of fiscal 2008, 89% of our net revenue in fiscal 2007 and 94% of our net revenue in fiscal 2006.</w:t>
      </w:r>
    </w:p>
    <w:p>
      <w:pPr>
        <w:spacing w:after="0" w:line="3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340" w:firstLine="324"/>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47" w:lineRule="exact"/>
        <w:rPr>
          <w:sz w:val="20"/>
          <w:szCs w:val="20"/>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7"/>
          <w:szCs w:val="17"/>
          <w:color w:val="auto"/>
        </w:rPr>
      </w:pPr>
      <w:r>
        <w:rPr>
          <w:rFonts w:ascii="Arial" w:cs="Arial" w:eastAsia="Arial" w:hAnsi="Arial"/>
          <w:sz w:val="17"/>
          <w:szCs w:val="17"/>
          <w:color w:val="auto"/>
        </w:rPr>
        <w:t>difficulties of managing distributors, especially because we expect to continue to increase our sales through international distributors;</w:t>
      </w:r>
    </w:p>
    <w:p>
      <w:pPr>
        <w:spacing w:after="0" w:line="236" w:lineRule="exact"/>
        <w:rPr>
          <w:rFonts w:ascii="Arial" w:cs="Arial" w:eastAsia="Arial" w:hAnsi="Arial"/>
          <w:sz w:val="17"/>
          <w:szCs w:val="17"/>
          <w:color w:val="auto"/>
        </w:rPr>
      </w:pPr>
    </w:p>
    <w:p>
      <w:pPr>
        <w:ind w:left="980" w:right="620" w:hanging="324"/>
        <w:spacing w:after="0" w:line="277" w:lineRule="auto"/>
        <w:tabs>
          <w:tab w:leader="none" w:pos="944" w:val="left"/>
        </w:tabs>
        <w:numPr>
          <w:ilvl w:val="0"/>
          <w:numId w:val="12"/>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ind w:right="80" w:firstLine="324"/>
        <w:spacing w:after="0" w:line="279" w:lineRule="auto"/>
        <w:rPr>
          <w:sz w:val="20"/>
          <w:szCs w:val="20"/>
          <w:color w:val="auto"/>
        </w:rPr>
      </w:pPr>
      <w:r>
        <w:rPr>
          <w:rFonts w:ascii="Arial" w:cs="Arial" w:eastAsia="Arial" w:hAnsi="Arial"/>
          <w:sz w:val="17"/>
          <w:szCs w:val="17"/>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ectPr>
          <w:pgSz w:w="11900" w:h="16838" w:orient="portrait"/>
          <w:cols w:equalWidth="0" w:num="1">
            <w:col w:w="11420"/>
          </w:cols>
          <w:pgMar w:left="240" w:top="125" w:right="239" w:bottom="29" w:gutter="0" w:footer="0" w:header="0"/>
        </w:sectPr>
      </w:pPr>
    </w:p>
    <w:p>
      <w:pPr>
        <w:spacing w:after="0" w:line="171" w:lineRule="exact"/>
        <w:rPr>
          <w:sz w:val="20"/>
          <w:szCs w:val="20"/>
          <w:color w:val="auto"/>
        </w:rPr>
      </w:pPr>
    </w:p>
    <w:p>
      <w:pPr>
        <w:ind w:right="400"/>
        <w:spacing w:after="0" w:line="264"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ectPr>
          <w:pgSz w:w="11900" w:h="16838" w:orient="portrait"/>
          <w:cols w:equalWidth="0" w:num="1">
            <w:col w:w="11420"/>
          </w:cols>
          <w:pgMar w:left="240" w:top="125" w:right="239" w:bottom="29" w:gutter="0" w:footer="0" w:header="0"/>
          <w:type w:val="continuous"/>
        </w:sectPr>
      </w:pPr>
    </w:p>
    <w:bookmarkStart w:id="41" w:name="page42"/>
    <w:bookmarkEnd w:id="41"/>
    <w:p>
      <w:pPr>
        <w:spacing w:after="0" w:line="55"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Major earthquakes also occurred in Taiwan in 2002, 2003, 2004 and more recently in 2006. Although our foundries and subcontractors did not suffer any significant damage as a result of these most recent earthquakes,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78"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70" w:lineRule="exact"/>
        <w:rPr>
          <w:sz w:val="20"/>
          <w:szCs w:val="20"/>
          <w:color w:val="auto"/>
        </w:rPr>
      </w:pPr>
    </w:p>
    <w:p>
      <w:pPr>
        <w:ind w:right="60" w:firstLine="324"/>
        <w:spacing w:after="0" w:line="273" w:lineRule="auto"/>
        <w:rPr>
          <w:sz w:val="20"/>
          <w:szCs w:val="20"/>
          <w:color w:val="auto"/>
        </w:rPr>
      </w:pPr>
      <w:r>
        <w:rPr>
          <w:rFonts w:ascii="Arial" w:cs="Arial" w:eastAsia="Arial" w:hAnsi="Arial"/>
          <w:sz w:val="17"/>
          <w:szCs w:val="17"/>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pricing pressures from our customers, an increase in sales of storage SOCs, which typically have lower margins than standalone read channel devices, and an increase in sales of wireless and other products into consumer application markets, which are highly competitive and cost sensitive.</w:t>
      </w:r>
    </w:p>
    <w:p>
      <w:pPr>
        <w:spacing w:after="0" w:line="178"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48" w:lineRule="exact"/>
        <w:rPr>
          <w:sz w:val="20"/>
          <w:szCs w:val="20"/>
          <w:color w:val="auto"/>
        </w:rPr>
      </w:pPr>
    </w:p>
    <w:p>
      <w:pPr>
        <w:jc w:val="both"/>
        <w:ind w:right="240" w:firstLine="324"/>
        <w:spacing w:after="0" w:line="264"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81"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Qualification is typically followed by an extended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8" w:lineRule="exact"/>
        <w:rPr>
          <w:sz w:val="20"/>
          <w:szCs w:val="20"/>
          <w:color w:val="auto"/>
        </w:rPr>
      </w:pPr>
    </w:p>
    <w:p>
      <w:pPr>
        <w:ind w:right="20" w:firstLine="324"/>
        <w:spacing w:after="0" w:line="257"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88"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must keep pace with rapid technological change and evolving industry standards in the semiconductor industry to remain competitive.</w:t>
      </w:r>
    </w:p>
    <w:p>
      <w:pPr>
        <w:spacing w:after="0" w:line="237" w:lineRule="exact"/>
        <w:rPr>
          <w:sz w:val="20"/>
          <w:szCs w:val="20"/>
          <w:color w:val="auto"/>
        </w:rPr>
      </w:pPr>
    </w:p>
    <w:p>
      <w:pPr>
        <w:ind w:right="60" w:firstLine="324"/>
        <w:spacing w:after="0" w:line="269" w:lineRule="auto"/>
        <w:rPr>
          <w:sz w:val="20"/>
          <w:szCs w:val="20"/>
          <w:color w:val="auto"/>
        </w:rPr>
      </w:pPr>
      <w:r>
        <w:rPr>
          <w:rFonts w:ascii="Arial" w:cs="Arial" w:eastAsia="Arial" w:hAnsi="Arial"/>
          <w:sz w:val="17"/>
          <w:szCs w:val="17"/>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right="140" w:firstLine="324"/>
        <w:spacing w:after="0" w:line="293"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w:t>
      </w:r>
    </w:p>
    <w:p>
      <w:pPr>
        <w:sectPr>
          <w:pgSz w:w="11900" w:h="16894" w:orient="portrait"/>
          <w:cols w:equalWidth="0" w:num="1">
            <w:col w:w="11400"/>
          </w:cols>
          <w:pgMar w:left="240" w:top="125" w:right="259" w:bottom="0" w:gutter="0" w:footer="0" w:header="0"/>
        </w:sectPr>
      </w:pPr>
    </w:p>
    <w:bookmarkStart w:id="42" w:name="page43"/>
    <w:bookmarkEnd w:id="42"/>
    <w:p>
      <w:pPr>
        <w:ind w:right="460"/>
        <w:spacing w:after="0" w:line="342" w:lineRule="auto"/>
        <w:rPr>
          <w:sz w:val="20"/>
          <w:szCs w:val="20"/>
          <w:color w:val="auto"/>
        </w:rPr>
      </w:pPr>
      <w:r>
        <w:rPr>
          <w:rFonts w:ascii="Arial" w:cs="Arial" w:eastAsia="Arial" w:hAnsi="Arial"/>
          <w:sz w:val="16"/>
          <w:szCs w:val="16"/>
          <w:color w:val="auto"/>
        </w:rPr>
        <w:t>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w:t>
      </w:r>
    </w:p>
    <w:p>
      <w:pPr>
        <w:spacing w:after="0" w:line="3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
        <w:spacing w:after="0" w:line="286" w:lineRule="auto"/>
        <w:rPr>
          <w:sz w:val="20"/>
          <w:szCs w:val="20"/>
          <w:color w:val="auto"/>
        </w:rPr>
      </w:pPr>
      <w:r>
        <w:rPr>
          <w:rFonts w:ascii="Arial" w:cs="Arial" w:eastAsia="Arial" w:hAnsi="Arial"/>
          <w:sz w:val="17"/>
          <w:szCs w:val="17"/>
          <w:color w:val="auto"/>
        </w:rPr>
        <w:t>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66"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pacing w:after="0" w:line="170" w:lineRule="exact"/>
        <w:rPr>
          <w:sz w:val="20"/>
          <w:szCs w:val="20"/>
          <w:color w:val="auto"/>
        </w:rPr>
      </w:pPr>
    </w:p>
    <w:p>
      <w:pPr>
        <w:ind w:right="260" w:firstLine="324"/>
        <w:spacing w:after="0" w:line="257"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Any potential intellectual property litigation also could force us to do one or more of the following:</w:t>
      </w:r>
    </w:p>
    <w:p>
      <w:pPr>
        <w:spacing w:after="0" w:line="188" w:lineRule="exact"/>
        <w:rPr>
          <w:sz w:val="20"/>
          <w:szCs w:val="20"/>
          <w:color w:val="auto"/>
        </w:rPr>
      </w:pPr>
    </w:p>
    <w:p>
      <w:pPr>
        <w:ind w:left="940" w:hanging="284"/>
        <w:spacing w:after="0"/>
        <w:tabs>
          <w:tab w:leader="none" w:pos="9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3"/>
        </w:numPr>
        <w:rPr>
          <w:rFonts w:ascii="Arial" w:cs="Arial" w:eastAsia="Arial" w:hAnsi="Arial"/>
          <w:sz w:val="17"/>
          <w:szCs w:val="17"/>
          <w:color w:val="auto"/>
        </w:rPr>
      </w:pPr>
      <w:r>
        <w:rPr>
          <w:rFonts w:ascii="Arial" w:cs="Arial" w:eastAsia="Arial" w:hAnsi="Arial"/>
          <w:sz w:val="17"/>
          <w:szCs w:val="17"/>
          <w:color w:val="auto"/>
        </w:rPr>
        <w:t>attempt to obtain a license to the relevant intellectual property, which license may not be available on reasonable terms or at all; and</w:t>
      </w:r>
    </w:p>
    <w:p>
      <w:pPr>
        <w:spacing w:after="0" w:line="236" w:lineRule="exact"/>
        <w:rPr>
          <w:rFonts w:ascii="Arial" w:cs="Arial" w:eastAsia="Arial" w:hAnsi="Arial"/>
          <w:sz w:val="17"/>
          <w:szCs w:val="17"/>
          <w:color w:val="auto"/>
        </w:rPr>
      </w:pPr>
    </w:p>
    <w:p>
      <w:pPr>
        <w:ind w:left="940" w:hanging="284"/>
        <w:spacing w:after="0"/>
        <w:tabs>
          <w:tab w:leader="none" w:pos="9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color w:val="auto"/>
        </w:rPr>
        <w:t>In addition, many of our contracts with our customers require us to indemnify our customers against claims alleging infringement of the proprietary rights of other parties. Customers have requested us to indemnify them in connection with a patent infringement lawsuit by Australia’s Commonwealth Scientific and Industrial Research Organization (CSIRO). We have also filed an action against CSIRO seeking a declaratory judgment that CSIRO’s patent is invalid and unenforceable and that we and our customers do not infringe the CSIRO patent.</w:t>
      </w:r>
    </w:p>
    <w:p>
      <w:pPr>
        <w:spacing w:after="0" w:line="187" w:lineRule="exact"/>
        <w:rPr>
          <w:sz w:val="20"/>
          <w:szCs w:val="20"/>
          <w:color w:val="auto"/>
        </w:rPr>
      </w:pPr>
    </w:p>
    <w:p>
      <w:pPr>
        <w:ind w:right="20" w:firstLine="324"/>
        <w:spacing w:after="0" w:line="273" w:lineRule="auto"/>
        <w:rPr>
          <w:sz w:val="20"/>
          <w:szCs w:val="20"/>
          <w:color w:val="auto"/>
        </w:rPr>
      </w:pPr>
      <w:r>
        <w:rPr>
          <w:rFonts w:ascii="Arial" w:cs="Arial" w:eastAsia="Arial" w:hAnsi="Arial"/>
          <w:sz w:val="17"/>
          <w:szCs w:val="17"/>
          <w:color w:val="auto"/>
        </w:rPr>
        <w:t>We are also party to other claims and litigation proceedings arising in the normal course of business. The impact on us as a result of such claims and litigation cannot currently be ascertained. Any litigation, regardless of the outcome, is time-consuming and expensive to resolve, may require us to pay significant monetary damages and can divert management time and attention. An unfavorable ruling in litigation could require us to pay damages or one-time license fees or royalty payments, which could adversely impact gross margins in future periods, or could prevent us from manufacturing or selling some of our products or limit or restrict the type of work that employees involved in such litigation may perform for us. There can be no assurance that these matters will be resolved in a manner that is not adverse to our business, financial condition, results of operations or cash flows.</w:t>
      </w:r>
    </w:p>
    <w:p>
      <w:pPr>
        <w:spacing w:after="0" w:line="178"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70" w:lineRule="exact"/>
        <w:rPr>
          <w:sz w:val="20"/>
          <w:szCs w:val="20"/>
          <w:color w:val="auto"/>
        </w:rPr>
      </w:pPr>
    </w:p>
    <w:p>
      <w:pPr>
        <w:ind w:right="60" w:firstLine="324"/>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800"/>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0" w:lineRule="exact"/>
        <w:rPr>
          <w:sz w:val="20"/>
          <w:szCs w:val="20"/>
          <w:color w:val="auto"/>
        </w:rPr>
      </w:pPr>
    </w:p>
    <w:p>
      <w:pPr>
        <w:ind w:firstLine="324"/>
        <w:spacing w:after="0" w:line="293"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60" w:firstLine="324"/>
        <w:spacing w:after="0" w:line="259" w:lineRule="auto"/>
        <w:rPr>
          <w:sz w:val="20"/>
          <w:szCs w:val="20"/>
          <w:color w:val="auto"/>
        </w:rPr>
      </w:pPr>
      <w:r>
        <w:rPr>
          <w:rFonts w:ascii="Arial" w:cs="Arial" w:eastAsia="Arial" w:hAnsi="Arial"/>
          <w:sz w:val="18"/>
          <w:szCs w:val="18"/>
          <w:color w:val="auto"/>
        </w:rPr>
        <w:t>Under current Bermuda law, we are not subject to tax on our income and capital gains. We have obtained from the Minister of Finance of Bermuda under the Exempt Undertakings Tax Protection Act 1966, as amended, an undertaking that, in the event that Bermuda enacts any legislation imposing tax computed on income and capital gains, those taxes should not apply to us until March 28, 2016. However, it is possible that this exemption would not be extended beyond that date.</w:t>
      </w:r>
    </w:p>
    <w:p>
      <w:pPr>
        <w:sectPr>
          <w:pgSz w:w="11900" w:h="16838" w:orient="portrait"/>
          <w:cols w:equalWidth="0" w:num="1">
            <w:col w:w="11420"/>
          </w:cols>
          <w:pgMar w:left="240" w:top="125" w:right="239" w:bottom="0" w:gutter="0" w:footer="0" w:header="0"/>
        </w:sectPr>
      </w:pPr>
    </w:p>
    <w:bookmarkStart w:id="43" w:name="page44"/>
    <w:bookmarkEnd w:id="43"/>
    <w:p>
      <w:pPr>
        <w:ind w:right="120" w:firstLine="324"/>
        <w:spacing w:after="0" w:line="257"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1999. Initially, this tax exemption was to expire after ten years, but the Economic Development Board in June 2006 agreed to extend the term to fifteen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w:t>
      </w:r>
    </w:p>
    <w:p>
      <w:pPr>
        <w:spacing w:after="0" w:line="188"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187" w:lineRule="exact"/>
        <w:rPr>
          <w:sz w:val="20"/>
          <w:szCs w:val="20"/>
          <w:color w:val="auto"/>
        </w:rPr>
      </w:pPr>
    </w:p>
    <w:p>
      <w:pPr>
        <w:ind w:right="220" w:firstLine="324"/>
        <w:spacing w:after="0" w:line="259" w:lineRule="auto"/>
        <w:rPr>
          <w:sz w:val="20"/>
          <w:szCs w:val="20"/>
          <w:color w:val="auto"/>
        </w:rPr>
      </w:pPr>
      <w:r>
        <w:rPr>
          <w:rFonts w:ascii="Arial" w:cs="Arial" w:eastAsia="Arial" w:hAnsi="Arial"/>
          <w:sz w:val="18"/>
          <w:szCs w:val="18"/>
          <w:color w:val="auto"/>
        </w:rPr>
        <w:t>During fiscal 2007, our Switzerland subsidiary received from both Federal and Cantonal purposes a ten-year tax holiday on design and research centre and wafer supply trading activity revenues earned in Switzerland. Each jurisdiction has separate requirements that need to be met such as the ten-year business requirement and investment in head count, intellectual property, office equipment, software and other expense items. If the requirements are not met, there would be tax dollars to be paid which may affect our financial results.</w:t>
      </w:r>
    </w:p>
    <w:p>
      <w:pPr>
        <w:spacing w:after="0" w:line="187"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70" w:lineRule="exact"/>
        <w:rPr>
          <w:sz w:val="20"/>
          <w:szCs w:val="20"/>
          <w:color w:val="auto"/>
        </w:rPr>
      </w:pPr>
    </w:p>
    <w:p>
      <w:pPr>
        <w:jc w:val="both"/>
        <w:ind w:right="20" w:firstLine="324"/>
        <w:spacing w:after="0" w:line="288"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w:t>
      </w:r>
    </w:p>
    <w:p>
      <w:pPr>
        <w:ind w:right="20"/>
        <w:spacing w:after="0" w:line="252" w:lineRule="auto"/>
        <w:rPr>
          <w:sz w:val="20"/>
          <w:szCs w:val="20"/>
          <w:color w:val="auto"/>
        </w:rPr>
      </w:pPr>
      <w:r>
        <w:rPr>
          <w:rFonts w:ascii="Arial" w:cs="Arial" w:eastAsia="Arial" w:hAnsi="Arial"/>
          <w:sz w:val="18"/>
          <w:szCs w:val="18"/>
          <w:color w:val="auto"/>
        </w:rPr>
        <w:t>Plaintiffs allege that defendants violated various provisions of the Securities Act of 1933 and the Securities Exchange Act of 1934, as amended. In these actions, plaintiffs seek, among other items, unspecified damages, pre-judgment interest and reimbursement of attorneys’ and experts’ fees. A Consolidated Amended 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as amended and Section 10(b) of the Securities Exchange Act of 1934, as amended. Claims against the individual officers have been voluntarily dismissed with prejudice by agreement with plaintiffs.</w:t>
      </w:r>
    </w:p>
    <w:p>
      <w:pPr>
        <w:spacing w:after="0" w:line="193" w:lineRule="exact"/>
        <w:rPr>
          <w:sz w:val="20"/>
          <w:szCs w:val="20"/>
          <w:color w:val="auto"/>
        </w:rPr>
      </w:pPr>
    </w:p>
    <w:p>
      <w:pPr>
        <w:ind w:firstLine="324"/>
        <w:spacing w:after="0" w:line="293" w:lineRule="auto"/>
        <w:rPr>
          <w:sz w:val="20"/>
          <w:szCs w:val="20"/>
          <w:color w:val="auto"/>
        </w:rPr>
      </w:pPr>
      <w:r>
        <w:rPr>
          <w:rFonts w:ascii="Arial" w:cs="Arial" w:eastAsia="Arial" w:hAnsi="Arial"/>
          <w:sz w:val="16"/>
          <w:szCs w:val="16"/>
          <w:color w:val="auto"/>
        </w:rPr>
        <w:t>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Our board of directors has approved the proposed settlement, which, if approved by the court would result in the plaintiffs’ dismissing the case against us and granting releases that extend to all of our officers and directors. The court issued an order preliminarily approving the settlement in August 2005 and held a public hearing on its fairness in April 2006. The court has not yet ruled following the public hearing. These claims and any resulting litigation could result in substantial costs and could divert the attention and resources of our management.</w:t>
      </w:r>
    </w:p>
    <w:p>
      <w:pPr>
        <w:spacing w:after="0" w:line="38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additional securities litigation. Any securities litigation could result in substantial costs could divert the attention and resources of our management and could have a material adverse effect on our reputation, business, financial condition, financial results, results of operations and cash flows.</w:t>
      </w:r>
    </w:p>
    <w:p>
      <w:pPr>
        <w:spacing w:after="0" w:line="188" w:lineRule="exact"/>
        <w:rPr>
          <w:sz w:val="20"/>
          <w:szCs w:val="20"/>
          <w:color w:val="auto"/>
        </w:rPr>
      </w:pPr>
    </w:p>
    <w:p>
      <w:pPr>
        <w:ind w:right="36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420" w:firstLine="324"/>
        <w:spacing w:after="0" w:line="277" w:lineRule="auto"/>
        <w:rPr>
          <w:sz w:val="20"/>
          <w:szCs w:val="20"/>
          <w:color w:val="auto"/>
        </w:rPr>
      </w:pPr>
      <w:r>
        <w:rPr>
          <w:rFonts w:ascii="Arial" w:cs="Arial" w:eastAsia="Arial" w:hAnsi="Arial"/>
          <w:sz w:val="18"/>
          <w:szCs w:val="18"/>
          <w:color w:val="auto"/>
        </w:rPr>
        <w:t>These changes in corporate control provisions could make it more difficult for a third-party to acquire us, even if doing so would be a benefit to our shareholders.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ectPr>
          <w:pgSz w:w="11900" w:h="16838" w:orient="portrait"/>
          <w:cols w:equalWidth="0" w:num="1">
            <w:col w:w="11380"/>
          </w:cols>
          <w:pgMar w:left="240" w:top="125" w:right="279" w:bottom="0" w:gutter="0" w:footer="0" w:header="0"/>
        </w:sectPr>
      </w:pPr>
    </w:p>
    <w:bookmarkStart w:id="44" w:name="page45"/>
    <w:bookmarkEnd w:id="44"/>
    <w:p>
      <w:pPr>
        <w:ind w:right="120" w:firstLine="243"/>
        <w:spacing w:after="0" w:line="276" w:lineRule="auto"/>
        <w:rPr>
          <w:sz w:val="20"/>
          <w:szCs w:val="20"/>
          <w:color w:val="auto"/>
        </w:rPr>
      </w:pPr>
      <w:r>
        <w:rPr>
          <w:rFonts w:ascii="Arial" w:cs="Arial" w:eastAsia="Arial" w:hAnsi="Arial"/>
          <w:sz w:val="17"/>
          <w:szCs w:val="17"/>
          <w:color w:val="auto"/>
        </w:rPr>
        <w:t>On June 30, 2007, the Board of Directors of the Company authorized the Company to indemnify certain current and former directors, officers and employees of the Company and its subsidiary Marvell Semiconductor, Inc. for reasonable costs and expenses incurred by such individuals in connection with certain civil actions and governmental investigations relating to the Company’s past stock option granting practices. The Company’s agreement to pay reasonable fees and costs is subject to each individual’s agreement to reimburse the Company in the event that it is subsequently determined that the individual is not entitled to indemnification under the Company’s bye-laws or applicable law.</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29" w:lineRule="exact"/>
        <w:rPr>
          <w:sz w:val="20"/>
          <w:szCs w:val="20"/>
          <w:color w:val="auto"/>
        </w:rPr>
      </w:pPr>
    </w:p>
    <w:p>
      <w:pPr>
        <w:jc w:val="center"/>
        <w:ind w:right="7380"/>
        <w:spacing w:after="0"/>
        <w:rPr>
          <w:sz w:val="20"/>
          <w:szCs w:val="20"/>
          <w:color w:val="auto"/>
        </w:rPr>
      </w:pPr>
      <w:r>
        <w:rPr>
          <w:rFonts w:ascii="Arial" w:cs="Arial" w:eastAsia="Arial" w:hAnsi="Arial"/>
          <w:sz w:val="16"/>
          <w:szCs w:val="16"/>
          <w:color w:val="auto"/>
        </w:rPr>
        <w:t>(a) The following exhibits are filed as part of this report:</w:t>
      </w:r>
    </w:p>
    <w:p>
      <w:pPr>
        <w:spacing w:after="0" w:line="248" w:lineRule="exact"/>
        <w:rPr>
          <w:sz w:val="20"/>
          <w:szCs w:val="20"/>
          <w:color w:val="auto"/>
        </w:rPr>
      </w:pPr>
    </w:p>
    <w:p>
      <w:pPr>
        <w:ind w:left="340"/>
        <w:spacing w:after="0"/>
        <w:tabs>
          <w:tab w:leader="none" w:pos="980" w:val="left"/>
        </w:tabs>
        <w:rPr>
          <w:sz w:val="20"/>
          <w:szCs w:val="20"/>
          <w:color w:val="auto"/>
        </w:rPr>
      </w:pPr>
      <w:r>
        <w:rPr>
          <w:rFonts w:ascii="Arial" w:cs="Arial" w:eastAsia="Arial" w:hAnsi="Arial"/>
          <w:sz w:val="18"/>
          <w:szCs w:val="18"/>
          <w:color w:val="auto"/>
        </w:rPr>
        <w:t>10.37</w:t>
      </w:r>
      <w:r>
        <w:rPr>
          <w:sz w:val="20"/>
          <w:szCs w:val="20"/>
          <w:color w:val="auto"/>
        </w:rPr>
        <w:tab/>
      </w:r>
      <w:r>
        <w:rPr>
          <w:rFonts w:ascii="Arial" w:cs="Arial" w:eastAsia="Arial" w:hAnsi="Arial"/>
          <w:sz w:val="16"/>
          <w:szCs w:val="16"/>
          <w:color w:val="auto"/>
        </w:rPr>
        <w:t>Description of Indemnification Rights</w:t>
      </w:r>
    </w:p>
    <w:p>
      <w:pPr>
        <w:spacing w:after="0" w:line="23" w:lineRule="exact"/>
        <w:rPr>
          <w:sz w:val="20"/>
          <w:szCs w:val="20"/>
          <w:color w:val="auto"/>
        </w:rPr>
      </w:pPr>
    </w:p>
    <w:p>
      <w:pPr>
        <w:ind w:left="980" w:right="440" w:hanging="647"/>
        <w:spacing w:after="0" w:line="250" w:lineRule="auto"/>
        <w:tabs>
          <w:tab w:leader="none" w:pos="96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President and Chief Executive Officer</w:t>
      </w:r>
    </w:p>
    <w:p>
      <w:pPr>
        <w:spacing w:after="0" w:line="1" w:lineRule="exact"/>
        <w:rPr>
          <w:sz w:val="20"/>
          <w:szCs w:val="20"/>
          <w:color w:val="auto"/>
        </w:rPr>
      </w:pPr>
    </w:p>
    <w:p>
      <w:pPr>
        <w:ind w:left="980" w:right="180" w:hanging="647"/>
        <w:spacing w:after="0" w:line="250" w:lineRule="auto"/>
        <w:tabs>
          <w:tab w:leader="none" w:pos="96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Michael Rashkin, Vice President, Interim Chief Financial Officer</w:t>
      </w:r>
    </w:p>
    <w:p>
      <w:pPr>
        <w:spacing w:after="0" w:line="1" w:lineRule="exact"/>
        <w:rPr>
          <w:sz w:val="20"/>
          <w:szCs w:val="20"/>
          <w:color w:val="auto"/>
        </w:rPr>
      </w:pPr>
    </w:p>
    <w:p>
      <w:pPr>
        <w:ind w:left="980" w:right="440" w:hanging="647"/>
        <w:spacing w:after="0" w:line="250" w:lineRule="auto"/>
        <w:tabs>
          <w:tab w:leader="none" w:pos="960" w:val="left"/>
        </w:tabs>
        <w:rPr>
          <w:sz w:val="20"/>
          <w:szCs w:val="20"/>
          <w:color w:val="auto"/>
        </w:rPr>
      </w:pPr>
      <w:r>
        <w:rPr>
          <w:rFonts w:ascii="Arial" w:cs="Arial" w:eastAsia="Arial" w:hAnsi="Arial"/>
          <w:sz w:val="18"/>
          <w:szCs w:val="18"/>
          <w:color w:val="auto"/>
        </w:rPr>
        <w:t>32.1*</w:t>
        <w:tab/>
        <w:t>Certification Pursuant to 18 U.S.C. Section 1350, as Adopted Pursuant to Section 906 of the Sarbanes-Oxley Act of 2002 of Sehat Sutardja Ph.D., President and Chief Executive Officer</w:t>
      </w:r>
    </w:p>
    <w:p>
      <w:pPr>
        <w:spacing w:after="0" w:line="1" w:lineRule="exact"/>
        <w:rPr>
          <w:sz w:val="20"/>
          <w:szCs w:val="20"/>
          <w:color w:val="auto"/>
        </w:rPr>
      </w:pPr>
    </w:p>
    <w:p>
      <w:pPr>
        <w:ind w:left="980" w:right="160" w:hanging="647"/>
        <w:spacing w:after="0" w:line="261" w:lineRule="auto"/>
        <w:tabs>
          <w:tab w:leader="none" w:pos="960" w:val="left"/>
        </w:tabs>
        <w:rPr>
          <w:sz w:val="20"/>
          <w:szCs w:val="20"/>
          <w:color w:val="auto"/>
        </w:rPr>
      </w:pPr>
      <w:r>
        <w:rPr>
          <w:rFonts w:ascii="Arial" w:cs="Arial" w:eastAsia="Arial" w:hAnsi="Arial"/>
          <w:sz w:val="18"/>
          <w:szCs w:val="18"/>
          <w:color w:val="auto"/>
        </w:rPr>
        <w:t>32.2*</w:t>
        <w:tab/>
        <w:t>Certification Pursuant to 18 U.S.C. Section 1350, as Adopted Pursuant to Section 906 of the Sarbanes-Oxley Act of 2002 of Michael Rashkin, Vice President, Interim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125730</wp:posOffset>
            </wp:positionV>
            <wp:extent cx="138938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85" w:lineRule="exact"/>
        <w:rPr>
          <w:sz w:val="20"/>
          <w:szCs w:val="20"/>
          <w:color w:val="auto"/>
        </w:rPr>
      </w:pPr>
    </w:p>
    <w:p>
      <w:pPr>
        <w:ind w:left="660" w:right="100" w:hanging="328"/>
        <w:spacing w:after="0" w:line="276" w:lineRule="auto"/>
        <w:tabs>
          <w:tab w:leader="none" w:pos="655" w:val="left"/>
        </w:tabs>
        <w:numPr>
          <w:ilvl w:val="0"/>
          <w:numId w:val="15"/>
        </w:numPr>
        <w:rPr>
          <w:rFonts w:ascii="Arial" w:cs="Arial" w:eastAsia="Arial" w:hAnsi="Arial"/>
          <w:sz w:val="17"/>
          <w:szCs w:val="17"/>
          <w:color w:val="auto"/>
        </w:rPr>
      </w:pPr>
      <w:r>
        <w:rPr>
          <w:rFonts w:ascii="Arial" w:cs="Arial" w:eastAsia="Arial" w:hAnsi="Arial"/>
          <w:sz w:val="17"/>
          <w:szCs w:val="17"/>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Quarterly Report on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389"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920" w:firstLine="259"/>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080" w:type="dxa"/>
            <w:vAlign w:val="bottom"/>
          </w:tcPr>
          <w:p>
            <w:pPr>
              <w:spacing w:after="0"/>
              <w:rPr>
                <w:sz w:val="20"/>
                <w:szCs w:val="20"/>
                <w:color w:val="auto"/>
              </w:rPr>
            </w:pPr>
          </w:p>
        </w:tc>
        <w:tc>
          <w:tcPr>
            <w:tcW w:w="2720" w:type="dxa"/>
            <w:vAlign w:val="bottom"/>
          </w:tcPr>
          <w:p>
            <w:pPr>
              <w:spacing w:after="0"/>
              <w:rPr>
                <w:sz w:val="20"/>
                <w:szCs w:val="20"/>
                <w:color w:val="auto"/>
              </w:rPr>
            </w:pPr>
          </w:p>
        </w:tc>
        <w:tc>
          <w:tcPr>
            <w:tcW w:w="5520" w:type="dxa"/>
            <w:vAlign w:val="bottom"/>
            <w:gridSpan w:val="2"/>
          </w:tcPr>
          <w:p>
            <w:pPr>
              <w:ind w:left="280"/>
              <w:spacing w:after="0"/>
              <w:rPr>
                <w:sz w:val="20"/>
                <w:szCs w:val="20"/>
                <w:color w:val="auto"/>
              </w:rPr>
            </w:pPr>
            <w:r>
              <w:rPr>
                <w:rFonts w:ascii="Arial" w:cs="Arial" w:eastAsia="Arial" w:hAnsi="Arial"/>
                <w:sz w:val="18"/>
                <w:szCs w:val="18"/>
                <w:color w:val="auto"/>
              </w:rPr>
              <w:t>MARVELL TECHNOLOGY GROUP LTD.</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48"/>
        </w:trPr>
        <w:tc>
          <w:tcPr>
            <w:tcW w:w="3180" w:type="dxa"/>
            <w:vAlign w:val="bottom"/>
            <w:gridSpan w:val="4"/>
          </w:tcPr>
          <w:p>
            <w:pPr>
              <w:spacing w:after="0"/>
              <w:rPr>
                <w:sz w:val="20"/>
                <w:szCs w:val="20"/>
                <w:color w:val="auto"/>
              </w:rPr>
            </w:pPr>
            <w:r>
              <w:rPr>
                <w:rFonts w:ascii="Arial" w:cs="Arial" w:eastAsia="Arial" w:hAnsi="Arial"/>
                <w:sz w:val="18"/>
                <w:szCs w:val="18"/>
                <w:color w:val="auto"/>
              </w:rPr>
              <w:t>September 6, 2007</w:t>
            </w:r>
          </w:p>
        </w:tc>
        <w:tc>
          <w:tcPr>
            <w:tcW w:w="2720" w:type="dxa"/>
            <w:vAlign w:val="bottom"/>
          </w:tcPr>
          <w:p>
            <w:pPr>
              <w:spacing w:after="0"/>
              <w:rPr>
                <w:sz w:val="24"/>
                <w:szCs w:val="24"/>
                <w:color w:val="auto"/>
              </w:rPr>
            </w:pPr>
          </w:p>
        </w:tc>
        <w:tc>
          <w:tcPr>
            <w:tcW w:w="5520" w:type="dxa"/>
            <w:vAlign w:val="bottom"/>
            <w:gridSpan w:val="2"/>
          </w:tcPr>
          <w:p>
            <w:pPr>
              <w:ind w:left="280"/>
              <w:spacing w:after="0"/>
              <w:rPr>
                <w:sz w:val="20"/>
                <w:szCs w:val="20"/>
                <w:color w:val="auto"/>
              </w:rPr>
            </w:pPr>
            <w:r>
              <w:rPr>
                <w:rFonts w:ascii="Arial" w:cs="Arial" w:eastAsia="Arial" w:hAnsi="Arial"/>
                <w:sz w:val="18"/>
                <w:szCs w:val="18"/>
                <w:color w:val="auto"/>
              </w:rPr>
              <w:t>By:   /s/ MICHAEL RASHKIN</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3160" w:type="dxa"/>
            <w:vAlign w:val="bottom"/>
            <w:tcBorders>
              <w:top w:val="single" w:sz="8" w:color="auto"/>
            </w:tcBorders>
            <w:gridSpan w:val="3"/>
          </w:tcPr>
          <w:p>
            <w:pPr>
              <w:spacing w:after="0" w:line="195" w:lineRule="exact"/>
              <w:rPr>
                <w:sz w:val="20"/>
                <w:szCs w:val="20"/>
                <w:color w:val="auto"/>
              </w:rPr>
            </w:pPr>
            <w:r>
              <w:rPr>
                <w:rFonts w:ascii="Arial" w:cs="Arial" w:eastAsia="Arial" w:hAnsi="Arial"/>
                <w:sz w:val="18"/>
                <w:szCs w:val="18"/>
                <w:color w:val="auto"/>
              </w:rPr>
              <w:t>Date</w:t>
            </w:r>
          </w:p>
        </w:tc>
        <w:tc>
          <w:tcPr>
            <w:tcW w:w="2720" w:type="dxa"/>
            <w:vAlign w:val="bottom"/>
            <w:tcBorders>
              <w:top w:val="single" w:sz="8" w:color="auto"/>
            </w:tcBorders>
          </w:tcPr>
          <w:p>
            <w:pPr>
              <w:spacing w:after="0"/>
              <w:rPr>
                <w:sz w:val="16"/>
                <w:szCs w:val="16"/>
                <w:color w:val="auto"/>
              </w:rPr>
            </w:pPr>
          </w:p>
        </w:tc>
        <w:tc>
          <w:tcPr>
            <w:tcW w:w="760" w:type="dxa"/>
            <w:vAlign w:val="bottom"/>
          </w:tcPr>
          <w:p>
            <w:pPr>
              <w:spacing w:after="0"/>
              <w:rPr>
                <w:sz w:val="16"/>
                <w:szCs w:val="16"/>
                <w:color w:val="auto"/>
              </w:rPr>
            </w:pPr>
          </w:p>
        </w:tc>
        <w:tc>
          <w:tcPr>
            <w:tcW w:w="47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Michael Rashkin</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080" w:type="dxa"/>
            <w:vAlign w:val="bottom"/>
          </w:tcPr>
          <w:p>
            <w:pPr>
              <w:spacing w:after="0"/>
              <w:rPr>
                <w:sz w:val="20"/>
                <w:szCs w:val="20"/>
                <w:color w:val="auto"/>
              </w:rPr>
            </w:pPr>
          </w:p>
        </w:tc>
        <w:tc>
          <w:tcPr>
            <w:tcW w:w="27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4760" w:type="dxa"/>
            <w:vAlign w:val="bottom"/>
          </w:tcPr>
          <w:p>
            <w:pPr>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797"/>
        </w:trPr>
        <w:tc>
          <w:tcPr>
            <w:tcW w:w="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2720" w:type="dxa"/>
            <w:vAlign w:val="bottom"/>
          </w:tcPr>
          <w:p>
            <w:pPr>
              <w:jc w:val="right"/>
              <w:ind w:right="10"/>
              <w:spacing w:after="0"/>
              <w:rPr>
                <w:sz w:val="20"/>
                <w:szCs w:val="20"/>
                <w:color w:val="auto"/>
              </w:rPr>
            </w:pPr>
            <w:r>
              <w:rPr>
                <w:rFonts w:ascii="Arial" w:cs="Arial" w:eastAsia="Arial" w:hAnsi="Arial"/>
                <w:sz w:val="18"/>
                <w:szCs w:val="18"/>
                <w:color w:val="auto"/>
              </w:rPr>
              <w:t>63</w:t>
            </w:r>
          </w:p>
        </w:tc>
        <w:tc>
          <w:tcPr>
            <w:tcW w:w="760" w:type="dxa"/>
            <w:vAlign w:val="bottom"/>
          </w:tcPr>
          <w:p>
            <w:pPr>
              <w:spacing w:after="0"/>
              <w:rPr>
                <w:sz w:val="24"/>
                <w:szCs w:val="24"/>
                <w:color w:val="auto"/>
              </w:rPr>
            </w:pPr>
          </w:p>
        </w:tc>
        <w:tc>
          <w:tcPr>
            <w:tcW w:w="47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20" w:type="dxa"/>
            <w:vAlign w:val="bottom"/>
            <w:tcBorders>
              <w:bottom w:val="single" w:sz="8" w:color="010101"/>
            </w:tcBorders>
          </w:tcPr>
          <w:p>
            <w:pPr>
              <w:spacing w:after="0"/>
              <w:rPr>
                <w:sz w:val="24"/>
                <w:szCs w:val="24"/>
                <w:color w:val="auto"/>
              </w:rPr>
            </w:pPr>
          </w:p>
        </w:tc>
        <w:tc>
          <w:tcPr>
            <w:tcW w:w="82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2080" w:type="dxa"/>
            <w:vAlign w:val="bottom"/>
            <w:tcBorders>
              <w:bottom w:val="single" w:sz="8" w:color="010101"/>
            </w:tcBorders>
          </w:tcPr>
          <w:p>
            <w:pPr>
              <w:spacing w:after="0"/>
              <w:rPr>
                <w:sz w:val="24"/>
                <w:szCs w:val="24"/>
                <w:color w:val="auto"/>
              </w:rPr>
            </w:pPr>
          </w:p>
        </w:tc>
        <w:tc>
          <w:tcPr>
            <w:tcW w:w="8240" w:type="dxa"/>
            <w:vAlign w:val="bottom"/>
            <w:tcBorders>
              <w:bottom w:val="single" w:sz="8" w:color="010101"/>
            </w:tcBorders>
            <w:gridSpan w:val="3"/>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r>
        <w:trPr>
          <w:trHeight w:val="564"/>
        </w:trPr>
        <w:tc>
          <w:tcPr>
            <w:tcW w:w="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8240" w:type="dxa"/>
            <w:vAlign w:val="bottom"/>
            <w:gridSpan w:val="3"/>
          </w:tcPr>
          <w:p>
            <w:pPr>
              <w:jc w:val="center"/>
              <w:ind w:right="3070"/>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3180" w:type="dxa"/>
            <w:vAlign w:val="bottom"/>
            <w:gridSpan w:val="4"/>
          </w:tcPr>
          <w:p>
            <w:pPr>
              <w:spacing w:after="0"/>
              <w:rPr>
                <w:sz w:val="20"/>
                <w:szCs w:val="20"/>
                <w:color w:val="auto"/>
              </w:rPr>
            </w:pPr>
            <w:r>
              <w:rPr>
                <w:rFonts w:ascii="Arial" w:cs="Arial" w:eastAsia="Arial" w:hAnsi="Arial"/>
                <w:sz w:val="14"/>
                <w:szCs w:val="14"/>
                <w:b w:val="1"/>
                <w:bCs w:val="1"/>
                <w:color w:val="auto"/>
              </w:rPr>
              <w:t>Exhibit</w:t>
            </w:r>
          </w:p>
        </w:tc>
        <w:tc>
          <w:tcPr>
            <w:tcW w:w="2720" w:type="dxa"/>
            <w:vAlign w:val="bottom"/>
          </w:tcPr>
          <w:p>
            <w:pPr>
              <w:spacing w:after="0"/>
              <w:rPr>
                <w:sz w:val="24"/>
                <w:szCs w:val="24"/>
                <w:color w:val="auto"/>
              </w:rPr>
            </w:pPr>
          </w:p>
        </w:tc>
        <w:tc>
          <w:tcPr>
            <w:tcW w:w="552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3180" w:type="dxa"/>
            <w:vAlign w:val="bottom"/>
            <w:gridSpan w:val="4"/>
          </w:tcPr>
          <w:p>
            <w:pPr>
              <w:spacing w:after="0"/>
              <w:rPr>
                <w:sz w:val="20"/>
                <w:szCs w:val="20"/>
                <w:color w:val="auto"/>
              </w:rPr>
            </w:pPr>
            <w:r>
              <w:rPr>
                <w:rFonts w:ascii="Arial" w:cs="Arial" w:eastAsia="Arial" w:hAnsi="Arial"/>
                <w:sz w:val="14"/>
                <w:szCs w:val="14"/>
                <w:b w:val="1"/>
                <w:bCs w:val="1"/>
                <w:color w:val="auto"/>
              </w:rPr>
              <w:t>Number</w:t>
            </w:r>
          </w:p>
        </w:tc>
        <w:tc>
          <w:tcPr>
            <w:tcW w:w="2720" w:type="dxa"/>
            <w:vAlign w:val="bottom"/>
          </w:tcPr>
          <w:p>
            <w:pPr>
              <w:spacing w:after="0"/>
              <w:rPr>
                <w:sz w:val="14"/>
                <w:szCs w:val="14"/>
                <w:color w:val="auto"/>
              </w:rPr>
            </w:pPr>
          </w:p>
        </w:tc>
        <w:tc>
          <w:tcPr>
            <w:tcW w:w="5520" w:type="dxa"/>
            <w:vAlign w:val="bottom"/>
            <w:gridSpan w:val="2"/>
            <w:vMerge w:val="continue"/>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80" w:type="dxa"/>
            <w:vAlign w:val="bottom"/>
            <w:shd w:val="clear" w:color="auto" w:fill="000000"/>
          </w:tcPr>
          <w:p>
            <w:pPr>
              <w:spacing w:after="0" w:line="20" w:lineRule="exact"/>
              <w:rPr>
                <w:sz w:val="1"/>
                <w:szCs w:val="1"/>
                <w:color w:val="auto"/>
              </w:rPr>
            </w:pPr>
          </w:p>
        </w:tc>
        <w:tc>
          <w:tcPr>
            <w:tcW w:w="272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760" w:type="dxa"/>
            <w:vAlign w:val="bottom"/>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-704850</wp:posOffset>
            </wp:positionV>
            <wp:extent cx="12700" cy="298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-704850</wp:posOffset>
            </wp:positionV>
            <wp:extent cx="12700" cy="298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182" w:lineRule="exact"/>
        <w:rPr>
          <w:sz w:val="20"/>
          <w:szCs w:val="20"/>
          <w:color w:val="auto"/>
        </w:rPr>
      </w:pPr>
    </w:p>
    <w:p>
      <w:pPr>
        <w:ind w:left="220"/>
        <w:spacing w:after="0"/>
        <w:tabs>
          <w:tab w:leader="none" w:pos="1080" w:val="left"/>
        </w:tabs>
        <w:rPr>
          <w:sz w:val="20"/>
          <w:szCs w:val="20"/>
          <w:color w:val="auto"/>
        </w:rPr>
      </w:pPr>
      <w:r>
        <w:rPr>
          <w:rFonts w:ascii="Arial" w:cs="Arial" w:eastAsia="Arial" w:hAnsi="Arial"/>
          <w:sz w:val="18"/>
          <w:szCs w:val="18"/>
          <w:color w:val="auto"/>
        </w:rPr>
        <w:t>10.37</w:t>
      </w:r>
      <w:r>
        <w:rPr>
          <w:sz w:val="20"/>
          <w:szCs w:val="20"/>
          <w:color w:val="auto"/>
        </w:rPr>
        <w:tab/>
      </w:r>
      <w:r>
        <w:rPr>
          <w:rFonts w:ascii="Arial" w:cs="Arial" w:eastAsia="Arial" w:hAnsi="Arial"/>
          <w:sz w:val="16"/>
          <w:szCs w:val="16"/>
          <w:color w:val="auto"/>
        </w:rPr>
        <w:t>Description of Indemnification Rights</w:t>
      </w:r>
    </w:p>
    <w:p>
      <w:pPr>
        <w:spacing w:after="0" w:line="23" w:lineRule="exact"/>
        <w:rPr>
          <w:sz w:val="20"/>
          <w:szCs w:val="20"/>
          <w:color w:val="auto"/>
        </w:rPr>
      </w:pPr>
    </w:p>
    <w:p>
      <w:pPr>
        <w:ind w:left="1100" w:right="340" w:hanging="845"/>
        <w:spacing w:after="0" w:line="250" w:lineRule="auto"/>
        <w:tabs>
          <w:tab w:leader="none" w:pos="108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President and Chief Executive Officer</w:t>
      </w:r>
    </w:p>
    <w:p>
      <w:pPr>
        <w:spacing w:after="0" w:line="1" w:lineRule="exact"/>
        <w:rPr>
          <w:sz w:val="20"/>
          <w:szCs w:val="20"/>
          <w:color w:val="auto"/>
        </w:rPr>
      </w:pPr>
    </w:p>
    <w:p>
      <w:pPr>
        <w:ind w:left="1100" w:right="100" w:hanging="845"/>
        <w:spacing w:after="0" w:line="250" w:lineRule="auto"/>
        <w:tabs>
          <w:tab w:leader="none" w:pos="108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Michael Rashkin, Interim Chief Financial Officer</w:t>
      </w:r>
    </w:p>
    <w:p>
      <w:pPr>
        <w:spacing w:after="0" w:line="1" w:lineRule="exact"/>
        <w:rPr>
          <w:sz w:val="20"/>
          <w:szCs w:val="20"/>
          <w:color w:val="auto"/>
        </w:rPr>
      </w:pPr>
    </w:p>
    <w:p>
      <w:pPr>
        <w:ind w:left="1100" w:right="340" w:hanging="890"/>
        <w:spacing w:after="0" w:line="250" w:lineRule="auto"/>
        <w:tabs>
          <w:tab w:leader="none" w:pos="1080"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Sehat Sutardja Ph.D., President and Chief Executive Officer</w:t>
      </w:r>
    </w:p>
    <w:p>
      <w:pPr>
        <w:spacing w:after="0" w:line="1" w:lineRule="exact"/>
        <w:rPr>
          <w:sz w:val="20"/>
          <w:szCs w:val="20"/>
          <w:color w:val="auto"/>
        </w:rPr>
      </w:pPr>
    </w:p>
    <w:p>
      <w:pPr>
        <w:ind w:left="1100" w:right="100" w:hanging="890"/>
        <w:spacing w:after="0" w:line="261" w:lineRule="auto"/>
        <w:tabs>
          <w:tab w:leader="none" w:pos="1080" w:val="left"/>
        </w:tabs>
        <w:rPr>
          <w:sz w:val="20"/>
          <w:szCs w:val="20"/>
          <w:color w:val="auto"/>
        </w:rPr>
      </w:pPr>
      <w:r>
        <w:rPr>
          <w:rFonts w:ascii="Arial" w:cs="Arial" w:eastAsia="Arial" w:hAnsi="Arial"/>
          <w:sz w:val="18"/>
          <w:szCs w:val="18"/>
          <w:color w:val="auto"/>
        </w:rPr>
        <w:t>32.2*</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Michael Rashkin, Interim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220345</wp:posOffset>
            </wp:positionV>
            <wp:extent cx="138938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00" w:lineRule="exact"/>
        <w:rPr>
          <w:sz w:val="20"/>
          <w:szCs w:val="20"/>
          <w:color w:val="auto"/>
        </w:rPr>
      </w:pPr>
    </w:p>
    <w:p>
      <w:pPr>
        <w:spacing w:after="0" w:line="234" w:lineRule="exact"/>
        <w:rPr>
          <w:sz w:val="20"/>
          <w:szCs w:val="20"/>
          <w:color w:val="auto"/>
        </w:rPr>
      </w:pPr>
    </w:p>
    <w:p>
      <w:pPr>
        <w:ind w:left="340" w:right="60" w:hanging="332"/>
        <w:spacing w:after="0" w:line="257" w:lineRule="auto"/>
        <w:tabs>
          <w:tab w:leader="none" w:pos="335"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Quarterly Report on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ectPr>
          <w:pgSz w:w="11900" w:h="16838" w:orient="portrait"/>
          <w:cols w:equalWidth="0" w:num="1">
            <w:col w:w="11460"/>
          </w:cols>
          <w:pgMar w:left="240" w:top="125" w:right="199" w:bottom="244" w:gutter="0" w:footer="0" w:header="0"/>
        </w:sectPr>
      </w:pPr>
    </w:p>
    <w:p>
      <w:pPr>
        <w:spacing w:after="0" w:line="200" w:lineRule="exact"/>
        <w:rPr>
          <w:sz w:val="20"/>
          <w:szCs w:val="20"/>
          <w:color w:val="auto"/>
        </w:rPr>
      </w:pPr>
    </w:p>
    <w:p>
      <w:pPr>
        <w:spacing w:after="0" w:line="204" w:lineRule="exact"/>
        <w:rPr>
          <w:sz w:val="20"/>
          <w:szCs w:val="20"/>
          <w:color w:val="auto"/>
        </w:rPr>
      </w:pPr>
    </w:p>
    <w:p>
      <w:pPr>
        <w:jc w:val="center"/>
        <w:ind w:right="40"/>
        <w:spacing w:after="0"/>
        <w:rPr>
          <w:sz w:val="20"/>
          <w:szCs w:val="20"/>
          <w:color w:val="auto"/>
        </w:rPr>
      </w:pPr>
      <w:r>
        <w:rPr>
          <w:rFonts w:ascii="Arial" w:cs="Arial" w:eastAsia="Arial" w:hAnsi="Arial"/>
          <w:sz w:val="16"/>
          <w:szCs w:val="16"/>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7267575" cy="298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25" w:right="199" w:bottom="244" w:gutter="0" w:footer="0" w:header="0"/>
          <w:type w:val="continuous"/>
        </w:sectPr>
      </w:pPr>
    </w:p>
    <w:bookmarkStart w:id="45" w:name="page46"/>
    <w:bookmarkEnd w:id="45"/>
    <w:p>
      <w:pPr>
        <w:jc w:val="right"/>
        <w:spacing w:after="0"/>
        <w:rPr>
          <w:sz w:val="20"/>
          <w:szCs w:val="20"/>
          <w:color w:val="auto"/>
        </w:rPr>
      </w:pPr>
      <w:r>
        <w:rPr>
          <w:rFonts w:ascii="Arial" w:cs="Arial" w:eastAsia="Arial" w:hAnsi="Arial"/>
          <w:sz w:val="18"/>
          <w:szCs w:val="18"/>
          <w:b w:val="1"/>
          <w:bCs w:val="1"/>
          <w:color w:val="auto"/>
        </w:rPr>
        <w:t>Exhibit 10.37</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Description of Indemnification Rights</w:t>
      </w:r>
    </w:p>
    <w:p>
      <w:pPr>
        <w:spacing w:after="0" w:line="229" w:lineRule="exact"/>
        <w:rPr>
          <w:sz w:val="20"/>
          <w:szCs w:val="20"/>
          <w:color w:val="auto"/>
        </w:rPr>
      </w:pPr>
    </w:p>
    <w:p>
      <w:pPr>
        <w:ind w:right="20" w:firstLine="247"/>
        <w:spacing w:after="0" w:line="257" w:lineRule="auto"/>
        <w:rPr>
          <w:sz w:val="20"/>
          <w:szCs w:val="20"/>
          <w:color w:val="auto"/>
        </w:rPr>
      </w:pPr>
      <w:r>
        <w:rPr>
          <w:rFonts w:ascii="Arial" w:cs="Arial" w:eastAsia="Arial" w:hAnsi="Arial"/>
          <w:sz w:val="18"/>
          <w:szCs w:val="18"/>
          <w:color w:val="auto"/>
        </w:rPr>
        <w:t>The Company has agreed to indemnify certain current and former directors, officers and employees of the Company and its subsidiary Marvell Semiconductor, Inc. for reasonable costs and expenses incurred by such individuals in connection with certain civil actions and governmental investigations relating to the Company’s past stock option granting practices. The Company’s agreement to pay reasonable fees and costs is subject to each individual’s agreement to reimburse the Company in the event that it is subsequently determined that the individual is not entitled to indemnification under the Company’s bye-laws or applicable law.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349885</wp:posOffset>
            </wp:positionV>
            <wp:extent cx="7267575" cy="298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46" w:name="page47"/>
    <w:bookmarkEnd w:id="46"/>
    <w:p>
      <w:pPr>
        <w:ind w:left="10480"/>
        <w:spacing w:after="0"/>
        <w:rPr>
          <w:sz w:val="20"/>
          <w:szCs w:val="20"/>
          <w:color w:val="auto"/>
        </w:rPr>
      </w:pPr>
      <w:r>
        <w:rPr>
          <w:rFonts w:ascii="Arial" w:cs="Arial" w:eastAsia="Arial" w:hAnsi="Arial"/>
          <w:sz w:val="17"/>
          <w:szCs w:val="17"/>
          <w:b w:val="1"/>
          <w:bCs w:val="1"/>
          <w:color w:val="auto"/>
        </w:rPr>
        <w:t>Exhibit 31.1</w:t>
      </w:r>
    </w:p>
    <w:p>
      <w:pPr>
        <w:spacing w:after="0" w:line="237" w:lineRule="exact"/>
        <w:rPr>
          <w:sz w:val="20"/>
          <w:szCs w:val="20"/>
          <w:color w:val="auto"/>
        </w:rPr>
      </w:pPr>
    </w:p>
    <w:p>
      <w:pPr>
        <w:jc w:val="center"/>
        <w:ind w:right="40"/>
        <w:spacing w:after="0" w:line="282" w:lineRule="auto"/>
        <w:rPr>
          <w:sz w:val="20"/>
          <w:szCs w:val="20"/>
          <w:color w:val="auto"/>
        </w:rPr>
      </w:pPr>
      <w:r>
        <w:rPr>
          <w:rFonts w:ascii="Arial" w:cs="Arial" w:eastAsia="Arial" w:hAnsi="Arial"/>
          <w:sz w:val="18"/>
          <w:szCs w:val="18"/>
          <w:b w:val="1"/>
          <w:bCs w:val="1"/>
          <w:color w:val="auto"/>
        </w:rPr>
        <w:t>CERTIFICATION OF THE PRESIDENT AND CHIEF EXECUTIVE OFFICER PURSUANT TO SECURITIES EXCHANGE ACT RULES 13a-14(a) AND 15d-14(a), AS ADOPTED PURSUANT TO SECTION 302 OF THE SARBANES-OXLEY ACT OF 2002</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225" w:lineRule="exact"/>
        <w:rPr>
          <w:sz w:val="20"/>
          <w:szCs w:val="20"/>
          <w:color w:val="auto"/>
        </w:rPr>
      </w:pPr>
    </w:p>
    <w:p>
      <w:pPr>
        <w:ind w:left="640" w:hanging="632"/>
        <w:spacing w:after="0"/>
        <w:tabs>
          <w:tab w:leader="none" w:pos="64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40" w:hanging="652"/>
        <w:spacing w:after="0" w:line="264" w:lineRule="auto"/>
        <w:tabs>
          <w:tab w:leader="none" w:pos="644" w:val="left"/>
        </w:tabs>
        <w:numPr>
          <w:ilvl w:val="0"/>
          <w:numId w:val="17"/>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320" w:hanging="652"/>
        <w:spacing w:after="0" w:line="308" w:lineRule="auto"/>
        <w:tabs>
          <w:tab w:leader="none" w:pos="644" w:val="left"/>
        </w:tabs>
        <w:numPr>
          <w:ilvl w:val="0"/>
          <w:numId w:val="17"/>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44"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40" w:hanging="644"/>
        <w:spacing w:after="0" w:line="264" w:lineRule="auto"/>
        <w:tabs>
          <w:tab w:leader="none" w:pos="1289" w:val="left"/>
        </w:tabs>
        <w:numPr>
          <w:ilvl w:val="1"/>
          <w:numId w:val="17"/>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60" w:hanging="644"/>
        <w:spacing w:after="0" w:line="264" w:lineRule="auto"/>
        <w:tabs>
          <w:tab w:leader="none" w:pos="1260" w:val="left"/>
        </w:tabs>
        <w:numPr>
          <w:ilvl w:val="1"/>
          <w:numId w:val="17"/>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20" w:hanging="644"/>
        <w:spacing w:after="0" w:line="342" w:lineRule="auto"/>
        <w:tabs>
          <w:tab w:leader="none" w:pos="1289" w:val="left"/>
        </w:tabs>
        <w:numPr>
          <w:ilvl w:val="1"/>
          <w:numId w:val="17"/>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20" w:hanging="644"/>
        <w:spacing w:after="0" w:line="264" w:lineRule="auto"/>
        <w:tabs>
          <w:tab w:leader="none" w:pos="1260" w:val="left"/>
        </w:tabs>
        <w:numPr>
          <w:ilvl w:val="1"/>
          <w:numId w:val="17"/>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40" w:hanging="652"/>
        <w:spacing w:after="0" w:line="308" w:lineRule="auto"/>
        <w:tabs>
          <w:tab w:leader="none" w:pos="644" w:val="left"/>
        </w:tabs>
        <w:numPr>
          <w:ilvl w:val="0"/>
          <w:numId w:val="17"/>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620" w:hanging="644"/>
        <w:spacing w:after="0" w:line="342" w:lineRule="auto"/>
        <w:tabs>
          <w:tab w:leader="none" w:pos="1289" w:val="left"/>
        </w:tabs>
        <w:numPr>
          <w:ilvl w:val="1"/>
          <w:numId w:val="17"/>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400" w:hanging="644"/>
        <w:spacing w:after="0" w:line="277" w:lineRule="auto"/>
        <w:tabs>
          <w:tab w:leader="none" w:pos="1260" w:val="left"/>
        </w:tabs>
        <w:numPr>
          <w:ilvl w:val="1"/>
          <w:numId w:val="17"/>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460" w:type="dxa"/>
            <w:vAlign w:val="bottom"/>
            <w:gridSpan w:val="2"/>
          </w:tcPr>
          <w:p>
            <w:pPr>
              <w:spacing w:after="0"/>
              <w:rPr>
                <w:sz w:val="20"/>
                <w:szCs w:val="20"/>
                <w:color w:val="auto"/>
              </w:rPr>
            </w:pPr>
            <w:r>
              <w:rPr>
                <w:rFonts w:ascii="Arial" w:cs="Arial" w:eastAsia="Arial" w:hAnsi="Arial"/>
                <w:sz w:val="18"/>
                <w:szCs w:val="18"/>
                <w:color w:val="auto"/>
              </w:rPr>
              <w:t>Date:   September 6, 2007</w:t>
            </w:r>
          </w:p>
        </w:tc>
        <w:tc>
          <w:tcPr>
            <w:tcW w:w="3900" w:type="dxa"/>
            <w:vAlign w:val="bottom"/>
          </w:tcPr>
          <w:p>
            <w:pPr>
              <w:ind w:left="3240"/>
              <w:spacing w:after="0"/>
              <w:rPr>
                <w:sz w:val="20"/>
                <w:szCs w:val="20"/>
                <w:color w:val="auto"/>
              </w:rPr>
            </w:pPr>
            <w:r>
              <w:rPr>
                <w:rFonts w:ascii="Arial" w:cs="Arial" w:eastAsia="Arial" w:hAnsi="Arial"/>
                <w:sz w:val="18"/>
                <w:szCs w:val="18"/>
                <w:color w:val="auto"/>
              </w:rPr>
              <w:t>By:</w:t>
            </w:r>
          </w:p>
        </w:tc>
        <w:tc>
          <w:tcPr>
            <w:tcW w:w="5060" w:type="dxa"/>
            <w:vAlign w:val="bottom"/>
          </w:tcPr>
          <w:p>
            <w:pPr>
              <w:spacing w:after="0"/>
              <w:rPr>
                <w:sz w:val="20"/>
                <w:szCs w:val="20"/>
                <w:color w:val="auto"/>
              </w:rPr>
            </w:pPr>
            <w:r>
              <w:rPr>
                <w:rFonts w:ascii="Arial" w:cs="Arial" w:eastAsia="Arial" w:hAnsi="Arial"/>
                <w:sz w:val="18"/>
                <w:szCs w:val="18"/>
                <w:color w:val="auto"/>
              </w:rPr>
              <w:t>/s/ SEHAT SUTARDJA PH.D.</w:t>
            </w:r>
          </w:p>
        </w:tc>
        <w:tc>
          <w:tcPr>
            <w:tcW w:w="40" w:type="dxa"/>
            <w:vAlign w:val="bottom"/>
          </w:tcPr>
          <w:p>
            <w:pPr>
              <w:spacing w:after="0"/>
              <w:rPr>
                <w:sz w:val="20"/>
                <w:szCs w:val="20"/>
                <w:color w:val="auto"/>
              </w:rPr>
            </w:pPr>
          </w:p>
        </w:tc>
      </w:tr>
      <w:tr>
        <w:trPr>
          <w:trHeight w:val="195"/>
        </w:trPr>
        <w:tc>
          <w:tcPr>
            <w:tcW w:w="620" w:type="dxa"/>
            <w:vAlign w:val="bottom"/>
          </w:tcPr>
          <w:p>
            <w:pPr>
              <w:spacing w:after="0"/>
              <w:rPr>
                <w:sz w:val="16"/>
                <w:szCs w:val="16"/>
                <w:color w:val="auto"/>
              </w:rPr>
            </w:pPr>
          </w:p>
        </w:tc>
        <w:tc>
          <w:tcPr>
            <w:tcW w:w="1840" w:type="dxa"/>
            <w:vAlign w:val="bottom"/>
            <w:tcBorders>
              <w:top w:val="single" w:sz="8" w:color="auto"/>
            </w:tcBorders>
          </w:tcPr>
          <w:p>
            <w:pPr>
              <w:spacing w:after="0"/>
              <w:rPr>
                <w:sz w:val="16"/>
                <w:szCs w:val="16"/>
                <w:color w:val="auto"/>
              </w:rPr>
            </w:pPr>
          </w:p>
        </w:tc>
        <w:tc>
          <w:tcPr>
            <w:tcW w:w="3900" w:type="dxa"/>
            <w:vAlign w:val="bottom"/>
          </w:tcPr>
          <w:p>
            <w:pPr>
              <w:spacing w:after="0"/>
              <w:rPr>
                <w:sz w:val="16"/>
                <w:szCs w:val="16"/>
                <w:color w:val="auto"/>
              </w:rPr>
            </w:pPr>
          </w:p>
        </w:tc>
        <w:tc>
          <w:tcPr>
            <w:tcW w:w="50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Sehat Sutardja Ph.D.</w:t>
            </w:r>
          </w:p>
        </w:tc>
        <w:tc>
          <w:tcPr>
            <w:tcW w:w="40" w:type="dxa"/>
            <w:vAlign w:val="bottom"/>
          </w:tcPr>
          <w:p>
            <w:pPr>
              <w:spacing w:after="0"/>
              <w:rPr>
                <w:sz w:val="16"/>
                <w:szCs w:val="16"/>
                <w:color w:val="auto"/>
              </w:rPr>
            </w:pPr>
          </w:p>
        </w:tc>
      </w:tr>
      <w:tr>
        <w:trPr>
          <w:trHeight w:val="230"/>
        </w:trPr>
        <w:tc>
          <w:tcPr>
            <w:tcW w:w="620" w:type="dxa"/>
            <w:vAlign w:val="bottom"/>
          </w:tcPr>
          <w:p>
            <w:pPr>
              <w:spacing w:after="0"/>
              <w:rPr>
                <w:sz w:val="20"/>
                <w:szCs w:val="20"/>
                <w:color w:val="auto"/>
              </w:rPr>
            </w:pPr>
          </w:p>
        </w:tc>
        <w:tc>
          <w:tcPr>
            <w:tcW w:w="1840" w:type="dxa"/>
            <w:vAlign w:val="bottom"/>
          </w:tcPr>
          <w:p>
            <w:pPr>
              <w:spacing w:after="0"/>
              <w:rPr>
                <w:sz w:val="20"/>
                <w:szCs w:val="20"/>
                <w:color w:val="auto"/>
              </w:rPr>
            </w:pPr>
          </w:p>
        </w:tc>
        <w:tc>
          <w:tcPr>
            <w:tcW w:w="3900" w:type="dxa"/>
            <w:vAlign w:val="bottom"/>
          </w:tcPr>
          <w:p>
            <w:pPr>
              <w:spacing w:after="0"/>
              <w:rPr>
                <w:sz w:val="20"/>
                <w:szCs w:val="20"/>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President and Chief Executive Officer</w:t>
            </w:r>
          </w:p>
        </w:tc>
        <w:tc>
          <w:tcPr>
            <w:tcW w:w="40" w:type="dxa"/>
            <w:vAlign w:val="bottom"/>
          </w:tcPr>
          <w:p>
            <w:pPr>
              <w:spacing w:after="0"/>
              <w:rPr>
                <w:sz w:val="20"/>
                <w:szCs w:val="20"/>
                <w:color w:val="auto"/>
              </w:rPr>
            </w:pPr>
          </w:p>
        </w:tc>
      </w:tr>
      <w:tr>
        <w:trPr>
          <w:trHeight w:val="740"/>
        </w:trPr>
        <w:tc>
          <w:tcPr>
            <w:tcW w:w="620" w:type="dxa"/>
            <w:vAlign w:val="bottom"/>
            <w:tcBorders>
              <w:bottom w:val="single" w:sz="8" w:color="010101"/>
            </w:tcBorders>
          </w:tcPr>
          <w:p>
            <w:pPr>
              <w:spacing w:after="0"/>
              <w:rPr>
                <w:sz w:val="24"/>
                <w:szCs w:val="24"/>
                <w:color w:val="auto"/>
              </w:rPr>
            </w:pPr>
          </w:p>
        </w:tc>
        <w:tc>
          <w:tcPr>
            <w:tcW w:w="1840" w:type="dxa"/>
            <w:vAlign w:val="bottom"/>
            <w:tcBorders>
              <w:bottom w:val="single" w:sz="8" w:color="010101"/>
            </w:tcBorders>
          </w:tcPr>
          <w:p>
            <w:pPr>
              <w:spacing w:after="0"/>
              <w:rPr>
                <w:sz w:val="24"/>
                <w:szCs w:val="24"/>
                <w:color w:val="auto"/>
              </w:rPr>
            </w:pPr>
          </w:p>
        </w:tc>
        <w:tc>
          <w:tcPr>
            <w:tcW w:w="3900" w:type="dxa"/>
            <w:vAlign w:val="bottom"/>
            <w:tcBorders>
              <w:bottom w:val="single" w:sz="8" w:color="010101"/>
            </w:tcBorders>
          </w:tcPr>
          <w:p>
            <w:pPr>
              <w:spacing w:after="0"/>
              <w:rPr>
                <w:sz w:val="24"/>
                <w:szCs w:val="24"/>
                <w:color w:val="auto"/>
              </w:rPr>
            </w:pPr>
          </w:p>
        </w:tc>
        <w:tc>
          <w:tcPr>
            <w:tcW w:w="50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47" w:name="page48"/>
    <w:bookmarkEnd w:id="47"/>
    <w:p>
      <w:pPr>
        <w:ind w:left="10480"/>
        <w:spacing w:after="0"/>
        <w:rPr>
          <w:sz w:val="20"/>
          <w:szCs w:val="20"/>
          <w:color w:val="auto"/>
        </w:rPr>
      </w:pPr>
      <w:r>
        <w:rPr>
          <w:rFonts w:ascii="Arial" w:cs="Arial" w:eastAsia="Arial" w:hAnsi="Arial"/>
          <w:sz w:val="17"/>
          <w:szCs w:val="17"/>
          <w:b w:val="1"/>
          <w:bCs w:val="1"/>
          <w:color w:val="auto"/>
        </w:rPr>
        <w:t>Exhibit 31.2</w:t>
      </w:r>
    </w:p>
    <w:p>
      <w:pPr>
        <w:spacing w:after="0" w:line="237" w:lineRule="exact"/>
        <w:rPr>
          <w:sz w:val="20"/>
          <w:szCs w:val="20"/>
          <w:color w:val="auto"/>
        </w:rPr>
      </w:pPr>
    </w:p>
    <w:p>
      <w:pPr>
        <w:jc w:val="center"/>
        <w:ind w:right="40"/>
        <w:spacing w:after="0" w:line="282" w:lineRule="auto"/>
        <w:rPr>
          <w:sz w:val="20"/>
          <w:szCs w:val="20"/>
          <w:color w:val="auto"/>
        </w:rPr>
      </w:pPr>
      <w:r>
        <w:rPr>
          <w:rFonts w:ascii="Arial" w:cs="Arial" w:eastAsia="Arial" w:hAnsi="Arial"/>
          <w:sz w:val="18"/>
          <w:szCs w:val="18"/>
          <w:b w:val="1"/>
          <w:bCs w:val="1"/>
          <w:color w:val="auto"/>
        </w:rPr>
        <w:t>CERTIFICATION OF THE INTERIM CHIEF FINANCIAL OFFICER PURSUANT TO SECURITIES EXCHANGE ACT RULES 13a-14(a) AND 15d-14(a), AS ADOPTED PURSUANT TO SECTION 302 OF THE SARBANES-OXLEY ACT OF 2002</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I, Michael Rashkin, certify that:</w:t>
      </w:r>
    </w:p>
    <w:p>
      <w:pPr>
        <w:spacing w:after="0" w:line="225" w:lineRule="exact"/>
        <w:rPr>
          <w:sz w:val="20"/>
          <w:szCs w:val="20"/>
          <w:color w:val="auto"/>
        </w:rPr>
      </w:pPr>
    </w:p>
    <w:p>
      <w:pPr>
        <w:ind w:left="640" w:hanging="632"/>
        <w:spacing w:after="0"/>
        <w:tabs>
          <w:tab w:leader="none" w:pos="64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40" w:hanging="652"/>
        <w:spacing w:after="0" w:line="264" w:lineRule="auto"/>
        <w:tabs>
          <w:tab w:leader="none" w:pos="644" w:val="left"/>
        </w:tabs>
        <w:numPr>
          <w:ilvl w:val="0"/>
          <w:numId w:val="18"/>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320" w:hanging="652"/>
        <w:spacing w:after="0" w:line="308" w:lineRule="auto"/>
        <w:tabs>
          <w:tab w:leader="none" w:pos="644" w:val="left"/>
        </w:tabs>
        <w:numPr>
          <w:ilvl w:val="0"/>
          <w:numId w:val="18"/>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44"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40" w:hanging="644"/>
        <w:spacing w:after="0" w:line="264" w:lineRule="auto"/>
        <w:tabs>
          <w:tab w:leader="none" w:pos="1289"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60" w:hanging="644"/>
        <w:spacing w:after="0" w:line="264" w:lineRule="auto"/>
        <w:tabs>
          <w:tab w:leader="none" w:pos="1260"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20" w:hanging="644"/>
        <w:spacing w:after="0" w:line="342" w:lineRule="auto"/>
        <w:tabs>
          <w:tab w:leader="none" w:pos="1289" w:val="left"/>
        </w:tabs>
        <w:numPr>
          <w:ilvl w:val="1"/>
          <w:numId w:val="1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20" w:hanging="644"/>
        <w:spacing w:after="0" w:line="264" w:lineRule="auto"/>
        <w:tabs>
          <w:tab w:leader="none" w:pos="1260" w:val="left"/>
        </w:tabs>
        <w:numPr>
          <w:ilvl w:val="1"/>
          <w:numId w:val="1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40" w:hanging="652"/>
        <w:spacing w:after="0" w:line="308" w:lineRule="auto"/>
        <w:tabs>
          <w:tab w:leader="none" w:pos="644" w:val="left"/>
        </w:tabs>
        <w:numPr>
          <w:ilvl w:val="0"/>
          <w:numId w:val="18"/>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620" w:hanging="644"/>
        <w:spacing w:after="0" w:line="342" w:lineRule="auto"/>
        <w:tabs>
          <w:tab w:leader="none" w:pos="1289" w:val="left"/>
        </w:tabs>
        <w:numPr>
          <w:ilvl w:val="1"/>
          <w:numId w:val="18"/>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400" w:hanging="644"/>
        <w:spacing w:after="0" w:line="277" w:lineRule="auto"/>
        <w:tabs>
          <w:tab w:leader="none" w:pos="1260" w:val="left"/>
        </w:tabs>
        <w:numPr>
          <w:ilvl w:val="1"/>
          <w:numId w:val="1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420" w:type="dxa"/>
            <w:vAlign w:val="bottom"/>
            <w:gridSpan w:val="2"/>
          </w:tcPr>
          <w:p>
            <w:pPr>
              <w:spacing w:after="0"/>
              <w:rPr>
                <w:sz w:val="20"/>
                <w:szCs w:val="20"/>
                <w:color w:val="auto"/>
              </w:rPr>
            </w:pPr>
            <w:r>
              <w:rPr>
                <w:rFonts w:ascii="Arial" w:cs="Arial" w:eastAsia="Arial" w:hAnsi="Arial"/>
                <w:sz w:val="18"/>
                <w:szCs w:val="18"/>
                <w:color w:val="auto"/>
              </w:rPr>
              <w:t>Date:   September 6, 2007</w:t>
            </w:r>
          </w:p>
        </w:tc>
        <w:tc>
          <w:tcPr>
            <w:tcW w:w="9000" w:type="dxa"/>
            <w:vAlign w:val="bottom"/>
            <w:gridSpan w:val="2"/>
          </w:tcPr>
          <w:p>
            <w:pPr>
              <w:ind w:left="3360"/>
              <w:spacing w:after="0"/>
              <w:rPr>
                <w:sz w:val="20"/>
                <w:szCs w:val="20"/>
                <w:color w:val="auto"/>
              </w:rPr>
            </w:pPr>
            <w:r>
              <w:rPr>
                <w:rFonts w:ascii="Arial" w:cs="Arial" w:eastAsia="Arial" w:hAnsi="Arial"/>
                <w:sz w:val="18"/>
                <w:szCs w:val="18"/>
                <w:color w:val="auto"/>
              </w:rPr>
              <w:t>By:    /s/ MICHAEL RASHKIN</w:t>
            </w:r>
          </w:p>
        </w:tc>
        <w:tc>
          <w:tcPr>
            <w:tcW w:w="40" w:type="dxa"/>
            <w:vAlign w:val="bottom"/>
          </w:tcPr>
          <w:p>
            <w:pPr>
              <w:spacing w:after="0"/>
              <w:rPr>
                <w:sz w:val="20"/>
                <w:szCs w:val="20"/>
                <w:color w:val="auto"/>
              </w:rPr>
            </w:pPr>
          </w:p>
        </w:tc>
      </w:tr>
      <w:tr>
        <w:trPr>
          <w:trHeight w:val="195"/>
        </w:trPr>
        <w:tc>
          <w:tcPr>
            <w:tcW w:w="640" w:type="dxa"/>
            <w:vAlign w:val="bottom"/>
          </w:tcPr>
          <w:p>
            <w:pPr>
              <w:spacing w:after="0"/>
              <w:rPr>
                <w:sz w:val="16"/>
                <w:szCs w:val="16"/>
                <w:color w:val="auto"/>
              </w:rPr>
            </w:pPr>
          </w:p>
        </w:tc>
        <w:tc>
          <w:tcPr>
            <w:tcW w:w="1780" w:type="dxa"/>
            <w:vAlign w:val="bottom"/>
            <w:tcBorders>
              <w:top w:val="single" w:sz="8" w:color="auto"/>
            </w:tcBorders>
          </w:tcPr>
          <w:p>
            <w:pPr>
              <w:spacing w:after="0"/>
              <w:rPr>
                <w:sz w:val="16"/>
                <w:szCs w:val="16"/>
                <w:color w:val="auto"/>
              </w:rPr>
            </w:pPr>
          </w:p>
        </w:tc>
        <w:tc>
          <w:tcPr>
            <w:tcW w:w="3940" w:type="dxa"/>
            <w:vAlign w:val="bottom"/>
          </w:tcPr>
          <w:p>
            <w:pPr>
              <w:spacing w:after="0"/>
              <w:rPr>
                <w:sz w:val="16"/>
                <w:szCs w:val="16"/>
                <w:color w:val="auto"/>
              </w:rPr>
            </w:pPr>
          </w:p>
        </w:tc>
        <w:tc>
          <w:tcPr>
            <w:tcW w:w="50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Michael Rashkin</w:t>
            </w:r>
          </w:p>
        </w:tc>
        <w:tc>
          <w:tcPr>
            <w:tcW w:w="40" w:type="dxa"/>
            <w:vAlign w:val="bottom"/>
          </w:tcPr>
          <w:p>
            <w:pPr>
              <w:spacing w:after="0"/>
              <w:rPr>
                <w:sz w:val="16"/>
                <w:szCs w:val="16"/>
                <w:color w:val="auto"/>
              </w:rPr>
            </w:pPr>
          </w:p>
        </w:tc>
      </w:tr>
      <w:tr>
        <w:trPr>
          <w:trHeight w:val="230"/>
        </w:trPr>
        <w:tc>
          <w:tcPr>
            <w:tcW w:w="640" w:type="dxa"/>
            <w:vAlign w:val="bottom"/>
          </w:tcPr>
          <w:p>
            <w:pPr>
              <w:spacing w:after="0"/>
              <w:rPr>
                <w:sz w:val="20"/>
                <w:szCs w:val="20"/>
                <w:color w:val="auto"/>
              </w:rPr>
            </w:pPr>
          </w:p>
        </w:tc>
        <w:tc>
          <w:tcPr>
            <w:tcW w:w="1780" w:type="dxa"/>
            <w:vAlign w:val="bottom"/>
          </w:tcPr>
          <w:p>
            <w:pPr>
              <w:spacing w:after="0"/>
              <w:rPr>
                <w:sz w:val="20"/>
                <w:szCs w:val="20"/>
                <w:color w:val="auto"/>
              </w:rPr>
            </w:pPr>
          </w:p>
        </w:tc>
        <w:tc>
          <w:tcPr>
            <w:tcW w:w="3940" w:type="dxa"/>
            <w:vAlign w:val="bottom"/>
          </w:tcPr>
          <w:p>
            <w:pPr>
              <w:spacing w:after="0"/>
              <w:rPr>
                <w:sz w:val="20"/>
                <w:szCs w:val="20"/>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20"/>
                <w:szCs w:val="20"/>
                <w:color w:val="auto"/>
              </w:rPr>
            </w:pPr>
          </w:p>
        </w:tc>
      </w:tr>
      <w:tr>
        <w:trPr>
          <w:trHeight w:val="740"/>
        </w:trPr>
        <w:tc>
          <w:tcPr>
            <w:tcW w:w="640" w:type="dxa"/>
            <w:vAlign w:val="bottom"/>
            <w:tcBorders>
              <w:bottom w:val="single" w:sz="8" w:color="010101"/>
            </w:tcBorders>
          </w:tcPr>
          <w:p>
            <w:pPr>
              <w:spacing w:after="0"/>
              <w:rPr>
                <w:sz w:val="24"/>
                <w:szCs w:val="24"/>
                <w:color w:val="auto"/>
              </w:rPr>
            </w:pPr>
          </w:p>
        </w:tc>
        <w:tc>
          <w:tcPr>
            <w:tcW w:w="1780" w:type="dxa"/>
            <w:vAlign w:val="bottom"/>
            <w:tcBorders>
              <w:bottom w:val="single" w:sz="8" w:color="010101"/>
            </w:tcBorders>
          </w:tcPr>
          <w:p>
            <w:pPr>
              <w:spacing w:after="0"/>
              <w:rPr>
                <w:sz w:val="24"/>
                <w:szCs w:val="24"/>
                <w:color w:val="auto"/>
              </w:rPr>
            </w:pPr>
          </w:p>
        </w:tc>
        <w:tc>
          <w:tcPr>
            <w:tcW w:w="3940" w:type="dxa"/>
            <w:vAlign w:val="bottom"/>
            <w:tcBorders>
              <w:bottom w:val="single" w:sz="8" w:color="010101"/>
            </w:tcBorders>
          </w:tcPr>
          <w:p>
            <w:pPr>
              <w:spacing w:after="0"/>
              <w:rPr>
                <w:sz w:val="24"/>
                <w:szCs w:val="24"/>
                <w:color w:val="auto"/>
              </w:rPr>
            </w:pPr>
          </w:p>
        </w:tc>
        <w:tc>
          <w:tcPr>
            <w:tcW w:w="50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48" w:name="page49"/>
    <w:bookmarkEnd w:id="48"/>
    <w:p>
      <w:pPr>
        <w:ind w:left="10480"/>
        <w:spacing w:after="0"/>
        <w:rPr>
          <w:sz w:val="20"/>
          <w:szCs w:val="20"/>
          <w:color w:val="auto"/>
        </w:rPr>
      </w:pPr>
      <w:r>
        <w:rPr>
          <w:rFonts w:ascii="Arial" w:cs="Arial" w:eastAsia="Arial" w:hAnsi="Arial"/>
          <w:sz w:val="16"/>
          <w:szCs w:val="16"/>
          <w:b w:val="1"/>
          <w:bCs w:val="1"/>
          <w:color w:val="auto"/>
        </w:rPr>
        <w:t>Exhibit 32.1</w:t>
      </w:r>
    </w:p>
    <w:p>
      <w:pPr>
        <w:spacing w:after="0" w:line="248" w:lineRule="exact"/>
        <w:rPr>
          <w:sz w:val="20"/>
          <w:szCs w:val="20"/>
          <w:color w:val="auto"/>
        </w:rPr>
      </w:pPr>
    </w:p>
    <w:p>
      <w:pPr>
        <w:jc w:val="center"/>
        <w:spacing w:after="0" w:line="282" w:lineRule="auto"/>
        <w:rPr>
          <w:sz w:val="20"/>
          <w:szCs w:val="20"/>
          <w:color w:val="auto"/>
        </w:rPr>
      </w:pPr>
      <w:r>
        <w:rPr>
          <w:rFonts w:ascii="Arial" w:cs="Arial" w:eastAsia="Arial" w:hAnsi="Arial"/>
          <w:sz w:val="18"/>
          <w:szCs w:val="18"/>
          <w:b w:val="1"/>
          <w:bCs w:val="1"/>
          <w:color w:val="auto"/>
        </w:rPr>
        <w:t>STATEMENT OF THE PRESIDENT AND CHIEF EXECUTIVE OFFICER PURSUANT TO 18 U.S.C. § 1350, AS ADOPTED PURSUANT TO SECTION 906 OF THE SARBANES-OXLEY ACT OF 2002</w:t>
      </w:r>
    </w:p>
    <w:p>
      <w:pPr>
        <w:spacing w:after="0" w:line="166"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820" w:hanging="324"/>
        <w:spacing w:after="0" w:line="277" w:lineRule="auto"/>
        <w:tabs>
          <w:tab w:leader="none" w:pos="988"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July 28, 2007 (the “Report”), fully complies with the requirements of section 13(a) or section 15(d) of the Securities Exchange Act of 1934, and</w:t>
      </w:r>
    </w:p>
    <w:p>
      <w:pPr>
        <w:spacing w:after="0" w:line="170" w:lineRule="exact"/>
        <w:rPr>
          <w:rFonts w:ascii="Arial" w:cs="Arial" w:eastAsia="Arial" w:hAnsi="Arial"/>
          <w:sz w:val="18"/>
          <w:szCs w:val="18"/>
          <w:color w:val="auto"/>
        </w:rPr>
      </w:pPr>
    </w:p>
    <w:p>
      <w:pPr>
        <w:ind w:left="1000" w:hanging="344"/>
        <w:spacing w:after="0"/>
        <w:tabs>
          <w:tab w:leader="none" w:pos="1000" w:val="left"/>
        </w:tabs>
        <w:numPr>
          <w:ilvl w:val="0"/>
          <w:numId w:val="19"/>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/s/ SEHAT SUTARDJA PH.D.</w:t>
      </w:r>
    </w:p>
    <w:p>
      <w:pPr>
        <w:spacing w:after="0" w:line="23"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Sehat Sutardja Ph.D.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3"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President and Chief Executive Officer</w:t>
      </w:r>
    </w:p>
    <w:p>
      <w:pPr>
        <w:spacing w:after="0" w:line="211"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Date: September 6,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467360</wp:posOffset>
            </wp:positionV>
            <wp:extent cx="7267575" cy="298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49" w:name="page50"/>
    <w:bookmarkEnd w:id="49"/>
    <w:p>
      <w:pPr>
        <w:ind w:left="10480"/>
        <w:spacing w:after="0"/>
        <w:rPr>
          <w:sz w:val="20"/>
          <w:szCs w:val="20"/>
          <w:color w:val="auto"/>
        </w:rPr>
      </w:pPr>
      <w:r>
        <w:rPr>
          <w:rFonts w:ascii="Arial" w:cs="Arial" w:eastAsia="Arial" w:hAnsi="Arial"/>
          <w:sz w:val="16"/>
          <w:szCs w:val="16"/>
          <w:b w:val="1"/>
          <w:bCs w:val="1"/>
          <w:color w:val="auto"/>
        </w:rPr>
        <w:t>Exhibit 32.2</w:t>
      </w:r>
    </w:p>
    <w:p>
      <w:pPr>
        <w:spacing w:after="0" w:line="248" w:lineRule="exact"/>
        <w:rPr>
          <w:sz w:val="20"/>
          <w:szCs w:val="20"/>
          <w:color w:val="auto"/>
        </w:rPr>
      </w:pPr>
    </w:p>
    <w:p>
      <w:pPr>
        <w:jc w:val="center"/>
        <w:spacing w:after="0" w:line="282" w:lineRule="auto"/>
        <w:rPr>
          <w:sz w:val="20"/>
          <w:szCs w:val="20"/>
          <w:color w:val="auto"/>
        </w:rPr>
      </w:pPr>
      <w:r>
        <w:rPr>
          <w:rFonts w:ascii="Arial" w:cs="Arial" w:eastAsia="Arial" w:hAnsi="Arial"/>
          <w:sz w:val="18"/>
          <w:szCs w:val="18"/>
          <w:b w:val="1"/>
          <w:bCs w:val="1"/>
          <w:color w:val="auto"/>
        </w:rPr>
        <w:t>STATEMENT OF INTERIM CHIEF FINANCIAL OFFICER PURSUANT TO 18 U.S.C. § 1350, AS ADOPTED PURSUANT TO SECTION 906 OF THE SARBANES-OXLEY ACT OF 2002</w:t>
      </w:r>
    </w:p>
    <w:p>
      <w:pPr>
        <w:spacing w:after="0" w:line="166"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color w:val="auto"/>
        </w:rPr>
        <w:t>I, Michael Rashkin, the Interim Chief Financial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820" w:hanging="324"/>
        <w:spacing w:after="0" w:line="277" w:lineRule="auto"/>
        <w:tabs>
          <w:tab w:leader="none" w:pos="988"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July 28, 2007 (the “Report”), fully complies with the requirements of section 13(a) or section 15(d) of the Securities Exchange Act of 1934, and</w:t>
      </w:r>
    </w:p>
    <w:p>
      <w:pPr>
        <w:spacing w:after="0" w:line="170" w:lineRule="exact"/>
        <w:rPr>
          <w:rFonts w:ascii="Arial" w:cs="Arial" w:eastAsia="Arial" w:hAnsi="Arial"/>
          <w:sz w:val="18"/>
          <w:szCs w:val="18"/>
          <w:color w:val="auto"/>
        </w:rPr>
      </w:pPr>
    </w:p>
    <w:p>
      <w:pPr>
        <w:ind w:left="1000" w:hanging="344"/>
        <w:spacing w:after="0"/>
        <w:tabs>
          <w:tab w:leader="none" w:pos="1000"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/s/ MICHAEL RASHKIN</w:t>
      </w:r>
    </w:p>
    <w:p>
      <w:pPr>
        <w:spacing w:after="0" w:line="23"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3649980</wp:posOffset>
            </wp:positionH>
            <wp:positionV relativeFrom="paragraph">
              <wp:posOffset>-130810</wp:posOffset>
            </wp:positionV>
            <wp:extent cx="360172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3601720" cy="8890"/>
                    </a:xfrm>
                    <a:prstGeom prst="rect">
                      <a:avLst/>
                    </a:prstGeom>
                    <a:noFill/>
                  </pic:spPr>
                </pic:pic>
              </a:graphicData>
            </a:graphic>
          </wp:anchor>
        </w:drawing>
      </w:r>
    </w:p>
    <w:p>
      <w:pPr>
        <w:spacing w:after="0" w:line="3"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Interim Chief Financial Officer</w:t>
      </w:r>
    </w:p>
    <w:p>
      <w:pPr>
        <w:spacing w:after="0" w:line="211"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Date: September 6,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407035</wp:posOffset>
            </wp:positionV>
            <wp:extent cx="7267575" cy="2984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16231B"/>
    <w:multiLevelType w:val="hybridMultilevel"/>
    <w:lvl w:ilvl="0">
      <w:lvlJc w:val="left"/>
      <w:lvlText w:val="x"/>
      <w:numFmt w:val="bullet"/>
      <w:start w:val="1"/>
    </w:lvl>
  </w:abstractNum>
  <w:abstractNum w:abstractNumId="1">
    <w:nsid w:val="1F16E9E8"/>
    <w:multiLevelType w:val="hybridMultilevel"/>
    <w:lvl w:ilvl="0">
      <w:lvlJc w:val="left"/>
      <w:lvlText w:val="o"/>
      <w:numFmt w:val="bullet"/>
      <w:start w:val="1"/>
    </w:lvl>
  </w:abstractNum>
  <w:abstractNum w:abstractNumId="2">
    <w:nsid w:val="1190CDE7"/>
    <w:multiLevelType w:val="hybridMultilevel"/>
    <w:lvl w:ilvl="0">
      <w:lvlJc w:val="left"/>
      <w:lvlText w:val="(%1)"/>
      <w:numFmt w:val="lowerRoman"/>
      <w:start w:val="2"/>
    </w:lvl>
  </w:abstractNum>
  <w:abstractNum w:abstractNumId="3">
    <w:nsid w:val="66EF438D"/>
    <w:multiLevelType w:val="hybridMultilevel"/>
    <w:lvl w:ilvl="0">
      <w:lvlJc w:val="left"/>
      <w:lvlText w:val="·"/>
      <w:numFmt w:val="bullet"/>
      <w:start w:val="1"/>
    </w:lvl>
  </w:abstractNum>
  <w:abstractNum w:abstractNumId="4">
    <w:nsid w:val="140E0F76"/>
    <w:multiLevelType w:val="hybridMultilevel"/>
    <w:lvl w:ilvl="0">
      <w:lvlJc w:val="left"/>
      <w:lvlText w:val="·"/>
      <w:numFmt w:val="bullet"/>
      <w:start w:val="1"/>
    </w:lvl>
  </w:abstractNum>
  <w:abstractNum w:abstractNumId="5">
    <w:nsid w:val="3352255A"/>
    <w:multiLevelType w:val="hybridMultilevel"/>
    <w:lvl w:ilvl="0">
      <w:lvlJc w:val="left"/>
      <w:lvlText w:val="·"/>
      <w:numFmt w:val="bullet"/>
      <w:start w:val="1"/>
    </w:lvl>
  </w:abstractNum>
  <w:abstractNum w:abstractNumId="6">
    <w:nsid w:val="109CF92E"/>
    <w:multiLevelType w:val="hybridMultilevel"/>
    <w:lvl w:ilvl="0">
      <w:lvlJc w:val="left"/>
      <w:lvlText w:val="·"/>
      <w:numFmt w:val="bullet"/>
      <w:start w:val="1"/>
    </w:lvl>
  </w:abstractNum>
  <w:abstractNum w:abstractNumId="7">
    <w:nsid w:val="DED7263"/>
    <w:multiLevelType w:val="hybridMultilevel"/>
    <w:lvl w:ilvl="0">
      <w:lvlJc w:val="left"/>
      <w:lvlText w:val="·"/>
      <w:numFmt w:val="bullet"/>
      <w:start w:val="1"/>
    </w:lvl>
  </w:abstractNum>
  <w:abstractNum w:abstractNumId="8">
    <w:nsid w:val="7FDCC233"/>
    <w:multiLevelType w:val="hybridMultilevel"/>
    <w:lvl w:ilvl="0">
      <w:lvlJc w:val="left"/>
      <w:lvlText w:val="·"/>
      <w:numFmt w:val="bullet"/>
      <w:start w:val="1"/>
    </w:lvl>
  </w:abstractNum>
  <w:abstractNum w:abstractNumId="9">
    <w:nsid w:val="1BEFD79F"/>
    <w:multiLevelType w:val="hybridMultilevel"/>
    <w:lvl w:ilvl="0">
      <w:lvlJc w:val="left"/>
      <w:lvlText w:val="·"/>
      <w:numFmt w:val="bullet"/>
      <w:start w:val="1"/>
    </w:lvl>
  </w:abstractNum>
  <w:abstractNum w:abstractNumId="10">
    <w:nsid w:val="41A7C4C9"/>
    <w:multiLevelType w:val="hybridMultilevel"/>
    <w:lvl w:ilvl="0">
      <w:lvlJc w:val="left"/>
      <w:lvlText w:val="·"/>
      <w:numFmt w:val="bullet"/>
      <w:start w:val="1"/>
    </w:lvl>
  </w:abstractNum>
  <w:abstractNum w:abstractNumId="11">
    <w:nsid w:val="6B68079A"/>
    <w:multiLevelType w:val="hybridMultilevel"/>
    <w:lvl w:ilvl="0">
      <w:lvlJc w:val="left"/>
      <w:lvlText w:val="·"/>
      <w:numFmt w:val="bullet"/>
      <w:start w:val="1"/>
    </w:lvl>
  </w:abstractNum>
  <w:abstractNum w:abstractNumId="12">
    <w:nsid w:val="4E6AFB66"/>
    <w:multiLevelType w:val="hybridMultilevel"/>
    <w:lvl w:ilvl="0">
      <w:lvlJc w:val="left"/>
      <w:lvlText w:val="·"/>
      <w:numFmt w:val="bullet"/>
      <w:start w:val="1"/>
    </w:lvl>
  </w:abstractNum>
  <w:abstractNum w:abstractNumId="13">
    <w:nsid w:val="25E45D32"/>
    <w:multiLevelType w:val="hybridMultilevel"/>
    <w:lvl w:ilvl="0">
      <w:lvlJc w:val="left"/>
      <w:lvlText w:val="·"/>
      <w:numFmt w:val="bullet"/>
      <w:start w:val="1"/>
    </w:lvl>
  </w:abstractNum>
  <w:abstractNum w:abstractNumId="14">
    <w:nsid w:val="519B500D"/>
    <w:multiLevelType w:val="hybridMultilevel"/>
    <w:lvl w:ilvl="0">
      <w:lvlJc w:val="left"/>
      <w:lvlText w:val="*"/>
      <w:numFmt w:val="bullet"/>
      <w:start w:val="1"/>
    </w:lvl>
  </w:abstractNum>
  <w:abstractNum w:abstractNumId="15">
    <w:nsid w:val="431BD7B7"/>
    <w:multiLevelType w:val="hybridMultilevel"/>
    <w:lvl w:ilvl="0">
      <w:lvlJc w:val="left"/>
      <w:lvlText w:val="*"/>
      <w:numFmt w:val="bullet"/>
      <w:start w:val="1"/>
    </w:lvl>
  </w:abstractNum>
  <w:abstractNum w:abstractNumId="16">
    <w:nsid w:val="3F2DBA31"/>
    <w:multiLevelType w:val="hybridMultilevel"/>
    <w:lvl w:ilvl="0">
      <w:lvlJc w:val="left"/>
      <w:lvlText w:val="%1."/>
      <w:numFmt w:val="decimal"/>
      <w:start w:val="1"/>
    </w:lvl>
    <w:lvl w:ilvl="1">
      <w:lvlJc w:val="left"/>
      <w:lvlText w:val="%2)"/>
      <w:numFmt w:val="lowerLetter"/>
      <w:start w:val="1"/>
    </w:lvl>
  </w:abstractNum>
  <w:abstractNum w:abstractNumId="17">
    <w:nsid w:val="7C83E458"/>
    <w:multiLevelType w:val="hybridMultilevel"/>
    <w:lvl w:ilvl="0">
      <w:lvlJc w:val="left"/>
      <w:lvlText w:val="%1."/>
      <w:numFmt w:val="decimal"/>
      <w:start w:val="1"/>
    </w:lvl>
    <w:lvl w:ilvl="1">
      <w:lvlJc w:val="left"/>
      <w:lvlText w:val="%2)"/>
      <w:numFmt w:val="lowerLetter"/>
      <w:start w:val="1"/>
    </w:lvl>
  </w:abstractNum>
  <w:abstractNum w:abstractNumId="18">
    <w:nsid w:val="257130A3"/>
    <w:multiLevelType w:val="hybridMultilevel"/>
    <w:lvl w:ilvl="0">
      <w:lvlJc w:val="left"/>
      <w:lvlText w:val="(%1)"/>
      <w:numFmt w:val="lowerRoman"/>
      <w:start w:val="1"/>
    </w:lvl>
  </w:abstractNum>
  <w:abstractNum w:abstractNumId="19">
    <w:nsid w:val="62BBD95A"/>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2019-12-14T20:29:08Z</dcterms:created>
  <dcterms:modified xsi:type="dcterms:W3CDTF">2019-12-14T20:29:08Z</dcterms:modified>
</cp:coreProperties>
</file>