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23,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72" w:orient="portrait"/>
          <w:cols w:equalWidth="0" w:num="1">
            <w:col w:w="11380"/>
          </w:cols>
          <w:pgMar w:left="240" w:top="530" w:right="279" w:bottom="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72" w:orient="portrait"/>
          <w:cols w:equalWidth="0" w:num="3">
            <w:col w:w="4000" w:space="720"/>
            <w:col w:w="3500" w:space="720"/>
            <w:col w:w="2440"/>
          </w:cols>
          <w:pgMar w:left="240" w:top="530" w:right="279" w:bottom="0" w:gutter="0" w:footer="0" w:header="0"/>
          <w:type w:val="continuous"/>
        </w:sectPr>
      </w:pPr>
    </w:p>
    <w:p>
      <w:pPr>
        <w:spacing w:after="0" w:line="6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72"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440" w:hanging="420"/>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440" w:hanging="420"/>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440" w:hanging="420"/>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440" w:hanging="420"/>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323850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366395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613410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u w:val="single" w:color="auto"/>
          <w:color w:val="auto"/>
        </w:rPr>
        <w:t>TABLE OF CONTENTS</w:t>
      </w:r>
    </w:p>
    <w:p>
      <w:pPr>
        <w:spacing w:after="0" w:line="229" w:lineRule="exact"/>
        <w:rPr>
          <w:sz w:val="24"/>
          <w:szCs w:val="24"/>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Item 2.02 Results of Operations and Financial Condition</w:t>
        </w:r>
      </w:hyperlink>
    </w:p>
    <w:p>
      <w:pPr>
        <w:spacing w:after="0" w:line="23" w:lineRule="exact"/>
        <w:rPr>
          <w:sz w:val="24"/>
          <w:szCs w:val="24"/>
          <w:color w:val="auto"/>
        </w:rPr>
      </w:pPr>
    </w:p>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Item 9.01 Exhibits</w:t>
        </w:r>
      </w:hyperlink>
    </w:p>
    <w:p>
      <w:pPr>
        <w:spacing w:after="0" w:line="9" w:lineRule="exact"/>
        <w:rPr>
          <w:sz w:val="24"/>
          <w:szCs w:val="24"/>
          <w:color w:val="auto"/>
        </w:rPr>
      </w:pPr>
    </w:p>
    <w:p>
      <w:pPr>
        <w:spacing w:after="0"/>
        <w:rPr>
          <w:rFonts w:ascii="Arial" w:cs="Arial" w:eastAsia="Arial" w:hAnsi="Arial"/>
          <w:sz w:val="18"/>
          <w:szCs w:val="18"/>
          <w:u w:val="single" w:color="auto"/>
          <w:color w:val="0000EE"/>
        </w:rPr>
      </w:pPr>
      <w:hyperlink w:anchor="page3">
        <w:r>
          <w:rPr>
            <w:rFonts w:ascii="Arial" w:cs="Arial" w:eastAsia="Arial" w:hAnsi="Arial"/>
            <w:sz w:val="18"/>
            <w:szCs w:val="18"/>
            <w:u w:val="single" w:color="auto"/>
            <w:color w:val="0000EE"/>
          </w:rPr>
          <w:t>SIGNATURE</w:t>
        </w:r>
      </w:hyperlink>
    </w:p>
    <w:p>
      <w:pPr>
        <w:spacing w:after="0" w:line="9" w:lineRule="exact"/>
        <w:rPr>
          <w:sz w:val="24"/>
          <w:szCs w:val="24"/>
          <w:color w:val="auto"/>
        </w:rPr>
      </w:pPr>
    </w:p>
    <w:p>
      <w:pPr>
        <w:spacing w:after="0"/>
        <w:rPr>
          <w:rFonts w:ascii="Arial" w:cs="Arial" w:eastAsia="Arial" w:hAnsi="Arial"/>
          <w:sz w:val="18"/>
          <w:szCs w:val="18"/>
          <w:u w:val="single" w:color="auto"/>
          <w:color w:val="0000EE"/>
        </w:rPr>
      </w:pPr>
      <w:hyperlink w:anchor="page3">
        <w:r>
          <w:rPr>
            <w:rFonts w:ascii="Arial" w:cs="Arial" w:eastAsia="Arial" w:hAnsi="Arial"/>
            <w:sz w:val="18"/>
            <w:szCs w:val="18"/>
            <w:u w:val="single" w:color="auto"/>
            <w:color w:val="0000EE"/>
          </w:rPr>
          <w:t>EXHIBIT INDEX</w:t>
        </w:r>
      </w:hyperlink>
    </w:p>
    <w:p>
      <w:pPr>
        <w:spacing w:after="0" w:line="200" w:lineRule="exact"/>
        <w:rPr>
          <w:sz w:val="24"/>
          <w:szCs w:val="24"/>
          <w:color w:val="auto"/>
        </w:rPr>
      </w:pPr>
    </w:p>
    <w:p>
      <w:pPr>
        <w:spacing w:after="0" w:line="28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right="40" w:firstLine="648"/>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4"/>
          <w:szCs w:val="24"/>
          <w:color w:val="auto"/>
        </w:rPr>
      </w:pPr>
    </w:p>
    <w:p>
      <w:pPr>
        <w:ind w:right="260" w:firstLine="648"/>
        <w:spacing w:after="0" w:line="308" w:lineRule="auto"/>
        <w:rPr>
          <w:sz w:val="20"/>
          <w:szCs w:val="20"/>
          <w:color w:val="auto"/>
        </w:rPr>
      </w:pPr>
      <w:r>
        <w:rPr>
          <w:rFonts w:ascii="Arial" w:cs="Arial" w:eastAsia="Arial" w:hAnsi="Arial"/>
          <w:sz w:val="17"/>
          <w:szCs w:val="17"/>
          <w:color w:val="auto"/>
        </w:rPr>
        <w:t>On August 23, 2007, Marvell Technology Group Ltd. (“Marvell”) issued a press release regarding its financial results for its second fiscal quarter ended July 28, 2007. A copy of the press release is furnished herewith as Exhibit 99.1 and is incorporated by reference herein.</w:t>
      </w:r>
    </w:p>
    <w:p>
      <w:pPr>
        <w:sectPr>
          <w:pgSz w:w="11900" w:h="16872" w:orient="portrait"/>
          <w:cols w:equalWidth="0" w:num="1">
            <w:col w:w="11380"/>
          </w:cols>
          <w:pgMar w:left="240" w:top="530" w:right="27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0"/>
          <w:szCs w:val="20"/>
          <w:color w:val="auto"/>
        </w:rPr>
      </w:pPr>
    </w:p>
    <w:p>
      <w:pPr>
        <w:ind w:right="200" w:firstLine="648"/>
        <w:spacing w:after="0" w:line="264" w:lineRule="auto"/>
        <w:rPr>
          <w:sz w:val="20"/>
          <w:szCs w:val="20"/>
          <w:color w:val="auto"/>
        </w:rPr>
      </w:pPr>
      <w:r>
        <w:rPr>
          <w:rFonts w:ascii="Arial" w:cs="Arial" w:eastAsia="Arial" w:hAnsi="Arial"/>
          <w:sz w:val="18"/>
          <w:szCs w:val="18"/>
          <w:color w:val="auto"/>
        </w:rPr>
        <w:t>In addition to disclosing financial results calculated in accordance with GAAP, Marvell also reports adjusted net income and net income per share, referred to respectively as “non-GAAP net income” and “non-GAAP net income per share.” Non-GAAP measures exclude the effect of stock-based compensation, amortization of acquired intangible assets and cumulative effect of change in accounting principle.</w:t>
      </w:r>
    </w:p>
    <w:p>
      <w:pPr>
        <w:spacing w:after="0" w:line="181" w:lineRule="exact"/>
        <w:rPr>
          <w:sz w:val="20"/>
          <w:szCs w:val="20"/>
          <w:color w:val="auto"/>
        </w:rPr>
      </w:pPr>
    </w:p>
    <w:p>
      <w:pPr>
        <w:ind w:firstLine="648"/>
        <w:spacing w:after="0" w:line="297" w:lineRule="auto"/>
        <w:rPr>
          <w:sz w:val="20"/>
          <w:szCs w:val="20"/>
          <w:color w:val="auto"/>
        </w:rPr>
      </w:pPr>
      <w:r>
        <w:rPr>
          <w:rFonts w:ascii="Arial" w:cs="Arial" w:eastAsia="Arial" w:hAnsi="Arial"/>
          <w:sz w:val="16"/>
          <w:szCs w:val="16"/>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FASB Statement of Financial Accounting Standards No. 123 (revised 2004), “Share Based Payments” (“SFAS 123R”) compensation costs attributable to future services and not yet recognized in the financial statements that are treated as proceeds assumed to be used to repurchased shares under the GAAP treasury stock method. GAAP diluted weighted average shares outstanding also includes the antidilutive effects of warrants, common stock options and restricted stock.</w:t>
      </w:r>
    </w:p>
    <w:p>
      <w:pPr>
        <w:spacing w:after="0" w:line="158" w:lineRule="exact"/>
        <w:rPr>
          <w:sz w:val="20"/>
          <w:szCs w:val="20"/>
          <w:color w:val="auto"/>
        </w:rPr>
      </w:pPr>
    </w:p>
    <w:p>
      <w:pPr>
        <w:ind w:firstLine="648"/>
        <w:spacing w:after="0" w:line="297" w:lineRule="auto"/>
        <w:rPr>
          <w:sz w:val="20"/>
          <w:szCs w:val="20"/>
          <w:color w:val="auto"/>
        </w:rPr>
      </w:pPr>
      <w:r>
        <w:rPr>
          <w:rFonts w:ascii="Arial" w:cs="Arial" w:eastAsia="Arial" w:hAnsi="Arial"/>
          <w:sz w:val="16"/>
          <w:szCs w:val="16"/>
          <w:color w:val="auto"/>
        </w:rPr>
        <w:t>These non-GAAP measures should be considered in addition to, and not as a substitute for, the results prepared in accordance with GAAP. Marvell’s management believes the non-GAAP information is useful because it can enhance the understanding of the company’s ongoing economic performance and Marvell therefore uses non-GAAP reporting internally to evaluate and manage its operations.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our results with that of other companies in our industry.</w:t>
      </w:r>
    </w:p>
    <w:p>
      <w:pPr>
        <w:spacing w:after="0" w:line="158" w:lineRule="exact"/>
        <w:rPr>
          <w:sz w:val="20"/>
          <w:szCs w:val="20"/>
          <w:color w:val="auto"/>
        </w:rPr>
      </w:pPr>
    </w:p>
    <w:p>
      <w:pPr>
        <w:jc w:val="both"/>
        <w:ind w:right="200" w:firstLine="648"/>
        <w:spacing w:after="0" w:line="342" w:lineRule="auto"/>
        <w:rPr>
          <w:sz w:val="20"/>
          <w:szCs w:val="20"/>
          <w:color w:val="auto"/>
        </w:rPr>
      </w:pPr>
      <w:r>
        <w:rPr>
          <w:rFonts w:ascii="Arial" w:cs="Arial" w:eastAsia="Arial" w:hAnsi="Arial"/>
          <w:sz w:val="16"/>
          <w:szCs w:val="16"/>
          <w:color w:val="auto"/>
        </w:rPr>
        <w:t>Externally, we believe that investors may find our non-GAAP net income information useful in their assessment of our operating performance and the valuation of our company. Internally, our non-GAAP net income and non-GAAP net income per share are used by management in the following areas:</w:t>
      </w:r>
    </w:p>
    <w:p>
      <w:pPr>
        <w:spacing w:after="0" w:line="124" w:lineRule="exact"/>
        <w:rPr>
          <w:sz w:val="20"/>
          <w:szCs w:val="20"/>
          <w:color w:val="auto"/>
        </w:rPr>
      </w:pPr>
    </w:p>
    <w:p>
      <w:pPr>
        <w:ind w:left="620" w:hanging="450"/>
        <w:spacing w:after="0"/>
        <w:tabs>
          <w:tab w:leader="none" w:pos="62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determination of Pro Forma EPS target-based stock-based bonus compensation for our executive officers;</w:t>
      </w:r>
    </w:p>
    <w:p>
      <w:pPr>
        <w:spacing w:after="0" w:line="225" w:lineRule="exact"/>
        <w:rPr>
          <w:rFonts w:ascii="Arial" w:cs="Arial" w:eastAsia="Arial" w:hAnsi="Arial"/>
          <w:sz w:val="18"/>
          <w:szCs w:val="18"/>
          <w:color w:val="auto"/>
        </w:rPr>
      </w:pPr>
    </w:p>
    <w:p>
      <w:pPr>
        <w:ind w:left="620" w:hanging="450"/>
        <w:spacing w:after="0"/>
        <w:tabs>
          <w:tab w:leader="none" w:pos="62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evaluation of Marvell’s operating performance;</w:t>
      </w:r>
    </w:p>
    <w:p>
      <w:pPr>
        <w:spacing w:after="0" w:line="225" w:lineRule="exact"/>
        <w:rPr>
          <w:rFonts w:ascii="Arial" w:cs="Arial" w:eastAsia="Arial" w:hAnsi="Arial"/>
          <w:sz w:val="18"/>
          <w:szCs w:val="18"/>
          <w:color w:val="auto"/>
        </w:rPr>
      </w:pPr>
    </w:p>
    <w:p>
      <w:pPr>
        <w:ind w:left="620" w:hanging="450"/>
        <w:spacing w:after="0"/>
        <w:tabs>
          <w:tab w:leader="none" w:pos="62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establishment of internal operating budgets; and</w:t>
      </w:r>
    </w:p>
    <w:p>
      <w:pPr>
        <w:spacing w:after="0" w:line="225" w:lineRule="exact"/>
        <w:rPr>
          <w:rFonts w:ascii="Arial" w:cs="Arial" w:eastAsia="Arial" w:hAnsi="Arial"/>
          <w:sz w:val="18"/>
          <w:szCs w:val="18"/>
          <w:color w:val="auto"/>
        </w:rPr>
      </w:pPr>
    </w:p>
    <w:p>
      <w:pPr>
        <w:ind w:left="620" w:hanging="450"/>
        <w:spacing w:after="0"/>
        <w:tabs>
          <w:tab w:leader="none" w:pos="62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performance comparisons with internal forecasts and targeted business models.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Non-GAAP net income reflects net income adjusted for the following items:</w:t>
      </w:r>
    </w:p>
    <w:p>
      <w:pPr>
        <w:spacing w:after="0" w:line="225" w:lineRule="exact"/>
        <w:rPr>
          <w:sz w:val="20"/>
          <w:szCs w:val="20"/>
          <w:color w:val="auto"/>
        </w:rPr>
      </w:pPr>
    </w:p>
    <w:p>
      <w:pPr>
        <w:ind w:left="660" w:right="220" w:hanging="490"/>
        <w:spacing w:after="0" w:line="259" w:lineRule="auto"/>
        <w:tabs>
          <w:tab w:leader="none" w:pos="624"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 xml:space="preserve">Stock-based compensation. </w:t>
      </w:r>
      <w:r>
        <w:rPr>
          <w:rFonts w:ascii="Arial" w:cs="Arial" w:eastAsia="Arial" w:hAnsi="Arial"/>
          <w:sz w:val="18"/>
          <w:szCs w:val="18"/>
          <w:color w:val="auto"/>
        </w:rPr>
        <w:t>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our common stock, which is not within the control of management. Accordingly, we exclude this item from its internal operating forecasts and models.</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hanging="490"/>
        <w:spacing w:after="0" w:line="277" w:lineRule="auto"/>
        <w:tabs>
          <w:tab w:leader="none" w:pos="624"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 xml:space="preserve">Amortization of acquired intangible assets. </w:t>
      </w:r>
      <w:r>
        <w:rPr>
          <w:rFonts w:ascii="Arial" w:cs="Arial" w:eastAsia="Arial" w:hAnsi="Arial"/>
          <w:sz w:val="18"/>
          <w:szCs w:val="18"/>
          <w:color w:val="auto"/>
        </w:rPr>
        <w:t>Purchased intangible assets relate primarily to existing and core technology, and customer relationships of</w:t>
      </w:r>
      <w:r>
        <w:rPr>
          <w:rFonts w:ascii="Arial" w:cs="Arial" w:eastAsia="Arial" w:hAnsi="Arial"/>
          <w:sz w:val="18"/>
          <w:szCs w:val="18"/>
          <w:i w:val="1"/>
          <w:iCs w:val="1"/>
          <w:color w:val="auto"/>
        </w:rPr>
        <w:t xml:space="preserve"> </w:t>
      </w:r>
      <w:r>
        <w:rPr>
          <w:rFonts w:ascii="Arial" w:cs="Arial" w:eastAsia="Arial" w:hAnsi="Arial"/>
          <w:sz w:val="18"/>
          <w:szCs w:val="18"/>
          <w:color w:val="auto"/>
        </w:rPr>
        <w:t>acquired businesses. We consider these charges non-cash in nature and unrelated to our core operating performance.</w:t>
      </w:r>
    </w:p>
    <w:p>
      <w:pPr>
        <w:spacing w:after="0" w:line="170" w:lineRule="exact"/>
        <w:rPr>
          <w:rFonts w:ascii="Arial" w:cs="Arial" w:eastAsia="Arial" w:hAnsi="Arial"/>
          <w:sz w:val="18"/>
          <w:szCs w:val="18"/>
          <w:color w:val="auto"/>
        </w:rPr>
      </w:pPr>
    </w:p>
    <w:p>
      <w:pPr>
        <w:ind w:left="660" w:right="160" w:hanging="490"/>
        <w:spacing w:after="0" w:line="308" w:lineRule="auto"/>
        <w:tabs>
          <w:tab w:leader="none" w:pos="624"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 xml:space="preserve">Cumulative effect of change in accounting principle. </w:t>
      </w:r>
      <w:r>
        <w:rPr>
          <w:rFonts w:ascii="Arial" w:cs="Arial" w:eastAsia="Arial" w:hAnsi="Arial"/>
          <w:sz w:val="17"/>
          <w:szCs w:val="17"/>
          <w:color w:val="auto"/>
        </w:rPr>
        <w:t>The cumulative effect of a change in accounting principle, mandated by our adoption of SFAS</w:t>
      </w:r>
      <w:r>
        <w:rPr>
          <w:rFonts w:ascii="Arial" w:cs="Arial" w:eastAsia="Arial" w:hAnsi="Arial"/>
          <w:sz w:val="17"/>
          <w:szCs w:val="17"/>
          <w:i w:val="1"/>
          <w:iCs w:val="1"/>
          <w:color w:val="auto"/>
        </w:rPr>
        <w:t xml:space="preserve"> </w:t>
      </w:r>
      <w:r>
        <w:rPr>
          <w:rFonts w:ascii="Arial" w:cs="Arial" w:eastAsia="Arial" w:hAnsi="Arial"/>
          <w:sz w:val="17"/>
          <w:szCs w:val="17"/>
          <w:color w:val="auto"/>
        </w:rPr>
        <w:t>123R to account for forfeitures is a non-cash item which management believes, is unrelated to our core operating performance.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225" w:lineRule="exact"/>
        <w:rPr>
          <w:sz w:val="20"/>
          <w:szCs w:val="20"/>
          <w:color w:val="auto"/>
        </w:rPr>
      </w:pPr>
    </w:p>
    <w:p>
      <w:pPr>
        <w:ind w:left="660" w:right="80" w:hanging="490"/>
        <w:spacing w:after="0" w:line="255" w:lineRule="auto"/>
        <w:tabs>
          <w:tab w:leader="none" w:pos="624"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repurchased shares under the GAAP treasury stock method. GAAP diluted weighted average shares outstanding also includes the antidilutive effects of warrants, common stock options and restricted stock. Since our non-GAAP net income does not reflect the effects of these compensation costs, management believes these amounts should not be applied to the repurchase of shares in calculating non-GAAP net income per share.</w:t>
      </w:r>
    </w:p>
    <w:p>
      <w:pPr>
        <w:spacing w:after="0" w:line="189"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Non-GAAP net income and non-GAAP net income per share should be considered supplemental to, and not as a substitute for, or superior to, financial measures calculated in accordance with GAAP. Non-GAAP financial measures have limitations in that they do not reflect all of the costs associated with the operations of our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our non-GAAP net income should not be construed as an inference that these costs are unusual, infrequent or non-recurring. Some of the limitations in relying on non-GAAP net income and non-GAAP net income per share are:</w:t>
      </w:r>
    </w:p>
    <w:p>
      <w:pPr>
        <w:spacing w:after="0" w:line="178" w:lineRule="exact"/>
        <w:rPr>
          <w:sz w:val="20"/>
          <w:szCs w:val="20"/>
          <w:color w:val="auto"/>
        </w:rPr>
      </w:pPr>
    </w:p>
    <w:p>
      <w:pPr>
        <w:jc w:val="both"/>
        <w:ind w:left="660" w:right="340" w:hanging="490"/>
        <w:spacing w:after="0" w:line="302" w:lineRule="auto"/>
        <w:tabs>
          <w:tab w:leader="none" w:pos="624" w:val="left"/>
        </w:tabs>
        <w:numPr>
          <w:ilvl w:val="0"/>
          <w:numId w:val="6"/>
        </w:numPr>
        <w:rPr>
          <w:rFonts w:ascii="Arial" w:cs="Arial" w:eastAsia="Arial" w:hAnsi="Arial"/>
          <w:sz w:val="16"/>
          <w:szCs w:val="16"/>
          <w:color w:val="auto"/>
        </w:rPr>
      </w:pPr>
      <w:r>
        <w:rPr>
          <w:rFonts w:ascii="Arial" w:cs="Arial" w:eastAsia="Arial" w:hAnsi="Arial"/>
          <w:sz w:val="16"/>
          <w:szCs w:val="16"/>
          <w:color w:val="auto"/>
        </w:rPr>
        <w:t>Non-GAAP net income does not account for stock compensation expense related to equity awards granted to our employees. Our stock incentive plans are important components of our employee incentive compensation arrangements and are reflected as expenses in our GAAP results under SFAS 123R, effective as of January 29, 2006. Prior to the adoption of SFAS 123R, our GAAP results reflect stock compensation expense under Accounting Principles Board Opinion No. 25, “Accounting for Stock Issued to Employees” and related guidance.</w:t>
      </w:r>
    </w:p>
    <w:p>
      <w:pPr>
        <w:spacing w:after="0" w:line="154" w:lineRule="exact"/>
        <w:rPr>
          <w:rFonts w:ascii="Arial" w:cs="Arial" w:eastAsia="Arial" w:hAnsi="Arial"/>
          <w:sz w:val="16"/>
          <w:szCs w:val="16"/>
          <w:color w:val="auto"/>
        </w:rPr>
      </w:pPr>
    </w:p>
    <w:p>
      <w:pPr>
        <w:ind w:left="660" w:right="20" w:hanging="490"/>
        <w:spacing w:after="0" w:line="259" w:lineRule="auto"/>
        <w:tabs>
          <w:tab w:leader="none" w:pos="624" w:val="left"/>
        </w:tabs>
        <w:numPr>
          <w:ilvl w:val="0"/>
          <w:numId w:val="6"/>
        </w:numPr>
        <w:rPr>
          <w:rFonts w:ascii="Arial" w:cs="Arial" w:eastAsia="Arial" w:hAnsi="Arial"/>
          <w:sz w:val="18"/>
          <w:szCs w:val="18"/>
          <w:color w:val="auto"/>
        </w:rPr>
      </w:pPr>
      <w:r>
        <w:rPr>
          <w:rFonts w:ascii="Arial" w:cs="Arial" w:eastAsia="Arial" w:hAnsi="Arial"/>
          <w:sz w:val="18"/>
          <w:szCs w:val="18"/>
          <w:color w:val="auto"/>
        </w:rPr>
        <w:t>While amortization of purchased intangible assets does not directly affect our current cash position, such expense represents the declining value of the technology and other intangible assets that we have acquired over their respective expected economic lives. The expense associated with this decline in value is excluded from the non-GAAP net income presentation, and therefore non-GAAP net income does not reflect the costs of acquired intangible assets that supplement our research and development efforts.</w:t>
      </w:r>
    </w:p>
    <w:p>
      <w:pPr>
        <w:spacing w:after="0" w:line="183" w:lineRule="exact"/>
        <w:rPr>
          <w:sz w:val="20"/>
          <w:szCs w:val="20"/>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ectPr>
          <w:pgSz w:w="11900" w:h="16838" w:orient="portrait"/>
          <w:cols w:equalWidth="0" w:num="1">
            <w:col w:w="11400"/>
          </w:cols>
          <w:pgMar w:left="240" w:top="121" w:right="259" w:bottom="0" w:gutter="0" w:footer="0" w:header="0"/>
        </w:sectPr>
      </w:pPr>
    </w:p>
    <w:bookmarkStart w:id="2" w:name="page3"/>
    <w:bookmarkEnd w:id="2"/>
    <w:p>
      <w:pPr>
        <w:ind w:left="1320" w:hanging="664"/>
        <w:spacing w:after="0"/>
        <w:tabs>
          <w:tab w:leader="none" w:pos="1320" w:val="left"/>
        </w:tabs>
        <w:numPr>
          <w:ilvl w:val="0"/>
          <w:numId w:val="7"/>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August 23, 2007.</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August 23, 2007</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0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5820" w:type="dxa"/>
            <w:vAlign w:val="bottom"/>
            <w:gridSpan w:val="2"/>
          </w:tcPr>
          <w:p>
            <w:pPr>
              <w:ind w:left="4300"/>
              <w:spacing w:after="0"/>
              <w:rPr>
                <w:sz w:val="20"/>
                <w:szCs w:val="20"/>
                <w:color w:val="auto"/>
              </w:rPr>
            </w:pPr>
            <w:r>
              <w:rPr>
                <w:rFonts w:ascii="Arial" w:cs="Arial" w:eastAsia="Arial" w:hAnsi="Arial"/>
                <w:sz w:val="18"/>
                <w:szCs w:val="18"/>
                <w:color w:val="auto"/>
              </w:rPr>
              <w:t>By:</w:t>
            </w:r>
          </w:p>
        </w:tc>
        <w:tc>
          <w:tcPr>
            <w:tcW w:w="4280" w:type="dxa"/>
            <w:vAlign w:val="bottom"/>
          </w:tcPr>
          <w:p>
            <w:pPr>
              <w:jc w:val="center"/>
              <w:ind w:right="1070"/>
              <w:spacing w:after="0"/>
              <w:rPr>
                <w:sz w:val="20"/>
                <w:szCs w:val="20"/>
                <w:color w:val="auto"/>
              </w:rPr>
            </w:pPr>
            <w:r>
              <w:rPr>
                <w:rFonts w:ascii="Arial" w:cs="Arial" w:eastAsia="Arial" w:hAnsi="Arial"/>
                <w:sz w:val="18"/>
                <w:szCs w:val="18"/>
                <w:color w:val="auto"/>
                <w:w w:val="92"/>
              </w:rPr>
              <w:t>/s/ Michael Rashkin</w:t>
            </w:r>
          </w:p>
        </w:tc>
        <w:tc>
          <w:tcPr>
            <w:tcW w:w="40" w:type="dxa"/>
            <w:vAlign w:val="bottom"/>
          </w:tcPr>
          <w:p>
            <w:pPr>
              <w:spacing w:after="0"/>
              <w:rPr>
                <w:sz w:val="20"/>
                <w:szCs w:val="20"/>
                <w:color w:val="auto"/>
              </w:rPr>
            </w:pPr>
          </w:p>
        </w:tc>
      </w:tr>
      <w:tr>
        <w:trPr>
          <w:trHeight w:val="195"/>
        </w:trPr>
        <w:tc>
          <w:tcPr>
            <w:tcW w:w="10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660" w:type="dxa"/>
            <w:vAlign w:val="bottom"/>
          </w:tcPr>
          <w:p>
            <w:pPr>
              <w:spacing w:after="0"/>
              <w:rPr>
                <w:sz w:val="16"/>
                <w:szCs w:val="16"/>
                <w:color w:val="auto"/>
              </w:rPr>
            </w:pPr>
          </w:p>
        </w:tc>
        <w:tc>
          <w:tcPr>
            <w:tcW w:w="1160" w:type="dxa"/>
            <w:vAlign w:val="bottom"/>
            <w:tcBorders>
              <w:top w:val="single" w:sz="8" w:color="auto"/>
            </w:tcBorders>
          </w:tcPr>
          <w:p>
            <w:pPr>
              <w:spacing w:after="0"/>
              <w:rPr>
                <w:sz w:val="16"/>
                <w:szCs w:val="16"/>
                <w:color w:val="auto"/>
              </w:rPr>
            </w:pPr>
          </w:p>
        </w:tc>
        <w:tc>
          <w:tcPr>
            <w:tcW w:w="4280" w:type="dxa"/>
            <w:vAlign w:val="bottom"/>
            <w:tcBorders>
              <w:top w:val="single" w:sz="8" w:color="auto"/>
            </w:tcBorders>
          </w:tcPr>
          <w:p>
            <w:pPr>
              <w:ind w:left="800"/>
              <w:spacing w:after="0" w:line="195" w:lineRule="exact"/>
              <w:rPr>
                <w:sz w:val="20"/>
                <w:szCs w:val="20"/>
                <w:color w:val="auto"/>
              </w:rPr>
            </w:pPr>
            <w:r>
              <w:rPr>
                <w:rFonts w:ascii="Arial" w:cs="Arial" w:eastAsia="Arial" w:hAnsi="Arial"/>
                <w:sz w:val="18"/>
                <w:szCs w:val="18"/>
                <w:color w:val="auto"/>
              </w:rPr>
              <w:t>Michael Rashkin</w:t>
            </w:r>
          </w:p>
        </w:tc>
        <w:tc>
          <w:tcPr>
            <w:tcW w:w="40" w:type="dxa"/>
            <w:vAlign w:val="bottom"/>
          </w:tcPr>
          <w:p>
            <w:pPr>
              <w:spacing w:after="0"/>
              <w:rPr>
                <w:sz w:val="16"/>
                <w:szCs w:val="16"/>
                <w:color w:val="auto"/>
              </w:rPr>
            </w:pPr>
          </w:p>
        </w:tc>
      </w:tr>
      <w:tr>
        <w:trPr>
          <w:trHeight w:val="230"/>
        </w:trPr>
        <w:tc>
          <w:tcPr>
            <w:tcW w:w="10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466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4280" w:type="dxa"/>
            <w:vAlign w:val="bottom"/>
          </w:tcPr>
          <w:p>
            <w:pPr>
              <w:jc w:val="center"/>
              <w:ind w:right="1090"/>
              <w:spacing w:after="0"/>
              <w:rPr>
                <w:sz w:val="20"/>
                <w:szCs w:val="20"/>
                <w:color w:val="auto"/>
              </w:rPr>
            </w:pPr>
            <w:r>
              <w:rPr>
                <w:rFonts w:ascii="Arial" w:cs="Arial" w:eastAsia="Arial" w:hAnsi="Arial"/>
                <w:sz w:val="18"/>
                <w:szCs w:val="18"/>
                <w:color w:val="auto"/>
                <w:w w:val="95"/>
              </w:rPr>
              <w:t>Interim Chief Financial Officer</w:t>
            </w:r>
          </w:p>
        </w:tc>
        <w:tc>
          <w:tcPr>
            <w:tcW w:w="40" w:type="dxa"/>
            <w:vAlign w:val="bottom"/>
          </w:tcPr>
          <w:p>
            <w:pPr>
              <w:spacing w:after="0"/>
              <w:rPr>
                <w:sz w:val="20"/>
                <w:szCs w:val="20"/>
                <w:color w:val="auto"/>
              </w:rPr>
            </w:pPr>
          </w:p>
        </w:tc>
      </w:tr>
      <w:tr>
        <w:trPr>
          <w:trHeight w:val="648"/>
        </w:trPr>
        <w:tc>
          <w:tcPr>
            <w:tcW w:w="1040" w:type="dxa"/>
            <w:vAlign w:val="bottom"/>
          </w:tcPr>
          <w:p>
            <w:pPr>
              <w:spacing w:after="0"/>
              <w:rPr>
                <w:sz w:val="24"/>
                <w:szCs w:val="24"/>
                <w:color w:val="auto"/>
              </w:rPr>
            </w:pPr>
          </w:p>
        </w:tc>
        <w:tc>
          <w:tcPr>
            <w:tcW w:w="4940" w:type="dxa"/>
            <w:vAlign w:val="bottom"/>
            <w:gridSpan w:val="2"/>
          </w:tcPr>
          <w:p>
            <w:pPr>
              <w:jc w:val="center"/>
              <w:ind w:left="4310"/>
              <w:spacing w:after="0"/>
              <w:rPr>
                <w:sz w:val="20"/>
                <w:szCs w:val="20"/>
                <w:color w:val="auto"/>
              </w:rPr>
            </w:pPr>
            <w:r>
              <w:rPr>
                <w:rFonts w:ascii="Arial" w:cs="Arial" w:eastAsia="Arial" w:hAnsi="Arial"/>
                <w:sz w:val="18"/>
                <w:szCs w:val="18"/>
                <w:color w:val="auto"/>
                <w:w w:val="99"/>
              </w:rPr>
              <w:t>5</w:t>
            </w:r>
          </w:p>
        </w:tc>
        <w:tc>
          <w:tcPr>
            <w:tcW w:w="116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104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5820" w:type="dxa"/>
            <w:vAlign w:val="bottom"/>
            <w:tcBorders>
              <w:bottom w:val="single" w:sz="8" w:color="010101"/>
            </w:tcBorders>
            <w:gridSpan w:val="2"/>
          </w:tcPr>
          <w:p>
            <w:pPr>
              <w:spacing w:after="0"/>
              <w:rPr>
                <w:sz w:val="24"/>
                <w:szCs w:val="24"/>
                <w:color w:val="auto"/>
              </w:rPr>
            </w:pPr>
          </w:p>
        </w:tc>
        <w:tc>
          <w:tcPr>
            <w:tcW w:w="42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r>
        <w:trPr>
          <w:trHeight w:val="564"/>
        </w:trPr>
        <w:tc>
          <w:tcPr>
            <w:tcW w:w="10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20" w:type="dxa"/>
            <w:vAlign w:val="bottom"/>
            <w:gridSpan w:val="2"/>
          </w:tcPr>
          <w:p>
            <w:pPr>
              <w:jc w:val="center"/>
              <w:ind w:left="2890"/>
              <w:spacing w:after="0"/>
              <w:rPr>
                <w:sz w:val="20"/>
                <w:szCs w:val="20"/>
                <w:color w:val="auto"/>
              </w:rPr>
            </w:pPr>
            <w:r>
              <w:rPr>
                <w:rFonts w:ascii="Arial" w:cs="Arial" w:eastAsia="Arial" w:hAnsi="Arial"/>
                <w:sz w:val="18"/>
                <w:szCs w:val="18"/>
                <w:b w:val="1"/>
                <w:bCs w:val="1"/>
                <w:color w:val="auto"/>
              </w:rPr>
              <w:t>EXHIBIT INDEX</w:t>
            </w:r>
          </w:p>
        </w:tc>
        <w:tc>
          <w:tcPr>
            <w:tcW w:w="42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51"/>
        </w:trPr>
        <w:tc>
          <w:tcPr>
            <w:tcW w:w="1040" w:type="dxa"/>
            <w:vAlign w:val="bottom"/>
            <w:tcBorders>
              <w:bottom w:val="single" w:sz="8" w:color="auto"/>
            </w:tcBorders>
          </w:tcPr>
          <w:p>
            <w:pPr>
              <w:jc w:val="right"/>
              <w:ind w:right="239"/>
              <w:spacing w:after="0"/>
              <w:rPr>
                <w:sz w:val="20"/>
                <w:szCs w:val="20"/>
                <w:color w:val="auto"/>
              </w:rPr>
            </w:pPr>
            <w:r>
              <w:rPr>
                <w:rFonts w:ascii="Arial" w:cs="Arial" w:eastAsia="Arial" w:hAnsi="Arial"/>
                <w:sz w:val="14"/>
                <w:szCs w:val="14"/>
                <w:b w:val="1"/>
                <w:bCs w:val="1"/>
                <w:color w:val="auto"/>
                <w:w w:val="95"/>
              </w:rPr>
              <w:t>Exhibit No.</w:t>
            </w:r>
          </w:p>
        </w:tc>
        <w:tc>
          <w:tcPr>
            <w:tcW w:w="280" w:type="dxa"/>
            <w:vAlign w:val="bottom"/>
          </w:tcPr>
          <w:p>
            <w:pPr>
              <w:spacing w:after="0"/>
              <w:rPr>
                <w:sz w:val="24"/>
                <w:szCs w:val="24"/>
                <w:color w:val="auto"/>
              </w:rPr>
            </w:pPr>
          </w:p>
        </w:tc>
        <w:tc>
          <w:tcPr>
            <w:tcW w:w="466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Description</w:t>
            </w:r>
          </w:p>
        </w:tc>
        <w:tc>
          <w:tcPr>
            <w:tcW w:w="428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r>
      <w:tr>
        <w:trPr>
          <w:trHeight w:val="426"/>
        </w:trPr>
        <w:tc>
          <w:tcPr>
            <w:tcW w:w="1040" w:type="dxa"/>
            <w:vAlign w:val="bottom"/>
          </w:tcPr>
          <w:p>
            <w:pPr>
              <w:jc w:val="right"/>
              <w:ind w:right="279"/>
              <w:spacing w:after="0"/>
              <w:rPr>
                <w:sz w:val="20"/>
                <w:szCs w:val="20"/>
                <w:color w:val="auto"/>
              </w:rPr>
            </w:pPr>
            <w:r>
              <w:rPr>
                <w:rFonts w:ascii="Arial" w:cs="Arial" w:eastAsia="Arial" w:hAnsi="Arial"/>
                <w:sz w:val="18"/>
                <w:szCs w:val="18"/>
                <w:color w:val="auto"/>
              </w:rPr>
              <w:t>99.1</w:t>
            </w:r>
          </w:p>
        </w:tc>
        <w:tc>
          <w:tcPr>
            <w:tcW w:w="6100" w:type="dxa"/>
            <w:vAlign w:val="bottom"/>
            <w:gridSpan w:val="3"/>
          </w:tcPr>
          <w:p>
            <w:pPr>
              <w:ind w:left="280"/>
              <w:spacing w:after="0"/>
              <w:rPr>
                <w:sz w:val="20"/>
                <w:szCs w:val="20"/>
                <w:color w:val="auto"/>
              </w:rPr>
            </w:pPr>
            <w:r>
              <w:rPr>
                <w:rFonts w:ascii="Arial" w:cs="Arial" w:eastAsia="Arial" w:hAnsi="Arial"/>
                <w:sz w:val="18"/>
                <w:szCs w:val="18"/>
                <w:color w:val="auto"/>
              </w:rPr>
              <w:t>Press Release dated August 23, 2007.</w:t>
            </w:r>
          </w:p>
        </w:tc>
        <w:tc>
          <w:tcPr>
            <w:tcW w:w="42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702"/>
        </w:trPr>
        <w:tc>
          <w:tcPr>
            <w:tcW w:w="1040" w:type="dxa"/>
            <w:vAlign w:val="bottom"/>
          </w:tcPr>
          <w:p>
            <w:pPr>
              <w:spacing w:after="0"/>
              <w:rPr>
                <w:sz w:val="24"/>
                <w:szCs w:val="24"/>
                <w:color w:val="auto"/>
              </w:rPr>
            </w:pPr>
          </w:p>
        </w:tc>
        <w:tc>
          <w:tcPr>
            <w:tcW w:w="4940" w:type="dxa"/>
            <w:vAlign w:val="bottom"/>
            <w:gridSpan w:val="2"/>
          </w:tcPr>
          <w:p>
            <w:pPr>
              <w:jc w:val="center"/>
              <w:ind w:left="4310"/>
              <w:spacing w:after="0"/>
              <w:rPr>
                <w:sz w:val="20"/>
                <w:szCs w:val="20"/>
                <w:color w:val="auto"/>
              </w:rPr>
            </w:pPr>
            <w:r>
              <w:rPr>
                <w:rFonts w:ascii="Arial" w:cs="Arial" w:eastAsia="Arial" w:hAnsi="Arial"/>
                <w:sz w:val="18"/>
                <w:szCs w:val="18"/>
                <w:color w:val="auto"/>
                <w:w w:val="99"/>
              </w:rPr>
              <w:t>6</w:t>
            </w:r>
          </w:p>
        </w:tc>
        <w:tc>
          <w:tcPr>
            <w:tcW w:w="116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104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4660" w:type="dxa"/>
            <w:vAlign w:val="bottom"/>
            <w:tcBorders>
              <w:bottom w:val="single" w:sz="8" w:color="010101"/>
            </w:tcBorders>
          </w:tcPr>
          <w:p>
            <w:pPr>
              <w:spacing w:after="0"/>
              <w:rPr>
                <w:sz w:val="24"/>
                <w:szCs w:val="24"/>
                <w:color w:val="auto"/>
              </w:rPr>
            </w:pPr>
          </w:p>
        </w:tc>
        <w:tc>
          <w:tcPr>
            <w:tcW w:w="1160" w:type="dxa"/>
            <w:vAlign w:val="bottom"/>
            <w:tcBorders>
              <w:bottom w:val="single" w:sz="8" w:color="010101"/>
            </w:tcBorders>
          </w:tcPr>
          <w:p>
            <w:pPr>
              <w:spacing w:after="0"/>
              <w:rPr>
                <w:sz w:val="24"/>
                <w:szCs w:val="24"/>
                <w:color w:val="auto"/>
              </w:rPr>
            </w:pPr>
          </w:p>
        </w:tc>
        <w:tc>
          <w:tcPr>
            <w:tcW w:w="42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-1590040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-1590040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Second Quarter Fiscal 2008 Results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Media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Mike Rashkin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408-222-2500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mrashkin@marvell.com</w:t>
      </w:r>
    </w:p>
    <w:p>
      <w:pPr>
        <w:spacing w:after="0" w:line="207" w:lineRule="exact"/>
        <w:rPr>
          <w:sz w:val="20"/>
          <w:szCs w:val="20"/>
          <w:color w:val="auto"/>
        </w:rPr>
      </w:pPr>
    </w:p>
    <w:p>
      <w:pPr>
        <w:ind w:right="340"/>
        <w:spacing w:after="0" w:line="282" w:lineRule="auto"/>
        <w:rPr>
          <w:sz w:val="20"/>
          <w:szCs w:val="20"/>
          <w:color w:val="auto"/>
        </w:rPr>
      </w:pPr>
      <w:r>
        <w:rPr>
          <w:rFonts w:ascii="Arial" w:cs="Arial" w:eastAsia="Arial" w:hAnsi="Arial"/>
          <w:sz w:val="18"/>
          <w:szCs w:val="18"/>
          <w:b w:val="1"/>
          <w:bCs w:val="1"/>
          <w:color w:val="auto"/>
        </w:rPr>
        <w:t xml:space="preserve">Santa Clara, California (August 23, 2007) </w:t>
      </w:r>
      <w:r>
        <w:rPr>
          <w:rFonts w:ascii="Arial" w:cs="Arial" w:eastAsia="Arial" w:hAnsi="Arial"/>
          <w:sz w:val="18"/>
          <w:szCs w:val="18"/>
          <w:color w:val="auto"/>
        </w:rPr>
        <w:t>— Marvell Technology Group Ltd. (NASDAQ: MRVL), a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its second quarter ended July 28, 2007.</w:t>
      </w:r>
    </w:p>
    <w:p>
      <w:pPr>
        <w:spacing w:after="0" w:line="166"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Net revenue for the second quarter of fiscal 2008 was a record $656.7 million, an increase of 14% over net revenue of $574.0 million for the second quarter of fiscal 2007 and a 3% sequential increase from net revenue of $635.1 million for the first quarter of fiscal 2008. Net loss under generally accepted accounting principles (GAAP) was $56.5 million, or $0.10 per share (diluted), for the second quarter of fiscal 2008, compared with net income under GAAP of $44.9 million, or $0.07 per share (diluted), for the second quarter of fiscal 2007. Shares used to compute GAAP net loss per diluted share for the second quarter ended July 28, 2007 decreased to 587.5 million shares compared with 633.5 million shares for the second quarter ended July 29, 2006.</w:t>
      </w:r>
    </w:p>
    <w:p>
      <w:pPr>
        <w:spacing w:after="0" w:line="158"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Net revenue for the six months ended July 28, 2007 was $1,291.8 million, an increase of 18% over net revenue of $1,095.2 million for the six months ended July 29, 2006. Net loss under GAAP was $109.3 million or $0.19 per share (diluted) for the six months ended July 28, 2007, compared with net income under GAAP of $122.4 million or $0.19 per share (diluted) for the six months ended July 29, 2006.</w:t>
      </w:r>
    </w:p>
    <w:p>
      <w:pPr>
        <w:spacing w:after="0" w:line="181" w:lineRule="exact"/>
        <w:rPr>
          <w:sz w:val="20"/>
          <w:szCs w:val="20"/>
          <w:color w:val="auto"/>
        </w:rPr>
      </w:pPr>
    </w:p>
    <w:p>
      <w:pPr>
        <w:ind w:right="160"/>
        <w:spacing w:after="0" w:line="254" w:lineRule="auto"/>
        <w:rPr>
          <w:sz w:val="20"/>
          <w:szCs w:val="20"/>
          <w:color w:val="auto"/>
        </w:rPr>
      </w:pPr>
      <w:r>
        <w:rPr>
          <w:rFonts w:ascii="Arial" w:cs="Arial" w:eastAsia="Arial" w:hAnsi="Arial"/>
          <w:sz w:val="18"/>
          <w:szCs w:val="18"/>
          <w:color w:val="auto"/>
        </w:rPr>
        <w:t>Marvell reports net (loss) income and basic and diluted net (loss) income per share in accordance with GAAP and additionally on a non-GAAP basis. A discussion of Marvell’s use of these non-GAAP financial measures is set forth below, and reconciliations of GAAP net (loss) income to non-GAAP net income for the three and six months ended July 28, 2007 and July 29, 2006, respectively, appear in the financial statements portion of this release</w:t>
      </w:r>
      <w:r>
        <w:rPr>
          <w:rFonts w:ascii="Arial" w:cs="Arial" w:eastAsia="Arial" w:hAnsi="Arial"/>
          <w:sz w:val="17"/>
          <w:szCs w:val="17"/>
          <w:color w:val="auto"/>
        </w:rPr>
        <w:t>.</w:t>
      </w:r>
      <w:r>
        <w:rPr>
          <w:rFonts w:ascii="Arial" w:cs="Arial" w:eastAsia="Arial" w:hAnsi="Arial"/>
          <w:sz w:val="18"/>
          <w:szCs w:val="18"/>
          <w:color w:val="auto"/>
        </w:rPr>
        <w:t xml:space="preserve"> Non-GAAP net income, where applicable, excludes the effect of stock-based compensation, amortization of acquired intangible assets and cumulative effect of change in accounting principle. Non-GAAP net income was $39.7 million, or $0.06 per share (diluted) for the second quarter of fiscal 2008, compared with non-GAAP net income of $127.9 million, or $0.20 per share (diluted), for the second quarter of fiscal 2007. Shares used to compute non-GAAP net income per diluted share for the second quarter ended July 28, 2007 decreased to 630.3 million shares, compared with 638.1 million shares for the second quarter ended July 29, 2006.</w:t>
      </w:r>
    </w:p>
    <w:p>
      <w:pPr>
        <w:spacing w:after="0" w:line="192" w:lineRule="exact"/>
        <w:rPr>
          <w:sz w:val="20"/>
          <w:szCs w:val="20"/>
          <w:color w:val="auto"/>
        </w:rPr>
      </w:pPr>
    </w:p>
    <w:p>
      <w:pPr>
        <w:jc w:val="both"/>
        <w:ind w:right="300"/>
        <w:spacing w:after="0" w:line="312" w:lineRule="auto"/>
        <w:rPr>
          <w:sz w:val="20"/>
          <w:szCs w:val="20"/>
          <w:color w:val="auto"/>
        </w:rPr>
      </w:pPr>
      <w:r>
        <w:rPr>
          <w:rFonts w:ascii="Arial" w:cs="Arial" w:eastAsia="Arial" w:hAnsi="Arial"/>
          <w:sz w:val="16"/>
          <w:szCs w:val="16"/>
          <w:color w:val="auto"/>
        </w:rPr>
        <w:t>Non-GAAP net income was $71.0 million, or $0.11 per share (diluted), for the six months ended July 28, 2007, compared with non-GAAP net income of $262.7 million, or $0.41 per share (diluted) for the six months ended July 29, 2006. Shares used in computing non-GAAP net income per share for the six months ended July 28, 2007 decreased to 632.0 million shares, compared with 642.6 million shares for the six months ended July 29, 2006.</w:t>
      </w:r>
    </w:p>
    <w:p>
      <w:pPr>
        <w:spacing w:after="0" w:line="147"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“Our Q2 revenue was greater than expected as a result of strong sales for our communications and applications processors, and our wireless LAN products,” stated Dr. Sehat Sutardja, Marvell’s President and CEO. “We currently believe this growth trend will continue in Q3.”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338455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right="100"/>
        <w:spacing w:after="0" w:line="297" w:lineRule="auto"/>
        <w:rPr>
          <w:sz w:val="20"/>
          <w:szCs w:val="20"/>
          <w:color w:val="auto"/>
        </w:rPr>
      </w:pPr>
      <w:r>
        <w:rPr>
          <w:rFonts w:ascii="Arial" w:cs="Arial" w:eastAsia="Arial" w:hAnsi="Arial"/>
          <w:sz w:val="16"/>
          <w:szCs w:val="16"/>
          <w:color w:val="auto"/>
        </w:rPr>
        <w:t>Marvell will be conducting a conference call today at 1:45 p.m. PDT to discuss its second quarter business.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 conference call will also be available via the web at www.marvell.com. Please visit the Investor Events section. Replay on the Internet will be available until August 23, 2008.</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Non-GAAP net income consists of net income excluding stock-based compensation expense as well as charges related to acquisitions and other charges and gains that are driven primarily by discrete events that management does not consider to be directly related to the company’s core operating performance. Non-GAAP net income per share is calculated by dividing non-GAAP net income by adjusted GAAP weighted average shares outstanding (diluted). For purposes of calculating non-GAAP net income per share, the calculation of GAAP weighted average shares outstanding (diluted) is adjusted to exclude the benefits of compensation costs attributable to future services and not yet recognized in the financial statements that are treated as proceeds assumed to be used to repurchase shares under the GAAP treasury stock method and also includes the antidilutive effects of warrants, common stock options and restricted stock.</w:t>
      </w:r>
    </w:p>
    <w:p>
      <w:pPr>
        <w:spacing w:after="0" w:line="165" w:lineRule="exact"/>
        <w:rPr>
          <w:sz w:val="20"/>
          <w:szCs w:val="20"/>
          <w:color w:val="auto"/>
        </w:rPr>
      </w:pPr>
    </w:p>
    <w:p>
      <w:pPr>
        <w:ind w:right="380"/>
        <w:spacing w:after="0" w:line="255" w:lineRule="auto"/>
        <w:rPr>
          <w:sz w:val="20"/>
          <w:szCs w:val="20"/>
          <w:color w:val="auto"/>
        </w:rPr>
      </w:pPr>
      <w:r>
        <w:rPr>
          <w:rFonts w:ascii="Arial" w:cs="Arial" w:eastAsia="Arial" w:hAnsi="Arial"/>
          <w:sz w:val="18"/>
          <w:szCs w:val="18"/>
          <w:color w:val="auto"/>
        </w:rPr>
        <w:t xml:space="preserve">Marvell believes that the presentation of non-GAAP net income and non-GAAP net income per share provides important supplemental information to management and investors regarding financial and business trends relating to the company’s financial condition and results of operations. For further information regarding why Marvell believes that these non-GAAP measures provide useful information to investors, the specific manner in which management uses these measures, and some of the limitations associated with the use of these measures, please refer to the company’s Current Report on Form 8-K filed today with the SEC. The Form 8-K is available on the SEC’s website at </w:t>
      </w:r>
      <w:r>
        <w:rPr>
          <w:rFonts w:ascii="Arial" w:cs="Arial" w:eastAsia="Arial" w:hAnsi="Arial"/>
          <w:sz w:val="18"/>
          <w:szCs w:val="18"/>
          <w:b w:val="1"/>
          <w:bCs w:val="1"/>
          <w:color w:val="auto"/>
        </w:rPr>
        <w:t>www.sec.gov</w:t>
      </w:r>
      <w:r>
        <w:rPr>
          <w:rFonts w:ascii="Arial" w:cs="Arial" w:eastAsia="Arial" w:hAnsi="Arial"/>
          <w:sz w:val="18"/>
          <w:szCs w:val="18"/>
          <w:color w:val="auto"/>
        </w:rPr>
        <w:t xml:space="preserve"> as well as on the Marvell website in the Investors Relations section at www.marvell.com.</w:t>
      </w: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w:t>
      </w:r>
    </w:p>
    <w:p>
      <w:pPr>
        <w:sectPr>
          <w:pgSz w:w="11900" w:h="16838" w:orient="portrait"/>
          <w:cols w:equalWidth="0" w:num="1">
            <w:col w:w="11420"/>
          </w:cols>
          <w:pgMar w:left="240" w:top="121" w:right="239" w:bottom="0" w:gutter="0" w:footer="0" w:header="0"/>
        </w:sectPr>
      </w:pPr>
    </w:p>
    <w:bookmarkStart w:id="4" w:name="page5"/>
    <w:bookmarkEnd w:id="4"/>
    <w:p>
      <w:pPr>
        <w:ind w:right="60"/>
        <w:spacing w:after="0" w:line="257" w:lineRule="auto"/>
        <w:rPr>
          <w:sz w:val="20"/>
          <w:szCs w:val="20"/>
          <w:color w:val="auto"/>
        </w:rPr>
      </w:pPr>
      <w:r>
        <w:rPr>
          <w:rFonts w:ascii="Arial" w:cs="Arial" w:eastAsia="Arial" w:hAnsi="Arial"/>
          <w:sz w:val="18"/>
          <w:szCs w:val="18"/>
          <w:color w:val="auto"/>
        </w:rPr>
        <w:t>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 and designs, develops and markets products on behalf of MIL and MAPL. MSI may be contacted at (408) 222-2500 or at www.marvell.com.</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include statements regarding our current beliefs regarding continued growth in sales of our communications and applications processors, and our wireless LAN products for our third fiscal quarter of 2008. These statements are not guarantees of results and are subject to risks and uncertainties that could cause actual results to differ materially from those anticipated in the forward-looking statements. When Marvell files its Form 10-Q for the second quarter of fiscal 2008,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Quarterly Reports on Form 10-Q and Current Reports on Form 8-K, as filed with the Securities and Exchange Commission and other factors detailed from time to time in Marvell’s filings with the Securities and Exchange Commission. Marvell undertakes no obligation to revise or update publicly any forward-looking statements.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3"/>
          <w:szCs w:val="23"/>
          <w:i w:val="1"/>
          <w:iCs w:val="1"/>
          <w:color w:val="auto"/>
          <w:vertAlign w:val="superscript"/>
        </w:rPr>
        <w:t>®</w:t>
      </w:r>
      <w:r>
        <w:rPr>
          <w:rFonts w:ascii="Arial" w:cs="Arial" w:eastAsia="Arial" w:hAnsi="Arial"/>
          <w:sz w:val="18"/>
          <w:szCs w:val="18"/>
          <w:i w:val="1"/>
          <w:iCs w:val="1"/>
          <w:color w:val="auto"/>
        </w:rPr>
        <w:t xml:space="preserve"> and the Marvell logo are trademarks of Marvell.</w:t>
      </w:r>
    </w:p>
    <w:p>
      <w:pPr>
        <w:spacing w:after="0" w:line="3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7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20" w:type="dxa"/>
            <w:vAlign w:val="bottom"/>
            <w:gridSpan w:val="6"/>
          </w:tcPr>
          <w:p>
            <w:pPr>
              <w:ind w:left="32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2240" w:type="dxa"/>
            <w:vAlign w:val="bottom"/>
            <w:gridSpan w:val="5"/>
          </w:tcPr>
          <w:p>
            <w:pPr>
              <w:ind w:left="4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780" w:type="dxa"/>
            <w:vAlign w:val="bottom"/>
          </w:tcPr>
          <w:p>
            <w:pPr>
              <w:spacing w:after="0"/>
              <w:rPr>
                <w:sz w:val="8"/>
                <w:szCs w:val="8"/>
                <w:color w:val="auto"/>
              </w:rPr>
            </w:pPr>
          </w:p>
        </w:tc>
        <w:tc>
          <w:tcPr>
            <w:tcW w:w="60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020" w:type="dxa"/>
            <w:vAlign w:val="bottom"/>
            <w:tcBorders>
              <w:top w:val="single" w:sz="8" w:color="auto"/>
            </w:tcBorders>
            <w:gridSpan w:val="2"/>
          </w:tcPr>
          <w:p>
            <w:pPr>
              <w:jc w:val="right"/>
              <w:ind w:right="460"/>
              <w:spacing w:after="0" w:line="102" w:lineRule="exact"/>
              <w:rPr>
                <w:sz w:val="20"/>
                <w:szCs w:val="20"/>
                <w:color w:val="auto"/>
              </w:rPr>
            </w:pPr>
            <w:r>
              <w:rPr>
                <w:rFonts w:ascii="Arial" w:cs="Arial" w:eastAsia="Arial" w:hAnsi="Arial"/>
                <w:sz w:val="11"/>
                <w:szCs w:val="11"/>
                <w:b w:val="1"/>
                <w:bCs w:val="1"/>
                <w:color w:val="auto"/>
              </w:rPr>
              <w:t>July 28,</w:t>
            </w:r>
          </w:p>
        </w:tc>
        <w:tc>
          <w:tcPr>
            <w:tcW w:w="100" w:type="dxa"/>
            <w:vAlign w:val="bottom"/>
            <w:tcBorders>
              <w:top w:val="single" w:sz="8" w:color="auto"/>
            </w:tcBorders>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right"/>
              <w:ind w:right="192"/>
              <w:spacing w:after="0" w:line="102" w:lineRule="exact"/>
              <w:rPr>
                <w:sz w:val="20"/>
                <w:szCs w:val="20"/>
                <w:color w:val="auto"/>
              </w:rPr>
            </w:pPr>
            <w:r>
              <w:rPr>
                <w:rFonts w:ascii="Arial" w:cs="Arial" w:eastAsia="Arial" w:hAnsi="Arial"/>
                <w:sz w:val="11"/>
                <w:szCs w:val="11"/>
                <w:b w:val="1"/>
                <w:bCs w:val="1"/>
                <w:color w:val="auto"/>
              </w:rPr>
              <w:t>July 29,</w:t>
            </w:r>
          </w:p>
        </w:tc>
        <w:tc>
          <w:tcPr>
            <w:tcW w:w="2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40" w:type="dxa"/>
            <w:vAlign w:val="bottom"/>
            <w:tcBorders>
              <w:top w:val="single" w:sz="8" w:color="auto"/>
            </w:tcBorders>
            <w:gridSpan w:val="2"/>
          </w:tcPr>
          <w:p>
            <w:pPr>
              <w:jc w:val="right"/>
              <w:ind w:right="480"/>
              <w:spacing w:after="0" w:line="102" w:lineRule="exact"/>
              <w:rPr>
                <w:sz w:val="20"/>
                <w:szCs w:val="20"/>
                <w:color w:val="auto"/>
              </w:rPr>
            </w:pPr>
            <w:r>
              <w:rPr>
                <w:rFonts w:ascii="Arial" w:cs="Arial" w:eastAsia="Arial" w:hAnsi="Arial"/>
                <w:sz w:val="11"/>
                <w:szCs w:val="11"/>
                <w:b w:val="1"/>
                <w:bCs w:val="1"/>
                <w:color w:val="auto"/>
              </w:rPr>
              <w:t>July 28,</w:t>
            </w:r>
          </w:p>
        </w:tc>
        <w:tc>
          <w:tcPr>
            <w:tcW w:w="180" w:type="dxa"/>
            <w:vAlign w:val="bottom"/>
            <w:tcBorders>
              <w:top w:val="single" w:sz="8" w:color="auto"/>
            </w:tcBorders>
          </w:tcPr>
          <w:p>
            <w:pPr>
              <w:spacing w:after="0"/>
              <w:rPr>
                <w:sz w:val="8"/>
                <w:szCs w:val="8"/>
                <w:color w:val="auto"/>
              </w:rPr>
            </w:pPr>
          </w:p>
        </w:tc>
        <w:tc>
          <w:tcPr>
            <w:tcW w:w="860" w:type="dxa"/>
            <w:vAlign w:val="bottom"/>
            <w:tcBorders>
              <w:top w:val="single" w:sz="8" w:color="auto"/>
            </w:tcBorders>
          </w:tcPr>
          <w:p>
            <w:pPr>
              <w:jc w:val="right"/>
              <w:ind w:right="212"/>
              <w:spacing w:after="0" w:line="102" w:lineRule="exact"/>
              <w:rPr>
                <w:sz w:val="20"/>
                <w:szCs w:val="20"/>
                <w:color w:val="auto"/>
              </w:rPr>
            </w:pPr>
            <w:r>
              <w:rPr>
                <w:rFonts w:ascii="Arial" w:cs="Arial" w:eastAsia="Arial" w:hAnsi="Arial"/>
                <w:sz w:val="11"/>
                <w:szCs w:val="11"/>
                <w:b w:val="1"/>
                <w:bCs w:val="1"/>
                <w:color w:val="auto"/>
              </w:rPr>
              <w:t>July 29,</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57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3"/>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3"/>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2006</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7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8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656,711</w:t>
            </w:r>
          </w:p>
        </w:tc>
        <w:tc>
          <w:tcPr>
            <w:tcW w:w="1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573,985</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1,291,761</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1,095,181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Cost of goods sold</w:t>
            </w:r>
          </w:p>
        </w:tc>
        <w:tc>
          <w:tcPr>
            <w:tcW w:w="6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335,530</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279,075</w:t>
            </w:r>
          </w:p>
        </w:tc>
        <w:tc>
          <w:tcPr>
            <w:tcW w:w="2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662,947</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519,308</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321,181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294,910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628,814</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575,873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tcPr>
          <w:p>
            <w:pPr>
              <w:spacing w:after="0"/>
              <w:rPr>
                <w:sz w:val="20"/>
                <w:szCs w:val="20"/>
                <w:color w:val="auto"/>
              </w:rPr>
            </w:pPr>
            <w:r>
              <w:rPr>
                <w:rFonts w:ascii="Arial" w:cs="Arial" w:eastAsia="Arial" w:hAnsi="Arial"/>
                <w:sz w:val="18"/>
                <w:szCs w:val="18"/>
                <w:color w:val="auto"/>
              </w:rPr>
              <w:t>Operating expenses:</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Research and development and other</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236,194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152,645</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470,327</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281,873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tcPr>
          <w:p>
            <w:pPr>
              <w:ind w:left="160"/>
              <w:spacing w:after="0"/>
              <w:rPr>
                <w:sz w:val="20"/>
                <w:szCs w:val="20"/>
                <w:color w:val="auto"/>
              </w:rPr>
            </w:pPr>
            <w:r>
              <w:rPr>
                <w:rFonts w:ascii="Arial" w:cs="Arial" w:eastAsia="Arial" w:hAnsi="Arial"/>
                <w:sz w:val="18"/>
                <w:szCs w:val="18"/>
                <w:color w:val="auto"/>
              </w:rPr>
              <w:t>Selling and marketing</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53,942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39,267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104,334</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78,129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33,775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19,689</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57,763</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38,247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6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37,293</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27,405</w:t>
            </w:r>
          </w:p>
        </w:tc>
        <w:tc>
          <w:tcPr>
            <w:tcW w:w="2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74,613</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44,756</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Total operating expenses</w:t>
            </w:r>
          </w:p>
        </w:tc>
        <w:tc>
          <w:tcPr>
            <w:tcW w:w="6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361,204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239,006</w:t>
            </w:r>
          </w:p>
        </w:tc>
        <w:tc>
          <w:tcPr>
            <w:tcW w:w="2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707,037</w:t>
            </w:r>
          </w:p>
        </w:tc>
        <w:tc>
          <w:tcPr>
            <w:tcW w:w="2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443,005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80" w:type="dxa"/>
            <w:vAlign w:val="bottom"/>
          </w:tcPr>
          <w:p>
            <w:pPr>
              <w:spacing w:after="0"/>
              <w:rPr>
                <w:sz w:val="20"/>
                <w:szCs w:val="20"/>
                <w:color w:val="auto"/>
              </w:rPr>
            </w:pPr>
            <w:r>
              <w:rPr>
                <w:rFonts w:ascii="Arial" w:cs="Arial" w:eastAsia="Arial" w:hAnsi="Arial"/>
                <w:sz w:val="18"/>
                <w:szCs w:val="18"/>
                <w:color w:val="auto"/>
              </w:rPr>
              <w:t>Operating (loss) income</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(40,023)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55,904</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(78,223)</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132,868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(6,814)</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(15,470)</w:t>
            </w: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8,707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80" w:type="dxa"/>
            <w:vAlign w:val="bottom"/>
          </w:tcPr>
          <w:p>
            <w:pPr>
              <w:spacing w:after="0"/>
              <w:rPr>
                <w:sz w:val="20"/>
                <w:szCs w:val="20"/>
                <w:color w:val="auto"/>
              </w:rPr>
            </w:pPr>
            <w:r>
              <w:rPr>
                <w:rFonts w:ascii="Arial" w:cs="Arial" w:eastAsia="Arial" w:hAnsi="Arial"/>
                <w:sz w:val="18"/>
                <w:szCs w:val="18"/>
                <w:color w:val="auto"/>
              </w:rPr>
              <w:t>(Loss) income before income taxes</w:t>
            </w:r>
          </w:p>
        </w:tc>
        <w:tc>
          <w:tcPr>
            <w:tcW w:w="6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(46,837)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56,995</w:t>
            </w:r>
          </w:p>
        </w:tc>
        <w:tc>
          <w:tcPr>
            <w:tcW w:w="26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(93,693)</w:t>
            </w:r>
          </w:p>
        </w:tc>
        <w:tc>
          <w:tcPr>
            <w:tcW w:w="28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141,575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6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9,619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12,114</w:t>
            </w:r>
          </w:p>
        </w:tc>
        <w:tc>
          <w:tcPr>
            <w:tcW w:w="2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15,591</w:t>
            </w:r>
          </w:p>
        </w:tc>
        <w:tc>
          <w:tcPr>
            <w:tcW w:w="2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27,977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80" w:type="dxa"/>
            <w:vAlign w:val="bottom"/>
          </w:tcPr>
          <w:p>
            <w:pPr>
              <w:spacing w:after="0"/>
              <w:rPr>
                <w:sz w:val="20"/>
                <w:szCs w:val="20"/>
                <w:color w:val="auto"/>
              </w:rPr>
            </w:pPr>
            <w:r>
              <w:rPr>
                <w:rFonts w:ascii="Arial" w:cs="Arial" w:eastAsia="Arial" w:hAnsi="Arial"/>
                <w:sz w:val="18"/>
                <w:szCs w:val="18"/>
                <w:color w:val="auto"/>
              </w:rPr>
              <w:t>(Loss) income before change in accounting principle</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(56,456)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44,881</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(109,284)</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113,598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shd w:val="clear" w:color="auto" w:fill="CCEEFF"/>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57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(loss) income</w:t>
            </w:r>
          </w:p>
        </w:tc>
        <w:tc>
          <w:tcPr>
            <w:tcW w:w="60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(56,456)</w:t>
            </w:r>
          </w:p>
        </w:tc>
        <w:tc>
          <w:tcPr>
            <w:tcW w:w="16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44,881</w:t>
            </w:r>
          </w:p>
        </w:tc>
        <w:tc>
          <w:tcPr>
            <w:tcW w:w="26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(109,284</w:t>
            </w:r>
          </w:p>
        </w:tc>
        <w:tc>
          <w:tcPr>
            <w:tcW w:w="280" w:type="dxa"/>
            <w:vAlign w:val="bottom"/>
            <w:tcBorders>
              <w:bottom w:val="single" w:sz="8" w:color="CCEEFF"/>
            </w:tcBorders>
          </w:tcPr>
          <w:p>
            <w:pPr>
              <w:jc w:val="right"/>
              <w:ind w:right="14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122,444</w:t>
            </w:r>
          </w:p>
        </w:tc>
        <w:tc>
          <w:tcPr>
            <w:tcW w:w="6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57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80" w:type="dxa"/>
            <w:vAlign w:val="bottom"/>
          </w:tcPr>
          <w:p>
            <w:pPr>
              <w:spacing w:after="0"/>
              <w:rPr>
                <w:sz w:val="20"/>
                <w:szCs w:val="20"/>
                <w:color w:val="auto"/>
              </w:rPr>
            </w:pPr>
            <w:r>
              <w:rPr>
                <w:rFonts w:ascii="Arial" w:cs="Arial" w:eastAsia="Arial" w:hAnsi="Arial"/>
                <w:sz w:val="18"/>
                <w:szCs w:val="18"/>
                <w:color w:val="auto"/>
              </w:rPr>
              <w:t>Basic net (loss) income per share:</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(Loss) income before change in accounting principle, net of tax effect</w:t>
            </w:r>
          </w:p>
        </w:tc>
        <w:tc>
          <w:tcPr>
            <w:tcW w:w="78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(0.10)</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(0.19)</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tcPr>
          <w:p>
            <w:pPr>
              <w:ind w:left="16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1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0.02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(loss) income per share</w:t>
            </w:r>
          </w:p>
        </w:tc>
        <w:tc>
          <w:tcPr>
            <w:tcW w:w="6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80" w:type="dxa"/>
            <w:vAlign w:val="bottom"/>
            <w:vMerge w:val="restart"/>
          </w:tcPr>
          <w:p>
            <w:pPr>
              <w:spacing w:after="0"/>
              <w:rPr>
                <w:sz w:val="20"/>
                <w:szCs w:val="20"/>
                <w:color w:val="auto"/>
              </w:rPr>
            </w:pPr>
            <w:r>
              <w:rPr>
                <w:rFonts w:ascii="Arial" w:cs="Arial" w:eastAsia="Arial" w:hAnsi="Arial"/>
                <w:sz w:val="18"/>
                <w:szCs w:val="18"/>
                <w:color w:val="auto"/>
              </w:rPr>
              <w:t>Shares used in basic per share computation</w:t>
            </w:r>
          </w:p>
        </w:tc>
        <w:tc>
          <w:tcPr>
            <w:tcW w:w="6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5780" w:type="dxa"/>
            <w:vAlign w:val="bottom"/>
            <w:vMerge w:val="continue"/>
          </w:tcPr>
          <w:p>
            <w:pPr>
              <w:spacing w:after="0"/>
              <w:rPr>
                <w:sz w:val="17"/>
                <w:szCs w:val="17"/>
                <w:color w:val="auto"/>
              </w:rPr>
            </w:pPr>
          </w:p>
        </w:tc>
        <w:tc>
          <w:tcPr>
            <w:tcW w:w="6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587,534</w:t>
            </w: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586,133</w:t>
            </w: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587,480</w:t>
            </w:r>
          </w:p>
        </w:tc>
        <w:tc>
          <w:tcPr>
            <w:tcW w:w="2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584,918</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7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80" w:type="dxa"/>
            <w:vAlign w:val="bottom"/>
          </w:tcPr>
          <w:p>
            <w:pPr>
              <w:spacing w:after="0"/>
              <w:rPr>
                <w:sz w:val="20"/>
                <w:szCs w:val="20"/>
                <w:color w:val="auto"/>
              </w:rPr>
            </w:pPr>
            <w:r>
              <w:rPr>
                <w:rFonts w:ascii="Arial" w:cs="Arial" w:eastAsia="Arial" w:hAnsi="Arial"/>
                <w:sz w:val="18"/>
                <w:szCs w:val="18"/>
                <w:color w:val="auto"/>
              </w:rPr>
              <w:t>Diluted net (loss) income per share:</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(Loss) income before change in accounting principle, net of tax effect</w:t>
            </w:r>
          </w:p>
        </w:tc>
        <w:tc>
          <w:tcPr>
            <w:tcW w:w="78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(0.10)</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(0.19)</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80" w:type="dxa"/>
            <w:vAlign w:val="bottom"/>
          </w:tcPr>
          <w:p>
            <w:pPr>
              <w:ind w:left="16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1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0.01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Diluted net (loss) income per share</w:t>
            </w:r>
          </w:p>
        </w:tc>
        <w:tc>
          <w:tcPr>
            <w:tcW w:w="6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80" w:type="dxa"/>
            <w:vAlign w:val="bottom"/>
            <w:vMerge w:val="restart"/>
          </w:tcPr>
          <w:p>
            <w:pPr>
              <w:spacing w:after="0"/>
              <w:rPr>
                <w:sz w:val="20"/>
                <w:szCs w:val="20"/>
                <w:color w:val="auto"/>
              </w:rPr>
            </w:pPr>
            <w:r>
              <w:rPr>
                <w:rFonts w:ascii="Arial" w:cs="Arial" w:eastAsia="Arial" w:hAnsi="Arial"/>
                <w:sz w:val="18"/>
                <w:szCs w:val="18"/>
                <w:color w:val="auto"/>
              </w:rPr>
              <w:t>Shares used in diluted per share computation</w:t>
            </w:r>
          </w:p>
        </w:tc>
        <w:tc>
          <w:tcPr>
            <w:tcW w:w="6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60" w:type="dxa"/>
            <w:vAlign w:val="bottom"/>
            <w:vMerge w:val="restart"/>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0" w:type="dxa"/>
            <w:vAlign w:val="bottom"/>
            <w:vMerge w:val="restart"/>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80" w:type="dxa"/>
            <w:vAlign w:val="bottom"/>
            <w:vMerge w:val="continue"/>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587,534</w:t>
            </w:r>
          </w:p>
        </w:tc>
        <w:tc>
          <w:tcPr>
            <w:tcW w:w="16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633,533</w:t>
            </w:r>
          </w:p>
        </w:tc>
        <w:tc>
          <w:tcPr>
            <w:tcW w:w="260" w:type="dxa"/>
            <w:vAlign w:val="bottom"/>
            <w:vMerge w:val="continue"/>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587,480</w:t>
            </w:r>
          </w:p>
        </w:tc>
        <w:tc>
          <w:tcPr>
            <w:tcW w:w="280" w:type="dxa"/>
            <w:vAlign w:val="bottom"/>
            <w:vMerge w:val="continue"/>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636,524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ectPr>
          <w:pgSz w:w="11900" w:h="16838" w:orient="portrait"/>
          <w:cols w:equalWidth="0" w:num="1">
            <w:col w:w="11420"/>
          </w:cols>
          <w:pgMar w:left="240" w:top="125" w:right="239" w:bottom="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Reconciliation of GAAP net (loss) income to non-GAAP net income: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80" w:type="dxa"/>
            <w:vAlign w:val="bottom"/>
            <w:gridSpan w:val="4"/>
          </w:tcPr>
          <w:p>
            <w:pPr>
              <w:jc w:val="right"/>
              <w:ind w:right="333"/>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100" w:type="dxa"/>
            <w:vAlign w:val="bottom"/>
            <w:gridSpan w:val="6"/>
          </w:tcPr>
          <w:p>
            <w:pPr>
              <w:jc w:val="right"/>
              <w:ind w:right="6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72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1040" w:type="dxa"/>
            <w:vAlign w:val="bottom"/>
            <w:tcBorders>
              <w:top w:val="single" w:sz="8" w:color="auto"/>
            </w:tcBorders>
            <w:gridSpan w:val="2"/>
          </w:tcPr>
          <w:p>
            <w:pPr>
              <w:jc w:val="right"/>
              <w:ind w:right="500"/>
              <w:spacing w:after="0" w:line="102" w:lineRule="exact"/>
              <w:rPr>
                <w:sz w:val="20"/>
                <w:szCs w:val="20"/>
                <w:color w:val="auto"/>
              </w:rPr>
            </w:pPr>
            <w:r>
              <w:rPr>
                <w:rFonts w:ascii="Arial" w:cs="Arial" w:eastAsia="Arial" w:hAnsi="Arial"/>
                <w:sz w:val="11"/>
                <w:szCs w:val="11"/>
                <w:b w:val="1"/>
                <w:bCs w:val="1"/>
                <w:color w:val="auto"/>
              </w:rPr>
              <w:t>July 28,</w:t>
            </w:r>
          </w:p>
        </w:tc>
        <w:tc>
          <w:tcPr>
            <w:tcW w:w="16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right"/>
              <w:ind w:right="153"/>
              <w:spacing w:after="0" w:line="102" w:lineRule="exact"/>
              <w:rPr>
                <w:sz w:val="20"/>
                <w:szCs w:val="20"/>
                <w:color w:val="auto"/>
              </w:rPr>
            </w:pPr>
            <w:r>
              <w:rPr>
                <w:rFonts w:ascii="Arial" w:cs="Arial" w:eastAsia="Arial" w:hAnsi="Arial"/>
                <w:sz w:val="11"/>
                <w:szCs w:val="11"/>
                <w:b w:val="1"/>
                <w:bCs w:val="1"/>
                <w:color w:val="auto"/>
              </w:rPr>
              <w:t>July 29,</w:t>
            </w:r>
          </w:p>
        </w:tc>
        <w:tc>
          <w:tcPr>
            <w:tcW w:w="28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1060" w:type="dxa"/>
            <w:vAlign w:val="bottom"/>
            <w:tcBorders>
              <w:top w:val="single" w:sz="8" w:color="auto"/>
            </w:tcBorders>
            <w:gridSpan w:val="2"/>
          </w:tcPr>
          <w:p>
            <w:pPr>
              <w:jc w:val="right"/>
              <w:ind w:right="520"/>
              <w:spacing w:after="0" w:line="102" w:lineRule="exact"/>
              <w:rPr>
                <w:sz w:val="20"/>
                <w:szCs w:val="20"/>
                <w:color w:val="auto"/>
              </w:rPr>
            </w:pPr>
            <w:r>
              <w:rPr>
                <w:rFonts w:ascii="Arial" w:cs="Arial" w:eastAsia="Arial" w:hAnsi="Arial"/>
                <w:sz w:val="11"/>
                <w:szCs w:val="11"/>
                <w:b w:val="1"/>
                <w:bCs w:val="1"/>
                <w:color w:val="auto"/>
              </w:rPr>
              <w:t>July 28,</w:t>
            </w:r>
          </w:p>
        </w:tc>
        <w:tc>
          <w:tcPr>
            <w:tcW w:w="2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right"/>
              <w:ind w:right="153"/>
              <w:spacing w:after="0" w:line="102" w:lineRule="exact"/>
              <w:rPr>
                <w:sz w:val="20"/>
                <w:szCs w:val="20"/>
                <w:color w:val="auto"/>
              </w:rPr>
            </w:pPr>
            <w:r>
              <w:rPr>
                <w:rFonts w:ascii="Arial" w:cs="Arial" w:eastAsia="Arial" w:hAnsi="Arial"/>
                <w:sz w:val="11"/>
                <w:szCs w:val="11"/>
                <w:b w:val="1"/>
                <w:bCs w:val="1"/>
                <w:color w:val="auto"/>
              </w:rPr>
              <w:t>July 29,</w:t>
            </w: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7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34"/>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54"/>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33"/>
              <w:spacing w:after="0"/>
              <w:rPr>
                <w:sz w:val="20"/>
                <w:szCs w:val="20"/>
                <w:color w:val="auto"/>
              </w:rPr>
            </w:pPr>
            <w:r>
              <w:rPr>
                <w:rFonts w:ascii="Arial" w:cs="Arial" w:eastAsia="Arial" w:hAnsi="Arial"/>
                <w:sz w:val="14"/>
                <w:szCs w:val="14"/>
                <w:b w:val="1"/>
                <w:bCs w:val="1"/>
                <w:color w:val="auto"/>
              </w:rPr>
              <w:t>2006</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GAAP net (loss) income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(56,456)</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44,881</w:t>
            </w:r>
          </w:p>
        </w:tc>
        <w:tc>
          <w:tcPr>
            <w:tcW w:w="44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(109,284)</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tcPr>
          <w:p>
            <w:pPr>
              <w:spacing w:after="0"/>
              <w:rPr>
                <w:sz w:val="20"/>
                <w:szCs w:val="20"/>
                <w:color w:val="auto"/>
              </w:rPr>
            </w:pPr>
            <w:r>
              <w:rPr>
                <w:rFonts w:ascii="Arial" w:cs="Arial" w:eastAsia="Arial" w:hAnsi="Arial"/>
                <w:sz w:val="18"/>
                <w:szCs w:val="18"/>
                <w:color w:val="auto"/>
              </w:rPr>
              <w:t>Stock-based compensation included in:</w:t>
            </w: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3,275</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3,461</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6,293</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tcPr>
          <w:p>
            <w:pPr>
              <w:ind w:left="160"/>
              <w:spacing w:after="0"/>
              <w:rPr>
                <w:sz w:val="20"/>
                <w:szCs w:val="20"/>
                <w:color w:val="auto"/>
              </w:rPr>
            </w:pPr>
            <w:r>
              <w:rPr>
                <w:rFonts w:ascii="Arial" w:cs="Arial" w:eastAsia="Arial" w:hAnsi="Arial"/>
                <w:sz w:val="18"/>
                <w:szCs w:val="18"/>
                <w:color w:val="auto"/>
              </w:rPr>
              <w:t>Research and development and other</w:t>
            </w:r>
          </w:p>
        </w:tc>
        <w:tc>
          <w:tcPr>
            <w:tcW w:w="1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34,591</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36,244</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66,634</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66,681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10,997</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8,462</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18,148</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1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10,033</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7,437</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14,590</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15,094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37,293</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27,405</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74,613</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tcPr>
          <w:p>
            <w:pPr>
              <w:spacing w:after="0"/>
              <w:rPr>
                <w:sz w:val="20"/>
                <w:szCs w:val="20"/>
                <w:color w:val="auto"/>
              </w:rPr>
            </w:pPr>
            <w:r>
              <w:rPr>
                <w:rFonts w:ascii="Arial" w:cs="Arial" w:eastAsia="Arial" w:hAnsi="Arial"/>
                <w:sz w:val="18"/>
                <w:szCs w:val="18"/>
                <w:color w:val="auto"/>
              </w:rPr>
              <w:t>Cumulative effect of change in accounting principle</w:t>
            </w:r>
          </w:p>
        </w:tc>
        <w:tc>
          <w:tcPr>
            <w:tcW w:w="16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(8,846)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7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39,733</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127,890</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70,994</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262,720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67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587,534</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633,533</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587,480</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636,524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Non-GAAP adjustment</w:t>
            </w:r>
          </w:p>
        </w:tc>
        <w:tc>
          <w:tcPr>
            <w:tcW w:w="16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42,724</w:t>
            </w:r>
          </w:p>
        </w:tc>
        <w:tc>
          <w:tcPr>
            <w:tcW w:w="26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4,606</w:t>
            </w:r>
          </w:p>
        </w:tc>
        <w:tc>
          <w:tcPr>
            <w:tcW w:w="28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44,529</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6,081</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72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16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630,258</w:t>
            </w:r>
          </w:p>
        </w:tc>
        <w:tc>
          <w:tcPr>
            <w:tcW w:w="26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638,139</w:t>
            </w:r>
          </w:p>
        </w:tc>
        <w:tc>
          <w:tcPr>
            <w:tcW w:w="28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632,009</w:t>
            </w:r>
          </w:p>
        </w:tc>
        <w:tc>
          <w:tcPr>
            <w:tcW w:w="28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642,605</w:t>
            </w:r>
          </w:p>
        </w:tc>
        <w:tc>
          <w:tcPr>
            <w:tcW w:w="10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67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(loss) income per share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44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(0.19)</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2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color w:val="auto"/>
              </w:rPr>
              <w:t xml:space="preserve">Non-GAAP diluted net income per share </w:t>
            </w:r>
            <w:r>
              <w:rPr>
                <w:rFonts w:ascii="Arial" w:cs="Arial" w:eastAsia="Arial" w:hAnsi="Arial"/>
                <w:sz w:val="18"/>
                <w:szCs w:val="18"/>
                <w:i w:val="1"/>
                <w:iCs w:val="1"/>
                <w:color w:val="auto"/>
              </w:rPr>
              <w:t>(a)</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bottom w:val="single" w:sz="8" w:color="CCEEFF"/>
            </w:tcBorders>
            <w:vMerge w:val="restart"/>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CCEEFF"/>
            </w:tcBorders>
            <w:vMerge w:val="restart"/>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6720" w:type="dxa"/>
            <w:vAlign w:val="bottom"/>
            <w:vMerge w:val="continue"/>
          </w:tcPr>
          <w:p>
            <w:pPr>
              <w:spacing w:after="0"/>
              <w:rPr>
                <w:sz w:val="17"/>
                <w:szCs w:val="17"/>
                <w:color w:val="auto"/>
              </w:rPr>
            </w:pPr>
          </w:p>
        </w:tc>
        <w:tc>
          <w:tcPr>
            <w:tcW w:w="1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0.06</w:t>
            </w:r>
          </w:p>
        </w:tc>
        <w:tc>
          <w:tcPr>
            <w:tcW w:w="260" w:type="dxa"/>
            <w:vAlign w:val="bottom"/>
          </w:tcPr>
          <w:p>
            <w:pPr>
              <w:spacing w:after="0"/>
              <w:rPr>
                <w:sz w:val="17"/>
                <w:szCs w:val="17"/>
                <w:color w:val="auto"/>
              </w:rPr>
            </w:pPr>
          </w:p>
        </w:tc>
        <w:tc>
          <w:tcPr>
            <w:tcW w:w="1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0.20</w:t>
            </w:r>
          </w:p>
        </w:tc>
        <w:tc>
          <w:tcPr>
            <w:tcW w:w="280" w:type="dxa"/>
            <w:vAlign w:val="bottom"/>
            <w:vMerge w:val="continue"/>
          </w:tcPr>
          <w:p>
            <w:pPr>
              <w:spacing w:after="0"/>
              <w:rPr>
                <w:sz w:val="17"/>
                <w:szCs w:val="17"/>
                <w:color w:val="auto"/>
              </w:rPr>
            </w:pPr>
          </w:p>
        </w:tc>
        <w:tc>
          <w:tcPr>
            <w:tcW w:w="160" w:type="dxa"/>
            <w:vAlign w:val="bottom"/>
            <w:tcBorders>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7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0.11</w:t>
            </w:r>
          </w:p>
        </w:tc>
        <w:tc>
          <w:tcPr>
            <w:tcW w:w="280" w:type="dxa"/>
            <w:vAlign w:val="bottom"/>
          </w:tcPr>
          <w:p>
            <w:pPr>
              <w:spacing w:after="0"/>
              <w:rPr>
                <w:sz w:val="17"/>
                <w:szCs w:val="17"/>
                <w:color w:val="auto"/>
              </w:rPr>
            </w:pPr>
          </w:p>
        </w:tc>
        <w:tc>
          <w:tcPr>
            <w:tcW w:w="20" w:type="dxa"/>
            <w:vAlign w:val="bottom"/>
            <w:tcBorders>
              <w:bottom w:val="single" w:sz="8" w:color="auto"/>
            </w:tcBorders>
            <w:vMerge w:val="continue"/>
          </w:tcPr>
          <w:p>
            <w:pPr>
              <w:spacing w:after="0"/>
              <w:rPr>
                <w:sz w:val="17"/>
                <w:szCs w:val="17"/>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0.41</w:t>
            </w: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20" w:hanging="312"/>
        <w:spacing w:after="0"/>
        <w:tabs>
          <w:tab w:leader="none" w:pos="32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Non GAAP net income per share is calculated by dividing non-GAAP net income by non-GAAP weighted average shares diluted.</w:t>
      </w:r>
    </w:p>
    <w:p>
      <w:pPr>
        <w:spacing w:after="0" w:line="225" w:lineRule="exact"/>
        <w:rPr>
          <w:rFonts w:ascii="Arial" w:cs="Arial" w:eastAsia="Arial" w:hAnsi="Arial"/>
          <w:sz w:val="18"/>
          <w:szCs w:val="18"/>
          <w:i w:val="1"/>
          <w:iCs w:val="1"/>
          <w:color w:val="auto"/>
        </w:rPr>
      </w:pPr>
    </w:p>
    <w:p>
      <w:pPr>
        <w:ind w:left="340" w:right="160" w:hanging="332"/>
        <w:spacing w:after="0" w:line="259" w:lineRule="auto"/>
        <w:tabs>
          <w:tab w:leader="none" w:pos="32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method and also includes the antidilutive effects of warrants, common stock options and restricted stock.</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8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80" w:type="dxa"/>
            <w:vAlign w:val="bottom"/>
            <w:gridSpan w:val="2"/>
          </w:tcPr>
          <w:p>
            <w:pPr>
              <w:jc w:val="right"/>
              <w:ind w:right="660"/>
              <w:spacing w:after="0"/>
              <w:rPr>
                <w:sz w:val="20"/>
                <w:szCs w:val="20"/>
                <w:color w:val="auto"/>
              </w:rPr>
            </w:pPr>
            <w:r>
              <w:rPr>
                <w:rFonts w:ascii="Arial" w:cs="Arial" w:eastAsia="Arial" w:hAnsi="Arial"/>
                <w:sz w:val="14"/>
                <w:szCs w:val="14"/>
                <w:b w:val="1"/>
                <w:bCs w:val="1"/>
                <w:color w:val="auto"/>
              </w:rPr>
              <w:t>July 28,</w:t>
            </w:r>
          </w:p>
        </w:tc>
        <w:tc>
          <w:tcPr>
            <w:tcW w:w="180" w:type="dxa"/>
            <w:vAlign w:val="bottom"/>
          </w:tcPr>
          <w:p>
            <w:pPr>
              <w:spacing w:after="0"/>
              <w:rPr>
                <w:sz w:val="14"/>
                <w:szCs w:val="14"/>
                <w:color w:val="auto"/>
              </w:rPr>
            </w:pPr>
          </w:p>
        </w:tc>
        <w:tc>
          <w:tcPr>
            <w:tcW w:w="114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January 27,</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180" w:type="dxa"/>
            <w:vAlign w:val="bottom"/>
            <w:tcBorders>
              <w:bottom w:val="single" w:sz="8" w:color="CCEEFF"/>
            </w:tcBorders>
          </w:tcPr>
          <w:p>
            <w:pPr>
              <w:spacing w:after="0"/>
              <w:rPr>
                <w:sz w:val="14"/>
                <w:szCs w:val="14"/>
                <w:color w:val="auto"/>
              </w:rPr>
            </w:pPr>
          </w:p>
        </w:tc>
        <w:tc>
          <w:tcPr>
            <w:tcW w:w="238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1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3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Current assets:</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cash equivalents and short-term investments</w:t>
            </w:r>
          </w:p>
        </w:tc>
        <w:tc>
          <w:tcPr>
            <w:tcW w:w="262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496,448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596,380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160"/>
              <w:spacing w:after="0"/>
              <w:rPr>
                <w:sz w:val="20"/>
                <w:szCs w:val="20"/>
                <w:color w:val="auto"/>
              </w:rPr>
            </w:pPr>
            <w:r>
              <w:rPr>
                <w:rFonts w:ascii="Arial" w:cs="Arial" w:eastAsia="Arial" w:hAnsi="Arial"/>
                <w:sz w:val="18"/>
                <w:szCs w:val="18"/>
                <w:color w:val="auto"/>
              </w:rPr>
              <w:t>Accounts receivable, net</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358,312</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328,283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Inventory</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295,292</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247,403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Borders>
              <w:bottom w:val="single" w:sz="8" w:color="CCEEFF"/>
            </w:tcBorders>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238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160,625</w:t>
            </w:r>
          </w:p>
        </w:tc>
        <w:tc>
          <w:tcPr>
            <w:tcW w:w="2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175,969</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1,310,677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1,348,035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426,177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440,943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Goodwill and acquired intangible assets</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2,488,650</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2,558,363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 non current assets</w:t>
            </w:r>
          </w:p>
        </w:tc>
        <w:tc>
          <w:tcPr>
            <w:tcW w:w="238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154,998</w:t>
            </w:r>
          </w:p>
        </w:tc>
        <w:tc>
          <w:tcPr>
            <w:tcW w:w="2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180,359</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assets</w:t>
            </w:r>
          </w:p>
        </w:tc>
        <w:tc>
          <w:tcPr>
            <w:tcW w:w="238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4,380,502</w:t>
            </w:r>
          </w:p>
        </w:tc>
        <w:tc>
          <w:tcPr>
            <w:tcW w:w="2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4,527,700</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6180" w:type="dxa"/>
            <w:vAlign w:val="bottom"/>
          </w:tcPr>
          <w:p>
            <w:pPr>
              <w:spacing w:after="0"/>
              <w:rPr>
                <w:sz w:val="17"/>
                <w:szCs w:val="17"/>
                <w:color w:val="auto"/>
              </w:rPr>
            </w:pPr>
          </w:p>
        </w:tc>
        <w:tc>
          <w:tcPr>
            <w:tcW w:w="23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Current liabilities:</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payable</w:t>
            </w:r>
          </w:p>
        </w:tc>
        <w:tc>
          <w:tcPr>
            <w:tcW w:w="262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261,208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244,959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160"/>
              <w:spacing w:after="0"/>
              <w:rPr>
                <w:sz w:val="20"/>
                <w:szCs w:val="20"/>
                <w:color w:val="auto"/>
              </w:rPr>
            </w:pPr>
            <w:r>
              <w:rPr>
                <w:rFonts w:ascii="Arial" w:cs="Arial" w:eastAsia="Arial" w:hAnsi="Arial"/>
                <w:sz w:val="18"/>
                <w:szCs w:val="18"/>
                <w:color w:val="auto"/>
              </w:rPr>
              <w:t>Accrued liabilities</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238,566</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368,867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21,138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29,078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54,777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50,874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238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4,471</w:t>
            </w:r>
          </w:p>
        </w:tc>
        <w:tc>
          <w:tcPr>
            <w:tcW w:w="2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17,408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580,160</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711,186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9,104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17,096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Term loan obligations</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392,750</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394,750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238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170,990</w:t>
            </w:r>
          </w:p>
        </w:tc>
        <w:tc>
          <w:tcPr>
            <w:tcW w:w="2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177,484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238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1,153,004</w:t>
            </w:r>
          </w:p>
        </w:tc>
        <w:tc>
          <w:tcPr>
            <w:tcW w:w="2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1,300,516</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180" w:type="dxa"/>
            <w:vAlign w:val="bottom"/>
            <w:shd w:val="clear" w:color="auto" w:fill="CCEEFF"/>
          </w:tcPr>
          <w:p>
            <w:pPr>
              <w:spacing w:after="0"/>
              <w:rPr>
                <w:sz w:val="18"/>
                <w:szCs w:val="18"/>
                <w:color w:val="auto"/>
              </w:rPr>
            </w:pP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Shareholders’ equity:</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Common stock</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3,911,782</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3,802,509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other comprehensive gain (loss)</w:t>
            </w:r>
          </w:p>
        </w:tc>
        <w:tc>
          <w:tcPr>
            <w:tcW w:w="23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160"/>
              <w:spacing w:after="0"/>
              <w:rPr>
                <w:sz w:val="20"/>
                <w:szCs w:val="20"/>
                <w:color w:val="auto"/>
              </w:rPr>
            </w:pPr>
            <w:r>
              <w:rPr>
                <w:rFonts w:ascii="Arial" w:cs="Arial" w:eastAsia="Arial" w:hAnsi="Arial"/>
                <w:sz w:val="18"/>
                <w:szCs w:val="18"/>
                <w:color w:val="auto"/>
              </w:rPr>
              <w:t>Accumulated deficit</w:t>
            </w:r>
          </w:p>
        </w:tc>
        <w:tc>
          <w:tcPr>
            <w:tcW w:w="2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(685,812)</w:t>
            </w:r>
          </w:p>
        </w:tc>
        <w:tc>
          <w:tcPr>
            <w:tcW w:w="180" w:type="dxa"/>
            <w:vAlign w:val="bottom"/>
          </w:tcPr>
          <w:p>
            <w:pPr>
              <w:spacing w:after="0"/>
              <w:rPr>
                <w:sz w:val="18"/>
                <w:szCs w:val="18"/>
                <w:color w:val="auto"/>
              </w:rPr>
            </w:pPr>
          </w:p>
        </w:tc>
        <w:tc>
          <w:tcPr>
            <w:tcW w:w="1140" w:type="dxa"/>
            <w:vAlign w:val="bottom"/>
            <w:gridSpan w:val="2"/>
          </w:tcPr>
          <w:p>
            <w:pPr>
              <w:jc w:val="right"/>
              <w:ind w:right="20"/>
              <w:spacing w:after="0"/>
              <w:rPr>
                <w:sz w:val="20"/>
                <w:szCs w:val="20"/>
                <w:color w:val="auto"/>
              </w:rPr>
            </w:pPr>
            <w:r>
              <w:rPr>
                <w:rFonts w:ascii="Arial" w:cs="Arial" w:eastAsia="Arial" w:hAnsi="Arial"/>
                <w:sz w:val="18"/>
                <w:szCs w:val="18"/>
                <w:color w:val="auto"/>
              </w:rPr>
              <w:t>(576,528)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shareholders’ equity</w:t>
            </w:r>
          </w:p>
        </w:tc>
        <w:tc>
          <w:tcPr>
            <w:tcW w:w="23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3,227,498</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3,227,184</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2380" w:type="dxa"/>
            <w:vAlign w:val="bottom"/>
          </w:tcPr>
          <w:p>
            <w:pPr>
              <w:spacing w:after="0"/>
              <w:rPr>
                <w:sz w:val="18"/>
                <w:szCs w:val="18"/>
                <w:color w:val="auto"/>
              </w:rPr>
            </w:pPr>
          </w:p>
        </w:tc>
        <w:tc>
          <w:tcPr>
            <w:tcW w:w="24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4,380,502</w:t>
            </w:r>
          </w:p>
        </w:tc>
        <w:tc>
          <w:tcPr>
            <w:tcW w:w="26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4,527,700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21" w:right="239" w:bottom="0" w:gutter="0" w:footer="0" w:header="0"/>
        </w:sectPr>
      </w:pPr>
    </w:p>
    <w:bookmarkStart w:id="6" w:name="page7"/>
    <w:bookmarkEnd w:id="6"/>
    <w:p>
      <w:pPr>
        <w:jc w:val="center"/>
        <w:spacing w:after="0"/>
        <w:rPr>
          <w:sz w:val="20"/>
          <w:szCs w:val="20"/>
          <w:color w:val="auto"/>
        </w:rPr>
      </w:pPr>
      <w:r>
        <w:rPr>
          <w:rFonts w:ascii="Arial" w:cs="Arial" w:eastAsia="Arial" w:hAnsi="Arial"/>
          <w:sz w:val="17"/>
          <w:szCs w:val="17"/>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243205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19"/>
      </w:cols>
      <w:pgMar w:left="1440" w:top="12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lowerLetter"/>
      <w:start w:val="4"/>
    </w:lvl>
  </w:abstractNum>
  <w:abstractNum w:abstractNumId="7">
    <w:nsid w:val="7545E146"/>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2019-12-12T00:50:47Z</dcterms:created>
  <dcterms:modified xsi:type="dcterms:W3CDTF">2019-12-12T00:50:47Z</dcterms:modified>
</cp:coreProperties>
</file>