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 SECURITIES AND EXCHANGE COMMISSION</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15"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10-K/A</w:t>
      </w:r>
    </w:p>
    <w:p>
      <w:pPr>
        <w:spacing w:after="0" w:line="15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Amendment No. 1</w:t>
      </w:r>
    </w:p>
    <w:p>
      <w:pPr>
        <w:spacing w:after="0" w:line="15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4" w:lineRule="exact"/>
        <w:rPr>
          <w:sz w:val="24"/>
          <w:szCs w:val="24"/>
          <w:color w:val="auto"/>
        </w:rPr>
      </w:pPr>
    </w:p>
    <w:p>
      <w:pPr>
        <w:ind w:left="1300" w:right="20" w:hanging="751"/>
        <w:spacing w:after="0" w:line="237" w:lineRule="auto"/>
        <w:tabs>
          <w:tab w:leader="none" w:pos="130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ANNUAL REPORT PURSUANT TO SECTION 13 OR 15(d) OF THE SECURITIES EXCHANGE ACT OF 1934</w:t>
      </w:r>
    </w:p>
    <w:p>
      <w:pPr>
        <w:spacing w:after="0" w:line="215" w:lineRule="exact"/>
        <w:rPr>
          <w:sz w:val="24"/>
          <w:szCs w:val="24"/>
          <w:color w:val="auto"/>
        </w:rPr>
      </w:pPr>
    </w:p>
    <w:p>
      <w:pPr>
        <w:ind w:left="1300"/>
        <w:spacing w:after="0"/>
        <w:rPr>
          <w:sz w:val="20"/>
          <w:szCs w:val="20"/>
          <w:color w:val="auto"/>
        </w:rPr>
      </w:pPr>
      <w:r>
        <w:rPr>
          <w:rFonts w:ascii="Arial" w:cs="Arial" w:eastAsia="Arial" w:hAnsi="Arial"/>
          <w:sz w:val="18"/>
          <w:szCs w:val="18"/>
          <w:b w:val="1"/>
          <w:bCs w:val="1"/>
          <w:color w:val="auto"/>
        </w:rPr>
        <w:t>For the fiscal year ended January 27, 2007</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1300" w:right="440" w:hanging="751"/>
        <w:spacing w:after="0" w:line="256" w:lineRule="auto"/>
        <w:tabs>
          <w:tab w:leader="none" w:pos="130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199" w:lineRule="exact"/>
        <w:rPr>
          <w:sz w:val="24"/>
          <w:szCs w:val="24"/>
          <w:color w:val="auto"/>
        </w:rPr>
      </w:pPr>
    </w:p>
    <w:p>
      <w:pPr>
        <w:ind w:left="1300"/>
        <w:spacing w:after="0"/>
        <w:rPr>
          <w:sz w:val="20"/>
          <w:szCs w:val="20"/>
          <w:color w:val="auto"/>
        </w:rPr>
      </w:pPr>
      <w:r>
        <w:rPr>
          <w:rFonts w:ascii="Arial" w:cs="Arial" w:eastAsia="Arial" w:hAnsi="Arial"/>
          <w:sz w:val="18"/>
          <w:szCs w:val="18"/>
          <w:b w:val="1"/>
          <w:bCs w:val="1"/>
          <w:color w:val="auto"/>
        </w:rPr>
        <w:t>For the transition period from N/A to N/A</w:t>
      </w:r>
    </w:p>
    <w:p>
      <w:pPr>
        <w:spacing w:after="0" w:line="21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0-30877</w:t>
      </w:r>
    </w:p>
    <w:p>
      <w:pPr>
        <w:spacing w:after="0" w:line="12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pacing w:after="0" w:line="138"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27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12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100330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85"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stock, $0.002 par value per share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Securities registered pursuant to Section 12(g) of the Act: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None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91440</wp:posOffset>
            </wp:positionV>
            <wp:extent cx="138938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72" w:lineRule="exact"/>
        <w:rPr>
          <w:sz w:val="24"/>
          <w:szCs w:val="24"/>
          <w:color w:val="auto"/>
        </w:rPr>
      </w:pPr>
    </w:p>
    <w:p>
      <w:pPr>
        <w:ind w:left="660" w:right="1280"/>
        <w:spacing w:after="0" w:line="466" w:lineRule="auto"/>
        <w:rPr>
          <w:sz w:val="20"/>
          <w:szCs w:val="20"/>
          <w:color w:val="auto"/>
        </w:rPr>
      </w:pPr>
      <w:r>
        <w:rPr>
          <w:rFonts w:ascii="Arial" w:cs="Arial" w:eastAsia="Arial" w:hAnsi="Arial"/>
          <w:sz w:val="16"/>
          <w:szCs w:val="16"/>
          <w:color w:val="auto"/>
        </w:rPr>
        <w:t>Indicate by check mark if the registrant is a well-known seasoned issuer, as defined in Rule 405 of the Securities Act. Yes o No x Indicate by check mark if the registrant is not required to file reports pursuant to Section 13 or Section 15(d) of the Act. Yes o No x</w:t>
      </w:r>
    </w:p>
    <w:p>
      <w:pPr>
        <w:spacing w:after="0" w:line="1" w:lineRule="exact"/>
        <w:rPr>
          <w:sz w:val="24"/>
          <w:szCs w:val="24"/>
          <w:color w:val="auto"/>
        </w:rPr>
      </w:pPr>
    </w:p>
    <w:p>
      <w:pPr>
        <w:jc w:val="both"/>
        <w:ind w:right="160" w:firstLine="648"/>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o No x</w:t>
      </w:r>
    </w:p>
    <w:p>
      <w:pPr>
        <w:spacing w:after="0" w:line="114" w:lineRule="exact"/>
        <w:rPr>
          <w:sz w:val="24"/>
          <w:szCs w:val="24"/>
          <w:color w:val="auto"/>
        </w:rPr>
      </w:pPr>
    </w:p>
    <w:p>
      <w:pPr>
        <w:jc w:val="both"/>
        <w:ind w:firstLine="648"/>
        <w:spacing w:after="0" w:line="264" w:lineRule="auto"/>
        <w:rPr>
          <w:sz w:val="20"/>
          <w:szCs w:val="20"/>
          <w:color w:val="auto"/>
        </w:rPr>
      </w:pPr>
      <w:r>
        <w:rPr>
          <w:rFonts w:ascii="Arial" w:cs="Arial" w:eastAsia="Arial" w:hAnsi="Arial"/>
          <w:sz w:val="18"/>
          <w:szCs w:val="18"/>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114" w:lineRule="exact"/>
        <w:rPr>
          <w:sz w:val="24"/>
          <w:szCs w:val="24"/>
          <w:color w:val="auto"/>
        </w:rPr>
      </w:pPr>
    </w:p>
    <w:p>
      <w:pPr>
        <w:jc w:val="both"/>
        <w:ind w:firstLine="648"/>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89" w:lineRule="exact"/>
        <w:rPr>
          <w:sz w:val="24"/>
          <w:szCs w:val="24"/>
          <w:color w:val="auto"/>
        </w:rPr>
      </w:pPr>
    </w:p>
    <w:p>
      <w:pPr>
        <w:ind w:left="760"/>
        <w:spacing w:after="0"/>
        <w:tabs>
          <w:tab w:leader="none" w:pos="3560" w:val="left"/>
          <w:tab w:leader="none" w:pos="664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374" w:lineRule="exact"/>
        <w:rPr>
          <w:sz w:val="24"/>
          <w:szCs w:val="24"/>
          <w:color w:val="auto"/>
        </w:rPr>
      </w:pPr>
    </w:p>
    <w:p>
      <w:pPr>
        <w:ind w:left="6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158" w:lineRule="exact"/>
        <w:rPr>
          <w:sz w:val="24"/>
          <w:szCs w:val="24"/>
          <w:color w:val="auto"/>
        </w:rPr>
      </w:pPr>
    </w:p>
    <w:p>
      <w:pPr>
        <w:ind w:right="60" w:firstLine="648"/>
        <w:spacing w:after="0" w:line="257" w:lineRule="auto"/>
        <w:rPr>
          <w:sz w:val="20"/>
          <w:szCs w:val="20"/>
          <w:color w:val="auto"/>
        </w:rPr>
      </w:pPr>
      <w:r>
        <w:rPr>
          <w:rFonts w:ascii="Arial" w:cs="Arial" w:eastAsia="Arial" w:hAnsi="Arial"/>
          <w:sz w:val="18"/>
          <w:szCs w:val="18"/>
          <w:color w:val="auto"/>
        </w:rPr>
        <w:t>The aggregate market value of the registrant’s common stock held by non-affiliates of the registrant was approximately $5,562,448,237 based upon the closing price of $18.31 per share of such common stock on the Nasdaq Global Select Market on July 28, 2006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107" w:lineRule="exact"/>
        <w:rPr>
          <w:sz w:val="24"/>
          <w:szCs w:val="24"/>
          <w:color w:val="auto"/>
        </w:rPr>
      </w:pPr>
    </w:p>
    <w:p>
      <w:pPr>
        <w:ind w:left="660"/>
        <w:spacing w:after="0"/>
        <w:rPr>
          <w:sz w:val="20"/>
          <w:szCs w:val="20"/>
          <w:color w:val="auto"/>
        </w:rPr>
      </w:pPr>
      <w:r>
        <w:rPr>
          <w:rFonts w:ascii="Arial" w:cs="Arial" w:eastAsia="Arial" w:hAnsi="Arial"/>
          <w:sz w:val="18"/>
          <w:szCs w:val="18"/>
          <w:color w:val="auto"/>
        </w:rPr>
        <w:t>As of May 31, 2007, there were 587,591,437 shares of common stock of the Company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246380</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535940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1400"/>
          </w:cols>
          <w:pgMar w:left="240" w:top="530" w:right="259" w:bottom="0" w:gutter="0" w:footer="0" w:header="0"/>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right="80" w:firstLine="648"/>
        <w:spacing w:after="0" w:line="255" w:lineRule="auto"/>
        <w:rPr>
          <w:sz w:val="20"/>
          <w:szCs w:val="20"/>
          <w:color w:val="auto"/>
        </w:rPr>
      </w:pPr>
      <w:r>
        <w:rPr>
          <w:rFonts w:ascii="Arial" w:cs="Arial" w:eastAsia="Arial" w:hAnsi="Arial"/>
          <w:sz w:val="18"/>
          <w:szCs w:val="18"/>
          <w:color w:val="auto"/>
        </w:rPr>
        <w:t>This Form 10-K/A Amendment No. 1 amends Item 15 and the exhibits in our Annual Report on Form 10-K for the year ended January 27, 2007, originally filed with the Securities and Exchange Commission on July 2, 2007. The Item 15 list of exhibits and Index to Exhibits in that report did not include an Exhibit 23.1 – Consent of Independent Registered Public Accounting Firm (“Exhibit 23.1”). This amendment is being filed to include under Item 15 list of exhibits and Exhibit Index an Exhibit 23.1. We are filing herewith currently dated certifications in Exhibit 31.1, 31.2, 32.1 and 32.2, as listed in the exhibit index below. Except as described above, no other changes have been made to the Annual Report, and this Form 10-K/A Amendment No. 1 does not amend or update any other information contained in that original filing.</w:t>
      </w: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3160" w:type="dxa"/>
            <w:vAlign w:val="bottom"/>
          </w:tcPr>
          <w:p>
            <w:pPr>
              <w:spacing w:after="0"/>
              <w:rPr>
                <w:sz w:val="20"/>
                <w:szCs w:val="20"/>
                <w:color w:val="auto"/>
              </w:rPr>
            </w:pPr>
          </w:p>
        </w:tc>
        <w:tc>
          <w:tcPr>
            <w:tcW w:w="6480" w:type="dxa"/>
            <w:vAlign w:val="bottom"/>
          </w:tcPr>
          <w:p>
            <w:pPr>
              <w:jc w:val="right"/>
              <w:ind w:right="5090"/>
              <w:spacing w:after="0"/>
              <w:rPr>
                <w:sz w:val="20"/>
                <w:szCs w:val="20"/>
                <w:color w:val="auto"/>
              </w:rPr>
            </w:pPr>
            <w:r>
              <w:rPr>
                <w:rFonts w:ascii="Arial" w:cs="Arial" w:eastAsia="Arial" w:hAnsi="Arial"/>
                <w:sz w:val="18"/>
                <w:szCs w:val="18"/>
                <w:color w:val="auto"/>
              </w:rPr>
              <w:t>1</w:t>
            </w:r>
          </w:p>
        </w:tc>
        <w:tc>
          <w:tcPr>
            <w:tcW w:w="4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60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540" w:type="dxa"/>
            <w:vAlign w:val="bottom"/>
            <w:tcBorders>
              <w:bottom w:val="single" w:sz="8" w:color="010101"/>
            </w:tcBorders>
          </w:tcPr>
          <w:p>
            <w:pPr>
              <w:spacing w:after="0"/>
              <w:rPr>
                <w:sz w:val="24"/>
                <w:szCs w:val="24"/>
                <w:color w:val="auto"/>
              </w:rPr>
            </w:pPr>
          </w:p>
        </w:tc>
        <w:tc>
          <w:tcPr>
            <w:tcW w:w="3160" w:type="dxa"/>
            <w:vAlign w:val="bottom"/>
            <w:tcBorders>
              <w:bottom w:val="single" w:sz="8" w:color="010101"/>
            </w:tcBorders>
          </w:tcPr>
          <w:p>
            <w:pPr>
              <w:spacing w:after="0"/>
              <w:rPr>
                <w:sz w:val="24"/>
                <w:szCs w:val="24"/>
                <w:color w:val="auto"/>
              </w:rPr>
            </w:pPr>
          </w:p>
        </w:tc>
        <w:tc>
          <w:tcPr>
            <w:tcW w:w="648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7000" w:type="dxa"/>
            <w:vAlign w:val="bottom"/>
            <w:gridSpan w:val="3"/>
          </w:tcPr>
          <w:p>
            <w:pPr>
              <w:jc w:val="center"/>
              <w:ind w:right="4480"/>
              <w:spacing w:after="0"/>
              <w:rPr>
                <w:sz w:val="20"/>
                <w:szCs w:val="20"/>
                <w:color w:val="auto"/>
              </w:rPr>
            </w:pPr>
            <w:r>
              <w:rPr>
                <w:rFonts w:ascii="Arial" w:cs="Arial" w:eastAsia="Arial" w:hAnsi="Arial"/>
                <w:sz w:val="18"/>
                <w:szCs w:val="18"/>
                <w:b w:val="1"/>
                <w:bCs w:val="1"/>
                <w:color w:val="auto"/>
                <w:w w:val="98"/>
              </w:rPr>
              <w:t>TABLE OF CONTENTS</w:t>
            </w:r>
          </w:p>
        </w:tc>
        <w:tc>
          <w:tcPr>
            <w:tcW w:w="0" w:type="dxa"/>
            <w:vAlign w:val="bottom"/>
          </w:tcPr>
          <w:p>
            <w:pPr>
              <w:spacing w:after="0"/>
              <w:rPr>
                <w:sz w:val="1"/>
                <w:szCs w:val="1"/>
                <w:color w:val="auto"/>
              </w:rPr>
            </w:pPr>
          </w:p>
        </w:tc>
      </w:tr>
      <w:tr>
        <w:trPr>
          <w:trHeight w:val="351"/>
        </w:trPr>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6480" w:type="dxa"/>
            <w:vAlign w:val="bottom"/>
            <w:vMerge w:val="restart"/>
          </w:tcPr>
          <w:p>
            <w:pPr>
              <w:ind w:left="560"/>
              <w:spacing w:after="0"/>
              <w:rPr>
                <w:sz w:val="20"/>
                <w:szCs w:val="20"/>
                <w:color w:val="auto"/>
              </w:rPr>
            </w:pPr>
            <w:r>
              <w:rPr>
                <w:rFonts w:ascii="Arial" w:cs="Arial" w:eastAsia="Arial" w:hAnsi="Arial"/>
                <w:sz w:val="18"/>
                <w:szCs w:val="18"/>
                <w:b w:val="1"/>
                <w:bCs w:val="1"/>
                <w:color w:val="auto"/>
              </w:rPr>
              <w:t>PART IV</w:t>
            </w:r>
          </w:p>
        </w:tc>
        <w:tc>
          <w:tcPr>
            <w:tcW w:w="520" w:type="dxa"/>
            <w:vAlign w:val="bottom"/>
            <w:gridSpan w:val="2"/>
          </w:tcPr>
          <w:p>
            <w:pPr>
              <w:ind w:left="8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82"/>
        </w:trPr>
        <w:tc>
          <w:tcPr>
            <w:tcW w:w="6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3160" w:type="dxa"/>
            <w:vAlign w:val="bottom"/>
          </w:tcPr>
          <w:p>
            <w:pPr>
              <w:spacing w:after="0"/>
              <w:rPr>
                <w:sz w:val="15"/>
                <w:szCs w:val="15"/>
                <w:color w:val="auto"/>
              </w:rPr>
            </w:pPr>
          </w:p>
        </w:tc>
        <w:tc>
          <w:tcPr>
            <w:tcW w:w="6480" w:type="dxa"/>
            <w:vAlign w:val="bottom"/>
            <w:vMerge w:val="continue"/>
          </w:tcPr>
          <w:p>
            <w:pPr>
              <w:spacing w:after="0"/>
              <w:rPr>
                <w:sz w:val="15"/>
                <w:szCs w:val="15"/>
                <w:color w:val="auto"/>
              </w:rPr>
            </w:pPr>
          </w:p>
        </w:tc>
        <w:tc>
          <w:tcPr>
            <w:tcW w:w="480" w:type="dxa"/>
            <w:vAlign w:val="bottom"/>
            <w:tcBorders>
              <w:top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760" w:type="dxa"/>
            <w:vAlign w:val="bottom"/>
            <w:gridSpan w:val="2"/>
          </w:tcPr>
          <w:p>
            <w:pPr>
              <w:spacing w:after="0" w:line="190" w:lineRule="exact"/>
              <w:rPr>
                <w:rFonts w:ascii="Arial" w:cs="Arial" w:eastAsia="Arial" w:hAnsi="Arial"/>
                <w:sz w:val="18"/>
                <w:szCs w:val="18"/>
                <w:color w:val="0000EE"/>
              </w:rPr>
            </w:pPr>
            <w:hyperlink w:anchor="page2">
              <w:r>
                <w:rPr>
                  <w:rFonts w:ascii="Arial" w:cs="Arial" w:eastAsia="Arial" w:hAnsi="Arial"/>
                  <w:sz w:val="18"/>
                  <w:szCs w:val="18"/>
                  <w:color w:val="0000EE"/>
                </w:rPr>
                <w:t>Item 15.</w:t>
              </w:r>
            </w:hyperlink>
          </w:p>
        </w:tc>
        <w:tc>
          <w:tcPr>
            <w:tcW w:w="3700" w:type="dxa"/>
            <w:vAlign w:val="bottom"/>
            <w:gridSpan w:val="2"/>
          </w:tcPr>
          <w:p>
            <w:pPr>
              <w:ind w:left="540"/>
              <w:spacing w:after="0" w:line="190" w:lineRule="exact"/>
              <w:rPr>
                <w:rFonts w:ascii="Arial" w:cs="Arial" w:eastAsia="Arial" w:hAnsi="Arial"/>
                <w:sz w:val="18"/>
                <w:szCs w:val="18"/>
                <w:color w:val="0000EE"/>
                <w:w w:val="89"/>
              </w:rPr>
            </w:pPr>
            <w:hyperlink w:anchor="page2">
              <w:r>
                <w:rPr>
                  <w:rFonts w:ascii="Arial" w:cs="Arial" w:eastAsia="Arial" w:hAnsi="Arial"/>
                  <w:sz w:val="18"/>
                  <w:szCs w:val="18"/>
                  <w:color w:val="0000EE"/>
                  <w:w w:val="89"/>
                </w:rPr>
                <w:t>Exhibits and Financial Statement Schedules</w:t>
              </w:r>
            </w:hyperlink>
          </w:p>
        </w:tc>
        <w:tc>
          <w:tcPr>
            <w:tcW w:w="6960" w:type="dxa"/>
            <w:vAlign w:val="bottom"/>
            <w:gridSpan w:val="2"/>
          </w:tcPr>
          <w:p>
            <w:pPr>
              <w:jc w:val="right"/>
              <w:spacing w:after="0" w:line="190" w:lineRule="exact"/>
              <w:rPr>
                <w:sz w:val="20"/>
                <w:szCs w:val="20"/>
                <w:color w:val="auto"/>
              </w:rPr>
            </w:pPr>
            <w:r>
              <w:rPr>
                <w:rFonts w:ascii="Arial" w:cs="Arial" w:eastAsia="Arial" w:hAnsi="Arial"/>
                <w:sz w:val="18"/>
                <w:szCs w:val="18"/>
                <w:color w:val="auto"/>
              </w:rPr>
              <w:t>3</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160" w:type="dxa"/>
            <w:vAlign w:val="bottom"/>
            <w:shd w:val="clear" w:color="auto" w:fill="0000EE"/>
          </w:tcPr>
          <w:p>
            <w:pPr>
              <w:spacing w:after="0" w:line="20" w:lineRule="exact"/>
              <w:rPr>
                <w:sz w:val="1"/>
                <w:szCs w:val="1"/>
                <w:color w:val="auto"/>
              </w:rPr>
            </w:pPr>
          </w:p>
        </w:tc>
        <w:tc>
          <w:tcPr>
            <w:tcW w:w="69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60" w:type="dxa"/>
            <w:vAlign w:val="bottom"/>
            <w:tcBorders>
              <w:bottom w:val="single" w:sz="8" w:color="0000EE"/>
            </w:tcBorders>
            <w:gridSpan w:val="2"/>
          </w:tcPr>
          <w:p>
            <w:pPr>
              <w:spacing w:after="0" w:line="196" w:lineRule="exact"/>
              <w:rPr>
                <w:rFonts w:ascii="Arial" w:cs="Arial" w:eastAsia="Arial" w:hAnsi="Arial"/>
                <w:sz w:val="18"/>
                <w:szCs w:val="18"/>
                <w:color w:val="0000EE"/>
                <w:w w:val="85"/>
              </w:rPr>
            </w:pPr>
            <w:hyperlink w:anchor="page2">
              <w:r>
                <w:rPr>
                  <w:rFonts w:ascii="Arial" w:cs="Arial" w:eastAsia="Arial" w:hAnsi="Arial"/>
                  <w:sz w:val="18"/>
                  <w:szCs w:val="18"/>
                  <w:color w:val="0000EE"/>
                  <w:w w:val="85"/>
                </w:rPr>
                <w:t>Signatures</w:t>
              </w:r>
            </w:hyperlink>
          </w:p>
        </w:tc>
        <w:tc>
          <w:tcPr>
            <w:tcW w:w="540" w:type="dxa"/>
            <w:vAlign w:val="bottom"/>
          </w:tcPr>
          <w:p>
            <w:pPr>
              <w:spacing w:after="0"/>
              <w:rPr>
                <w:sz w:val="17"/>
                <w:szCs w:val="17"/>
                <w:color w:val="auto"/>
              </w:rPr>
            </w:pPr>
          </w:p>
        </w:tc>
        <w:tc>
          <w:tcPr>
            <w:tcW w:w="3160" w:type="dxa"/>
            <w:vAlign w:val="bottom"/>
          </w:tcPr>
          <w:p>
            <w:pPr>
              <w:spacing w:after="0"/>
              <w:rPr>
                <w:sz w:val="17"/>
                <w:szCs w:val="17"/>
                <w:color w:val="auto"/>
              </w:rPr>
            </w:pPr>
          </w:p>
        </w:tc>
        <w:tc>
          <w:tcPr>
            <w:tcW w:w="69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-1004570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-1004570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jc w:val="center"/>
        <w:ind w:right="10200"/>
        <w:spacing w:after="0"/>
        <w:rPr>
          <w:rFonts w:ascii="Arial" w:cs="Arial" w:eastAsia="Arial" w:hAnsi="Arial"/>
          <w:sz w:val="17"/>
          <w:szCs w:val="17"/>
          <w:u w:val="single" w:color="auto"/>
          <w:color w:val="0000EE"/>
        </w:rPr>
      </w:pPr>
      <w:hyperlink w:anchor="page2">
        <w:r>
          <w:rPr>
            <w:rFonts w:ascii="Arial" w:cs="Arial" w:eastAsia="Arial" w:hAnsi="Arial"/>
            <w:sz w:val="17"/>
            <w:szCs w:val="17"/>
            <w:u w:val="single" w:color="auto"/>
            <w:color w:val="0000EE"/>
          </w:rPr>
          <w:t>Index to Exhibits</w:t>
        </w:r>
      </w:hyperlink>
    </w:p>
    <w:p>
      <w:pPr>
        <w:spacing w:after="0" w:line="35" w:lineRule="exact"/>
        <w:rPr>
          <w:sz w:val="20"/>
          <w:szCs w:val="20"/>
          <w:color w:val="auto"/>
        </w:rPr>
      </w:pPr>
    </w:p>
    <w:p>
      <w:pPr>
        <w:ind w:left="180"/>
        <w:spacing w:after="0"/>
        <w:rPr>
          <w:sz w:val="20"/>
          <w:szCs w:val="20"/>
          <w:color w:val="auto"/>
        </w:rPr>
      </w:pPr>
      <w:r>
        <w:rPr>
          <w:rFonts w:ascii="Arial" w:cs="Arial" w:eastAsia="Arial" w:hAnsi="Arial"/>
          <w:sz w:val="18"/>
          <w:szCs w:val="18"/>
          <w:color w:val="auto"/>
        </w:rPr>
        <w:t>Exhibit 23.1</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Exhibit 31.1</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Exhibit 31.2</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Exhibit 32.1</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Exhibit 32.2</w:t>
      </w:r>
    </w:p>
    <w:p>
      <w:pPr>
        <w:spacing w:after="0" w:line="200" w:lineRule="exact"/>
        <w:rPr>
          <w:sz w:val="20"/>
          <w:szCs w:val="20"/>
          <w:color w:val="auto"/>
        </w:rPr>
      </w:pPr>
    </w:p>
    <w:p>
      <w:pPr>
        <w:spacing w:after="0" w:line="28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PART IV</w:t>
      </w:r>
    </w:p>
    <w:p>
      <w:pPr>
        <w:spacing w:after="0" w:line="225"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229" w:lineRule="exact"/>
        <w:rPr>
          <w:sz w:val="20"/>
          <w:szCs w:val="20"/>
          <w:color w:val="auto"/>
        </w:rPr>
      </w:pPr>
    </w:p>
    <w:p>
      <w:pPr>
        <w:ind w:left="740" w:hanging="408"/>
        <w:spacing w:after="0"/>
        <w:tabs>
          <w:tab w:leader="none" w:pos="7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10-K/A Amendment No. 1:</w:t>
      </w:r>
    </w:p>
    <w:p>
      <w:pPr>
        <w:spacing w:after="0" w:line="225" w:lineRule="exact"/>
        <w:rPr>
          <w:sz w:val="20"/>
          <w:szCs w:val="20"/>
          <w:color w:val="auto"/>
        </w:rPr>
      </w:pPr>
    </w:p>
    <w:p>
      <w:pPr>
        <w:ind w:left="740" w:hanging="408"/>
        <w:spacing w:after="0"/>
        <w:tabs>
          <w:tab w:leader="none" w:pos="74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Index to Consolidated Financial Statements under Item 8 on page 87 of the originally filed Annual Report on Form 10-K.</w:t>
      </w:r>
    </w:p>
    <w:p>
      <w:pPr>
        <w:spacing w:after="0" w:line="225" w:lineRule="exact"/>
        <w:rPr>
          <w:sz w:val="20"/>
          <w:szCs w:val="20"/>
          <w:color w:val="auto"/>
        </w:rPr>
      </w:pPr>
    </w:p>
    <w:p>
      <w:pPr>
        <w:ind w:left="740" w:hanging="408"/>
        <w:spacing w:after="0"/>
        <w:tabs>
          <w:tab w:leader="none" w:pos="74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Financial Statement Schedules:</w:t>
      </w:r>
    </w:p>
    <w:p>
      <w:pPr>
        <w:spacing w:after="0" w:line="225" w:lineRule="exact"/>
        <w:rPr>
          <w:sz w:val="20"/>
          <w:szCs w:val="20"/>
          <w:color w:val="auto"/>
        </w:rPr>
      </w:pPr>
    </w:p>
    <w:p>
      <w:pPr>
        <w:ind w:right="80" w:firstLine="324"/>
        <w:spacing w:after="0" w:line="277"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170" w:lineRule="exact"/>
        <w:rPr>
          <w:sz w:val="20"/>
          <w:szCs w:val="20"/>
          <w:color w:val="auto"/>
        </w:rPr>
      </w:pPr>
    </w:p>
    <w:p>
      <w:pPr>
        <w:ind w:left="740" w:hanging="408"/>
        <w:spacing w:after="0"/>
        <w:tabs>
          <w:tab w:leader="none" w:pos="74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exhibit list in the Index to Exhibits below in this Amendment is incorporated herein by reference as the list of exhibits required as part of this report.</w:t>
      </w:r>
    </w:p>
    <w:p>
      <w:pPr>
        <w:spacing w:after="0" w:line="200" w:lineRule="exact"/>
        <w:rPr>
          <w:sz w:val="20"/>
          <w:szCs w:val="20"/>
          <w:color w:val="auto"/>
        </w:rPr>
      </w:pPr>
    </w:p>
    <w:p>
      <w:pPr>
        <w:spacing w:after="0" w:line="26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580" w:type="dxa"/>
            <w:vAlign w:val="bottom"/>
          </w:tcPr>
          <w:p>
            <w:pPr>
              <w:spacing w:after="0"/>
              <w:rPr>
                <w:sz w:val="20"/>
                <w:szCs w:val="20"/>
                <w:color w:val="auto"/>
              </w:rPr>
            </w:pPr>
          </w:p>
        </w:tc>
        <w:tc>
          <w:tcPr>
            <w:tcW w:w="5680" w:type="dxa"/>
            <w:vAlign w:val="bottom"/>
            <w:gridSpan w:val="2"/>
          </w:tcPr>
          <w:p>
            <w:pPr>
              <w:ind w:left="220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580" w:type="dxa"/>
            <w:vAlign w:val="bottom"/>
          </w:tcPr>
          <w:p>
            <w:pPr>
              <w:spacing w:after="0"/>
              <w:rPr>
                <w:sz w:val="20"/>
                <w:szCs w:val="20"/>
                <w:color w:val="auto"/>
              </w:rPr>
            </w:pPr>
            <w:r>
              <w:rPr>
                <w:rFonts w:ascii="Arial" w:cs="Arial" w:eastAsia="Arial" w:hAnsi="Arial"/>
                <w:sz w:val="18"/>
                <w:szCs w:val="18"/>
                <w:color w:val="auto"/>
              </w:rPr>
              <w:t>Dated: July 13, 2007</w:t>
            </w:r>
          </w:p>
        </w:tc>
        <w:tc>
          <w:tcPr>
            <w:tcW w:w="5680" w:type="dxa"/>
            <w:vAlign w:val="bottom"/>
            <w:gridSpan w:val="2"/>
          </w:tcPr>
          <w:p>
            <w:pPr>
              <w:ind w:left="2200"/>
              <w:spacing w:after="0"/>
              <w:rPr>
                <w:sz w:val="20"/>
                <w:szCs w:val="20"/>
                <w:color w:val="auto"/>
              </w:rPr>
            </w:pPr>
            <w:r>
              <w:rPr>
                <w:rFonts w:ascii="Arial" w:cs="Arial" w:eastAsia="Arial" w:hAnsi="Arial"/>
                <w:sz w:val="18"/>
                <w:szCs w:val="18"/>
                <w:color w:val="auto"/>
              </w:rPr>
              <w:t>By:   /s/ MICHAEL TATE</w:t>
            </w:r>
          </w:p>
        </w:tc>
      </w:tr>
      <w:tr>
        <w:trPr>
          <w:trHeight w:val="195"/>
        </w:trPr>
        <w:tc>
          <w:tcPr>
            <w:tcW w:w="3580" w:type="dxa"/>
            <w:vAlign w:val="bottom"/>
          </w:tcPr>
          <w:p>
            <w:pPr>
              <w:spacing w:after="0"/>
              <w:rPr>
                <w:sz w:val="16"/>
                <w:szCs w:val="16"/>
                <w:color w:val="auto"/>
              </w:rPr>
            </w:pPr>
          </w:p>
        </w:tc>
        <w:tc>
          <w:tcPr>
            <w:tcW w:w="2700" w:type="dxa"/>
            <w:vAlign w:val="bottom"/>
          </w:tcPr>
          <w:p>
            <w:pPr>
              <w:spacing w:after="0"/>
              <w:rPr>
                <w:sz w:val="16"/>
                <w:szCs w:val="16"/>
                <w:color w:val="auto"/>
              </w:rPr>
            </w:pPr>
          </w:p>
        </w:tc>
        <w:tc>
          <w:tcPr>
            <w:tcW w:w="29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r>
      <w:tr>
        <w:trPr>
          <w:trHeight w:val="230"/>
        </w:trPr>
        <w:tc>
          <w:tcPr>
            <w:tcW w:w="3580" w:type="dxa"/>
            <w:vAlign w:val="bottom"/>
          </w:tcPr>
          <w:p>
            <w:pPr>
              <w:spacing w:after="0"/>
              <w:rPr>
                <w:sz w:val="20"/>
                <w:szCs w:val="20"/>
                <w:color w:val="auto"/>
              </w:rPr>
            </w:pPr>
          </w:p>
        </w:tc>
        <w:tc>
          <w:tcPr>
            <w:tcW w:w="2700" w:type="dxa"/>
            <w:vAlign w:val="bottom"/>
          </w:tcPr>
          <w:p>
            <w:pPr>
              <w:spacing w:after="0"/>
              <w:rPr>
                <w:sz w:val="20"/>
                <w:szCs w:val="20"/>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Interim Chief Financial Officer</w:t>
            </w:r>
          </w:p>
        </w:tc>
      </w:tr>
      <w:tr>
        <w:trPr>
          <w:trHeight w:val="797"/>
        </w:trPr>
        <w:tc>
          <w:tcPr>
            <w:tcW w:w="3580" w:type="dxa"/>
            <w:vAlign w:val="bottom"/>
          </w:tcPr>
          <w:p>
            <w:pPr>
              <w:spacing w:after="0"/>
              <w:rPr>
                <w:sz w:val="24"/>
                <w:szCs w:val="24"/>
                <w:color w:val="auto"/>
              </w:rPr>
            </w:pPr>
          </w:p>
        </w:tc>
        <w:tc>
          <w:tcPr>
            <w:tcW w:w="2700" w:type="dxa"/>
            <w:vAlign w:val="bottom"/>
          </w:tcPr>
          <w:p>
            <w:pPr>
              <w:jc w:val="right"/>
              <w:ind w:right="430"/>
              <w:spacing w:after="0"/>
              <w:rPr>
                <w:sz w:val="20"/>
                <w:szCs w:val="20"/>
                <w:color w:val="auto"/>
              </w:rPr>
            </w:pPr>
            <w:r>
              <w:rPr>
                <w:rFonts w:ascii="Arial" w:cs="Arial" w:eastAsia="Arial" w:hAnsi="Arial"/>
                <w:sz w:val="18"/>
                <w:szCs w:val="18"/>
                <w:color w:val="auto"/>
              </w:rPr>
              <w:t>4</w:t>
            </w:r>
          </w:p>
        </w:tc>
        <w:tc>
          <w:tcPr>
            <w:tcW w:w="29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1" w:right="19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INDEX TO EXHIBITS</w:t>
      </w:r>
    </w:p>
    <w:p>
      <w:pPr>
        <w:sectPr>
          <w:pgSz w:w="11900" w:h="16838" w:orient="portrait"/>
          <w:cols w:equalWidth="0" w:num="1">
            <w:col w:w="11460"/>
          </w:cols>
          <w:pgMar w:left="240" w:top="121" w:right="199" w:bottom="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161"/>
        </w:trPr>
        <w:tc>
          <w:tcPr>
            <w:tcW w:w="12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0220" w:type="dxa"/>
            <w:vAlign w:val="bottom"/>
            <w:vMerge w:val="restart"/>
          </w:tcPr>
          <w:p>
            <w:pPr>
              <w:ind w:left="474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200" w:type="dxa"/>
            <w:vAlign w:val="bottom"/>
            <w:gridSpan w:val="2"/>
          </w:tcPr>
          <w:p>
            <w:pPr>
              <w:spacing w:after="0"/>
              <w:rPr>
                <w:sz w:val="20"/>
                <w:szCs w:val="20"/>
                <w:color w:val="auto"/>
              </w:rPr>
            </w:pPr>
            <w:r>
              <w:rPr>
                <w:rFonts w:ascii="Arial" w:cs="Arial" w:eastAsia="Arial" w:hAnsi="Arial"/>
                <w:sz w:val="14"/>
                <w:szCs w:val="14"/>
                <w:b w:val="1"/>
                <w:bCs w:val="1"/>
                <w:color w:val="auto"/>
              </w:rPr>
              <w:t>No.</w:t>
            </w:r>
          </w:p>
        </w:tc>
        <w:tc>
          <w:tcPr>
            <w:tcW w:w="1022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9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5"/>
              </w:rPr>
              <w:t>2.1</w:t>
            </w:r>
          </w:p>
        </w:tc>
        <w:tc>
          <w:tcPr>
            <w:tcW w:w="280" w:type="dxa"/>
            <w:vAlign w:val="bottom"/>
          </w:tcPr>
          <w:p>
            <w:pPr>
              <w:spacing w:after="0"/>
              <w:rPr>
                <w:sz w:val="24"/>
                <w:szCs w:val="24"/>
                <w:color w:val="auto"/>
              </w:rPr>
            </w:pPr>
          </w:p>
        </w:tc>
        <w:tc>
          <w:tcPr>
            <w:tcW w:w="102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3"/>
              </w:rPr>
              <w:t>Purchase and Sale Agreement dated as of February 17, 2006, by and among Avago Technologies Limited, Avago Technologies Imaging</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2"/>
              </w:rPr>
              <w:t>Holding (Labuan) Corporation, other sellers and Marvell Technology Group Ltd. and Marvell International Technology Ltd., incorporated by</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6"/>
              </w:rPr>
              <w:t>reference to Exhibit 2.1 of the registrant’s annual report on Form 10-K for the year ended January 28, 2006 as filed on April 13, 2006</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2.2</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0"/>
              </w:rPr>
              <w:t>Asset Purchase Agreement dated as of June 26, 2006 by and between Intel Corporation and Marvell Technology Group Ltd., incorporated by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1"/>
              </w:rPr>
              <w:t>reference to Exhibit 2.1 of the registrant’s current report on Form 8-K for the period dated November 8, 2006 as filed on November 14, 2006</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2"/>
              </w:rPr>
              <w:t>Memorandum of Association of the registrant, incorporated by reference to Exhibit 3.1 of the registrant’s registration statement on Form S-1</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3.2</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5"/>
              </w:rPr>
              <w:t>Second Amended and Restated Bye-laws of the registrant, incorporated by reference to Appendix A of the registrant’s Definitive Proxy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Statement, as filed on May 21,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3.3</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Memorandum of Increase of Share Capital of Marvell Technology Group Ltd., incorporated by reference to Exhibit 3.1 of the registrant’s</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current report on Form 8-K for the period dated June 29, 2006 as filed on July 6, 2006</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4.1</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Specimen common stock certificate of the registrant, incorporated by reference to Exhibit 4.1 of the registrant’s registration statement 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Form S-1/A (file no. 333-33086), as filed on May 5,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88"/>
              </w:rPr>
              <w:t>10.1#</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 no.</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333-33086), as filed on March 23,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10.2</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3"/>
              </w:rPr>
              <w:t>Galileo Technology Ltd. 1997 Employees’ Stock Option Plan, incorporated by reference to Exhibit 10.4 of the registrant’s annual report 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10.3</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1"/>
              </w:rPr>
              <w:t>Galileo Technology Ltd. 1997 GTI Stock Option Plan, incorporated by reference to Exhibit 10.5 of the registrant’s annual report on Form 10-</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K for the year ended January 27, 2001 as filed on April 27,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10.4</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1"/>
              </w:rPr>
              <w:t>Investors Rights Agreement dated September 10, 1999, incorporated by reference to Exhibit 10.6 of the registrant’s registration statement 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Form S-1 (file no. 333-33086), as filed on March 23,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10.5</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3"/>
              </w:rPr>
              <w:t>Wafer Purchase Agreement by and between Marvell Technology Group Ltd. and Taiwan Semiconductor Manufacturing Corporation dated</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June 30, 1997, incorporated by reference to Exhibit 10.7 of the registrant’s registration statement on Form S-1/A (file no. 333-33086), as</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filed on May 5,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10.6*</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5"/>
              </w:rPr>
              <w:t>Master Development, Purchasing and License Agreement between Intel Corporation and Marvell Semiconductor, Inc., incorporated by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reference to Exhibit 10.8 of the registrant’s registration statement on Form S-1/A (file no. 333-33086), as filed on June 23,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10.7</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Lease Agreement dated June 1, 2000 by and between Marvell Semiconductor, Inc. and 525 Almanor LLC, incorporated by reference to</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Exhibit 10.9 of the registrant’s quarterly report on Form 10-Q for the period ended July 29, 2000 as filed on September 12, 2000</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1"/>
              </w:rPr>
              <w:t>10.8</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1"/>
              </w:rPr>
              <w:t>Lease Agreement dated June 30, 2000 by and between Galileo Technology Ltd. and Zanker Development Co., incorporated by reference to</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Exhibit 10.12 of the registrant’s annual report on Form 10-K for the year ended January 27, 2001 as filed on April 27,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5"/>
              </w:rPr>
              <w:t>10.9*</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6"/>
              </w:rPr>
              <w:t>Technology License Agreement dated April 23, 2001 by and between Marvell International Limited and ARM Limited, incorporated by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reference to Exhibit 10.13 of the registrant’s quarterly report on Form 10-Q for the period ended April 28, 2001 as filed on June 12,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2"/>
              </w:rPr>
              <w:t>10.10*</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Amendment Number 2 to Master Development, Purchasing and License Agreement dated July 17, 2001 between Intel Corporation and</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5"/>
              </w:rPr>
              <w:t>Marvell Semiconductor, Inc., incorporated by reference to Exhibit 10.14 of the registrant’s quarterly report on Form 10-Q for the period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ended July 28, 2001 as filed on September 12,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02"/>
        </w:trPr>
        <w:tc>
          <w:tcPr>
            <w:tcW w:w="9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220" w:type="dxa"/>
            <w:vAlign w:val="bottom"/>
          </w:tcPr>
          <w:p>
            <w:pPr>
              <w:ind w:left="4460"/>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200" w:type="dxa"/>
            <w:vAlign w:val="bottom"/>
            <w:tcBorders>
              <w:bottom w:val="single" w:sz="8" w:color="010101"/>
            </w:tcBorders>
            <w:gridSpan w:val="2"/>
          </w:tcPr>
          <w:p>
            <w:pPr>
              <w:spacing w:after="0"/>
              <w:rPr>
                <w:sz w:val="24"/>
                <w:szCs w:val="24"/>
                <w:color w:val="auto"/>
              </w:rPr>
            </w:pPr>
          </w:p>
        </w:tc>
        <w:tc>
          <w:tcPr>
            <w:tcW w:w="102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469"/>
        </w:trPr>
        <w:tc>
          <w:tcPr>
            <w:tcW w:w="12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0220" w:type="dxa"/>
            <w:vAlign w:val="bottom"/>
            <w:vMerge w:val="restart"/>
          </w:tcPr>
          <w:p>
            <w:pPr>
              <w:ind w:left="474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200" w:type="dxa"/>
            <w:vAlign w:val="bottom"/>
            <w:gridSpan w:val="2"/>
          </w:tcPr>
          <w:p>
            <w:pPr>
              <w:spacing w:after="0"/>
              <w:rPr>
                <w:sz w:val="20"/>
                <w:szCs w:val="20"/>
                <w:color w:val="auto"/>
              </w:rPr>
            </w:pPr>
            <w:r>
              <w:rPr>
                <w:rFonts w:ascii="Arial" w:cs="Arial" w:eastAsia="Arial" w:hAnsi="Arial"/>
                <w:sz w:val="14"/>
                <w:szCs w:val="14"/>
                <w:b w:val="1"/>
                <w:bCs w:val="1"/>
                <w:color w:val="auto"/>
              </w:rPr>
              <w:t>No.</w:t>
            </w:r>
          </w:p>
        </w:tc>
        <w:tc>
          <w:tcPr>
            <w:tcW w:w="1022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9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8"/>
              </w:rPr>
              <w:t>10.11</w:t>
            </w:r>
          </w:p>
        </w:tc>
        <w:tc>
          <w:tcPr>
            <w:tcW w:w="280" w:type="dxa"/>
            <w:vAlign w:val="bottom"/>
          </w:tcPr>
          <w:p>
            <w:pPr>
              <w:spacing w:after="0"/>
              <w:rPr>
                <w:sz w:val="24"/>
                <w:szCs w:val="24"/>
                <w:color w:val="auto"/>
              </w:rPr>
            </w:pPr>
          </w:p>
        </w:tc>
        <w:tc>
          <w:tcPr>
            <w:tcW w:w="102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6"/>
              </w:rPr>
              <w:t>Lease Agreement dated October 19, 2001 by and between Marvell Semiconductor, Inc. and Yahoo! Inc., incorporated by reference to</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7"/>
              </w:rPr>
              <w:t>Exhibit 10.15 of the registrant’s quarterly report on Form 10-Q for the period ended October 27, 2001 as filed on December 7, 2001</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2"/>
              </w:rPr>
              <w:t>10.12*</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Supply Agreement for the Fabrication and Purchase of Semiconductor Products dated June 13, 2002 by and between Marvell</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7"/>
              </w:rPr>
              <w:t>Semiconductor, Inc., Marvell Asia Pte Ltd. and Western Digital Technologies, Inc., incorporated by reference to Exhibit 10.16 of the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registrant’s quarterly report on Form 10-Q for the period ended August 3, 2002 as filed on September 17, 2002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2"/>
              </w:rPr>
              <w:t>10.13*</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8"/>
              </w:rPr>
              <w:t>Amendment Number 3 to Master Development, Purchasing and License Agreement dated October 10, 2002 by and between Intel</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3"/>
              </w:rPr>
              <w:t>Corporation and Marvell Semiconductor, Inc., incorporated by reference to Exhibit 10.17 of the registrant’s quarterly report on Form 10-Q</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for the period ended November 2, 2002 as filed on December 17, 2002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920" w:type="dxa"/>
            <w:vAlign w:val="bottom"/>
          </w:tcPr>
          <w:p>
            <w:pPr>
              <w:jc w:val="center"/>
              <w:spacing w:after="0"/>
              <w:rPr>
                <w:sz w:val="20"/>
                <w:szCs w:val="20"/>
                <w:color w:val="auto"/>
              </w:rPr>
            </w:pPr>
            <w:r>
              <w:rPr>
                <w:rFonts w:ascii="Arial" w:cs="Arial" w:eastAsia="Arial" w:hAnsi="Arial"/>
                <w:sz w:val="18"/>
                <w:szCs w:val="18"/>
                <w:color w:val="auto"/>
                <w:w w:val="92"/>
              </w:rPr>
              <w:t>10.14*</w:t>
            </w:r>
          </w:p>
        </w:tc>
        <w:tc>
          <w:tcPr>
            <w:tcW w:w="280" w:type="dxa"/>
            <w:vAlign w:val="bottom"/>
          </w:tcPr>
          <w:p>
            <w:pPr>
              <w:spacing w:after="0"/>
              <w:rPr>
                <w:sz w:val="24"/>
                <w:szCs w:val="24"/>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1"/>
              </w:rPr>
              <w:t>Volume Supply Requirements Agreement dated as of December 2,2002, by and among Marvell Asia Pte Ltd. and Seagate Technology LLC</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20" w:type="dxa"/>
            <w:vAlign w:val="bottom"/>
          </w:tcPr>
          <w:p>
            <w:pPr>
              <w:spacing w:after="0"/>
              <w:rPr>
                <w:sz w:val="20"/>
                <w:szCs w:val="20"/>
                <w:color w:val="auto"/>
              </w:rPr>
            </w:pPr>
            <w:r>
              <w:rPr>
                <w:rFonts w:ascii="Arial" w:cs="Arial" w:eastAsia="Arial" w:hAnsi="Arial"/>
                <w:sz w:val="18"/>
                <w:szCs w:val="18"/>
                <w:color w:val="auto"/>
                <w:w w:val="94"/>
              </w:rPr>
              <w:t>incorporated by reference to Exhibit 10.18 of the registrant’s annual report on Form 10-K for the year ended February 1, 2003 as filed on</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spacing w:after="0"/>
              <w:rPr>
                <w:sz w:val="20"/>
                <w:szCs w:val="20"/>
                <w:color w:val="auto"/>
              </w:rPr>
            </w:pPr>
            <w:r>
              <w:rPr>
                <w:rFonts w:ascii="Arial" w:cs="Arial" w:eastAsia="Arial" w:hAnsi="Arial"/>
                <w:sz w:val="18"/>
                <w:szCs w:val="18"/>
                <w:color w:val="auto"/>
              </w:rPr>
              <w:t>May 2, 2003</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-2496820</wp:posOffset>
            </wp:positionV>
            <wp:extent cx="12700"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-2496820</wp:posOffset>
            </wp:positionV>
            <wp:extent cx="12700"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87" w:right="199" w:bottom="0" w:gutter="0" w:footer="0" w:header="0"/>
        </w:sectPr>
      </w:pPr>
    </w:p>
    <w:bookmarkStart w:id="3" w:name="page4"/>
    <w:bookmarkEnd w:id="3"/>
    <w:p>
      <w:pPr>
        <w:ind w:left="1200" w:right="80" w:hanging="937"/>
        <w:spacing w:after="0" w:line="277" w:lineRule="auto"/>
        <w:tabs>
          <w:tab w:leader="none" w:pos="118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8"/>
          <w:szCs w:val="18"/>
          <w:color w:val="auto"/>
        </w:rPr>
        <w:t>Amended 2000 Employee Stock Purchase Plan, incorporated by reference to Exhibit 10.19 of the registrant’s quarterly report on 10-Q for the period ended August 2, 2003 as filed on September 15, 2003</w:t>
      </w:r>
    </w:p>
    <w:p>
      <w:pPr>
        <w:spacing w:after="0" w:line="170" w:lineRule="exact"/>
        <w:rPr>
          <w:sz w:val="20"/>
          <w:szCs w:val="20"/>
          <w:color w:val="auto"/>
        </w:rPr>
      </w:pPr>
    </w:p>
    <w:p>
      <w:pPr>
        <w:ind w:left="1200" w:right="140" w:hanging="937"/>
        <w:spacing w:after="0" w:line="264" w:lineRule="auto"/>
        <w:tabs>
          <w:tab w:leader="none" w:pos="118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Purchase and Sale Agreement for 5400 Bayfront Plaza; Santa Clara, California, dated August 18, 2003, by and between 3Com Corporation and Marvell Semiconductor, Inc., incorporated by reference to Exhibit 10.21 of the registrant’s quarterly report on 10-Q for the period ended November 1, 2003 as filed on December 15, 2003</w:t>
      </w:r>
    </w:p>
    <w:p>
      <w:pPr>
        <w:spacing w:after="0" w:line="181" w:lineRule="exact"/>
        <w:rPr>
          <w:sz w:val="20"/>
          <w:szCs w:val="20"/>
          <w:color w:val="auto"/>
        </w:rPr>
      </w:pPr>
    </w:p>
    <w:p>
      <w:pPr>
        <w:ind w:left="260"/>
        <w:spacing w:after="0"/>
        <w:tabs>
          <w:tab w:leader="none" w:pos="118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6"/>
          <w:szCs w:val="16"/>
          <w:color w:val="auto"/>
        </w:rPr>
        <w:t>First Amendment to Purchase and Sale Agreement dated October15, 2003, by and between 3Com Corporation and Marvell</w:t>
      </w:r>
    </w:p>
    <w:p>
      <w:pPr>
        <w:spacing w:after="0" w:line="23" w:lineRule="exact"/>
        <w:rPr>
          <w:sz w:val="20"/>
          <w:szCs w:val="20"/>
          <w:color w:val="auto"/>
        </w:rPr>
      </w:pPr>
    </w:p>
    <w:p>
      <w:pPr>
        <w:ind w:left="1200"/>
        <w:spacing w:after="0"/>
        <w:rPr>
          <w:sz w:val="20"/>
          <w:szCs w:val="20"/>
          <w:color w:val="auto"/>
        </w:rPr>
      </w:pPr>
      <w:r>
        <w:rPr>
          <w:rFonts w:ascii="Arial" w:cs="Arial" w:eastAsia="Arial" w:hAnsi="Arial"/>
          <w:sz w:val="16"/>
          <w:szCs w:val="16"/>
          <w:color w:val="auto"/>
        </w:rPr>
        <w:t>Semiconductor, Inc., incorporated by reference to Exhibit 10.22 of the registrant’s quarterly report on 10-Q for the period ended November 1,</w:t>
      </w:r>
    </w:p>
    <w:p>
      <w:pPr>
        <w:spacing w:after="0" w:line="32" w:lineRule="exact"/>
        <w:rPr>
          <w:sz w:val="20"/>
          <w:szCs w:val="20"/>
          <w:color w:val="auto"/>
        </w:rPr>
      </w:pPr>
    </w:p>
    <w:p>
      <w:pPr>
        <w:ind w:left="1200"/>
        <w:spacing w:after="0"/>
        <w:rPr>
          <w:sz w:val="20"/>
          <w:szCs w:val="20"/>
          <w:color w:val="auto"/>
        </w:rPr>
      </w:pPr>
      <w:r>
        <w:rPr>
          <w:rFonts w:ascii="Arial" w:cs="Arial" w:eastAsia="Arial" w:hAnsi="Arial"/>
          <w:sz w:val="18"/>
          <w:szCs w:val="18"/>
          <w:color w:val="auto"/>
        </w:rPr>
        <w:t>2003 as filed on December 15, 2003</w:t>
      </w:r>
    </w:p>
    <w:p>
      <w:pPr>
        <w:spacing w:after="0" w:line="211" w:lineRule="exact"/>
        <w:rPr>
          <w:sz w:val="20"/>
          <w:szCs w:val="20"/>
          <w:color w:val="auto"/>
        </w:rPr>
      </w:pPr>
    </w:p>
    <w:p>
      <w:pPr>
        <w:ind w:left="1200" w:right="60" w:hanging="937"/>
        <w:spacing w:after="0" w:line="264" w:lineRule="auto"/>
        <w:tabs>
          <w:tab w:leader="none" w:pos="118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8"/>
          <w:szCs w:val="18"/>
          <w:color w:val="auto"/>
        </w:rPr>
        <w:t>Second Amendment to Purchase and Sale Agreement dated October 22, 2003, by and between 3Com Corporation and Marvell Semiconductor, Inc., incorporated by reference to Exhibit 10.23 of the registrant’s quarterly report on 10-Q for the period ended November 1, 2003 as filed on December 15, 2003</w:t>
      </w:r>
    </w:p>
    <w:p>
      <w:pPr>
        <w:spacing w:after="0" w:line="181" w:lineRule="exact"/>
        <w:rPr>
          <w:sz w:val="20"/>
          <w:szCs w:val="20"/>
          <w:color w:val="auto"/>
        </w:rPr>
      </w:pPr>
    </w:p>
    <w:p>
      <w:pPr>
        <w:ind w:left="1200" w:right="300" w:hanging="982"/>
        <w:spacing w:after="0" w:line="277" w:lineRule="auto"/>
        <w:tabs>
          <w:tab w:leader="none" w:pos="1180"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Amended and Restated 1995 Stock Option Plan Restricted Stock Agreement, incorporated by reference to Exhibit 10.20 of the registrant’s annual report on Form 10-K for the year ended January 28, 2006 as filed on April 13, 2006</w:t>
      </w:r>
    </w:p>
    <w:p>
      <w:pPr>
        <w:spacing w:after="0" w:line="170" w:lineRule="exact"/>
        <w:rPr>
          <w:sz w:val="20"/>
          <w:szCs w:val="20"/>
          <w:color w:val="auto"/>
        </w:rPr>
      </w:pPr>
    </w:p>
    <w:p>
      <w:pPr>
        <w:ind w:left="1200" w:right="300" w:hanging="982"/>
        <w:spacing w:after="0" w:line="277" w:lineRule="auto"/>
        <w:tabs>
          <w:tab w:leader="none" w:pos="1180" w:val="left"/>
        </w:tabs>
        <w:rPr>
          <w:sz w:val="20"/>
          <w:szCs w:val="20"/>
          <w:color w:val="auto"/>
        </w:rPr>
      </w:pPr>
      <w:r>
        <w:rPr>
          <w:rFonts w:ascii="Arial" w:cs="Arial" w:eastAsia="Arial" w:hAnsi="Arial"/>
          <w:sz w:val="18"/>
          <w:szCs w:val="18"/>
          <w:color w:val="auto"/>
        </w:rPr>
        <w:t>10.20#</w:t>
      </w:r>
      <w:r>
        <w:rPr>
          <w:sz w:val="20"/>
          <w:szCs w:val="20"/>
          <w:color w:val="auto"/>
        </w:rPr>
        <w:tab/>
      </w:r>
      <w:r>
        <w:rPr>
          <w:rFonts w:ascii="Arial" w:cs="Arial" w:eastAsia="Arial" w:hAnsi="Arial"/>
          <w:sz w:val="18"/>
          <w:szCs w:val="18"/>
          <w:color w:val="auto"/>
        </w:rPr>
        <w:t>Amended and Restated 1995 Stock Option Plan, incorporated by reference to Exhibit 10.24 of the registrant’s quarterly report on 10-Q for the period ended July 30, 2005 as filed on September 8, 2005</w:t>
      </w:r>
    </w:p>
    <w:p>
      <w:pPr>
        <w:spacing w:after="0" w:line="170" w:lineRule="exact"/>
        <w:rPr>
          <w:sz w:val="20"/>
          <w:szCs w:val="20"/>
          <w:color w:val="auto"/>
        </w:rPr>
      </w:pPr>
    </w:p>
    <w:p>
      <w:pPr>
        <w:ind w:left="1200" w:right="540" w:hanging="982"/>
        <w:spacing w:after="0" w:line="277" w:lineRule="auto"/>
        <w:tabs>
          <w:tab w:leader="none" w:pos="1180" w:val="left"/>
        </w:tabs>
        <w:rPr>
          <w:sz w:val="20"/>
          <w:szCs w:val="20"/>
          <w:color w:val="auto"/>
        </w:rPr>
      </w:pPr>
      <w:r>
        <w:rPr>
          <w:rFonts w:ascii="Arial" w:cs="Arial" w:eastAsia="Arial" w:hAnsi="Arial"/>
          <w:sz w:val="18"/>
          <w:szCs w:val="18"/>
          <w:color w:val="auto"/>
        </w:rPr>
        <w:t>10.21#</w:t>
      </w:r>
      <w:r>
        <w:rPr>
          <w:sz w:val="20"/>
          <w:szCs w:val="20"/>
          <w:color w:val="auto"/>
        </w:rPr>
        <w:tab/>
      </w:r>
      <w:r>
        <w:rPr>
          <w:rFonts w:ascii="Arial" w:cs="Arial" w:eastAsia="Arial" w:hAnsi="Arial"/>
          <w:sz w:val="18"/>
          <w:szCs w:val="18"/>
          <w:color w:val="auto"/>
        </w:rPr>
        <w:t>Form of Performance-Based Vesting Option Agreement, incorporated by reference to Exhibit 10.23 of the registrant’s current report on Form 8-K for the period dated May 25, 2006 as filed on May 30, 2006</w:t>
      </w:r>
    </w:p>
    <w:p>
      <w:pPr>
        <w:spacing w:after="0" w:line="170" w:lineRule="exact"/>
        <w:rPr>
          <w:sz w:val="20"/>
          <w:szCs w:val="20"/>
          <w:color w:val="auto"/>
        </w:rPr>
      </w:pPr>
    </w:p>
    <w:p>
      <w:pPr>
        <w:ind w:left="1200" w:right="140" w:hanging="937"/>
        <w:spacing w:after="0" w:line="259" w:lineRule="auto"/>
        <w:tabs>
          <w:tab w:leader="none" w:pos="1180" w:val="left"/>
        </w:tabs>
        <w:rPr>
          <w:sz w:val="20"/>
          <w:szCs w:val="20"/>
          <w:color w:val="auto"/>
        </w:rPr>
      </w:pPr>
      <w:r>
        <w:rPr>
          <w:rFonts w:ascii="Arial" w:cs="Arial" w:eastAsia="Arial" w:hAnsi="Arial"/>
          <w:sz w:val="18"/>
          <w:szCs w:val="18"/>
          <w:color w:val="auto"/>
        </w:rPr>
        <w:t>10.22</w:t>
      </w:r>
      <w:r>
        <w:rPr>
          <w:sz w:val="20"/>
          <w:szCs w:val="20"/>
          <w:color w:val="auto"/>
        </w:rPr>
        <w:tab/>
      </w:r>
      <w:r>
        <w:rPr>
          <w:rFonts w:ascii="Arial" w:cs="Arial" w:eastAsia="Arial" w:hAnsi="Arial"/>
          <w:sz w:val="18"/>
          <w:szCs w:val="18"/>
          <w:color w:val="auto"/>
        </w:rPr>
        <w:t>Credit Agreement dated as of November 8, 2006 among Marvell Technology Group Ltd., the Lenders Party thereto, Credit Suisse, Cayman Islands Branch, as Administrative Agent, LaSalle Bank National Association, as Syndication Agent, and KeyBank National Association and Commerzbank AG, as Co-Documentation Agents, incorporated by reference to Exhibit 10.1 of the registrant’s current report on Form 8-K for the period dated November 8, 2006 as filed on November 14, 2006</w:t>
      </w:r>
    </w:p>
    <w:p>
      <w:pPr>
        <w:spacing w:after="0" w:line="187" w:lineRule="exact"/>
        <w:rPr>
          <w:sz w:val="20"/>
          <w:szCs w:val="20"/>
          <w:color w:val="auto"/>
        </w:rPr>
      </w:pPr>
    </w:p>
    <w:p>
      <w:pPr>
        <w:ind w:left="1200" w:right="60" w:hanging="937"/>
        <w:spacing w:after="0" w:line="264" w:lineRule="auto"/>
        <w:tabs>
          <w:tab w:leader="none" w:pos="1180" w:val="left"/>
        </w:tabs>
        <w:rPr>
          <w:sz w:val="20"/>
          <w:szCs w:val="20"/>
          <w:color w:val="auto"/>
        </w:rPr>
      </w:pPr>
      <w:r>
        <w:rPr>
          <w:rFonts w:ascii="Arial" w:cs="Arial" w:eastAsia="Arial" w:hAnsi="Arial"/>
          <w:sz w:val="18"/>
          <w:szCs w:val="18"/>
          <w:color w:val="auto"/>
        </w:rPr>
        <w:t>10.23</w:t>
      </w:r>
      <w:r>
        <w:rPr>
          <w:sz w:val="20"/>
          <w:szCs w:val="20"/>
          <w:color w:val="auto"/>
        </w:rPr>
        <w:tab/>
      </w:r>
      <w:r>
        <w:rPr>
          <w:rFonts w:ascii="Arial" w:cs="Arial" w:eastAsia="Arial" w:hAnsi="Arial"/>
          <w:sz w:val="18"/>
          <w:szCs w:val="18"/>
          <w:color w:val="auto"/>
        </w:rPr>
        <w:t>U.S. Pledge Agreement dated as of November 8, 2006 among Marvell Technology Group Ltd., Marvell Technology, Inc. and Credit Suisse, Cayman Islands Branch, as Administrative Agent, incorporated by reference to Exhibit 10.2 of the registrant’s current report on Form 8-K for the period dated November 8, 2006 as filed on November 14, 2006</w:t>
      </w:r>
    </w:p>
    <w:p>
      <w:pPr>
        <w:spacing w:after="0" w:line="181" w:lineRule="exact"/>
        <w:rPr>
          <w:sz w:val="20"/>
          <w:szCs w:val="20"/>
          <w:color w:val="auto"/>
        </w:rPr>
      </w:pPr>
    </w:p>
    <w:p>
      <w:pPr>
        <w:ind w:left="1200" w:right="420" w:hanging="937"/>
        <w:spacing w:after="0" w:line="264" w:lineRule="auto"/>
        <w:tabs>
          <w:tab w:leader="none" w:pos="1180" w:val="left"/>
        </w:tabs>
        <w:rPr>
          <w:sz w:val="20"/>
          <w:szCs w:val="20"/>
          <w:color w:val="auto"/>
        </w:rPr>
      </w:pPr>
      <w:r>
        <w:rPr>
          <w:rFonts w:ascii="Arial" w:cs="Arial" w:eastAsia="Arial" w:hAnsi="Arial"/>
          <w:sz w:val="18"/>
          <w:szCs w:val="18"/>
          <w:color w:val="auto"/>
        </w:rPr>
        <w:t>10.24</w:t>
      </w:r>
      <w:r>
        <w:rPr>
          <w:sz w:val="20"/>
          <w:szCs w:val="20"/>
          <w:color w:val="auto"/>
        </w:rPr>
        <w:tab/>
      </w:r>
      <w:r>
        <w:rPr>
          <w:rFonts w:ascii="Arial" w:cs="Arial" w:eastAsia="Arial" w:hAnsi="Arial"/>
          <w:sz w:val="18"/>
          <w:szCs w:val="18"/>
          <w:color w:val="auto"/>
        </w:rPr>
        <w:t>Bermuda Pledge Agreement dated as of November 8, 2006 among Marvell Technology Group Ltd., Marvell Technology, Inc. and Credit Suisse, Cayman Islands Branch, as Administrative Agent, incorporated by reference to Exhibit 10.3 of the registrant’s current report on Form 8-K for the period dated November 8, 2006 as filed on November 14, 2006</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20" w:type="dxa"/>
            <w:vAlign w:val="bottom"/>
          </w:tcPr>
          <w:p>
            <w:pPr>
              <w:jc w:val="right"/>
              <w:ind w:right="5579"/>
              <w:spacing w:after="0"/>
              <w:rPr>
                <w:sz w:val="20"/>
                <w:szCs w:val="20"/>
                <w:color w:val="auto"/>
              </w:rPr>
            </w:pPr>
            <w:r>
              <w:rPr>
                <w:rFonts w:ascii="Arial" w:cs="Arial" w:eastAsia="Arial" w:hAnsi="Arial"/>
                <w:sz w:val="18"/>
                <w:szCs w:val="18"/>
                <w:color w:val="auto"/>
              </w:rPr>
              <w:t>6</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92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02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469"/>
        </w:trPr>
        <w:tc>
          <w:tcPr>
            <w:tcW w:w="12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0220" w:type="dxa"/>
            <w:vAlign w:val="bottom"/>
            <w:vMerge w:val="restart"/>
          </w:tcPr>
          <w:p>
            <w:pPr>
              <w:jc w:val="right"/>
              <w:ind w:right="4679"/>
              <w:spacing w:after="0"/>
              <w:rPr>
                <w:sz w:val="20"/>
                <w:szCs w:val="20"/>
                <w:color w:val="auto"/>
              </w:rPr>
            </w:pPr>
            <w:r>
              <w:rPr>
                <w:rFonts w:ascii="Arial" w:cs="Arial" w:eastAsia="Arial" w:hAnsi="Arial"/>
                <w:sz w:val="14"/>
                <w:szCs w:val="14"/>
                <w:b w:val="1"/>
                <w:bCs w:val="1"/>
                <w:color w:val="auto"/>
              </w:rPr>
              <w:t>Description</w:t>
            </w:r>
          </w:p>
        </w:tc>
        <w:tc>
          <w:tcPr>
            <w:tcW w:w="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9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No.</w:t>
            </w:r>
          </w:p>
        </w:tc>
        <w:tc>
          <w:tcPr>
            <w:tcW w:w="280" w:type="dxa"/>
            <w:vAlign w:val="bottom"/>
          </w:tcPr>
          <w:p>
            <w:pPr>
              <w:spacing w:after="0"/>
              <w:rPr>
                <w:sz w:val="14"/>
                <w:szCs w:val="14"/>
                <w:color w:val="auto"/>
              </w:rPr>
            </w:pPr>
          </w:p>
        </w:tc>
        <w:tc>
          <w:tcPr>
            <w:tcW w:w="10220" w:type="dxa"/>
            <w:vAlign w:val="bottom"/>
            <w:tcBorders>
              <w:bottom w:val="single" w:sz="8" w:color="auto"/>
            </w:tcBorders>
            <w:vMerge w:val="continue"/>
          </w:tcPr>
          <w:p>
            <w:pPr>
              <w:spacing w:after="0"/>
              <w:rPr>
                <w:sz w:val="14"/>
                <w:szCs w:val="14"/>
                <w:color w:val="auto"/>
              </w:rPr>
            </w:pPr>
          </w:p>
        </w:tc>
        <w:tc>
          <w:tcPr>
            <w:tcW w:w="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-438785</wp:posOffset>
            </wp:positionV>
            <wp:extent cx="12700"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-438785</wp:posOffset>
            </wp:positionV>
            <wp:extent cx="12700"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1200" w:right="860" w:hanging="937"/>
        <w:spacing w:after="0" w:line="264" w:lineRule="auto"/>
        <w:tabs>
          <w:tab w:leader="none" w:pos="1180" w:val="left"/>
        </w:tabs>
        <w:rPr>
          <w:sz w:val="20"/>
          <w:szCs w:val="20"/>
          <w:color w:val="auto"/>
        </w:rPr>
      </w:pPr>
      <w:r>
        <w:rPr>
          <w:rFonts w:ascii="Arial" w:cs="Arial" w:eastAsia="Arial" w:hAnsi="Arial"/>
          <w:sz w:val="18"/>
          <w:szCs w:val="18"/>
          <w:color w:val="auto"/>
        </w:rPr>
        <w:t>10.25</w:t>
      </w:r>
      <w:r>
        <w:rPr>
          <w:sz w:val="20"/>
          <w:szCs w:val="20"/>
          <w:color w:val="auto"/>
        </w:rPr>
        <w:tab/>
      </w:r>
      <w:r>
        <w:rPr>
          <w:rFonts w:ascii="Arial" w:cs="Arial" w:eastAsia="Arial" w:hAnsi="Arial"/>
          <w:sz w:val="18"/>
          <w:szCs w:val="18"/>
          <w:color w:val="auto"/>
        </w:rPr>
        <w:t>Share Charge dated as of November 8, 2006 between Marvell International Ltd. and Credit Suisse, Cayman Islands Branch, as Administrative Agent, incorporated by reference to Exhibit 10.4 of the registrant’s current report on Form 8-K for the period dated November 8, 2006 as filed on November 14, 2006</w:t>
      </w:r>
    </w:p>
    <w:p>
      <w:pPr>
        <w:spacing w:after="0" w:line="181" w:lineRule="exact"/>
        <w:rPr>
          <w:sz w:val="20"/>
          <w:szCs w:val="20"/>
          <w:color w:val="auto"/>
        </w:rPr>
      </w:pPr>
    </w:p>
    <w:p>
      <w:pPr>
        <w:ind w:left="1200" w:right="260" w:hanging="982"/>
        <w:spacing w:after="0" w:line="264" w:lineRule="auto"/>
        <w:tabs>
          <w:tab w:leader="none" w:pos="1180" w:val="left"/>
        </w:tabs>
        <w:rPr>
          <w:sz w:val="20"/>
          <w:szCs w:val="20"/>
          <w:color w:val="auto"/>
        </w:rPr>
      </w:pPr>
      <w:r>
        <w:rPr>
          <w:rFonts w:ascii="Arial" w:cs="Arial" w:eastAsia="Arial" w:hAnsi="Arial"/>
          <w:sz w:val="18"/>
          <w:szCs w:val="18"/>
          <w:color w:val="auto"/>
        </w:rPr>
        <w:t>10.26#</w:t>
      </w:r>
      <w:r>
        <w:rPr>
          <w:sz w:val="20"/>
          <w:szCs w:val="20"/>
          <w:color w:val="auto"/>
        </w:rPr>
        <w:tab/>
      </w:r>
      <w:r>
        <w:rPr>
          <w:rFonts w:ascii="Arial" w:cs="Arial" w:eastAsia="Arial" w:hAnsi="Arial"/>
          <w:sz w:val="18"/>
          <w:szCs w:val="18"/>
          <w:color w:val="auto"/>
        </w:rPr>
        <w:t>Reformation of Stock Option Agreement dated December 27, 2006 by and between Sehat Sutardja and Marvell Technology Group Ltd., incorporated by reference to Exhibit 10.1 of the registrant’s current report on Form 8-K for the period dated December 27, 2006 as filed on January 4, 2007</w:t>
      </w:r>
    </w:p>
    <w:p>
      <w:pPr>
        <w:spacing w:after="0" w:line="181" w:lineRule="exact"/>
        <w:rPr>
          <w:sz w:val="20"/>
          <w:szCs w:val="20"/>
          <w:color w:val="auto"/>
        </w:rPr>
      </w:pPr>
    </w:p>
    <w:p>
      <w:pPr>
        <w:ind w:left="1200" w:right="260" w:hanging="982"/>
        <w:spacing w:after="0" w:line="264" w:lineRule="auto"/>
        <w:tabs>
          <w:tab w:leader="none" w:pos="1180" w:val="left"/>
        </w:tabs>
        <w:rPr>
          <w:sz w:val="20"/>
          <w:szCs w:val="20"/>
          <w:color w:val="auto"/>
        </w:rPr>
      </w:pPr>
      <w:r>
        <w:rPr>
          <w:rFonts w:ascii="Arial" w:cs="Arial" w:eastAsia="Arial" w:hAnsi="Arial"/>
          <w:sz w:val="18"/>
          <w:szCs w:val="18"/>
          <w:color w:val="auto"/>
        </w:rPr>
        <w:t>10.27#</w:t>
      </w:r>
      <w:r>
        <w:rPr>
          <w:sz w:val="20"/>
          <w:szCs w:val="20"/>
          <w:color w:val="auto"/>
        </w:rPr>
        <w:tab/>
      </w:r>
      <w:r>
        <w:rPr>
          <w:rFonts w:ascii="Arial" w:cs="Arial" w:eastAsia="Arial" w:hAnsi="Arial"/>
          <w:sz w:val="18"/>
          <w:szCs w:val="18"/>
          <w:color w:val="auto"/>
        </w:rPr>
        <w:t>Reformation of Stock Option Agreement dated December 27, 2006 by and between Weili Dai and Marvell Technology Group Ltd., incorporated by reference to Exhibit 10.2 of the registrant’s current report on Form 8-K for the period dated December 27, 2006 as filed on January 4, 2007</w:t>
      </w:r>
    </w:p>
    <w:p>
      <w:pPr>
        <w:spacing w:after="0" w:line="181" w:lineRule="exact"/>
        <w:rPr>
          <w:sz w:val="20"/>
          <w:szCs w:val="20"/>
          <w:color w:val="auto"/>
        </w:rPr>
      </w:pPr>
    </w:p>
    <w:p>
      <w:pPr>
        <w:ind w:left="1200" w:right="260" w:hanging="982"/>
        <w:spacing w:after="0" w:line="264" w:lineRule="auto"/>
        <w:tabs>
          <w:tab w:leader="none" w:pos="1180" w:val="left"/>
        </w:tabs>
        <w:rPr>
          <w:sz w:val="20"/>
          <w:szCs w:val="20"/>
          <w:color w:val="auto"/>
        </w:rPr>
      </w:pPr>
      <w:r>
        <w:rPr>
          <w:rFonts w:ascii="Arial" w:cs="Arial" w:eastAsia="Arial" w:hAnsi="Arial"/>
          <w:sz w:val="18"/>
          <w:szCs w:val="18"/>
          <w:color w:val="auto"/>
        </w:rPr>
        <w:t>10.28#</w:t>
      </w:r>
      <w:r>
        <w:rPr>
          <w:sz w:val="20"/>
          <w:szCs w:val="20"/>
          <w:color w:val="auto"/>
        </w:rPr>
        <w:tab/>
      </w:r>
      <w:r>
        <w:rPr>
          <w:rFonts w:ascii="Arial" w:cs="Arial" w:eastAsia="Arial" w:hAnsi="Arial"/>
          <w:sz w:val="18"/>
          <w:szCs w:val="18"/>
          <w:color w:val="auto"/>
        </w:rPr>
        <w:t>Reformation of Stock Option Agreement dated December 27, 2006 by and between Pantas Sutardja and Marvell Technology Group Ltd., incorporated by reference to Exhibit 10.3 of the registrant’s current report on Form 8-K for the period dated December 27, 2006 as filed on January 4, 2007</w:t>
      </w:r>
    </w:p>
    <w:p>
      <w:pPr>
        <w:spacing w:after="0" w:line="181" w:lineRule="exact"/>
        <w:rPr>
          <w:sz w:val="20"/>
          <w:szCs w:val="20"/>
          <w:color w:val="auto"/>
        </w:rPr>
      </w:pPr>
    </w:p>
    <w:p>
      <w:pPr>
        <w:ind w:left="1200" w:right="260" w:hanging="982"/>
        <w:spacing w:after="0" w:line="264" w:lineRule="auto"/>
        <w:tabs>
          <w:tab w:leader="none" w:pos="1180" w:val="left"/>
        </w:tabs>
        <w:rPr>
          <w:sz w:val="20"/>
          <w:szCs w:val="20"/>
          <w:color w:val="auto"/>
        </w:rPr>
      </w:pPr>
      <w:r>
        <w:rPr>
          <w:rFonts w:ascii="Arial" w:cs="Arial" w:eastAsia="Arial" w:hAnsi="Arial"/>
          <w:sz w:val="18"/>
          <w:szCs w:val="18"/>
          <w:color w:val="auto"/>
        </w:rPr>
        <w:t>10.29#</w:t>
      </w:r>
      <w:r>
        <w:rPr>
          <w:sz w:val="20"/>
          <w:szCs w:val="20"/>
          <w:color w:val="auto"/>
        </w:rPr>
        <w:tab/>
      </w:r>
      <w:r>
        <w:rPr>
          <w:rFonts w:ascii="Arial" w:cs="Arial" w:eastAsia="Arial" w:hAnsi="Arial"/>
          <w:sz w:val="18"/>
          <w:szCs w:val="18"/>
          <w:color w:val="auto"/>
        </w:rPr>
        <w:t>Reformation of Stock Option Agreement dated December 27, 2006 by and between George Hervey and Marvell Technology Group Ltd., incorporated by reference to Exhibit 10.4 of the registrant’s current report on Form 8-K for the period dated December 27, 2006 as filed on January 4, 2007</w:t>
      </w:r>
    </w:p>
    <w:p>
      <w:pPr>
        <w:spacing w:after="0" w:line="181" w:lineRule="exact"/>
        <w:rPr>
          <w:sz w:val="20"/>
          <w:szCs w:val="20"/>
          <w:color w:val="auto"/>
        </w:rPr>
      </w:pPr>
    </w:p>
    <w:p>
      <w:pPr>
        <w:ind w:left="1200" w:right="260" w:hanging="982"/>
        <w:spacing w:after="0" w:line="342" w:lineRule="auto"/>
        <w:tabs>
          <w:tab w:leader="none" w:pos="1180" w:val="left"/>
        </w:tabs>
        <w:rPr>
          <w:sz w:val="20"/>
          <w:szCs w:val="20"/>
          <w:color w:val="auto"/>
        </w:rPr>
      </w:pPr>
      <w:r>
        <w:rPr>
          <w:rFonts w:ascii="Arial" w:cs="Arial" w:eastAsia="Arial" w:hAnsi="Arial"/>
          <w:sz w:val="18"/>
          <w:szCs w:val="18"/>
          <w:color w:val="auto"/>
        </w:rPr>
        <w:t>10.30#</w:t>
      </w:r>
      <w:r>
        <w:rPr>
          <w:sz w:val="20"/>
          <w:szCs w:val="20"/>
          <w:color w:val="auto"/>
        </w:rPr>
        <w:tab/>
      </w:r>
      <w:r>
        <w:rPr>
          <w:rFonts w:ascii="Arial" w:cs="Arial" w:eastAsia="Arial" w:hAnsi="Arial"/>
          <w:sz w:val="16"/>
          <w:szCs w:val="16"/>
          <w:color w:val="auto"/>
        </w:rPr>
        <w:t>Reformation of Stock Option Agreement dated May 6, 2007 between Marvell Technology Group Ltd. and Dr. Sehat Sutardja, incorporated by reference to Exhibit 10.1 of the registrant’s current report on Form 8-K for the period dated May 2, 2007 as filed on May 8, 2007</w:t>
      </w:r>
    </w:p>
    <w:p>
      <w:pPr>
        <w:spacing w:after="0" w:line="124" w:lineRule="exact"/>
        <w:rPr>
          <w:sz w:val="20"/>
          <w:szCs w:val="20"/>
          <w:color w:val="auto"/>
        </w:rPr>
      </w:pPr>
    </w:p>
    <w:p>
      <w:pPr>
        <w:ind w:left="1200" w:right="680" w:hanging="982"/>
        <w:spacing w:after="0" w:line="342" w:lineRule="auto"/>
        <w:tabs>
          <w:tab w:leader="none" w:pos="1180" w:val="left"/>
        </w:tabs>
        <w:rPr>
          <w:sz w:val="20"/>
          <w:szCs w:val="20"/>
          <w:color w:val="auto"/>
        </w:rPr>
      </w:pPr>
      <w:r>
        <w:rPr>
          <w:rFonts w:ascii="Arial" w:cs="Arial" w:eastAsia="Arial" w:hAnsi="Arial"/>
          <w:sz w:val="18"/>
          <w:szCs w:val="18"/>
          <w:color w:val="auto"/>
        </w:rPr>
        <w:t>10.31#</w:t>
      </w:r>
      <w:r>
        <w:rPr>
          <w:sz w:val="20"/>
          <w:szCs w:val="20"/>
          <w:color w:val="auto"/>
        </w:rPr>
        <w:tab/>
      </w:r>
      <w:r>
        <w:rPr>
          <w:rFonts w:ascii="Arial" w:cs="Arial" w:eastAsia="Arial" w:hAnsi="Arial"/>
          <w:sz w:val="16"/>
          <w:szCs w:val="16"/>
          <w:color w:val="auto"/>
        </w:rPr>
        <w:t>Amendment of Stock Option Agreement dated May 6, 2007 between Marvell Technology Group Ltd. and Weili Dai, incorporated by reference to Exhibit 10.2 of the registrant’s current report on Form 8-K for the period dated May 2, 2007 as filed on May 8, 2007</w:t>
      </w:r>
    </w:p>
    <w:p>
      <w:pPr>
        <w:spacing w:after="0" w:line="124" w:lineRule="exact"/>
        <w:rPr>
          <w:sz w:val="20"/>
          <w:szCs w:val="20"/>
          <w:color w:val="auto"/>
        </w:rPr>
      </w:pPr>
    </w:p>
    <w:p>
      <w:pPr>
        <w:ind w:left="1200" w:right="100" w:hanging="937"/>
        <w:spacing w:after="0" w:line="286" w:lineRule="auto"/>
        <w:tabs>
          <w:tab w:leader="none" w:pos="1180" w:val="left"/>
        </w:tabs>
        <w:rPr>
          <w:sz w:val="20"/>
          <w:szCs w:val="20"/>
          <w:color w:val="auto"/>
        </w:rPr>
      </w:pPr>
      <w:r>
        <w:rPr>
          <w:rFonts w:ascii="Arial" w:cs="Arial" w:eastAsia="Arial" w:hAnsi="Arial"/>
          <w:sz w:val="18"/>
          <w:szCs w:val="18"/>
          <w:color w:val="auto"/>
        </w:rPr>
        <w:t>10.32</w:t>
      </w:r>
      <w:r>
        <w:rPr>
          <w:sz w:val="20"/>
          <w:szCs w:val="20"/>
          <w:color w:val="auto"/>
        </w:rPr>
        <w:tab/>
      </w:r>
      <w:r>
        <w:rPr>
          <w:rFonts w:ascii="Arial" w:cs="Arial" w:eastAsia="Arial" w:hAnsi="Arial"/>
          <w:sz w:val="17"/>
          <w:szCs w:val="17"/>
          <w:color w:val="auto"/>
        </w:rPr>
        <w:t>Deed of Trust, Security Agreement, Assignment of Rents and Leases and Fixture Filing by and from Marvell Technology, Inc., First American Title Insurance Company and Credit Suisse, Cayman Island Branch dated May 18, 2007, incorporated by reference to Exhibit 10.1 of the registrant’s current report on Form 8-K for the period dated May 18, 2007 as filed on May 24, 2007</w:t>
      </w:r>
    </w:p>
    <w:p>
      <w:pPr>
        <w:sectPr>
          <w:pgSz w:w="11900" w:h="16838" w:orient="portrait"/>
          <w:cols w:equalWidth="0" w:num="1">
            <w:col w:w="11460"/>
          </w:cols>
          <w:pgMar w:left="240" w:top="125" w:right="199" w:bottom="94"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16"/>
        </w:trPr>
        <w:tc>
          <w:tcPr>
            <w:tcW w:w="960" w:type="dxa"/>
            <w:vAlign w:val="bottom"/>
          </w:tcPr>
          <w:p>
            <w:pPr>
              <w:jc w:val="center"/>
              <w:spacing w:after="0"/>
              <w:rPr>
                <w:sz w:val="20"/>
                <w:szCs w:val="20"/>
                <w:color w:val="auto"/>
              </w:rPr>
            </w:pPr>
            <w:r>
              <w:rPr>
                <w:rFonts w:ascii="Arial" w:cs="Arial" w:eastAsia="Arial" w:hAnsi="Arial"/>
                <w:sz w:val="18"/>
                <w:szCs w:val="18"/>
                <w:color w:val="auto"/>
                <w:w w:val="88"/>
              </w:rPr>
              <w:t>10.33</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8"/>
              </w:rPr>
              <w:t>Security Agreement among Marvell Technology, Inc., Marvell Semiconductor, Inc., SysKonnect, Inc., Avago Technologies Imaging</w:t>
            </w:r>
          </w:p>
        </w:tc>
      </w:tr>
      <w:tr>
        <w:trPr>
          <w:trHeight w:val="216"/>
        </w:trPr>
        <w:tc>
          <w:tcPr>
            <w:tcW w:w="960" w:type="dxa"/>
            <w:vAlign w:val="bottom"/>
          </w:tcPr>
          <w:p>
            <w:pPr>
              <w:spacing w:after="0"/>
              <w:rPr>
                <w:sz w:val="18"/>
                <w:szCs w:val="18"/>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2"/>
              </w:rPr>
              <w:t>(U.S.A.), Inc., Zenographics, Inc. and Marvell Semiconductor Ltd., the Guarantors party thereto and Credit Suisse, Cayman Islands Branch</w:t>
            </w:r>
          </w:p>
        </w:tc>
      </w:tr>
      <w:tr>
        <w:trPr>
          <w:trHeight w:val="216"/>
        </w:trPr>
        <w:tc>
          <w:tcPr>
            <w:tcW w:w="960" w:type="dxa"/>
            <w:vAlign w:val="bottom"/>
          </w:tcPr>
          <w:p>
            <w:pPr>
              <w:spacing w:after="0"/>
              <w:rPr>
                <w:sz w:val="18"/>
                <w:szCs w:val="18"/>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4"/>
              </w:rPr>
              <w:t>dated May 18, 2007, incorporated by reference to Exhibit 10.2 of the registrant’s current report on Form 8-K for the period dated May 18,</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2007 as filed on May 24, 2007</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88"/>
              </w:rPr>
              <w:t>10.34</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3"/>
              </w:rPr>
              <w:t>Form of Restricted Stock Unit Agreement incorporated by reference to Exhibit 10.34 of the registrant’s annual report on Form 10-K for the</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period dated January 27, 2007 as filed on July 2, 2007</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87"/>
              </w:rPr>
              <w:t>10.35#</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3"/>
              </w:rPr>
              <w:t>Description of patent issuance bonus plan incorporated by reference to Exhibit 10.35 of the registrant’s annual report on Form 10-K for the</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period dated January 27, 2007 as filed on July 2, 2007</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87"/>
              </w:rPr>
              <w:t>10.36#</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3"/>
              </w:rPr>
              <w:t>Description of vice president focal bonus plan incorporated by reference to Exhibit 10.36 of the registrant’s annual report on Form 10-K for</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the period dated January 27, 2007 as filed on July 2, 2007</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91"/>
              </w:rPr>
              <w:t>21.1</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4"/>
              </w:rPr>
              <w:t>Subsidiaries of the registrant incorporated by reference to Exhibit 21.1 of the registrant’s annual report on Form 10-K for the period dated</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January 27, 2007 as filed on July 2, 2007</w:t>
            </w:r>
          </w:p>
        </w:tc>
      </w:tr>
      <w:tr>
        <w:trPr>
          <w:trHeight w:val="432"/>
        </w:trPr>
        <w:tc>
          <w:tcPr>
            <w:tcW w:w="960" w:type="dxa"/>
            <w:vAlign w:val="bottom"/>
          </w:tcPr>
          <w:p>
            <w:pPr>
              <w:jc w:val="center"/>
              <w:spacing w:after="0"/>
              <w:rPr>
                <w:sz w:val="20"/>
                <w:szCs w:val="20"/>
                <w:color w:val="auto"/>
              </w:rPr>
            </w:pPr>
            <w:r>
              <w:rPr>
                <w:rFonts w:ascii="Arial" w:cs="Arial" w:eastAsia="Arial" w:hAnsi="Arial"/>
                <w:sz w:val="18"/>
                <w:szCs w:val="18"/>
                <w:color w:val="auto"/>
                <w:w w:val="91"/>
              </w:rPr>
              <w:t>23.1</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91"/>
              </w:rPr>
              <w:t>31.1</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6"/>
              </w:rPr>
              <w:t>Certification Pursuant to 18 U.S.C. Section 1350, as Adopted Pursuant to Section 302 of the Sarbanes-Oxley Act of 2002 of Dr. Sehat</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Sutardja Ph.D., President and Chief Executive Officer</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91"/>
              </w:rPr>
              <w:t>31.2</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3"/>
              </w:rPr>
              <w:t>Certification Pursuant to 18 U.S.C. Section 1350, as Adopted Pursuant to Section 302 of the Sarbanes-Oxley Act of 2002 of Michael Tate,</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Interim Chief Financial Officer</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87"/>
              </w:rPr>
              <w:t>32.1~</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6"/>
              </w:rPr>
              <w:t>Certification Pursuant to 18 U.S.C. Section 1350, as Adopted Pursuant to Section 906 of the Sarbanes-Oxley Act of 2002 of Dr. Sehat</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Sutardja Ph.D., President and Chief Executive Officer</w:t>
            </w:r>
          </w:p>
        </w:tc>
      </w:tr>
      <w:tr>
        <w:trPr>
          <w:trHeight w:val="418"/>
        </w:trPr>
        <w:tc>
          <w:tcPr>
            <w:tcW w:w="960" w:type="dxa"/>
            <w:vAlign w:val="bottom"/>
          </w:tcPr>
          <w:p>
            <w:pPr>
              <w:jc w:val="center"/>
              <w:spacing w:after="0"/>
              <w:rPr>
                <w:sz w:val="20"/>
                <w:szCs w:val="20"/>
                <w:color w:val="auto"/>
              </w:rPr>
            </w:pPr>
            <w:r>
              <w:rPr>
                <w:rFonts w:ascii="Arial" w:cs="Arial" w:eastAsia="Arial" w:hAnsi="Arial"/>
                <w:sz w:val="18"/>
                <w:szCs w:val="18"/>
                <w:color w:val="auto"/>
                <w:w w:val="87"/>
              </w:rPr>
              <w:t>32.2~</w:t>
            </w: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w w:val="93"/>
              </w:rPr>
              <w:t>Certification Pursuant to 18 U.S.C. Section 1350, as Adopted Pursuant to Section 906 of the Sarbanes-Oxley Act of 2002 of Michael Tate,</w:t>
            </w:r>
          </w:p>
        </w:tc>
      </w:tr>
      <w:tr>
        <w:trPr>
          <w:trHeight w:val="230"/>
        </w:trPr>
        <w:tc>
          <w:tcPr>
            <w:tcW w:w="960" w:type="dxa"/>
            <w:vAlign w:val="bottom"/>
          </w:tcPr>
          <w:p>
            <w:pPr>
              <w:spacing w:after="0"/>
              <w:rPr>
                <w:sz w:val="20"/>
                <w:szCs w:val="20"/>
                <w:color w:val="auto"/>
              </w:rPr>
            </w:pPr>
          </w:p>
        </w:tc>
        <w:tc>
          <w:tcPr>
            <w:tcW w:w="10500" w:type="dxa"/>
            <w:vAlign w:val="bottom"/>
            <w:gridSpan w:val="2"/>
          </w:tcPr>
          <w:p>
            <w:pPr>
              <w:ind w:left="240"/>
              <w:spacing w:after="0"/>
              <w:rPr>
                <w:sz w:val="20"/>
                <w:szCs w:val="20"/>
                <w:color w:val="auto"/>
              </w:rPr>
            </w:pPr>
            <w:r>
              <w:rPr>
                <w:rFonts w:ascii="Arial" w:cs="Arial" w:eastAsia="Arial" w:hAnsi="Arial"/>
                <w:sz w:val="18"/>
                <w:szCs w:val="18"/>
                <w:color w:val="auto"/>
              </w:rPr>
              <w:t>Interim Chief Financial Officer</w:t>
            </w:r>
          </w:p>
        </w:tc>
      </w:tr>
      <w:tr>
        <w:trPr>
          <w:trHeight w:val="702"/>
        </w:trPr>
        <w:tc>
          <w:tcPr>
            <w:tcW w:w="960" w:type="dxa"/>
            <w:vAlign w:val="bottom"/>
          </w:tcPr>
          <w:p>
            <w:pPr>
              <w:spacing w:after="0"/>
              <w:rPr>
                <w:sz w:val="24"/>
                <w:szCs w:val="24"/>
                <w:color w:val="auto"/>
              </w:rPr>
            </w:pPr>
          </w:p>
        </w:tc>
        <w:tc>
          <w:tcPr>
            <w:tcW w:w="10500" w:type="dxa"/>
            <w:vAlign w:val="bottom"/>
            <w:gridSpan w:val="2"/>
          </w:tcPr>
          <w:p>
            <w:pPr>
              <w:ind w:left="4700"/>
              <w:spacing w:after="0"/>
              <w:rPr>
                <w:sz w:val="20"/>
                <w:szCs w:val="20"/>
                <w:color w:val="auto"/>
              </w:rPr>
            </w:pPr>
            <w:r>
              <w:rPr>
                <w:rFonts w:ascii="Arial" w:cs="Arial" w:eastAsia="Arial" w:hAnsi="Arial"/>
                <w:sz w:val="18"/>
                <w:szCs w:val="18"/>
                <w:color w:val="auto"/>
              </w:rPr>
              <w:t>7</w:t>
            </w:r>
          </w:p>
        </w:tc>
      </w:tr>
      <w:tr>
        <w:trPr>
          <w:trHeight w:val="375"/>
        </w:trPr>
        <w:tc>
          <w:tcPr>
            <w:tcW w:w="960" w:type="dxa"/>
            <w:vAlign w:val="bottom"/>
            <w:tcBorders>
              <w:bottom w:val="single" w:sz="8" w:color="010101"/>
            </w:tcBorders>
          </w:tcPr>
          <w:p>
            <w:pPr>
              <w:spacing w:after="0"/>
              <w:rPr>
                <w:sz w:val="24"/>
                <w:szCs w:val="24"/>
                <w:color w:val="auto"/>
              </w:rPr>
            </w:pPr>
          </w:p>
        </w:tc>
        <w:tc>
          <w:tcPr>
            <w:tcW w:w="1240" w:type="dxa"/>
            <w:vAlign w:val="bottom"/>
            <w:tcBorders>
              <w:bottom w:val="single" w:sz="8" w:color="010101"/>
            </w:tcBorders>
          </w:tcPr>
          <w:p>
            <w:pPr>
              <w:spacing w:after="0"/>
              <w:rPr>
                <w:sz w:val="24"/>
                <w:szCs w:val="24"/>
                <w:color w:val="auto"/>
              </w:rPr>
            </w:pPr>
          </w:p>
        </w:tc>
        <w:tc>
          <w:tcPr>
            <w:tcW w:w="9260" w:type="dxa"/>
            <w:vAlign w:val="bottom"/>
            <w:tcBorders>
              <w:bottom w:val="single" w:sz="8" w:color="010101"/>
            </w:tcBorders>
          </w:tcPr>
          <w:p>
            <w:pPr>
              <w:spacing w:after="0"/>
              <w:rPr>
                <w:sz w:val="24"/>
                <w:szCs w:val="24"/>
                <w:color w:val="auto"/>
              </w:rPr>
            </w:pPr>
          </w:p>
        </w:tc>
      </w:tr>
      <w:tr>
        <w:trPr>
          <w:trHeight w:val="456"/>
        </w:trPr>
        <w:tc>
          <w:tcPr>
            <w:tcW w:w="96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9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-327025</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-327025</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74" w:lineRule="exact"/>
        <w:rPr>
          <w:sz w:val="20"/>
          <w:szCs w:val="20"/>
          <w:color w:val="auto"/>
        </w:rPr>
      </w:pPr>
    </w:p>
    <w:p>
      <w:pPr>
        <w:ind w:left="700" w:hanging="692"/>
        <w:spacing w:after="0"/>
        <w:tabs>
          <w:tab w:leader="none" w:pos="7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25" w:lineRule="exact"/>
        <w:rPr>
          <w:sz w:val="20"/>
          <w:szCs w:val="20"/>
          <w:color w:val="auto"/>
        </w:rPr>
      </w:pPr>
    </w:p>
    <w:p>
      <w:pPr>
        <w:ind w:left="700" w:right="1000" w:hanging="692"/>
        <w:spacing w:after="0" w:line="277" w:lineRule="auto"/>
        <w:tabs>
          <w:tab w:leader="none" w:pos="7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Certain portions of this exhibit have been omitted pursuant to request for confidential treatment granted by the Securities and Exchange Commission.</w:t>
      </w:r>
    </w:p>
    <w:p>
      <w:pPr>
        <w:spacing w:after="0" w:line="170" w:lineRule="exact"/>
        <w:rPr>
          <w:sz w:val="20"/>
          <w:szCs w:val="20"/>
          <w:color w:val="auto"/>
        </w:rPr>
      </w:pPr>
    </w:p>
    <w:p>
      <w:pPr>
        <w:ind w:left="700" w:right="120" w:hanging="692"/>
        <w:spacing w:after="0" w:line="257" w:lineRule="auto"/>
        <w:tabs>
          <w:tab w:leader="none" w:pos="7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5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00" w:firstLine="324"/>
        <w:spacing w:after="0" w:line="302" w:lineRule="auto"/>
        <w:rPr>
          <w:sz w:val="20"/>
          <w:szCs w:val="20"/>
          <w:color w:val="auto"/>
        </w:rPr>
      </w:pPr>
      <w:r>
        <w:rPr>
          <w:rFonts w:ascii="Arial" w:cs="Arial" w:eastAsia="Arial" w:hAnsi="Arial"/>
          <w:sz w:val="16"/>
          <w:szCs w:val="16"/>
          <w:color w:val="auto"/>
        </w:rPr>
        <w:t>We hereby consent to the incorporation by reference in the Registration Statements on Form S-8 (No. 333-40154, 333-40152, 333-54188, 333-55974, 333-56322, 333-87322, 333-91124, 333-104925, 333-106683, 333-108334, 333-111133, 333-114434, 333-124072, 333-133281) of Marvell Technology Group Ltd. of our report dated June 27, 2007 relating to the financial statements, management’s assessment of the effectiveness of internal control over financial reporting and the effectiveness of internal control over financial reporting, which appears in the Form 10-K filed on July 2, 2007.</w:t>
      </w:r>
    </w:p>
    <w:p>
      <w:pPr>
        <w:spacing w:after="0" w:line="37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July 13,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6" w:name="page7"/>
    <w:bookmarkEnd w:id="6"/>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75"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394"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225" w:lineRule="exact"/>
        <w:rPr>
          <w:sz w:val="20"/>
          <w:szCs w:val="20"/>
          <w:color w:val="auto"/>
        </w:rPr>
      </w:pPr>
    </w:p>
    <w:p>
      <w:pPr>
        <w:ind w:left="340" w:right="200" w:hanging="332"/>
        <w:spacing w:after="0" w:line="277" w:lineRule="auto"/>
        <w:tabs>
          <w:tab w:leader="none" w:pos="353" w:val="left"/>
        </w:tabs>
        <w:numPr>
          <w:ilvl w:val="0"/>
          <w:numId w:val="1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 for the fiscal year ended January 27, 2007 filed on July 2, 2007, as amended by this Form 10-K/A Amendment No. 1;</w:t>
      </w:r>
    </w:p>
    <w:p>
      <w:pPr>
        <w:spacing w:after="0" w:line="170" w:lineRule="exact"/>
        <w:rPr>
          <w:rFonts w:ascii="Arial" w:cs="Arial" w:eastAsia="Arial" w:hAnsi="Arial"/>
          <w:sz w:val="18"/>
          <w:szCs w:val="18"/>
          <w:color w:val="auto"/>
        </w:rPr>
      </w:pPr>
    </w:p>
    <w:p>
      <w:pPr>
        <w:ind w:left="340" w:right="160" w:hanging="332"/>
        <w:spacing w:after="0" w:line="342" w:lineRule="auto"/>
        <w:tabs>
          <w:tab w:leader="none" w:pos="326" w:val="left"/>
        </w:tabs>
        <w:numPr>
          <w:ilvl w:val="0"/>
          <w:numId w:val="10"/>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640" w:hanging="332"/>
        <w:spacing w:after="0" w:line="308" w:lineRule="auto"/>
        <w:tabs>
          <w:tab w:leader="none" w:pos="326" w:val="left"/>
        </w:tabs>
        <w:numPr>
          <w:ilvl w:val="0"/>
          <w:numId w:val="1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100" w:hanging="332"/>
        <w:spacing w:after="0" w:line="264" w:lineRule="auto"/>
        <w:tabs>
          <w:tab w:leader="none" w:pos="3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660" w:right="80" w:hanging="328"/>
        <w:spacing w:after="0" w:line="264" w:lineRule="auto"/>
        <w:tabs>
          <w:tab w:leader="none" w:pos="651" w:val="left"/>
        </w:tabs>
        <w:numPr>
          <w:ilvl w:val="1"/>
          <w:numId w:val="1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660" w:right="80" w:hanging="328"/>
        <w:spacing w:after="0" w:line="264" w:lineRule="auto"/>
        <w:tabs>
          <w:tab w:leader="none" w:pos="648" w:val="left"/>
        </w:tabs>
        <w:numPr>
          <w:ilvl w:val="1"/>
          <w:numId w:val="1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left="660" w:right="120" w:hanging="328"/>
        <w:spacing w:after="0" w:line="308" w:lineRule="auto"/>
        <w:tabs>
          <w:tab w:leader="none" w:pos="651" w:val="left"/>
        </w:tabs>
        <w:numPr>
          <w:ilvl w:val="1"/>
          <w:numId w:val="10"/>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6" w:lineRule="exact"/>
        <w:rPr>
          <w:rFonts w:ascii="Arial" w:cs="Arial" w:eastAsia="Arial" w:hAnsi="Arial"/>
          <w:sz w:val="17"/>
          <w:szCs w:val="17"/>
          <w:color w:val="auto"/>
        </w:rPr>
      </w:pPr>
    </w:p>
    <w:p>
      <w:pPr>
        <w:ind w:left="660" w:right="160" w:hanging="328"/>
        <w:spacing w:after="0" w:line="264" w:lineRule="auto"/>
        <w:tabs>
          <w:tab w:leader="none" w:pos="648" w:val="left"/>
        </w:tabs>
        <w:numPr>
          <w:ilvl w:val="1"/>
          <w:numId w:val="1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60" w:hanging="332"/>
        <w:spacing w:after="0" w:line="308" w:lineRule="auto"/>
        <w:tabs>
          <w:tab w:leader="none" w:pos="326"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660" w:right="440" w:hanging="328"/>
        <w:spacing w:after="0" w:line="277" w:lineRule="auto"/>
        <w:tabs>
          <w:tab w:leader="none" w:pos="651" w:val="left"/>
        </w:tabs>
        <w:numPr>
          <w:ilvl w:val="1"/>
          <w:numId w:val="1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660" w:right="100" w:hanging="328"/>
        <w:spacing w:after="0" w:line="277" w:lineRule="auto"/>
        <w:tabs>
          <w:tab w:leader="none" w:pos="648"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Date:</w:t>
            </w:r>
          </w:p>
        </w:tc>
        <w:tc>
          <w:tcPr>
            <w:tcW w:w="1820" w:type="dxa"/>
            <w:vAlign w:val="bottom"/>
            <w:gridSpan w:val="2"/>
          </w:tcPr>
          <w:p>
            <w:pPr>
              <w:ind w:left="200"/>
              <w:spacing w:after="0"/>
              <w:rPr>
                <w:sz w:val="20"/>
                <w:szCs w:val="20"/>
                <w:color w:val="auto"/>
              </w:rPr>
            </w:pPr>
            <w:r>
              <w:rPr>
                <w:rFonts w:ascii="Arial" w:cs="Arial" w:eastAsia="Arial" w:hAnsi="Arial"/>
                <w:sz w:val="18"/>
                <w:szCs w:val="18"/>
                <w:color w:val="auto"/>
              </w:rPr>
              <w:t>July 13, 2007</w:t>
            </w:r>
          </w:p>
        </w:tc>
        <w:tc>
          <w:tcPr>
            <w:tcW w:w="4240" w:type="dxa"/>
            <w:vAlign w:val="bottom"/>
          </w:tcPr>
          <w:p>
            <w:pPr>
              <w:ind w:left="3580"/>
              <w:spacing w:after="0"/>
              <w:rPr>
                <w:sz w:val="20"/>
                <w:szCs w:val="20"/>
                <w:color w:val="auto"/>
              </w:rPr>
            </w:pPr>
            <w:r>
              <w:rPr>
                <w:rFonts w:ascii="Arial" w:cs="Arial" w:eastAsia="Arial" w:hAnsi="Arial"/>
                <w:sz w:val="18"/>
                <w:szCs w:val="18"/>
                <w:color w:val="auto"/>
              </w:rPr>
              <w:t>By:</w:t>
            </w:r>
          </w:p>
        </w:tc>
        <w:tc>
          <w:tcPr>
            <w:tcW w:w="476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20" w:type="dxa"/>
            <w:vAlign w:val="bottom"/>
            <w:tcBorders>
              <w:top w:val="single" w:sz="8" w:color="auto"/>
            </w:tcBorders>
          </w:tcPr>
          <w:p>
            <w:pPr>
              <w:spacing w:after="0"/>
              <w:rPr>
                <w:sz w:val="16"/>
                <w:szCs w:val="16"/>
                <w:color w:val="auto"/>
              </w:rPr>
            </w:pPr>
          </w:p>
        </w:tc>
        <w:tc>
          <w:tcPr>
            <w:tcW w:w="4240" w:type="dxa"/>
            <w:vAlign w:val="bottom"/>
          </w:tcPr>
          <w:p>
            <w:pPr>
              <w:spacing w:after="0"/>
              <w:rPr>
                <w:sz w:val="16"/>
                <w:szCs w:val="16"/>
                <w:color w:val="auto"/>
              </w:rPr>
            </w:pPr>
          </w:p>
        </w:tc>
        <w:tc>
          <w:tcPr>
            <w:tcW w:w="47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4240" w:type="dxa"/>
            <w:vAlign w:val="bottom"/>
          </w:tcPr>
          <w:p>
            <w:pPr>
              <w:spacing w:after="0"/>
              <w:rPr>
                <w:sz w:val="20"/>
                <w:szCs w:val="20"/>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740"/>
        </w:trPr>
        <w:tc>
          <w:tcPr>
            <w:tcW w:w="60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620" w:type="dxa"/>
            <w:vAlign w:val="bottom"/>
            <w:tcBorders>
              <w:bottom w:val="single" w:sz="8" w:color="010101"/>
            </w:tcBorders>
          </w:tcPr>
          <w:p>
            <w:pPr>
              <w:spacing w:after="0"/>
              <w:rPr>
                <w:sz w:val="24"/>
                <w:szCs w:val="24"/>
                <w:color w:val="auto"/>
              </w:rPr>
            </w:pPr>
          </w:p>
        </w:tc>
        <w:tc>
          <w:tcPr>
            <w:tcW w:w="4240" w:type="dxa"/>
            <w:vAlign w:val="bottom"/>
            <w:tcBorders>
              <w:bottom w:val="single" w:sz="8" w:color="010101"/>
            </w:tcBorders>
          </w:tcPr>
          <w:p>
            <w:pPr>
              <w:spacing w:after="0"/>
              <w:rPr>
                <w:sz w:val="24"/>
                <w:szCs w:val="24"/>
                <w:color w:val="auto"/>
              </w:rPr>
            </w:pPr>
          </w:p>
        </w:tc>
        <w:tc>
          <w:tcPr>
            <w:tcW w:w="47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7" w:name="page8"/>
    <w:bookmarkEnd w:id="7"/>
    <w:p>
      <w:pPr>
        <w:jc w:val="right"/>
        <w:ind w:right="4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ind w:left="1700"/>
        <w:spacing w:after="0"/>
        <w:rPr>
          <w:sz w:val="20"/>
          <w:szCs w:val="20"/>
          <w:color w:val="auto"/>
        </w:rPr>
      </w:pPr>
      <w:r>
        <w:rPr>
          <w:rFonts w:ascii="Arial" w:cs="Arial" w:eastAsia="Arial" w:hAnsi="Arial"/>
          <w:sz w:val="18"/>
          <w:szCs w:val="18"/>
          <w:b w:val="1"/>
          <w:bCs w:val="1"/>
          <w:color w:val="auto"/>
        </w:rPr>
        <w:t>CERTIFICATION OF THE INTERIM CHIEF FINANCIAL OFFICER PURSUANT TO SECURITIES</w:t>
      </w:r>
    </w:p>
    <w:p>
      <w:pPr>
        <w:spacing w:after="0" w:line="27" w:lineRule="exact"/>
        <w:rPr>
          <w:sz w:val="20"/>
          <w:szCs w:val="20"/>
          <w:color w:val="auto"/>
        </w:rPr>
      </w:pPr>
    </w:p>
    <w:p>
      <w:pPr>
        <w:ind w:left="1420"/>
        <w:spacing w:after="0"/>
        <w:rPr>
          <w:sz w:val="20"/>
          <w:szCs w:val="20"/>
          <w:color w:val="auto"/>
        </w:rPr>
      </w:pPr>
      <w:r>
        <w:rPr>
          <w:rFonts w:ascii="Arial" w:cs="Arial" w:eastAsia="Arial" w:hAnsi="Arial"/>
          <w:sz w:val="18"/>
          <w:szCs w:val="18"/>
          <w:b w:val="1"/>
          <w:bCs w:val="1"/>
          <w:color w:val="auto"/>
        </w:rPr>
        <w:t>EXCHANGE ACT RULES 13a-14(a) AND 15d-14(a), AS ADOPTED PURSUANT TO SECTION 302 OF THE</w:t>
      </w:r>
    </w:p>
    <w:p>
      <w:pPr>
        <w:spacing w:after="0" w:line="9" w:lineRule="exact"/>
        <w:rPr>
          <w:sz w:val="20"/>
          <w:szCs w:val="20"/>
          <w:color w:val="auto"/>
        </w:rPr>
      </w:pPr>
    </w:p>
    <w:p>
      <w:pPr>
        <w:ind w:left="4320"/>
        <w:spacing w:after="0"/>
        <w:rPr>
          <w:sz w:val="20"/>
          <w:szCs w:val="20"/>
          <w:color w:val="auto"/>
        </w:rPr>
      </w:pPr>
      <w:r>
        <w:rPr>
          <w:rFonts w:ascii="Arial" w:cs="Arial" w:eastAsia="Arial" w:hAnsi="Arial"/>
          <w:sz w:val="18"/>
          <w:szCs w:val="18"/>
          <w:b w:val="1"/>
          <w:bCs w:val="1"/>
          <w:color w:val="auto"/>
        </w:rPr>
        <w:t>SARBANES-OXLEY ACT OF 2002</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225" w:lineRule="exact"/>
        <w:rPr>
          <w:sz w:val="20"/>
          <w:szCs w:val="20"/>
          <w:color w:val="auto"/>
        </w:rPr>
      </w:pPr>
    </w:p>
    <w:p>
      <w:pPr>
        <w:ind w:left="340" w:right="240" w:hanging="332"/>
        <w:spacing w:after="0" w:line="277" w:lineRule="auto"/>
        <w:tabs>
          <w:tab w:leader="none" w:pos="326" w:val="left"/>
        </w:tabs>
        <w:numPr>
          <w:ilvl w:val="0"/>
          <w:numId w:val="11"/>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 for the fiscal year ended January 27, 2007 filed on July 2, 2007, as amended by this Form 10-K/A Amendment No. 1;</w:t>
      </w:r>
    </w:p>
    <w:p>
      <w:pPr>
        <w:spacing w:after="0" w:line="170" w:lineRule="exact"/>
        <w:rPr>
          <w:rFonts w:ascii="Arial" w:cs="Arial" w:eastAsia="Arial" w:hAnsi="Arial"/>
          <w:sz w:val="18"/>
          <w:szCs w:val="18"/>
          <w:color w:val="auto"/>
        </w:rPr>
      </w:pPr>
    </w:p>
    <w:p>
      <w:pPr>
        <w:ind w:left="340" w:right="160" w:hanging="332"/>
        <w:spacing w:after="0" w:line="342" w:lineRule="auto"/>
        <w:tabs>
          <w:tab w:leader="none" w:pos="326" w:val="left"/>
        </w:tabs>
        <w:numPr>
          <w:ilvl w:val="0"/>
          <w:numId w:val="11"/>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640" w:hanging="332"/>
        <w:spacing w:after="0" w:line="308" w:lineRule="auto"/>
        <w:tabs>
          <w:tab w:leader="none" w:pos="326" w:val="left"/>
        </w:tabs>
        <w:numPr>
          <w:ilvl w:val="0"/>
          <w:numId w:val="1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100" w:hanging="332"/>
        <w:spacing w:after="0" w:line="264" w:lineRule="auto"/>
        <w:tabs>
          <w:tab w:leader="none" w:pos="326"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660" w:right="100" w:hanging="328"/>
        <w:spacing w:after="0" w:line="264" w:lineRule="auto"/>
        <w:tabs>
          <w:tab w:leader="none" w:pos="638" w:val="left"/>
        </w:tabs>
        <w:numPr>
          <w:ilvl w:val="1"/>
          <w:numId w:val="1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660" w:right="100" w:hanging="328"/>
        <w:spacing w:after="0" w:line="264" w:lineRule="auto"/>
        <w:tabs>
          <w:tab w:leader="none" w:pos="634" w:val="left"/>
        </w:tabs>
        <w:numPr>
          <w:ilvl w:val="1"/>
          <w:numId w:val="1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left="660" w:right="140" w:hanging="328"/>
        <w:spacing w:after="0" w:line="308" w:lineRule="auto"/>
        <w:tabs>
          <w:tab w:leader="none" w:pos="638" w:val="left"/>
        </w:tabs>
        <w:numPr>
          <w:ilvl w:val="1"/>
          <w:numId w:val="11"/>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6" w:lineRule="exact"/>
        <w:rPr>
          <w:rFonts w:ascii="Arial" w:cs="Arial" w:eastAsia="Arial" w:hAnsi="Arial"/>
          <w:sz w:val="17"/>
          <w:szCs w:val="17"/>
          <w:color w:val="auto"/>
        </w:rPr>
      </w:pPr>
    </w:p>
    <w:p>
      <w:pPr>
        <w:ind w:left="660" w:right="180" w:hanging="328"/>
        <w:spacing w:after="0" w:line="264" w:lineRule="auto"/>
        <w:tabs>
          <w:tab w:leader="none" w:pos="634" w:val="left"/>
        </w:tabs>
        <w:numPr>
          <w:ilvl w:val="1"/>
          <w:numId w:val="1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60" w:hanging="332"/>
        <w:spacing w:after="0" w:line="308" w:lineRule="auto"/>
        <w:tabs>
          <w:tab w:leader="none" w:pos="326" w:val="left"/>
        </w:tabs>
        <w:numPr>
          <w:ilvl w:val="0"/>
          <w:numId w:val="1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660" w:right="440" w:hanging="328"/>
        <w:spacing w:after="0" w:line="277" w:lineRule="auto"/>
        <w:tabs>
          <w:tab w:leader="none" w:pos="638" w:val="left"/>
        </w:tabs>
        <w:numPr>
          <w:ilvl w:val="1"/>
          <w:numId w:val="1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660" w:right="120" w:hanging="328"/>
        <w:spacing w:after="0" w:line="277" w:lineRule="auto"/>
        <w:tabs>
          <w:tab w:leader="none" w:pos="634" w:val="left"/>
        </w:tabs>
        <w:numPr>
          <w:ilvl w:val="1"/>
          <w:numId w:val="1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60" w:type="dxa"/>
            <w:vAlign w:val="bottom"/>
          </w:tcPr>
          <w:p>
            <w:pPr>
              <w:spacing w:after="0"/>
              <w:rPr>
                <w:sz w:val="20"/>
                <w:szCs w:val="20"/>
                <w:color w:val="auto"/>
              </w:rPr>
            </w:pPr>
            <w:r>
              <w:rPr>
                <w:rFonts w:ascii="Arial" w:cs="Arial" w:eastAsia="Arial" w:hAnsi="Arial"/>
                <w:sz w:val="18"/>
                <w:szCs w:val="18"/>
                <w:color w:val="auto"/>
              </w:rPr>
              <w:t>Date:</w:t>
            </w:r>
          </w:p>
        </w:tc>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July 13, 2007</w:t>
            </w:r>
          </w:p>
        </w:tc>
        <w:tc>
          <w:tcPr>
            <w:tcW w:w="3940" w:type="dxa"/>
            <w:vAlign w:val="bottom"/>
          </w:tcPr>
          <w:p>
            <w:pPr>
              <w:ind w:left="3160"/>
              <w:spacing w:after="0"/>
              <w:rPr>
                <w:sz w:val="20"/>
                <w:szCs w:val="20"/>
                <w:color w:val="auto"/>
              </w:rPr>
            </w:pPr>
            <w:r>
              <w:rPr>
                <w:rFonts w:ascii="Arial" w:cs="Arial" w:eastAsia="Arial" w:hAnsi="Arial"/>
                <w:sz w:val="18"/>
                <w:szCs w:val="18"/>
                <w:color w:val="auto"/>
              </w:rPr>
              <w:t>By:</w:t>
            </w:r>
          </w:p>
        </w:tc>
        <w:tc>
          <w:tcPr>
            <w:tcW w:w="49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760" w:type="dxa"/>
            <w:vAlign w:val="bottom"/>
          </w:tcPr>
          <w:p>
            <w:pPr>
              <w:spacing w:after="0"/>
              <w:rPr>
                <w:sz w:val="16"/>
                <w:szCs w:val="16"/>
                <w:color w:val="auto"/>
              </w:rPr>
            </w:pPr>
          </w:p>
        </w:tc>
        <w:tc>
          <w:tcPr>
            <w:tcW w:w="176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4960" w:type="dxa"/>
            <w:vAlign w:val="bottom"/>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76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3940" w:type="dxa"/>
            <w:vAlign w:val="bottom"/>
          </w:tcPr>
          <w:p>
            <w:pPr>
              <w:spacing w:after="0"/>
              <w:rPr>
                <w:sz w:val="20"/>
                <w:szCs w:val="20"/>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740"/>
        </w:trPr>
        <w:tc>
          <w:tcPr>
            <w:tcW w:w="760" w:type="dxa"/>
            <w:vAlign w:val="bottom"/>
            <w:tcBorders>
              <w:bottom w:val="single" w:sz="8" w:color="010101"/>
            </w:tcBorders>
          </w:tcPr>
          <w:p>
            <w:pPr>
              <w:spacing w:after="0"/>
              <w:rPr>
                <w:sz w:val="24"/>
                <w:szCs w:val="24"/>
                <w:color w:val="auto"/>
              </w:rPr>
            </w:pPr>
          </w:p>
        </w:tc>
        <w:tc>
          <w:tcPr>
            <w:tcW w:w="1760" w:type="dxa"/>
            <w:vAlign w:val="bottom"/>
            <w:tcBorders>
              <w:bottom w:val="single" w:sz="8" w:color="010101"/>
            </w:tcBorders>
          </w:tcPr>
          <w:p>
            <w:pPr>
              <w:spacing w:after="0"/>
              <w:rPr>
                <w:sz w:val="24"/>
                <w:szCs w:val="24"/>
                <w:color w:val="auto"/>
              </w:rPr>
            </w:pPr>
          </w:p>
        </w:tc>
        <w:tc>
          <w:tcPr>
            <w:tcW w:w="3940" w:type="dxa"/>
            <w:vAlign w:val="bottom"/>
            <w:tcBorders>
              <w:bottom w:val="single" w:sz="8" w:color="010101"/>
            </w:tcBorders>
          </w:tcPr>
          <w:p>
            <w:pPr>
              <w:spacing w:after="0"/>
              <w:rPr>
                <w:sz w:val="24"/>
                <w:szCs w:val="24"/>
                <w:color w:val="auto"/>
              </w:rPr>
            </w:pPr>
          </w:p>
        </w:tc>
        <w:tc>
          <w:tcPr>
            <w:tcW w:w="49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ind w:left="2060"/>
        <w:spacing w:after="0"/>
        <w:rPr>
          <w:sz w:val="20"/>
          <w:szCs w:val="20"/>
          <w:color w:val="auto"/>
        </w:rPr>
      </w:pPr>
      <w:r>
        <w:rPr>
          <w:rFonts w:ascii="Arial" w:cs="Arial" w:eastAsia="Arial" w:hAnsi="Arial"/>
          <w:sz w:val="18"/>
          <w:szCs w:val="18"/>
          <w:b w:val="1"/>
          <w:bCs w:val="1"/>
          <w:color w:val="auto"/>
        </w:rPr>
        <w:t>CERTIFICATION OF CHIEF EXECUTIVE OFFICER PURSUANT TO 18 U.S.C. § 1350, AS</w:t>
      </w:r>
    </w:p>
    <w:p>
      <w:pPr>
        <w:spacing w:after="0" w:line="27"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ADOPTED PURSUANT TO SECTION 906 OF THE SARBANES-OXLEY ACT OF 2002</w:t>
      </w:r>
    </w:p>
    <w:p>
      <w:pPr>
        <w:spacing w:after="0" w:line="21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 that</w:t>
      </w:r>
    </w:p>
    <w:p>
      <w:pPr>
        <w:spacing w:after="0" w:line="170" w:lineRule="exact"/>
        <w:rPr>
          <w:sz w:val="20"/>
          <w:szCs w:val="20"/>
          <w:color w:val="auto"/>
        </w:rPr>
      </w:pPr>
    </w:p>
    <w:p>
      <w:pPr>
        <w:ind w:left="660" w:right="120" w:hanging="328"/>
        <w:spacing w:after="0" w:line="264" w:lineRule="auto"/>
        <w:tabs>
          <w:tab w:leader="none" w:pos="654"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27, 2007 filed on July 2, 2007, as amended by the Form 10-K/A Amendment No. 1 to which this Certification is attached as Exhibit 32.1 (the “Report”), fully complies with the requirements of section 13(a) and section 15(d) of the Securities Exchange Act of 1934, as amended; and</w:t>
      </w:r>
    </w:p>
    <w:p>
      <w:pPr>
        <w:spacing w:after="0" w:line="181"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5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-130810</wp:posOffset>
            </wp:positionV>
            <wp:extent cx="321564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Date: July 13,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467360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8"/>
          <w:szCs w:val="18"/>
          <w:b w:val="1"/>
          <w:bCs w:val="1"/>
          <w:color w:val="auto"/>
        </w:rPr>
        <w:t>CERTIFICATION OF INTERIM CHIEF FINANCIAL OFFICER PURSUANT TO 18 U.S.C. § 1350, AS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906 OF THE SARBANES-OXLEY ACT OF 2002</w:t>
      </w:r>
    </w:p>
    <w:p>
      <w:pPr>
        <w:spacing w:after="0" w:line="21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 Michael Tate, the chief financial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660" w:right="120" w:hanging="328"/>
        <w:spacing w:after="0" w:line="264" w:lineRule="auto"/>
        <w:tabs>
          <w:tab w:leader="none" w:pos="654"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27, 2007 filed on July 2, 2007, as amended by the Form 10-K/A Amendment No. 1 to which this Certification is attached as Exhibit 32.2 (the “Report”), fully complies with the requirements of section 13(a) and section 15(d) of the Securities Exchange Act of 1934, as amended; and</w:t>
      </w:r>
    </w:p>
    <w:p>
      <w:pPr>
        <w:spacing w:after="0" w:line="181"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5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3821430</wp:posOffset>
            </wp:positionH>
            <wp:positionV relativeFrom="paragraph">
              <wp:posOffset>-130810</wp:posOffset>
            </wp:positionV>
            <wp:extent cx="343027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3430270" cy="8890"/>
                    </a:xfrm>
                    <a:prstGeom prst="rect">
                      <a:avLst/>
                    </a:prstGeom>
                    <a:noFill/>
                  </pic:spPr>
                </pic:pic>
              </a:graphicData>
            </a:graphic>
          </wp:anchor>
        </w:drawing>
      </w:r>
    </w:p>
    <w:p>
      <w:pPr>
        <w:spacing w:after="0" w:line="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Date: July 13,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x"/>
      <w:numFmt w:val="bullet"/>
      <w:start w:val="1"/>
    </w:lvl>
  </w:abstractNum>
  <w:abstractNum w:abstractNumId="1">
    <w:nsid w:val="79E2A9E3"/>
    <w:multiLevelType w:val="hybridMultilevel"/>
    <w:lvl w:ilvl="0">
      <w:lvlJc w:val="left"/>
      <w:lvlText w:val="o"/>
      <w:numFmt w:val="bullet"/>
      <w:start w:val="1"/>
    </w:lvl>
  </w:abstractNum>
  <w:abstractNum w:abstractNumId="2">
    <w:nsid w:val="7545E146"/>
    <w:multiLevelType w:val="hybridMultilevel"/>
    <w:lvl w:ilvl="0">
      <w:lvlJc w:val="left"/>
      <w:lvlText w:val="(%1)"/>
      <w:numFmt w:val="lowerLetter"/>
      <w:start w:val="1"/>
    </w:lvl>
  </w:abstractNum>
  <w:abstractNum w:abstractNumId="3">
    <w:nsid w:val="515F007C"/>
    <w:multiLevelType w:val="hybridMultilevel"/>
    <w:lvl w:ilvl="0">
      <w:lvlJc w:val="left"/>
      <w:lvlText w:val="%1."/>
      <w:numFmt w:val="decimal"/>
      <w:start w:val="1"/>
    </w:lvl>
  </w:abstractNum>
  <w:abstractNum w:abstractNumId="4">
    <w:nsid w:val="5BD062C2"/>
    <w:multiLevelType w:val="hybridMultilevel"/>
    <w:lvl w:ilvl="0">
      <w:lvlJc w:val="left"/>
      <w:lvlText w:val="%1."/>
      <w:numFmt w:val="decimal"/>
      <w:start w:val="2"/>
    </w:lvl>
  </w:abstractNum>
  <w:abstractNum w:abstractNumId="5">
    <w:nsid w:val="12200854"/>
    <w:multiLevelType w:val="hybridMultilevel"/>
    <w:lvl w:ilvl="0">
      <w:lvlJc w:val="left"/>
      <w:lvlText w:val="%1."/>
      <w:numFmt w:val="decimal"/>
      <w:start w:val="3"/>
    </w:lvl>
  </w:abstractNum>
  <w:abstractNum w:abstractNumId="6">
    <w:nsid w:val="4DB127F8"/>
    <w:multiLevelType w:val="hybridMultilevel"/>
    <w:lvl w:ilvl="0">
      <w:lvlJc w:val="left"/>
      <w:lvlText w:val="#"/>
      <w:numFmt w:val="bullet"/>
      <w:start w:val="1"/>
    </w:lvl>
  </w:abstractNum>
  <w:abstractNum w:abstractNumId="7">
    <w:nsid w:val="216231B"/>
    <w:multiLevelType w:val="hybridMultilevel"/>
    <w:lvl w:ilvl="0">
      <w:lvlJc w:val="left"/>
      <w:lvlText w:val="*"/>
      <w:numFmt w:val="bullet"/>
      <w:start w:val="1"/>
    </w:lvl>
  </w:abstractNum>
  <w:abstractNum w:abstractNumId="8">
    <w:nsid w:val="1F16E9E8"/>
    <w:multiLevelType w:val="hybridMultilevel"/>
    <w:lvl w:ilvl="0">
      <w:lvlJc w:val="left"/>
      <w:lvlText w:val="~"/>
      <w:numFmt w:val="bullet"/>
      <w:start w:val="1"/>
    </w:lvl>
  </w:abstractNum>
  <w:abstractNum w:abstractNumId="9">
    <w:nsid w:val="1190CDE7"/>
    <w:multiLevelType w:val="hybridMultilevel"/>
    <w:lvl w:ilvl="0">
      <w:lvlJc w:val="left"/>
      <w:lvlText w:val="%1."/>
      <w:numFmt w:val="decimal"/>
      <w:start w:val="1"/>
    </w:lvl>
    <w:lvl w:ilvl="1">
      <w:lvlJc w:val="left"/>
      <w:lvlText w:val="%2)"/>
      <w:numFmt w:val="lowerLetter"/>
      <w:start w:val="1"/>
    </w:lvl>
  </w:abstractNum>
  <w:abstractNum w:abstractNumId="10">
    <w:nsid w:val="66EF438D"/>
    <w:multiLevelType w:val="hybridMultilevel"/>
    <w:lvl w:ilvl="0">
      <w:lvlJc w:val="left"/>
      <w:lvlText w:val="%1."/>
      <w:numFmt w:val="decimal"/>
      <w:start w:val="1"/>
    </w:lvl>
    <w:lvl w:ilvl="1">
      <w:lvlJc w:val="left"/>
      <w:lvlText w:val="%2)"/>
      <w:numFmt w:val="lowerLetter"/>
      <w:start w:val="1"/>
    </w:lvl>
  </w:abstractNum>
  <w:abstractNum w:abstractNumId="11">
    <w:nsid w:val="140E0F76"/>
    <w:multiLevelType w:val="hybridMultilevel"/>
    <w:lvl w:ilvl="0">
      <w:lvlJc w:val="left"/>
      <w:lvlText w:val="(%1)"/>
      <w:numFmt w:val="lowerRoman"/>
      <w:start w:val="1"/>
    </w:lvl>
  </w:abstractNum>
  <w:abstractNum w:abstractNumId="12">
    <w:nsid w:val="3352255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2019-12-12T00:56:10Z</dcterms:created>
  <dcterms:modified xsi:type="dcterms:W3CDTF">2019-12-12T00:56:10Z</dcterms:modified>
</cp:coreProperties>
</file>