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10-Q/A</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16" w:lineRule="exact"/>
        <w:rPr>
          <w:sz w:val="24"/>
          <w:szCs w:val="24"/>
          <w:color w:val="auto"/>
        </w:rPr>
      </w:pPr>
    </w:p>
    <w:p>
      <w:pPr>
        <w:ind w:left="780" w:hanging="772"/>
        <w:spacing w:after="0"/>
        <w:tabs>
          <w:tab w:leader="none" w:pos="78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April 29, 2006</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780" w:hanging="772"/>
        <w:spacing w:after="0"/>
        <w:tabs>
          <w:tab w:leader="none" w:pos="78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69" w:lineRule="exact"/>
        <w:rPr>
          <w:sz w:val="24"/>
          <w:szCs w:val="24"/>
          <w:color w:val="auto"/>
        </w:rPr>
      </w:pPr>
    </w:p>
    <w:p>
      <w:pPr>
        <w:ind w:left="378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00" w:type="dxa"/>
        <w:tblCellMar>
          <w:top w:w="0" w:type="dxa"/>
          <w:left w:w="0" w:type="dxa"/>
          <w:bottom w:w="0" w:type="dxa"/>
          <w:right w:w="0" w:type="dxa"/>
        </w:tblCellMar>
      </w:tblPr>
      <w:tr>
        <w:trPr>
          <w:trHeight w:val="220"/>
        </w:trPr>
        <w:tc>
          <w:tcPr>
            <w:tcW w:w="4220" w:type="dxa"/>
            <w:vAlign w:val="bottom"/>
          </w:tcPr>
          <w:p>
            <w:pPr>
              <w:jc w:val="center"/>
              <w:ind w:right="193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5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2"/>
              </w:rPr>
              <w:t>(I.R.S. Employer</w:t>
            </w:r>
          </w:p>
        </w:tc>
      </w:tr>
      <w:tr>
        <w:trPr>
          <w:trHeight w:val="230"/>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25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2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2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80" w:firstLine="324"/>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o Yes x No</w:t>
      </w:r>
    </w:p>
    <w:p>
      <w:pPr>
        <w:spacing w:after="0" w:line="181" w:lineRule="exact"/>
        <w:rPr>
          <w:sz w:val="24"/>
          <w:szCs w:val="24"/>
          <w:color w:val="auto"/>
        </w:rPr>
      </w:pPr>
    </w:p>
    <w:p>
      <w:pPr>
        <w:ind w:firstLine="324"/>
        <w:spacing w:after="0" w:line="277"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70" w:lineRule="exact"/>
        <w:rPr>
          <w:sz w:val="24"/>
          <w:szCs w:val="24"/>
          <w:color w:val="auto"/>
        </w:rPr>
      </w:pPr>
    </w:p>
    <w:p>
      <w:pPr>
        <w:ind w:left="1300"/>
        <w:spacing w:after="0"/>
        <w:tabs>
          <w:tab w:leader="none" w:pos="4720" w:val="left"/>
          <w:tab w:leader="none" w:pos="7540" w:val="left"/>
        </w:tabs>
        <w:rPr>
          <w:sz w:val="20"/>
          <w:szCs w:val="20"/>
          <w:color w:val="auto"/>
        </w:rPr>
      </w:pPr>
      <w:r>
        <w:rPr>
          <w:rFonts w:ascii="Arial" w:cs="Arial" w:eastAsia="Arial" w:hAnsi="Arial"/>
          <w:sz w:val="18"/>
          <w:szCs w:val="18"/>
          <w:color w:val="auto"/>
        </w:rPr>
        <w:t>Large accelerated filer x</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6"/>
          <w:szCs w:val="16"/>
          <w:color w:val="auto"/>
        </w:rPr>
        <w:t>Non-accelerated filer o</w:t>
      </w:r>
    </w:p>
    <w:p>
      <w:pPr>
        <w:spacing w:after="0" w:line="279" w:lineRule="exact"/>
        <w:rPr>
          <w:sz w:val="24"/>
          <w:szCs w:val="24"/>
          <w:color w:val="auto"/>
        </w:rPr>
      </w:pPr>
    </w:p>
    <w:p>
      <w:pPr>
        <w:ind w:left="34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340"/>
        <w:spacing w:after="0"/>
        <w:rPr>
          <w:sz w:val="20"/>
          <w:szCs w:val="20"/>
          <w:color w:val="auto"/>
        </w:rPr>
      </w:pPr>
      <w:r>
        <w:rPr>
          <w:rFonts w:ascii="Arial" w:cs="Arial" w:eastAsia="Arial" w:hAnsi="Arial"/>
          <w:sz w:val="18"/>
          <w:szCs w:val="18"/>
          <w:color w:val="auto"/>
        </w:rPr>
        <w:t>The number of shares of the registrant’s common stock outstanding as of May 31, 2007 was 587,591,437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20" w:type="dxa"/>
            <w:vAlign w:val="bottom"/>
            <w:tcBorders>
              <w:bottom w:val="single" w:sz="8" w:color="auto"/>
            </w:tcBorders>
          </w:tcPr>
          <w:p>
            <w:pPr>
              <w:jc w:val="right"/>
              <w:ind w:right="33"/>
              <w:spacing w:after="0"/>
              <w:rPr>
                <w:sz w:val="20"/>
                <w:szCs w:val="20"/>
                <w:color w:val="auto"/>
              </w:rPr>
            </w:pPr>
            <w:r>
              <w:rPr>
                <w:rFonts w:ascii="Arial" w:cs="Arial" w:eastAsia="Arial" w:hAnsi="Arial"/>
                <w:sz w:val="14"/>
                <w:szCs w:val="14"/>
                <w:b w:val="1"/>
                <w:bCs w:val="1"/>
                <w:color w:val="auto"/>
              </w:rPr>
              <w:t>Page</w:t>
            </w:r>
          </w:p>
        </w:tc>
      </w:tr>
      <w:tr>
        <w:trPr>
          <w:trHeight w:val="385"/>
        </w:trPr>
        <w:tc>
          <w:tcPr>
            <w:tcW w:w="5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120" w:type="dxa"/>
            <w:vAlign w:val="bottom"/>
            <w:tcBorders>
              <w:bottom w:val="single" w:sz="8" w:color="0000EE"/>
            </w:tcBorders>
            <w:gridSpan w:val="2"/>
          </w:tcPr>
          <w:p>
            <w:pPr>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 FINANCIAL INFORMATION</w:t>
              </w:r>
            </w:hyperlink>
          </w:p>
        </w:tc>
        <w:tc>
          <w:tcPr>
            <w:tcW w:w="3960" w:type="dxa"/>
            <w:vAlign w:val="bottom"/>
            <w:gridSpan w:val="5"/>
          </w:tcPr>
          <w:p>
            <w:pPr>
              <w:spacing w:after="0"/>
              <w:rPr>
                <w:sz w:val="24"/>
                <w:szCs w:val="24"/>
                <w:color w:val="auto"/>
              </w:rPr>
            </w:pPr>
          </w:p>
        </w:tc>
        <w:tc>
          <w:tcPr>
            <w:tcW w:w="520" w:type="dxa"/>
            <w:vAlign w:val="bottom"/>
          </w:tcPr>
          <w:p>
            <w:pPr>
              <w:spacing w:after="0"/>
              <w:rPr>
                <w:sz w:val="24"/>
                <w:szCs w:val="24"/>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980" w:type="dxa"/>
            <w:vAlign w:val="bottom"/>
          </w:tcPr>
          <w:p>
            <w:pPr>
              <w:spacing w:after="0"/>
              <w:rPr>
                <w:sz w:val="24"/>
                <w:szCs w:val="24"/>
                <w:color w:val="auto"/>
              </w:rPr>
            </w:pPr>
          </w:p>
        </w:tc>
        <w:tc>
          <w:tcPr>
            <w:tcW w:w="9400" w:type="dxa"/>
            <w:vAlign w:val="bottom"/>
            <w:gridSpan w:val="10"/>
          </w:tcPr>
          <w:p>
            <w:pPr>
              <w:spacing w:after="0"/>
              <w:rPr>
                <w:rFonts w:ascii="Arial" w:cs="Arial" w:eastAsia="Arial" w:hAnsi="Arial"/>
                <w:sz w:val="18"/>
                <w:szCs w:val="18"/>
                <w:color w:val="0000EE"/>
              </w:rPr>
            </w:pPr>
            <w:hyperlink w:anchor="page2">
              <w:r>
                <w:rPr>
                  <w:rFonts w:ascii="Arial" w:cs="Arial" w:eastAsia="Arial" w:hAnsi="Arial"/>
                  <w:sz w:val="18"/>
                  <w:szCs w:val="18"/>
                  <w:color w:val="0000EE"/>
                </w:rPr>
                <w:t>Financial Statements:</w:t>
              </w:r>
            </w:hyperlink>
          </w:p>
        </w:tc>
        <w:tc>
          <w:tcPr>
            <w:tcW w:w="520" w:type="dxa"/>
            <w:vAlign w:val="bottom"/>
          </w:tcPr>
          <w:p>
            <w:pPr>
              <w:spacing w:after="0"/>
              <w:rPr>
                <w:sz w:val="24"/>
                <w:szCs w:val="24"/>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3240" w:type="dxa"/>
            <w:vAlign w:val="bottom"/>
            <w:gridSpan w:val="2"/>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r>
      <w:tr>
        <w:trPr>
          <w:trHeight w:val="412"/>
        </w:trPr>
        <w:tc>
          <w:tcPr>
            <w:tcW w:w="5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400" w:type="dxa"/>
            <w:vAlign w:val="bottom"/>
            <w:gridSpan w:val="10"/>
          </w:tcPr>
          <w:p>
            <w:pPr>
              <w:spacing w:after="0"/>
              <w:rPr>
                <w:rFonts w:ascii="Arial" w:cs="Arial" w:eastAsia="Arial" w:hAnsi="Arial"/>
                <w:sz w:val="18"/>
                <w:szCs w:val="18"/>
                <w:color w:val="0000EE"/>
              </w:rPr>
            </w:pPr>
            <w:hyperlink w:anchor="page2">
              <w:r>
                <w:rPr>
                  <w:rFonts w:ascii="Arial" w:cs="Arial" w:eastAsia="Arial" w:hAnsi="Arial"/>
                  <w:sz w:val="18"/>
                  <w:szCs w:val="18"/>
                  <w:color w:val="0000EE"/>
                </w:rPr>
                <w:t>Unaudited Condensed Consolidated Balance Sheets at April 29, 2006 and January 28, 2006 (restated)</w:t>
              </w:r>
            </w:hyperlink>
          </w:p>
        </w:tc>
        <w:tc>
          <w:tcPr>
            <w:tcW w:w="52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0"/>
        </w:trPr>
        <w:tc>
          <w:tcPr>
            <w:tcW w:w="5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4100" w:type="dxa"/>
            <w:vAlign w:val="bottom"/>
            <w:gridSpan w:val="3"/>
            <w:shd w:val="clear" w:color="auto" w:fill="0000EE"/>
          </w:tcPr>
          <w:p>
            <w:pPr>
              <w:spacing w:after="0" w:line="20" w:lineRule="exact"/>
              <w:rPr>
                <w:sz w:val="1"/>
                <w:szCs w:val="1"/>
                <w:color w:val="auto"/>
              </w:rPr>
            </w:pPr>
          </w:p>
        </w:tc>
        <w:tc>
          <w:tcPr>
            <w:tcW w:w="1680" w:type="dxa"/>
            <w:vAlign w:val="bottom"/>
            <w:gridSpan w:val="2"/>
            <w:shd w:val="clear" w:color="auto" w:fill="0000EE"/>
          </w:tcPr>
          <w:p>
            <w:pPr>
              <w:spacing w:after="0" w:line="20" w:lineRule="exact"/>
              <w:rPr>
                <w:sz w:val="1"/>
                <w:szCs w:val="1"/>
                <w:color w:val="auto"/>
              </w:rPr>
            </w:pPr>
          </w:p>
        </w:tc>
        <w:tc>
          <w:tcPr>
            <w:tcW w:w="840" w:type="dxa"/>
            <w:vAlign w:val="bottom"/>
            <w:shd w:val="clear" w:color="auto" w:fill="0000EE"/>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r>
      <w:tr>
        <w:trPr>
          <w:trHeight w:val="412"/>
        </w:trPr>
        <w:tc>
          <w:tcPr>
            <w:tcW w:w="5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680" w:type="dxa"/>
            <w:vAlign w:val="bottom"/>
            <w:tcBorders>
              <w:bottom w:val="single" w:sz="8" w:color="0000EE"/>
            </w:tcBorders>
            <w:gridSpan w:val="8"/>
          </w:tcPr>
          <w:p>
            <w:pPr>
              <w:spacing w:after="0"/>
              <w:rPr>
                <w:rFonts w:ascii="Arial" w:cs="Arial" w:eastAsia="Arial" w:hAnsi="Arial"/>
                <w:sz w:val="18"/>
                <w:szCs w:val="18"/>
                <w:color w:val="0000EE"/>
                <w:w w:val="90"/>
              </w:rPr>
            </w:pPr>
            <w:hyperlink w:anchor="page3">
              <w:r>
                <w:rPr>
                  <w:rFonts w:ascii="Arial" w:cs="Arial" w:eastAsia="Arial" w:hAnsi="Arial"/>
                  <w:sz w:val="18"/>
                  <w:szCs w:val="18"/>
                  <w:color w:val="0000EE"/>
                  <w:w w:val="90"/>
                </w:rPr>
                <w:t>Unaudited Condensed Consolidated Statements of Income for the three months ended April 29, 2006 and April 30, 2005</w:t>
              </w:r>
            </w:hyperlink>
          </w:p>
        </w:tc>
        <w:tc>
          <w:tcPr>
            <w:tcW w:w="720" w:type="dxa"/>
            <w:vAlign w:val="bottom"/>
            <w:gridSpan w:val="2"/>
          </w:tcPr>
          <w:p>
            <w:pPr>
              <w:spacing w:after="0"/>
              <w:rPr>
                <w:sz w:val="24"/>
                <w:szCs w:val="24"/>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196"/>
        </w:trPr>
        <w:tc>
          <w:tcPr>
            <w:tcW w:w="5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680" w:type="dxa"/>
            <w:vAlign w:val="bottom"/>
            <w:tcBorders>
              <w:bottom w:val="single" w:sz="8" w:color="0000EE"/>
            </w:tcBorders>
          </w:tcPr>
          <w:p>
            <w:pPr>
              <w:spacing w:after="0" w:line="196" w:lineRule="exact"/>
              <w:rPr>
                <w:rFonts w:ascii="Arial" w:cs="Arial" w:eastAsia="Arial" w:hAnsi="Arial"/>
                <w:sz w:val="18"/>
                <w:szCs w:val="18"/>
                <w:color w:val="0000EE"/>
                <w:w w:val="85"/>
              </w:rPr>
            </w:pPr>
            <w:hyperlink w:anchor="page3">
              <w:r>
                <w:rPr>
                  <w:rFonts w:ascii="Arial" w:cs="Arial" w:eastAsia="Arial" w:hAnsi="Arial"/>
                  <w:sz w:val="18"/>
                  <w:szCs w:val="18"/>
                  <w:color w:val="0000EE"/>
                  <w:w w:val="85"/>
                </w:rPr>
                <w:t>(restated)</w:t>
              </w:r>
            </w:hyperlink>
          </w:p>
        </w:tc>
        <w:tc>
          <w:tcPr>
            <w:tcW w:w="8720" w:type="dxa"/>
            <w:vAlign w:val="bottom"/>
            <w:gridSpan w:val="9"/>
          </w:tcPr>
          <w:p>
            <w:pPr>
              <w:spacing w:after="0"/>
              <w:rPr>
                <w:sz w:val="17"/>
                <w:szCs w:val="17"/>
                <w:color w:val="auto"/>
              </w:rPr>
            </w:pPr>
          </w:p>
        </w:tc>
        <w:tc>
          <w:tcPr>
            <w:tcW w:w="520" w:type="dxa"/>
            <w:vAlign w:val="bottom"/>
          </w:tcPr>
          <w:p>
            <w:pPr>
              <w:spacing w:after="0"/>
              <w:rPr>
                <w:sz w:val="17"/>
                <w:szCs w:val="17"/>
                <w:color w:val="auto"/>
              </w:rPr>
            </w:pPr>
          </w:p>
        </w:tc>
      </w:tr>
      <w:tr>
        <w:trPr>
          <w:trHeight w:val="412"/>
        </w:trPr>
        <w:tc>
          <w:tcPr>
            <w:tcW w:w="5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400" w:type="dxa"/>
            <w:vAlign w:val="bottom"/>
            <w:gridSpan w:val="10"/>
          </w:tcPr>
          <w:p>
            <w:pPr>
              <w:spacing w:after="0"/>
              <w:rPr>
                <w:rFonts w:ascii="Arial" w:cs="Arial" w:eastAsia="Arial" w:hAnsi="Arial"/>
                <w:sz w:val="18"/>
                <w:szCs w:val="18"/>
                <w:color w:val="0000EE"/>
                <w:w w:val="94"/>
              </w:rPr>
            </w:pPr>
            <w:hyperlink w:anchor="page4">
              <w:r>
                <w:rPr>
                  <w:rFonts w:ascii="Arial" w:cs="Arial" w:eastAsia="Arial" w:hAnsi="Arial"/>
                  <w:sz w:val="18"/>
                  <w:szCs w:val="18"/>
                  <w:color w:val="0000EE"/>
                  <w:w w:val="94"/>
                </w:rPr>
                <w:t>Unaudited Condensed Consolidated Statements of Cash Flows for the three months ended April 29, 2006 and April 30, 2005</w:t>
              </w:r>
            </w:hyperlink>
          </w:p>
        </w:tc>
        <w:tc>
          <w:tcPr>
            <w:tcW w:w="52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196"/>
        </w:trPr>
        <w:tc>
          <w:tcPr>
            <w:tcW w:w="5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68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5"/>
              </w:rPr>
            </w:pPr>
            <w:hyperlink w:anchor="page4">
              <w:r>
                <w:rPr>
                  <w:rFonts w:ascii="Arial" w:cs="Arial" w:eastAsia="Arial" w:hAnsi="Arial"/>
                  <w:sz w:val="18"/>
                  <w:szCs w:val="18"/>
                  <w:color w:val="0000EE"/>
                  <w:w w:val="85"/>
                </w:rPr>
                <w:t>(restated)</w:t>
              </w:r>
            </w:hyperlink>
          </w:p>
        </w:tc>
        <w:tc>
          <w:tcPr>
            <w:tcW w:w="8300" w:type="dxa"/>
            <w:vAlign w:val="bottom"/>
            <w:tcBorders>
              <w:top w:val="single" w:sz="8" w:color="0000EE"/>
            </w:tcBorders>
            <w:gridSpan w:val="8"/>
          </w:tcPr>
          <w:p>
            <w:pPr>
              <w:spacing w:after="0"/>
              <w:rPr>
                <w:sz w:val="17"/>
                <w:szCs w:val="17"/>
                <w:color w:val="auto"/>
              </w:rPr>
            </w:pPr>
          </w:p>
        </w:tc>
        <w:tc>
          <w:tcPr>
            <w:tcW w:w="42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412"/>
        </w:trPr>
        <w:tc>
          <w:tcPr>
            <w:tcW w:w="5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400" w:type="dxa"/>
            <w:vAlign w:val="bottom"/>
            <w:gridSpan w:val="10"/>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Notes to Unaudited Condensed Consolidated Financial Statements</w:t>
              </w:r>
            </w:hyperlink>
          </w:p>
        </w:tc>
        <w:tc>
          <w:tcPr>
            <w:tcW w:w="52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20"/>
        </w:trPr>
        <w:tc>
          <w:tcPr>
            <w:tcW w:w="5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4780" w:type="dxa"/>
            <w:vAlign w:val="bottom"/>
            <w:gridSpan w:val="4"/>
            <w:shd w:val="clear" w:color="auto" w:fill="0000EE"/>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2940" w:type="dxa"/>
            <w:vAlign w:val="bottom"/>
            <w:gridSpan w:val="4"/>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26">
              <w:r>
                <w:rPr>
                  <w:rFonts w:ascii="Arial" w:cs="Arial" w:eastAsia="Arial" w:hAnsi="Arial"/>
                  <w:sz w:val="18"/>
                  <w:szCs w:val="18"/>
                  <w:color w:val="0000EE"/>
                  <w:w w:val="90"/>
                </w:rPr>
                <w:t>Item 2.</w:t>
              </w:r>
            </w:hyperlink>
          </w:p>
        </w:tc>
        <w:tc>
          <w:tcPr>
            <w:tcW w:w="980" w:type="dxa"/>
            <w:vAlign w:val="bottom"/>
          </w:tcPr>
          <w:p>
            <w:pPr>
              <w:spacing w:after="0"/>
              <w:rPr>
                <w:sz w:val="24"/>
                <w:szCs w:val="24"/>
                <w:color w:val="auto"/>
              </w:rPr>
            </w:pPr>
          </w:p>
        </w:tc>
        <w:tc>
          <w:tcPr>
            <w:tcW w:w="6460" w:type="dxa"/>
            <w:vAlign w:val="bottom"/>
            <w:tcBorders>
              <w:bottom w:val="single" w:sz="8" w:color="0000EE"/>
            </w:tcBorders>
            <w:gridSpan w:val="6"/>
          </w:tcPr>
          <w:p>
            <w:pPr>
              <w:spacing w:after="0"/>
              <w:rPr>
                <w:rFonts w:ascii="Arial" w:cs="Arial" w:eastAsia="Arial" w:hAnsi="Arial"/>
                <w:sz w:val="18"/>
                <w:szCs w:val="18"/>
                <w:color w:val="0000EE"/>
                <w:w w:val="90"/>
              </w:rPr>
            </w:pPr>
            <w:hyperlink w:anchor="page26">
              <w:r>
                <w:rPr>
                  <w:rFonts w:ascii="Arial" w:cs="Arial" w:eastAsia="Arial" w:hAnsi="Arial"/>
                  <w:sz w:val="18"/>
                  <w:szCs w:val="18"/>
                  <w:color w:val="0000EE"/>
                  <w:w w:val="90"/>
                </w:rPr>
                <w:t>Management’s Discussion and Analysis of Financial Condition and Results of Operations</w:t>
              </w:r>
            </w:hyperlink>
          </w:p>
        </w:tc>
        <w:tc>
          <w:tcPr>
            <w:tcW w:w="2940" w:type="dxa"/>
            <w:vAlign w:val="bottom"/>
            <w:gridSpan w:val="4"/>
          </w:tcPr>
          <w:p>
            <w:pPr>
              <w:spacing w:after="0"/>
              <w:rPr>
                <w:sz w:val="24"/>
                <w:szCs w:val="24"/>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37</w:t>
            </w:r>
          </w:p>
        </w:tc>
      </w:tr>
    </w:tbl>
    <w:p>
      <w:pPr>
        <w:sectPr>
          <w:pgSz w:w="11900" w:h="16843" w:orient="portrait"/>
          <w:cols w:equalWidth="0" w:num="1">
            <w:col w:w="11420"/>
          </w:cols>
          <w:pgMar w:left="240" w:top="530" w:right="239"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tcPr>
          <w:p>
            <w:pPr>
              <w:spacing w:after="0"/>
              <w:rPr>
                <w:rFonts w:ascii="Arial" w:cs="Arial" w:eastAsia="Arial" w:hAnsi="Arial"/>
                <w:sz w:val="18"/>
                <w:szCs w:val="18"/>
                <w:color w:val="0000EE"/>
                <w:w w:val="87"/>
              </w:rPr>
            </w:pPr>
            <w:hyperlink w:anchor="page43">
              <w:r>
                <w:rPr>
                  <w:rFonts w:ascii="Arial" w:cs="Arial" w:eastAsia="Arial" w:hAnsi="Arial"/>
                  <w:sz w:val="18"/>
                  <w:szCs w:val="18"/>
                  <w:color w:val="0000EE"/>
                  <w:w w:val="87"/>
                </w:rPr>
                <w:t>Item 3.</w:t>
              </w:r>
            </w:hyperlink>
          </w:p>
        </w:tc>
        <w:tc>
          <w:tcPr>
            <w:tcW w:w="720" w:type="dxa"/>
            <w:vAlign w:val="bottom"/>
            <w:gridSpan w:val="4"/>
          </w:tcPr>
          <w:p>
            <w:pPr>
              <w:spacing w:after="0"/>
              <w:rPr>
                <w:sz w:val="17"/>
                <w:szCs w:val="17"/>
                <w:color w:val="auto"/>
              </w:rPr>
            </w:pPr>
          </w:p>
        </w:tc>
        <w:tc>
          <w:tcPr>
            <w:tcW w:w="5540" w:type="dxa"/>
            <w:vAlign w:val="bottom"/>
            <w:gridSpan w:val="10"/>
          </w:tcPr>
          <w:p>
            <w:pPr>
              <w:ind w:left="260"/>
              <w:spacing w:after="0"/>
              <w:rPr>
                <w:rFonts w:ascii="Arial" w:cs="Arial" w:eastAsia="Arial" w:hAnsi="Arial"/>
                <w:sz w:val="18"/>
                <w:szCs w:val="18"/>
                <w:color w:val="0000EE"/>
              </w:rPr>
            </w:pPr>
            <w:hyperlink w:anchor="page43">
              <w:r>
                <w:rPr>
                  <w:rFonts w:ascii="Arial" w:cs="Arial" w:eastAsia="Arial" w:hAnsi="Arial"/>
                  <w:sz w:val="18"/>
                  <w:szCs w:val="18"/>
                  <w:color w:val="0000EE"/>
                </w:rPr>
                <w:t>Quantitative and Qualitative Disclosures About Market Risk</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460" w:type="dxa"/>
            <w:vAlign w:val="bottom"/>
            <w:tcBorders>
              <w:left w:val="single" w:sz="8" w:color="0000EE"/>
            </w:tcBorders>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280" w:type="dxa"/>
            <w:vAlign w:val="bottom"/>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940" w:type="dxa"/>
            <w:vAlign w:val="bottom"/>
            <w:tcBorders>
              <w:left w:val="single" w:sz="8" w:color="0000EE"/>
            </w:tcBorders>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87"/>
              </w:rPr>
            </w:pPr>
            <w:hyperlink w:anchor="page43">
              <w:r>
                <w:rPr>
                  <w:rFonts w:ascii="Arial" w:cs="Arial" w:eastAsia="Arial" w:hAnsi="Arial"/>
                  <w:sz w:val="18"/>
                  <w:szCs w:val="18"/>
                  <w:color w:val="0000EE"/>
                  <w:w w:val="87"/>
                </w:rPr>
                <w:t>Item 4.</w:t>
              </w:r>
            </w:hyperlink>
          </w:p>
        </w:tc>
        <w:tc>
          <w:tcPr>
            <w:tcW w:w="720" w:type="dxa"/>
            <w:vAlign w:val="bottom"/>
            <w:gridSpan w:val="4"/>
          </w:tcPr>
          <w:p>
            <w:pPr>
              <w:spacing w:after="0"/>
              <w:rPr>
                <w:sz w:val="24"/>
                <w:szCs w:val="24"/>
                <w:color w:val="auto"/>
              </w:rPr>
            </w:pPr>
          </w:p>
        </w:tc>
        <w:tc>
          <w:tcPr>
            <w:tcW w:w="5540" w:type="dxa"/>
            <w:vAlign w:val="bottom"/>
            <w:gridSpan w:val="10"/>
          </w:tcPr>
          <w:p>
            <w:pPr>
              <w:ind w:left="260"/>
              <w:spacing w:after="0"/>
              <w:rPr>
                <w:rFonts w:ascii="Arial" w:cs="Arial" w:eastAsia="Arial" w:hAnsi="Arial"/>
                <w:sz w:val="18"/>
                <w:szCs w:val="18"/>
                <w:color w:val="0000EE"/>
              </w:rPr>
            </w:pPr>
            <w:hyperlink w:anchor="page43">
              <w:r>
                <w:rPr>
                  <w:rFonts w:ascii="Arial" w:cs="Arial" w:eastAsia="Arial" w:hAnsi="Arial"/>
                  <w:sz w:val="18"/>
                  <w:szCs w:val="18"/>
                  <w:color w:val="0000EE"/>
                </w:rPr>
                <w:t>Controls and Procedures</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412"/>
        </w:trPr>
        <w:tc>
          <w:tcPr>
            <w:tcW w:w="520" w:type="dxa"/>
            <w:vAlign w:val="bottom"/>
            <w:tcBorders>
              <w:top w:val="single" w:sz="8" w:color="0000EE"/>
            </w:tcBorders>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0" w:type="dxa"/>
            <w:vAlign w:val="bottom"/>
            <w:tcBorders>
              <w:top w:val="single" w:sz="8" w:color="0000EE"/>
            </w:tcBorders>
          </w:tcPr>
          <w:p>
            <w:pPr>
              <w:spacing w:after="0"/>
              <w:rPr>
                <w:sz w:val="24"/>
                <w:szCs w:val="24"/>
                <w:color w:val="auto"/>
              </w:rPr>
            </w:pPr>
          </w:p>
        </w:tc>
        <w:tc>
          <w:tcPr>
            <w:tcW w:w="30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460" w:type="dxa"/>
            <w:vAlign w:val="bottom"/>
            <w:tcBorders>
              <w:top w:val="single" w:sz="8" w:color="0000EE"/>
            </w:tcBorders>
          </w:tcPr>
          <w:p>
            <w:pPr>
              <w:spacing w:after="0"/>
              <w:rPr>
                <w:sz w:val="24"/>
                <w:szCs w:val="24"/>
                <w:color w:val="auto"/>
              </w:rPr>
            </w:pPr>
          </w:p>
        </w:tc>
        <w:tc>
          <w:tcPr>
            <w:tcW w:w="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800" w:type="dxa"/>
            <w:vAlign w:val="bottom"/>
            <w:tcBorders>
              <w:bottom w:val="single" w:sz="8" w:color="0000EE"/>
            </w:tcBorders>
            <w:gridSpan w:val="3"/>
          </w:tcPr>
          <w:p>
            <w:pPr>
              <w:spacing w:after="0"/>
              <w:rPr>
                <w:rFonts w:ascii="Arial" w:cs="Arial" w:eastAsia="Arial" w:hAnsi="Arial"/>
                <w:sz w:val="18"/>
                <w:szCs w:val="18"/>
                <w:b w:val="1"/>
                <w:bCs w:val="1"/>
                <w:color w:val="0000EE"/>
              </w:rPr>
            </w:pPr>
            <w:hyperlink w:anchor="page45">
              <w:r>
                <w:rPr>
                  <w:rFonts w:ascii="Arial" w:cs="Arial" w:eastAsia="Arial" w:hAnsi="Arial"/>
                  <w:sz w:val="18"/>
                  <w:szCs w:val="18"/>
                  <w:b w:val="1"/>
                  <w:bCs w:val="1"/>
                  <w:color w:val="0000EE"/>
                </w:rPr>
                <w:t>PART II. OTHER INFORMATION</w:t>
              </w:r>
            </w:hyperlink>
          </w:p>
        </w:tc>
        <w:tc>
          <w:tcPr>
            <w:tcW w:w="4620" w:type="dxa"/>
            <w:vAlign w:val="bottom"/>
          </w:tcPr>
          <w:p>
            <w:pPr>
              <w:spacing w:after="0"/>
              <w:rPr>
                <w:sz w:val="24"/>
                <w:szCs w:val="24"/>
                <w:color w:val="auto"/>
              </w:rPr>
            </w:pPr>
          </w:p>
        </w:tc>
      </w:tr>
      <w:tr>
        <w:trPr>
          <w:trHeight w:val="412"/>
        </w:trPr>
        <w:tc>
          <w:tcPr>
            <w:tcW w:w="520" w:type="dxa"/>
            <w:vAlign w:val="bottom"/>
          </w:tcPr>
          <w:p>
            <w:pPr>
              <w:spacing w:after="0"/>
              <w:rPr>
                <w:rFonts w:ascii="Arial" w:cs="Arial" w:eastAsia="Arial" w:hAnsi="Arial"/>
                <w:sz w:val="18"/>
                <w:szCs w:val="18"/>
                <w:color w:val="0000EE"/>
                <w:w w:val="87"/>
              </w:rPr>
            </w:pPr>
            <w:hyperlink w:anchor="page45">
              <w:r>
                <w:rPr>
                  <w:rFonts w:ascii="Arial" w:cs="Arial" w:eastAsia="Arial" w:hAnsi="Arial"/>
                  <w:sz w:val="18"/>
                  <w:szCs w:val="18"/>
                  <w:color w:val="0000EE"/>
                  <w:w w:val="87"/>
                </w:rPr>
                <w:t>Item 1.</w:t>
              </w:r>
            </w:hyperlink>
          </w:p>
        </w:tc>
        <w:tc>
          <w:tcPr>
            <w:tcW w:w="720" w:type="dxa"/>
            <w:vAlign w:val="bottom"/>
            <w:gridSpan w:val="4"/>
          </w:tcPr>
          <w:p>
            <w:pPr>
              <w:spacing w:after="0"/>
              <w:rPr>
                <w:sz w:val="24"/>
                <w:szCs w:val="24"/>
                <w:color w:val="auto"/>
              </w:rPr>
            </w:pPr>
          </w:p>
        </w:tc>
        <w:tc>
          <w:tcPr>
            <w:tcW w:w="5540" w:type="dxa"/>
            <w:vAlign w:val="bottom"/>
            <w:gridSpan w:val="10"/>
          </w:tcPr>
          <w:p>
            <w:pPr>
              <w:ind w:left="260"/>
              <w:spacing w:after="0"/>
              <w:rPr>
                <w:rFonts w:ascii="Arial" w:cs="Arial" w:eastAsia="Arial" w:hAnsi="Arial"/>
                <w:sz w:val="18"/>
                <w:szCs w:val="18"/>
                <w:color w:val="0000EE"/>
              </w:rPr>
            </w:pPr>
            <w:hyperlink w:anchor="page45">
              <w:r>
                <w:rPr>
                  <w:rFonts w:ascii="Arial" w:cs="Arial" w:eastAsia="Arial" w:hAnsi="Arial"/>
                  <w:sz w:val="18"/>
                  <w:szCs w:val="18"/>
                  <w:color w:val="0000EE"/>
                </w:rPr>
                <w:t>Legal Proceedings</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020" w:type="dxa"/>
            <w:vAlign w:val="bottom"/>
            <w:tcBorders>
              <w:left w:val="single" w:sz="8" w:color="0000EE"/>
            </w:tcBorders>
            <w:gridSpan w:val="2"/>
          </w:tcPr>
          <w:p>
            <w:pPr>
              <w:spacing w:after="0" w:line="20" w:lineRule="exact"/>
              <w:rPr>
                <w:sz w:val="1"/>
                <w:szCs w:val="1"/>
                <w:color w:val="auto"/>
              </w:rPr>
            </w:pPr>
          </w:p>
        </w:tc>
        <w:tc>
          <w:tcPr>
            <w:tcW w:w="144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1240" w:type="dxa"/>
            <w:vAlign w:val="bottom"/>
            <w:gridSpan w:val="5"/>
          </w:tcPr>
          <w:p>
            <w:pPr>
              <w:spacing w:after="0"/>
              <w:rPr>
                <w:rFonts w:ascii="Arial" w:cs="Arial" w:eastAsia="Arial" w:hAnsi="Arial"/>
                <w:sz w:val="18"/>
                <w:szCs w:val="18"/>
                <w:color w:val="0000EE"/>
              </w:rPr>
            </w:pPr>
            <w:hyperlink w:anchor="page46">
              <w:r>
                <w:rPr>
                  <w:rFonts w:ascii="Arial" w:cs="Arial" w:eastAsia="Arial" w:hAnsi="Arial"/>
                  <w:sz w:val="18"/>
                  <w:szCs w:val="18"/>
                  <w:color w:val="0000EE"/>
                </w:rPr>
                <w:t>Item 1A.</w:t>
              </w:r>
            </w:hyperlink>
          </w:p>
        </w:tc>
        <w:tc>
          <w:tcPr>
            <w:tcW w:w="5540" w:type="dxa"/>
            <w:vAlign w:val="bottom"/>
            <w:gridSpan w:val="10"/>
          </w:tcPr>
          <w:p>
            <w:pPr>
              <w:ind w:left="260"/>
              <w:spacing w:after="0"/>
              <w:rPr>
                <w:rFonts w:ascii="Arial" w:cs="Arial" w:eastAsia="Arial" w:hAnsi="Arial"/>
                <w:sz w:val="18"/>
                <w:szCs w:val="18"/>
                <w:color w:val="0000EE"/>
              </w:rPr>
            </w:pPr>
            <w:hyperlink w:anchor="page46">
              <w:r>
                <w:rPr>
                  <w:rFonts w:ascii="Arial" w:cs="Arial" w:eastAsia="Arial" w:hAnsi="Arial"/>
                  <w:sz w:val="18"/>
                  <w:szCs w:val="18"/>
                  <w:color w:val="0000EE"/>
                </w:rPr>
                <w:t>Risk Factors</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20" w:type="dxa"/>
            <w:vAlign w:val="bottom"/>
            <w:gridSpan w:val="2"/>
          </w:tcPr>
          <w:p>
            <w:pPr>
              <w:spacing w:after="0" w:line="20" w:lineRule="exact"/>
              <w:rPr>
                <w:sz w:val="1"/>
                <w:szCs w:val="1"/>
                <w:color w:val="auto"/>
              </w:rPr>
            </w:pPr>
          </w:p>
        </w:tc>
        <w:tc>
          <w:tcPr>
            <w:tcW w:w="144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87"/>
              </w:rPr>
            </w:pPr>
            <w:hyperlink w:anchor="page59">
              <w:r>
                <w:rPr>
                  <w:rFonts w:ascii="Arial" w:cs="Arial" w:eastAsia="Arial" w:hAnsi="Arial"/>
                  <w:sz w:val="18"/>
                  <w:szCs w:val="18"/>
                  <w:color w:val="0000EE"/>
                  <w:w w:val="87"/>
                </w:rPr>
                <w:t>Item 2.</w:t>
              </w:r>
            </w:hyperlink>
          </w:p>
        </w:tc>
        <w:tc>
          <w:tcPr>
            <w:tcW w:w="120" w:type="dxa"/>
            <w:vAlign w:val="bottom"/>
          </w:tcPr>
          <w:p>
            <w:pPr>
              <w:spacing w:after="0"/>
              <w:rPr>
                <w:sz w:val="24"/>
                <w:szCs w:val="24"/>
                <w:color w:val="auto"/>
              </w:rPr>
            </w:pPr>
          </w:p>
        </w:tc>
        <w:tc>
          <w:tcPr>
            <w:tcW w:w="600" w:type="dxa"/>
            <w:vAlign w:val="bottom"/>
            <w:gridSpan w:val="3"/>
          </w:tcPr>
          <w:p>
            <w:pPr>
              <w:spacing w:after="0"/>
              <w:rPr>
                <w:sz w:val="24"/>
                <w:szCs w:val="24"/>
                <w:color w:val="auto"/>
              </w:rPr>
            </w:pPr>
          </w:p>
        </w:tc>
        <w:tc>
          <w:tcPr>
            <w:tcW w:w="5540" w:type="dxa"/>
            <w:vAlign w:val="bottom"/>
            <w:gridSpan w:val="10"/>
          </w:tcPr>
          <w:p>
            <w:pPr>
              <w:ind w:left="260"/>
              <w:spacing w:after="0"/>
              <w:rPr>
                <w:rFonts w:ascii="Arial" w:cs="Arial" w:eastAsia="Arial" w:hAnsi="Arial"/>
                <w:sz w:val="18"/>
                <w:szCs w:val="18"/>
                <w:color w:val="0000EE"/>
              </w:rPr>
            </w:pPr>
            <w:hyperlink w:anchor="page59">
              <w:r>
                <w:rPr>
                  <w:rFonts w:ascii="Arial" w:cs="Arial" w:eastAsia="Arial" w:hAnsi="Arial"/>
                  <w:sz w:val="18"/>
                  <w:szCs w:val="18"/>
                  <w:color w:val="0000EE"/>
                </w:rPr>
                <w:t>Unregistered Sales of Equity Securities and Use of Proceeds</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83</w:t>
            </w: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1020" w:type="dxa"/>
            <w:vAlign w:val="bottom"/>
            <w:tcBorders>
              <w:left w:val="single" w:sz="8" w:color="0000EE"/>
            </w:tcBorders>
            <w:gridSpan w:val="2"/>
            <w:shd w:val="clear" w:color="auto" w:fill="0000EE"/>
          </w:tcPr>
          <w:p>
            <w:pPr>
              <w:spacing w:after="0" w:line="20" w:lineRule="exact"/>
              <w:rPr>
                <w:sz w:val="1"/>
                <w:szCs w:val="1"/>
                <w:color w:val="auto"/>
              </w:rPr>
            </w:pPr>
          </w:p>
        </w:tc>
        <w:tc>
          <w:tcPr>
            <w:tcW w:w="1440" w:type="dxa"/>
            <w:vAlign w:val="bottom"/>
            <w:gridSpan w:val="2"/>
            <w:shd w:val="clear" w:color="auto" w:fill="0000EE"/>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87"/>
              </w:rPr>
            </w:pPr>
            <w:hyperlink w:anchor="page59">
              <w:r>
                <w:rPr>
                  <w:rFonts w:ascii="Arial" w:cs="Arial" w:eastAsia="Arial" w:hAnsi="Arial"/>
                  <w:sz w:val="18"/>
                  <w:szCs w:val="18"/>
                  <w:color w:val="0000EE"/>
                  <w:w w:val="87"/>
                </w:rPr>
                <w:t>Item 3.</w:t>
              </w:r>
            </w:hyperlink>
          </w:p>
        </w:tc>
        <w:tc>
          <w:tcPr>
            <w:tcW w:w="720" w:type="dxa"/>
            <w:vAlign w:val="bottom"/>
            <w:gridSpan w:val="4"/>
          </w:tcPr>
          <w:p>
            <w:pPr>
              <w:spacing w:after="0"/>
              <w:rPr>
                <w:sz w:val="24"/>
                <w:szCs w:val="24"/>
                <w:color w:val="auto"/>
              </w:rPr>
            </w:pPr>
          </w:p>
        </w:tc>
        <w:tc>
          <w:tcPr>
            <w:tcW w:w="5540" w:type="dxa"/>
            <w:vAlign w:val="bottom"/>
            <w:gridSpan w:val="10"/>
          </w:tcPr>
          <w:p>
            <w:pPr>
              <w:ind w:left="260"/>
              <w:spacing w:after="0"/>
              <w:rPr>
                <w:rFonts w:ascii="Arial" w:cs="Arial" w:eastAsia="Arial" w:hAnsi="Arial"/>
                <w:sz w:val="18"/>
                <w:szCs w:val="18"/>
                <w:color w:val="0000EE"/>
              </w:rPr>
            </w:pPr>
            <w:hyperlink w:anchor="page59">
              <w:r>
                <w:rPr>
                  <w:rFonts w:ascii="Arial" w:cs="Arial" w:eastAsia="Arial" w:hAnsi="Arial"/>
                  <w:sz w:val="18"/>
                  <w:szCs w:val="18"/>
                  <w:color w:val="0000EE"/>
                </w:rPr>
                <w:t>Defaults Upon Senior Securities</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1020" w:type="dxa"/>
            <w:vAlign w:val="bottom"/>
            <w:tcBorders>
              <w:left w:val="single" w:sz="8" w:color="0000EE"/>
            </w:tcBorders>
            <w:gridSpan w:val="2"/>
            <w:shd w:val="clear" w:color="auto" w:fill="0000EE"/>
          </w:tcPr>
          <w:p>
            <w:pPr>
              <w:spacing w:after="0" w:line="20" w:lineRule="exact"/>
              <w:rPr>
                <w:sz w:val="1"/>
                <w:szCs w:val="1"/>
                <w:color w:val="auto"/>
              </w:rPr>
            </w:pPr>
          </w:p>
        </w:tc>
        <w:tc>
          <w:tcPr>
            <w:tcW w:w="1440" w:type="dxa"/>
            <w:vAlign w:val="bottom"/>
            <w:gridSpan w:val="2"/>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87"/>
              </w:rPr>
            </w:pPr>
            <w:hyperlink w:anchor="page59">
              <w:r>
                <w:rPr>
                  <w:rFonts w:ascii="Arial" w:cs="Arial" w:eastAsia="Arial" w:hAnsi="Arial"/>
                  <w:sz w:val="18"/>
                  <w:szCs w:val="18"/>
                  <w:color w:val="0000EE"/>
                  <w:w w:val="87"/>
                </w:rPr>
                <w:t>Item 4.</w:t>
              </w:r>
            </w:hyperlink>
          </w:p>
        </w:tc>
        <w:tc>
          <w:tcPr>
            <w:tcW w:w="720" w:type="dxa"/>
            <w:vAlign w:val="bottom"/>
            <w:gridSpan w:val="4"/>
          </w:tcPr>
          <w:p>
            <w:pPr>
              <w:spacing w:after="0"/>
              <w:rPr>
                <w:sz w:val="24"/>
                <w:szCs w:val="24"/>
                <w:color w:val="auto"/>
              </w:rPr>
            </w:pPr>
          </w:p>
        </w:tc>
        <w:tc>
          <w:tcPr>
            <w:tcW w:w="5540" w:type="dxa"/>
            <w:vAlign w:val="bottom"/>
            <w:gridSpan w:val="10"/>
          </w:tcPr>
          <w:p>
            <w:pPr>
              <w:ind w:left="260"/>
              <w:spacing w:after="0"/>
              <w:rPr>
                <w:rFonts w:ascii="Arial" w:cs="Arial" w:eastAsia="Arial" w:hAnsi="Arial"/>
                <w:sz w:val="18"/>
                <w:szCs w:val="18"/>
                <w:color w:val="0000EE"/>
              </w:rPr>
            </w:pPr>
            <w:hyperlink w:anchor="page59">
              <w:r>
                <w:rPr>
                  <w:rFonts w:ascii="Arial" w:cs="Arial" w:eastAsia="Arial" w:hAnsi="Arial"/>
                  <w:sz w:val="18"/>
                  <w:szCs w:val="18"/>
                  <w:color w:val="0000EE"/>
                </w:rPr>
                <w:t>Submission of Matters to a Vote of Security Holders</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2460" w:type="dxa"/>
            <w:vAlign w:val="bottom"/>
            <w:tcBorders>
              <w:left w:val="single" w:sz="8" w:color="0000EE"/>
            </w:tcBorders>
            <w:gridSpan w:val="4"/>
            <w:shd w:val="clear" w:color="auto" w:fill="0000EE"/>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87"/>
              </w:rPr>
            </w:pPr>
            <w:hyperlink w:anchor="page59">
              <w:r>
                <w:rPr>
                  <w:rFonts w:ascii="Arial" w:cs="Arial" w:eastAsia="Arial" w:hAnsi="Arial"/>
                  <w:sz w:val="18"/>
                  <w:szCs w:val="18"/>
                  <w:color w:val="0000EE"/>
                  <w:w w:val="87"/>
                </w:rPr>
                <w:t>Item 5.</w:t>
              </w:r>
            </w:hyperlink>
          </w:p>
        </w:tc>
        <w:tc>
          <w:tcPr>
            <w:tcW w:w="720" w:type="dxa"/>
            <w:vAlign w:val="bottom"/>
            <w:gridSpan w:val="4"/>
          </w:tcPr>
          <w:p>
            <w:pPr>
              <w:spacing w:after="0"/>
              <w:rPr>
                <w:sz w:val="24"/>
                <w:szCs w:val="24"/>
                <w:color w:val="auto"/>
              </w:rPr>
            </w:pPr>
          </w:p>
        </w:tc>
        <w:tc>
          <w:tcPr>
            <w:tcW w:w="5540" w:type="dxa"/>
            <w:vAlign w:val="bottom"/>
            <w:gridSpan w:val="10"/>
          </w:tcPr>
          <w:p>
            <w:pPr>
              <w:ind w:left="260"/>
              <w:spacing w:after="0"/>
              <w:rPr>
                <w:rFonts w:ascii="Arial" w:cs="Arial" w:eastAsia="Arial" w:hAnsi="Arial"/>
                <w:sz w:val="18"/>
                <w:szCs w:val="18"/>
                <w:color w:val="0000EE"/>
              </w:rPr>
            </w:pPr>
            <w:hyperlink w:anchor="page59">
              <w:r>
                <w:rPr>
                  <w:rFonts w:ascii="Arial" w:cs="Arial" w:eastAsia="Arial" w:hAnsi="Arial"/>
                  <w:sz w:val="18"/>
                  <w:szCs w:val="18"/>
                  <w:color w:val="0000EE"/>
                </w:rPr>
                <w:t>Other Information</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3980" w:type="dxa"/>
            <w:vAlign w:val="bottom"/>
            <w:gridSpan w:val="6"/>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87"/>
              </w:rPr>
            </w:pPr>
            <w:hyperlink w:anchor="page59">
              <w:r>
                <w:rPr>
                  <w:rFonts w:ascii="Arial" w:cs="Arial" w:eastAsia="Arial" w:hAnsi="Arial"/>
                  <w:sz w:val="18"/>
                  <w:szCs w:val="18"/>
                  <w:color w:val="0000EE"/>
                  <w:w w:val="87"/>
                </w:rPr>
                <w:t>Item 6.</w:t>
              </w:r>
            </w:hyperlink>
          </w:p>
        </w:tc>
        <w:tc>
          <w:tcPr>
            <w:tcW w:w="720" w:type="dxa"/>
            <w:vAlign w:val="bottom"/>
            <w:gridSpan w:val="4"/>
          </w:tcPr>
          <w:p>
            <w:pPr>
              <w:spacing w:after="0"/>
              <w:rPr>
                <w:sz w:val="24"/>
                <w:szCs w:val="24"/>
                <w:color w:val="auto"/>
              </w:rPr>
            </w:pPr>
          </w:p>
        </w:tc>
        <w:tc>
          <w:tcPr>
            <w:tcW w:w="5540" w:type="dxa"/>
            <w:vAlign w:val="bottom"/>
            <w:gridSpan w:val="10"/>
          </w:tcPr>
          <w:p>
            <w:pPr>
              <w:ind w:left="260"/>
              <w:spacing w:after="0"/>
              <w:rPr>
                <w:rFonts w:ascii="Arial" w:cs="Arial" w:eastAsia="Arial" w:hAnsi="Arial"/>
                <w:sz w:val="18"/>
                <w:szCs w:val="18"/>
                <w:color w:val="0000EE"/>
              </w:rPr>
            </w:pPr>
            <w:hyperlink w:anchor="page59">
              <w:r>
                <w:rPr>
                  <w:rFonts w:ascii="Arial" w:cs="Arial" w:eastAsia="Arial" w:hAnsi="Arial"/>
                  <w:sz w:val="18"/>
                  <w:szCs w:val="18"/>
                  <w:color w:val="0000EE"/>
                </w:rPr>
                <w:t>Exhibits</w:t>
              </w:r>
            </w:hyperlink>
          </w:p>
        </w:tc>
        <w:tc>
          <w:tcPr>
            <w:tcW w:w="462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1240" w:type="dxa"/>
            <w:vAlign w:val="bottom"/>
            <w:gridSpan w:val="5"/>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Signatures</w:t>
              </w:r>
            </w:hyperlink>
          </w:p>
        </w:tc>
        <w:tc>
          <w:tcPr>
            <w:tcW w:w="2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4620" w:type="dxa"/>
            <w:vAlign w:val="bottom"/>
          </w:tcPr>
          <w:p>
            <w:pPr>
              <w:jc w:val="right"/>
              <w:spacing w:after="0"/>
              <w:rPr>
                <w:sz w:val="20"/>
                <w:szCs w:val="20"/>
                <w:color w:val="auto"/>
              </w:rPr>
            </w:pPr>
            <w:r>
              <w:rPr>
                <w:rFonts w:ascii="Arial" w:cs="Arial" w:eastAsia="Arial" w:hAnsi="Arial"/>
                <w:sz w:val="18"/>
                <w:szCs w:val="18"/>
                <w:color w:val="auto"/>
              </w:rPr>
              <w:t>85</w:t>
            </w:r>
          </w:p>
        </w:tc>
      </w:tr>
      <w:tr>
        <w:trPr>
          <w:trHeight w:val="20"/>
        </w:trPr>
        <w:tc>
          <w:tcPr>
            <w:tcW w:w="760" w:type="dxa"/>
            <w:vAlign w:val="bottom"/>
            <w:gridSpan w:val="3"/>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r>
      <w:tr>
        <w:trPr>
          <w:trHeight w:val="412"/>
        </w:trPr>
        <w:tc>
          <w:tcPr>
            <w:tcW w:w="1240" w:type="dxa"/>
            <w:vAlign w:val="bottom"/>
            <w:gridSpan w:val="5"/>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Exhibit Index</w:t>
              </w:r>
            </w:hyperlink>
          </w:p>
        </w:tc>
        <w:tc>
          <w:tcPr>
            <w:tcW w:w="2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462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723"/>
        </w:trPr>
        <w:tc>
          <w:tcPr>
            <w:tcW w:w="5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40" w:type="dxa"/>
            <w:vAlign w:val="bottom"/>
          </w:tcPr>
          <w:p>
            <w:pPr>
              <w:spacing w:after="0"/>
              <w:rPr>
                <w:sz w:val="24"/>
                <w:szCs w:val="24"/>
                <w:color w:val="auto"/>
              </w:rPr>
            </w:pPr>
          </w:p>
        </w:tc>
        <w:tc>
          <w:tcPr>
            <w:tcW w:w="4600" w:type="dxa"/>
            <w:vAlign w:val="bottom"/>
            <w:gridSpan w:val="9"/>
          </w:tcPr>
          <w:p>
            <w:pPr>
              <w:ind w:left="4420"/>
              <w:spacing w:after="0"/>
              <w:rPr>
                <w:sz w:val="20"/>
                <w:szCs w:val="20"/>
                <w:color w:val="auto"/>
              </w:rPr>
            </w:pPr>
            <w:r>
              <w:rPr>
                <w:rFonts w:ascii="Arial" w:cs="Arial" w:eastAsia="Arial" w:hAnsi="Arial"/>
                <w:sz w:val="18"/>
                <w:szCs w:val="18"/>
                <w:color w:val="auto"/>
              </w:rPr>
              <w:t>2</w:t>
            </w:r>
          </w:p>
        </w:tc>
        <w:tc>
          <w:tcPr>
            <w:tcW w:w="940" w:type="dxa"/>
            <w:vAlign w:val="bottom"/>
          </w:tcPr>
          <w:p>
            <w:pPr>
              <w:spacing w:after="0"/>
              <w:rPr>
                <w:sz w:val="24"/>
                <w:szCs w:val="24"/>
                <w:color w:val="auto"/>
              </w:rPr>
            </w:pPr>
          </w:p>
        </w:tc>
        <w:tc>
          <w:tcPr>
            <w:tcW w:w="46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Explanatory Note</w:t>
      </w:r>
    </w:p>
    <w:p>
      <w:pPr>
        <w:spacing w:after="0" w:line="229" w:lineRule="exact"/>
        <w:rPr>
          <w:sz w:val="20"/>
          <w:szCs w:val="20"/>
          <w:color w:val="auto"/>
        </w:rPr>
      </w:pPr>
    </w:p>
    <w:p>
      <w:pPr>
        <w:ind w:right="80" w:firstLine="648"/>
        <w:spacing w:after="0" w:line="312" w:lineRule="auto"/>
        <w:rPr>
          <w:sz w:val="20"/>
          <w:szCs w:val="20"/>
          <w:color w:val="auto"/>
        </w:rPr>
      </w:pPr>
      <w:r>
        <w:rPr>
          <w:rFonts w:ascii="Arial" w:cs="Arial" w:eastAsia="Arial" w:hAnsi="Arial"/>
          <w:sz w:val="16"/>
          <w:szCs w:val="16"/>
          <w:color w:val="auto"/>
        </w:rPr>
        <w:t>In this Form 10-Q/A, we are restating our consolidated financial statements and related disclosures as of January 28, 2006 and for the three months ended April 29, 2006 and April 30, 2005. This Form 10-Q/A also reflects the restatement of “Management’s Discussion and Analysis of Financial Condition and Results of Operations” in Item 2 for the first quarters of fiscal 2007 and 2006, “Controls and Procedures” in Item 4 and new management certifications.</w:t>
      </w:r>
    </w:p>
    <w:p>
      <w:pPr>
        <w:spacing w:after="0" w:line="147" w:lineRule="exact"/>
        <w:rPr>
          <w:sz w:val="20"/>
          <w:szCs w:val="20"/>
          <w:color w:val="auto"/>
        </w:rPr>
      </w:pPr>
    </w:p>
    <w:p>
      <w:pPr>
        <w:jc w:val="both"/>
        <w:ind w:right="40" w:firstLine="648"/>
        <w:spacing w:after="0" w:line="276" w:lineRule="auto"/>
        <w:rPr>
          <w:sz w:val="20"/>
          <w:szCs w:val="20"/>
          <w:color w:val="auto"/>
        </w:rPr>
      </w:pPr>
      <w:r>
        <w:rPr>
          <w:rFonts w:ascii="Arial" w:cs="Arial" w:eastAsia="Arial" w:hAnsi="Arial"/>
          <w:sz w:val="17"/>
          <w:szCs w:val="17"/>
          <w:color w:val="auto"/>
        </w:rPr>
        <w:t>For more information regarding our internal review of historical stock option practices and related accounting matters and the restatement of stock-based compensation and other items, please refer to Note 1, “Restatement of Consolidated Financial Statements” to Item 1, “Financial Statements” and Item 2, “Management’s Discussion and Analysis of Financial Condition and Results of Operations”. For more information regarding the deficiencies noted in the internal review relating to stock option practices and our remedial measures, refer in Part I to “Management’s Discussion and Analysis of Financial Condition and Results of Operations” in Item 2 and “Controls and Procedures” in Item 4.</w:t>
      </w:r>
    </w:p>
    <w:p>
      <w:pPr>
        <w:spacing w:after="0" w:line="173" w:lineRule="exact"/>
        <w:rPr>
          <w:sz w:val="20"/>
          <w:szCs w:val="20"/>
          <w:color w:val="auto"/>
        </w:rPr>
      </w:pPr>
    </w:p>
    <w:p>
      <w:pPr>
        <w:ind w:right="200" w:firstLine="648"/>
        <w:spacing w:after="0" w:line="259" w:lineRule="auto"/>
        <w:rPr>
          <w:sz w:val="20"/>
          <w:szCs w:val="20"/>
          <w:color w:val="auto"/>
        </w:rPr>
      </w:pPr>
      <w:r>
        <w:rPr>
          <w:rFonts w:ascii="Arial" w:cs="Arial" w:eastAsia="Arial" w:hAnsi="Arial"/>
          <w:sz w:val="18"/>
          <w:szCs w:val="18"/>
          <w:color w:val="auto"/>
        </w:rPr>
        <w:t>We have not amended any of our other previously filed annual reports on Form 10-K or quarterly reports on Form 10-Q for the periods affected by the restatement except for this Form 10-Q/A. Consequently, the consolidated financial statements and related financial information contained in such previously filed reports should no longer be relied upon. Our Form 10-K for fiscal year ended January 27, 2007 includes the restatement of all periods through the first quarter of fiscal 2007.</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jc w:val="center"/>
              <w:ind w:right="34"/>
              <w:spacing w:after="0"/>
              <w:rPr>
                <w:sz w:val="20"/>
                <w:szCs w:val="20"/>
                <w:color w:val="auto"/>
              </w:rPr>
            </w:pPr>
            <w:r>
              <w:rPr>
                <w:rFonts w:ascii="Arial" w:cs="Arial" w:eastAsia="Arial" w:hAnsi="Arial"/>
                <w:sz w:val="14"/>
                <w:szCs w:val="14"/>
                <w:b w:val="1"/>
                <w:bCs w:val="1"/>
                <w:color w:val="auto"/>
                <w:w w:val="97"/>
              </w:rPr>
              <w:t>April 29,</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5"/>
              </w:rPr>
              <w:t>January 28,</w:t>
            </w:r>
          </w:p>
        </w:tc>
      </w:tr>
      <w:tr>
        <w:trPr>
          <w:trHeight w:val="162"/>
        </w:trPr>
        <w:tc>
          <w:tcPr>
            <w:tcW w:w="89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9"/>
              </w:rPr>
              <w:t>2006</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96"/>
              </w:rPr>
              <w:t>2006</w:t>
            </w:r>
          </w:p>
        </w:tc>
        <w:tc>
          <w:tcPr>
            <w:tcW w:w="80" w:type="dxa"/>
            <w:vAlign w:val="bottom"/>
          </w:tcPr>
          <w:p>
            <w:pPr>
              <w:spacing w:after="0"/>
              <w:rPr>
                <w:sz w:val="14"/>
                <w:szCs w:val="14"/>
                <w:color w:val="auto"/>
              </w:rPr>
            </w:pPr>
          </w:p>
        </w:tc>
      </w:tr>
      <w:tr>
        <w:trPr>
          <w:trHeight w:val="129"/>
        </w:trPr>
        <w:tc>
          <w:tcPr>
            <w:tcW w:w="89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jc w:val="center"/>
              <w:ind w:right="14"/>
              <w:spacing w:after="0" w:line="129" w:lineRule="exact"/>
              <w:rPr>
                <w:sz w:val="20"/>
                <w:szCs w:val="20"/>
                <w:color w:val="auto"/>
              </w:rPr>
            </w:pPr>
            <w:r>
              <w:rPr>
                <w:rFonts w:ascii="Arial" w:cs="Arial" w:eastAsia="Arial" w:hAnsi="Arial"/>
                <w:sz w:val="14"/>
                <w:szCs w:val="14"/>
                <w:b w:val="1"/>
                <w:bCs w:val="1"/>
                <w:color w:val="auto"/>
                <w:w w:val="94"/>
              </w:rPr>
              <w:t>(restated) (1)</w:t>
            </w: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jc w:val="center"/>
              <w:ind w:right="34"/>
              <w:spacing w:after="0" w:line="129" w:lineRule="exact"/>
              <w:rPr>
                <w:sz w:val="20"/>
                <w:szCs w:val="20"/>
                <w:color w:val="auto"/>
              </w:rPr>
            </w:pPr>
            <w:r>
              <w:rPr>
                <w:rFonts w:ascii="Arial" w:cs="Arial" w:eastAsia="Arial" w:hAnsi="Arial"/>
                <w:sz w:val="14"/>
                <w:szCs w:val="14"/>
                <w:b w:val="1"/>
                <w:bCs w:val="1"/>
                <w:color w:val="auto"/>
                <w:w w:val="91"/>
              </w:rPr>
              <w:t>(restated) (1)</w:t>
            </w:r>
          </w:p>
        </w:tc>
        <w:tc>
          <w:tcPr>
            <w:tcW w:w="80" w:type="dxa"/>
            <w:vAlign w:val="bottom"/>
          </w:tcPr>
          <w:p>
            <w:pPr>
              <w:spacing w:after="0"/>
              <w:rPr>
                <w:sz w:val="11"/>
                <w:szCs w:val="11"/>
                <w:color w:val="auto"/>
              </w:rPr>
            </w:pPr>
          </w:p>
        </w:tc>
      </w:tr>
      <w:tr>
        <w:trPr>
          <w:trHeight w:val="216"/>
        </w:trPr>
        <w:tc>
          <w:tcPr>
            <w:tcW w:w="8980" w:type="dxa"/>
            <w:vAlign w:val="bottom"/>
            <w:shd w:val="clear" w:color="auto" w:fill="CCEEFF"/>
          </w:tcPr>
          <w:p>
            <w:pPr>
              <w:ind w:left="4000"/>
              <w:spacing w:after="0"/>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529,389</w:t>
            </w:r>
          </w:p>
        </w:tc>
        <w:tc>
          <w:tcPr>
            <w:tcW w:w="3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392,021</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572,591</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 net of allowances of $3,054 and $3,028</w:t>
            </w: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293,536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205,554</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211,374</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116,854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3,945</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3,945</w:t>
            </w:r>
          </w:p>
        </w:tc>
        <w:tc>
          <w:tcPr>
            <w:tcW w:w="80" w:type="dxa"/>
            <w:vAlign w:val="bottom"/>
            <w:tcBorders>
              <w:bottom w:val="single" w:sz="8" w:color="CCEEFF"/>
            </w:tcBorders>
          </w:tcPr>
          <w:p>
            <w:pPr>
              <w:spacing w:after="0"/>
              <w:rPr>
                <w:sz w:val="18"/>
                <w:szCs w:val="18"/>
                <w:color w:val="auto"/>
              </w:rPr>
            </w:pPr>
          </w:p>
        </w:tc>
      </w:tr>
      <w:tr>
        <w:trPr>
          <w:trHeight w:val="210"/>
        </w:trPr>
        <w:tc>
          <w:tcPr>
            <w:tcW w:w="89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1,541,299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279,398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260,921</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125,379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111,973</w:t>
            </w:r>
          </w:p>
        </w:tc>
        <w:tc>
          <w:tcPr>
            <w:tcW w:w="80" w:type="dxa"/>
            <w:vAlign w:val="bottom"/>
          </w:tcPr>
          <w:p>
            <w:pPr>
              <w:spacing w:after="0"/>
              <w:rPr>
                <w:sz w:val="18"/>
                <w:szCs w:val="18"/>
                <w:color w:val="auto"/>
              </w:rPr>
            </w:pPr>
          </w:p>
        </w:tc>
      </w:tr>
      <w:tr>
        <w:trPr>
          <w:trHeight w:val="216"/>
        </w:trPr>
        <w:tc>
          <w:tcPr>
            <w:tcW w:w="89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99,823</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80" w:type="dxa"/>
            <w:vAlign w:val="bottom"/>
            <w:shd w:val="clear" w:color="auto" w:fill="CCEEFF"/>
          </w:tcPr>
          <w:p>
            <w:pPr>
              <w:spacing w:after="0"/>
              <w:rPr>
                <w:sz w:val="18"/>
                <w:szCs w:val="18"/>
                <w:color w:val="auto"/>
              </w:rPr>
            </w:pPr>
          </w:p>
        </w:tc>
      </w:tr>
    </w:tbl>
    <w:p>
      <w:pPr>
        <w:sectPr>
          <w:pgSz w:w="11900" w:h="16838" w:orient="portrait"/>
          <w:cols w:equalWidth="0" w:num="1">
            <w:col w:w="11420"/>
          </w:cols>
          <w:pgMar w:left="240" w:top="324" w:right="239" w:bottom="0" w:gutter="0" w:footer="0" w:header="0"/>
        </w:sectPr>
      </w:pPr>
    </w:p>
    <w:bookmarkStart w:id="2" w:name="page3"/>
    <w:bookmarkEnd w:id="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8980" w:type="dxa"/>
            <w:vAlign w:val="bottom"/>
            <w:gridSpan w:val="2"/>
          </w:tcPr>
          <w:p>
            <w:pPr>
              <w:ind w:left="460"/>
              <w:spacing w:after="0"/>
              <w:rPr>
                <w:sz w:val="20"/>
                <w:szCs w:val="20"/>
                <w:color w:val="auto"/>
              </w:rPr>
            </w:pPr>
            <w:r>
              <w:rPr>
                <w:rFonts w:ascii="Arial" w:cs="Arial" w:eastAsia="Arial" w:hAnsi="Arial"/>
                <w:sz w:val="18"/>
                <w:szCs w:val="18"/>
                <w:color w:val="auto"/>
              </w:rPr>
              <w:t>Total assets</w:t>
            </w:r>
          </w:p>
        </w:tc>
        <w:tc>
          <w:tcPr>
            <w:tcW w:w="200" w:type="dxa"/>
            <w:vAlign w:val="bottom"/>
            <w:tcBorders>
              <w:top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3,604,108</w:t>
            </w:r>
          </w:p>
        </w:tc>
        <w:tc>
          <w:tcPr>
            <w:tcW w:w="280" w:type="dxa"/>
            <w:vAlign w:val="bottom"/>
          </w:tcPr>
          <w:p>
            <w:pPr>
              <w:spacing w:after="0"/>
              <w:rPr>
                <w:sz w:val="23"/>
                <w:szCs w:val="23"/>
                <w:color w:val="auto"/>
              </w:rPr>
            </w:pPr>
          </w:p>
        </w:tc>
        <w:tc>
          <w:tcPr>
            <w:tcW w:w="200" w:type="dxa"/>
            <w:vAlign w:val="bottom"/>
            <w:tcBorders>
              <w:top w:val="single" w:sz="8" w:color="auto"/>
            </w:tcBorders>
            <w:gridSpan w:val="2"/>
          </w:tcPr>
          <w:p>
            <w:pPr>
              <w:jc w:val="right"/>
              <w:ind w:right="70"/>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3,504,506</w:t>
            </w:r>
          </w:p>
        </w:tc>
        <w:tc>
          <w:tcPr>
            <w:tcW w:w="80" w:type="dxa"/>
            <w:vAlign w:val="bottom"/>
          </w:tcPr>
          <w:p>
            <w:pPr>
              <w:spacing w:after="0"/>
              <w:rPr>
                <w:sz w:val="23"/>
                <w:szCs w:val="23"/>
                <w:color w:val="auto"/>
              </w:rPr>
            </w:pPr>
          </w:p>
        </w:tc>
      </w:tr>
      <w:tr>
        <w:trPr>
          <w:trHeight w:val="170"/>
        </w:trPr>
        <w:tc>
          <w:tcPr>
            <w:tcW w:w="2200" w:type="dxa"/>
            <w:vAlign w:val="bottom"/>
            <w:tcBorders>
              <w:top w:val="single" w:sz="8" w:color="CCEEFF"/>
            </w:tcBorders>
            <w:shd w:val="clear" w:color="auto" w:fill="CCEEFF"/>
          </w:tcPr>
          <w:p>
            <w:pPr>
              <w:spacing w:after="0"/>
              <w:rPr>
                <w:sz w:val="14"/>
                <w:szCs w:val="14"/>
                <w:color w:val="auto"/>
              </w:rPr>
            </w:pPr>
          </w:p>
        </w:tc>
        <w:tc>
          <w:tcPr>
            <w:tcW w:w="6780" w:type="dxa"/>
            <w:vAlign w:val="bottom"/>
            <w:tcBorders>
              <w:top w:val="single" w:sz="8" w:color="CCEEFF"/>
            </w:tcBorders>
            <w:shd w:val="clear" w:color="auto" w:fill="CCEEFF"/>
          </w:tcPr>
          <w:p>
            <w:pPr>
              <w:ind w:left="1520"/>
              <w:spacing w:after="0" w:line="170" w:lineRule="exact"/>
              <w:rPr>
                <w:sz w:val="20"/>
                <w:szCs w:val="20"/>
                <w:color w:val="auto"/>
              </w:rPr>
            </w:pPr>
            <w:r>
              <w:rPr>
                <w:rFonts w:ascii="Arial" w:cs="Arial" w:eastAsia="Arial" w:hAnsi="Arial"/>
                <w:sz w:val="18"/>
                <w:szCs w:val="18"/>
                <w:b w:val="1"/>
                <w:bCs w:val="1"/>
                <w:color w:val="auto"/>
              </w:rPr>
              <w:t>LIABILITIES AND SHAREHOLDERS’ EQUITY</w:t>
            </w:r>
          </w:p>
        </w:tc>
        <w:tc>
          <w:tcPr>
            <w:tcW w:w="200" w:type="dxa"/>
            <w:vAlign w:val="bottom"/>
            <w:tcBorders>
              <w:top w:val="single" w:sz="8" w:color="auto"/>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280" w:type="dxa"/>
            <w:vAlign w:val="bottom"/>
            <w:tcBorders>
              <w:top w:val="single" w:sz="8" w:color="CCEEFF"/>
            </w:tcBorders>
            <w:shd w:val="clear" w:color="auto" w:fill="CCEEFF"/>
          </w:tcPr>
          <w:p>
            <w:pPr>
              <w:spacing w:after="0"/>
              <w:rPr>
                <w:sz w:val="14"/>
                <w:szCs w:val="14"/>
                <w:color w:val="auto"/>
              </w:rPr>
            </w:pPr>
          </w:p>
        </w:tc>
        <w:tc>
          <w:tcPr>
            <w:tcW w:w="20" w:type="dxa"/>
            <w:vAlign w:val="bottom"/>
            <w:tcBorders>
              <w:top w:val="single" w:sz="8" w:color="CCEEFF"/>
            </w:tcBorders>
            <w:shd w:val="clear" w:color="auto" w:fill="CCEEFF"/>
          </w:tcPr>
          <w:p>
            <w:pPr>
              <w:spacing w:after="0"/>
              <w:rPr>
                <w:sz w:val="14"/>
                <w:szCs w:val="14"/>
                <w:color w:val="auto"/>
              </w:rPr>
            </w:pPr>
          </w:p>
        </w:tc>
        <w:tc>
          <w:tcPr>
            <w:tcW w:w="180" w:type="dxa"/>
            <w:vAlign w:val="bottom"/>
            <w:tcBorders>
              <w:top w:val="single" w:sz="8" w:color="auto"/>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80" w:type="dxa"/>
            <w:vAlign w:val="bottom"/>
            <w:tcBorders>
              <w:top w:val="single" w:sz="8" w:color="CCEEFF"/>
            </w:tcBorders>
            <w:shd w:val="clear" w:color="auto" w:fill="CCEEFF"/>
          </w:tcPr>
          <w:p>
            <w:pPr>
              <w:spacing w:after="0"/>
              <w:rPr>
                <w:sz w:val="14"/>
                <w:szCs w:val="14"/>
                <w:color w:val="auto"/>
              </w:rPr>
            </w:pPr>
          </w:p>
        </w:tc>
      </w:tr>
      <w:tr>
        <w:trPr>
          <w:trHeight w:val="216"/>
        </w:trPr>
        <w:tc>
          <w:tcPr>
            <w:tcW w:w="8980" w:type="dxa"/>
            <w:vAlign w:val="bottom"/>
            <w:gridSpan w:val="2"/>
          </w:tcPr>
          <w:p>
            <w:pPr>
              <w:spacing w:after="0"/>
              <w:rPr>
                <w:sz w:val="20"/>
                <w:szCs w:val="20"/>
                <w:color w:val="auto"/>
              </w:rPr>
            </w:pPr>
            <w:r>
              <w:rPr>
                <w:rFonts w:ascii="Arial" w:cs="Arial" w:eastAsia="Arial" w:hAnsi="Arial"/>
                <w:sz w:val="18"/>
                <w:szCs w:val="18"/>
                <w:color w:val="auto"/>
              </w:rPr>
              <w:t>Current liabilities:</w:t>
            </w:r>
          </w:p>
        </w:tc>
        <w:tc>
          <w:tcPr>
            <w:tcW w:w="2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89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Accounts payable</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150,738</w:t>
            </w:r>
          </w:p>
        </w:tc>
        <w:tc>
          <w:tcPr>
            <w:tcW w:w="2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70"/>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196,606</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gridSpan w:val="2"/>
          </w:tcPr>
          <w:p>
            <w:pPr>
              <w:ind w:left="180"/>
              <w:spacing w:after="0"/>
              <w:rPr>
                <w:sz w:val="20"/>
                <w:szCs w:val="20"/>
                <w:color w:val="auto"/>
              </w:rPr>
            </w:pPr>
            <w:r>
              <w:rPr>
                <w:rFonts w:ascii="Arial" w:cs="Arial" w:eastAsia="Arial" w:hAnsi="Arial"/>
                <w:sz w:val="18"/>
                <w:szCs w:val="18"/>
                <w:color w:val="auto"/>
              </w:rPr>
              <w:t>Accrued liabilities</w:t>
            </w: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44,482</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34,905</w:t>
            </w:r>
          </w:p>
        </w:tc>
        <w:tc>
          <w:tcPr>
            <w:tcW w:w="80" w:type="dxa"/>
            <w:vAlign w:val="bottom"/>
          </w:tcPr>
          <w:p>
            <w:pPr>
              <w:spacing w:after="0"/>
              <w:rPr>
                <w:sz w:val="18"/>
                <w:szCs w:val="18"/>
                <w:color w:val="auto"/>
              </w:rPr>
            </w:pPr>
          </w:p>
        </w:tc>
      </w:tr>
      <w:tr>
        <w:trPr>
          <w:trHeight w:val="216"/>
        </w:trPr>
        <w:tc>
          <w:tcPr>
            <w:tcW w:w="89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Accrued employee compensation</w:t>
            </w: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50,956</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59,177</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gridSpan w:val="2"/>
          </w:tcPr>
          <w:p>
            <w:pPr>
              <w:ind w:left="180"/>
              <w:spacing w:after="0"/>
              <w:rPr>
                <w:sz w:val="20"/>
                <w:szCs w:val="20"/>
                <w:color w:val="auto"/>
              </w:rPr>
            </w:pPr>
            <w:r>
              <w:rPr>
                <w:rFonts w:ascii="Arial" w:cs="Arial" w:eastAsia="Arial" w:hAnsi="Arial"/>
                <w:sz w:val="18"/>
                <w:szCs w:val="18"/>
                <w:color w:val="auto"/>
              </w:rPr>
              <w:t>Income taxes payable</w:t>
            </w: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27,847</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24,394</w:t>
            </w:r>
          </w:p>
        </w:tc>
        <w:tc>
          <w:tcPr>
            <w:tcW w:w="80" w:type="dxa"/>
            <w:vAlign w:val="bottom"/>
          </w:tcPr>
          <w:p>
            <w:pPr>
              <w:spacing w:after="0"/>
              <w:rPr>
                <w:sz w:val="18"/>
                <w:szCs w:val="18"/>
                <w:color w:val="auto"/>
              </w:rPr>
            </w:pPr>
          </w:p>
        </w:tc>
      </w:tr>
      <w:tr>
        <w:trPr>
          <w:trHeight w:val="216"/>
        </w:trPr>
        <w:tc>
          <w:tcPr>
            <w:tcW w:w="89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Deferred income</w:t>
            </w: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28,640</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29,773</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Borders>
              <w:bottom w:val="single" w:sz="8" w:color="CCEEFF"/>
            </w:tcBorders>
            <w:gridSpan w:val="2"/>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20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17,032</w:t>
            </w:r>
          </w:p>
        </w:tc>
        <w:tc>
          <w:tcPr>
            <w:tcW w:w="2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16,563</w:t>
            </w:r>
          </w:p>
        </w:tc>
        <w:tc>
          <w:tcPr>
            <w:tcW w:w="80" w:type="dxa"/>
            <w:vAlign w:val="bottom"/>
            <w:tcBorders>
              <w:bottom w:val="single" w:sz="8" w:color="CCEEFF"/>
            </w:tcBorders>
          </w:tcPr>
          <w:p>
            <w:pPr>
              <w:spacing w:after="0"/>
              <w:rPr>
                <w:sz w:val="18"/>
                <w:szCs w:val="18"/>
                <w:color w:val="auto"/>
              </w:rPr>
            </w:pPr>
          </w:p>
        </w:tc>
      </w:tr>
      <w:tr>
        <w:trPr>
          <w:trHeight w:val="210"/>
        </w:trPr>
        <w:tc>
          <w:tcPr>
            <w:tcW w:w="89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Total current liabilities</w:t>
            </w: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319,695</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361,418</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gridSpan w:val="2"/>
          </w:tcPr>
          <w:p>
            <w:pPr>
              <w:spacing w:after="0"/>
              <w:rPr>
                <w:sz w:val="20"/>
                <w:szCs w:val="20"/>
                <w:color w:val="auto"/>
              </w:rPr>
            </w:pPr>
            <w:r>
              <w:rPr>
                <w:rFonts w:ascii="Arial" w:cs="Arial" w:eastAsia="Arial" w:hAnsi="Arial"/>
                <w:sz w:val="18"/>
                <w:szCs w:val="18"/>
                <w:color w:val="auto"/>
              </w:rPr>
              <w:t>Capital lease obligations, net of current portion</w:t>
            </w: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22,561</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24,447</w:t>
            </w:r>
          </w:p>
        </w:tc>
        <w:tc>
          <w:tcPr>
            <w:tcW w:w="80" w:type="dxa"/>
            <w:vAlign w:val="bottom"/>
          </w:tcPr>
          <w:p>
            <w:pPr>
              <w:spacing w:after="0"/>
              <w:rPr>
                <w:sz w:val="18"/>
                <w:szCs w:val="18"/>
                <w:color w:val="auto"/>
              </w:rPr>
            </w:pPr>
          </w:p>
        </w:tc>
      </w:tr>
      <w:tr>
        <w:trPr>
          <w:trHeight w:val="216"/>
        </w:trPr>
        <w:tc>
          <w:tcPr>
            <w:tcW w:w="8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98,191</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86,545</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Other long-term liabilities</w:t>
            </w:r>
          </w:p>
        </w:tc>
        <w:tc>
          <w:tcPr>
            <w:tcW w:w="20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26,835</w:t>
            </w:r>
          </w:p>
        </w:tc>
        <w:tc>
          <w:tcPr>
            <w:tcW w:w="2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24,871</w:t>
            </w:r>
          </w:p>
        </w:tc>
        <w:tc>
          <w:tcPr>
            <w:tcW w:w="80" w:type="dxa"/>
            <w:vAlign w:val="bottom"/>
            <w:tcBorders>
              <w:bottom w:val="single" w:sz="8" w:color="CCEEFF"/>
            </w:tcBorders>
          </w:tcPr>
          <w:p>
            <w:pPr>
              <w:spacing w:after="0"/>
              <w:rPr>
                <w:sz w:val="18"/>
                <w:szCs w:val="18"/>
                <w:color w:val="auto"/>
              </w:rPr>
            </w:pPr>
          </w:p>
        </w:tc>
      </w:tr>
      <w:tr>
        <w:trPr>
          <w:trHeight w:val="210"/>
        </w:trPr>
        <w:tc>
          <w:tcPr>
            <w:tcW w:w="89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Total liabilities</w:t>
            </w:r>
          </w:p>
        </w:tc>
        <w:tc>
          <w:tcPr>
            <w:tcW w:w="20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467,282</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497,281</w:t>
            </w:r>
          </w:p>
        </w:tc>
        <w:tc>
          <w:tcPr>
            <w:tcW w:w="80" w:type="dxa"/>
            <w:vAlign w:val="bottom"/>
            <w:shd w:val="clear" w:color="auto" w:fill="CCEEFF"/>
          </w:tcPr>
          <w:p>
            <w:pPr>
              <w:spacing w:after="0"/>
              <w:rPr>
                <w:sz w:val="18"/>
                <w:szCs w:val="18"/>
                <w:color w:val="auto"/>
              </w:rPr>
            </w:pPr>
          </w:p>
        </w:tc>
      </w:tr>
      <w:tr>
        <w:trPr>
          <w:trHeight w:val="196"/>
        </w:trPr>
        <w:tc>
          <w:tcPr>
            <w:tcW w:w="8980" w:type="dxa"/>
            <w:vAlign w:val="bottom"/>
            <w:gridSpan w:val="2"/>
          </w:tcPr>
          <w:p>
            <w:pPr>
              <w:spacing w:after="0" w:line="196" w:lineRule="exact"/>
              <w:rPr>
                <w:sz w:val="20"/>
                <w:szCs w:val="20"/>
                <w:color w:val="auto"/>
              </w:rPr>
            </w:pPr>
            <w:r>
              <w:rPr>
                <w:rFonts w:ascii="Arial" w:cs="Arial" w:eastAsia="Arial" w:hAnsi="Arial"/>
                <w:sz w:val="18"/>
                <w:szCs w:val="18"/>
                <w:color w:val="auto"/>
              </w:rPr>
              <w:t>Commitments and contingencies (Notes 7 and 10)</w:t>
            </w:r>
          </w:p>
        </w:tc>
        <w:tc>
          <w:tcPr>
            <w:tcW w:w="20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16"/>
        </w:trPr>
        <w:tc>
          <w:tcPr>
            <w:tcW w:w="8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r>
      <w:tr>
        <w:trPr>
          <w:trHeight w:val="216"/>
        </w:trPr>
        <w:tc>
          <w:tcPr>
            <w:tcW w:w="8980" w:type="dxa"/>
            <w:vAlign w:val="bottom"/>
            <w:gridSpan w:val="2"/>
          </w:tcPr>
          <w:p>
            <w:pPr>
              <w:ind w:left="180"/>
              <w:spacing w:after="0"/>
              <w:rPr>
                <w:sz w:val="20"/>
                <w:szCs w:val="20"/>
                <w:color w:val="auto"/>
              </w:rPr>
            </w:pPr>
            <w:r>
              <w:rPr>
                <w:rFonts w:ascii="Arial" w:cs="Arial" w:eastAsia="Arial" w:hAnsi="Arial"/>
                <w:sz w:val="18"/>
                <w:szCs w:val="18"/>
                <w:color w:val="auto"/>
                <w:w w:val="95"/>
              </w:rPr>
              <w:t>Common stock, $0.002 par value; 492,000 shares authorized; 292,381 and 291,388 shares issued and outstanding</w:t>
            </w: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585</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583</w:t>
            </w:r>
          </w:p>
        </w:tc>
        <w:tc>
          <w:tcPr>
            <w:tcW w:w="80" w:type="dxa"/>
            <w:vAlign w:val="bottom"/>
          </w:tcPr>
          <w:p>
            <w:pPr>
              <w:spacing w:after="0"/>
              <w:rPr>
                <w:sz w:val="18"/>
                <w:szCs w:val="18"/>
                <w:color w:val="auto"/>
              </w:rPr>
            </w:pPr>
          </w:p>
        </w:tc>
      </w:tr>
      <w:tr>
        <w:trPr>
          <w:trHeight w:val="216"/>
        </w:trPr>
        <w:tc>
          <w:tcPr>
            <w:tcW w:w="89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Additional paid-in capital</w:t>
            </w: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3,624,464</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3,634,821</w:t>
            </w:r>
          </w:p>
        </w:tc>
        <w:tc>
          <w:tcPr>
            <w:tcW w:w="80" w:type="dxa"/>
            <w:vAlign w:val="bottom"/>
            <w:shd w:val="clear" w:color="auto" w:fill="CCEEFF"/>
          </w:tcPr>
          <w:p>
            <w:pPr>
              <w:spacing w:after="0"/>
              <w:rPr>
                <w:sz w:val="18"/>
                <w:szCs w:val="18"/>
                <w:color w:val="auto"/>
              </w:rPr>
            </w:pPr>
          </w:p>
        </w:tc>
      </w:tr>
      <w:tr>
        <w:trPr>
          <w:trHeight w:val="216"/>
        </w:trPr>
        <w:tc>
          <w:tcPr>
            <w:tcW w:w="8980" w:type="dxa"/>
            <w:vAlign w:val="bottom"/>
            <w:gridSpan w:val="2"/>
          </w:tcPr>
          <w:p>
            <w:pPr>
              <w:ind w:left="180"/>
              <w:spacing w:after="0"/>
              <w:rPr>
                <w:sz w:val="20"/>
                <w:szCs w:val="20"/>
                <w:color w:val="auto"/>
              </w:rPr>
            </w:pPr>
            <w:r>
              <w:rPr>
                <w:rFonts w:ascii="Arial" w:cs="Arial" w:eastAsia="Arial" w:hAnsi="Arial"/>
                <w:sz w:val="18"/>
                <w:szCs w:val="18"/>
                <w:color w:val="auto"/>
              </w:rPr>
              <w:t>Deferred stock-based compensation</w:t>
            </w:r>
          </w:p>
        </w:tc>
        <w:tc>
          <w:tcPr>
            <w:tcW w:w="200" w:type="dxa"/>
            <w:vAlign w:val="bottom"/>
          </w:tcPr>
          <w:p>
            <w:pPr>
              <w:spacing w:after="0"/>
              <w:rPr>
                <w:sz w:val="18"/>
                <w:szCs w:val="18"/>
                <w:color w:val="auto"/>
              </w:rPr>
            </w:pP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(61,987)</w:t>
            </w:r>
          </w:p>
        </w:tc>
      </w:tr>
      <w:tr>
        <w:trPr>
          <w:trHeight w:val="216"/>
        </w:trPr>
        <w:tc>
          <w:tcPr>
            <w:tcW w:w="89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Accumulated other comprehensive loss</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(1,353)</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(1,759)</w:t>
            </w:r>
          </w:p>
        </w:tc>
      </w:tr>
      <w:tr>
        <w:trPr>
          <w:trHeight w:val="216"/>
        </w:trPr>
        <w:tc>
          <w:tcPr>
            <w:tcW w:w="8980" w:type="dxa"/>
            <w:vAlign w:val="bottom"/>
            <w:gridSpan w:val="2"/>
          </w:tcPr>
          <w:p>
            <w:pPr>
              <w:ind w:left="180"/>
              <w:spacing w:after="0"/>
              <w:rPr>
                <w:sz w:val="20"/>
                <w:szCs w:val="20"/>
                <w:color w:val="auto"/>
              </w:rPr>
            </w:pPr>
            <w:r>
              <w:rPr>
                <w:rFonts w:ascii="Arial" w:cs="Arial" w:eastAsia="Arial" w:hAnsi="Arial"/>
                <w:sz w:val="18"/>
                <w:szCs w:val="18"/>
                <w:color w:val="auto"/>
              </w:rPr>
              <w:t>Accumulated deficit</w:t>
            </w:r>
          </w:p>
        </w:tc>
        <w:tc>
          <w:tcPr>
            <w:tcW w:w="20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(486,870)</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(564,433)</w:t>
            </w:r>
          </w:p>
        </w:tc>
      </w:tr>
      <w:tr>
        <w:trPr>
          <w:trHeight w:val="210"/>
        </w:trPr>
        <w:tc>
          <w:tcPr>
            <w:tcW w:w="8980" w:type="dxa"/>
            <w:vAlign w:val="bottom"/>
            <w:tcBorders>
              <w:top w:val="single" w:sz="8" w:color="CCEEFF"/>
            </w:tcBorders>
            <w:gridSpan w:val="2"/>
            <w:shd w:val="clear" w:color="auto" w:fill="CCEEFF"/>
          </w:tcPr>
          <w:p>
            <w:pPr>
              <w:ind w:left="460"/>
              <w:spacing w:after="0"/>
              <w:rPr>
                <w:sz w:val="20"/>
                <w:szCs w:val="20"/>
                <w:color w:val="auto"/>
              </w:rPr>
            </w:pPr>
            <w:r>
              <w:rPr>
                <w:rFonts w:ascii="Arial" w:cs="Arial" w:eastAsia="Arial" w:hAnsi="Arial"/>
                <w:sz w:val="18"/>
                <w:szCs w:val="18"/>
                <w:color w:val="auto"/>
              </w:rPr>
              <w:t>Total shareholders’ equity</w:t>
            </w: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3,136,826</w:t>
            </w:r>
          </w:p>
        </w:tc>
        <w:tc>
          <w:tcPr>
            <w:tcW w:w="2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3,007,225</w:t>
            </w:r>
          </w:p>
        </w:tc>
        <w:tc>
          <w:tcPr>
            <w:tcW w:w="80" w:type="dxa"/>
            <w:vAlign w:val="bottom"/>
            <w:tcBorders>
              <w:top w:val="single" w:sz="8" w:color="CCEEFF"/>
            </w:tcBorders>
            <w:shd w:val="clear" w:color="auto" w:fill="CCEEFF"/>
          </w:tcPr>
          <w:p>
            <w:pPr>
              <w:spacing w:after="0"/>
              <w:rPr>
                <w:sz w:val="18"/>
                <w:szCs w:val="18"/>
                <w:color w:val="auto"/>
              </w:rPr>
            </w:pPr>
          </w:p>
        </w:tc>
      </w:tr>
      <w:tr>
        <w:trPr>
          <w:trHeight w:val="210"/>
        </w:trPr>
        <w:tc>
          <w:tcPr>
            <w:tcW w:w="8980" w:type="dxa"/>
            <w:vAlign w:val="bottom"/>
            <w:gridSpan w:val="2"/>
          </w:tcPr>
          <w:p>
            <w:pPr>
              <w:ind w:left="460"/>
              <w:spacing w:after="0"/>
              <w:rPr>
                <w:sz w:val="20"/>
                <w:szCs w:val="20"/>
                <w:color w:val="auto"/>
              </w:rPr>
            </w:pPr>
            <w:r>
              <w:rPr>
                <w:rFonts w:ascii="Arial" w:cs="Arial" w:eastAsia="Arial" w:hAnsi="Arial"/>
                <w:sz w:val="18"/>
                <w:szCs w:val="18"/>
                <w:color w:val="auto"/>
              </w:rPr>
              <w:t>Total liabilities and shareholders’ equity</w:t>
            </w:r>
          </w:p>
        </w:tc>
        <w:tc>
          <w:tcPr>
            <w:tcW w:w="200" w:type="dxa"/>
            <w:vAlign w:val="bottom"/>
            <w:tcBorders>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3,604,108</w:t>
            </w:r>
          </w:p>
        </w:tc>
        <w:tc>
          <w:tcPr>
            <w:tcW w:w="28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80" w:type="dxa"/>
            <w:vAlign w:val="bottom"/>
            <w:tcBorders>
              <w:bottom w:val="single" w:sz="8" w:color="auto"/>
            </w:tcBorders>
          </w:tcPr>
          <w:p>
            <w:pPr>
              <w:jc w:val="right"/>
              <w:ind w:right="70"/>
              <w:spacing w:after="0"/>
              <w:rPr>
                <w:sz w:val="20"/>
                <w:szCs w:val="20"/>
                <w:color w:val="auto"/>
              </w:rPr>
            </w:pPr>
            <w:r>
              <w:rPr>
                <w:rFonts w:ascii="Arial" w:cs="Arial" w:eastAsia="Arial" w:hAnsi="Arial"/>
                <w:sz w:val="10"/>
                <w:szCs w:val="10"/>
                <w:color w:val="auto"/>
                <w:w w:val="71"/>
              </w:rPr>
              <w:t>$</w:t>
            </w: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3,504,506</w:t>
            </w:r>
          </w:p>
        </w:tc>
        <w:tc>
          <w:tcPr>
            <w:tcW w:w="80" w:type="dxa"/>
            <w:vAlign w:val="bottom"/>
          </w:tcPr>
          <w:p>
            <w:pPr>
              <w:spacing w:after="0"/>
              <w:rPr>
                <w:sz w:val="18"/>
                <w:szCs w:val="18"/>
                <w:color w:val="auto"/>
              </w:rPr>
            </w:pPr>
          </w:p>
        </w:tc>
      </w:tr>
      <w:tr>
        <w:trPr>
          <w:trHeight w:val="20"/>
        </w:trPr>
        <w:tc>
          <w:tcPr>
            <w:tcW w:w="2200" w:type="dxa"/>
            <w:vAlign w:val="bottom"/>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r>
        <w:trPr>
          <w:trHeight w:val="89"/>
        </w:trPr>
        <w:tc>
          <w:tcPr>
            <w:tcW w:w="2200" w:type="dxa"/>
            <w:vAlign w:val="bottom"/>
            <w:tcBorders>
              <w:bottom w:val="single" w:sz="8" w:color="auto"/>
            </w:tcBorders>
          </w:tcPr>
          <w:p>
            <w:pPr>
              <w:spacing w:after="0"/>
              <w:rPr>
                <w:sz w:val="7"/>
                <w:szCs w:val="7"/>
                <w:color w:val="auto"/>
              </w:rPr>
            </w:pPr>
          </w:p>
        </w:tc>
        <w:tc>
          <w:tcPr>
            <w:tcW w:w="678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 w:type="dxa"/>
            <w:vAlign w:val="bottom"/>
          </w:tcPr>
          <w:p>
            <w:pPr>
              <w:spacing w:after="0"/>
              <w:rPr>
                <w:sz w:val="7"/>
                <w:szCs w:val="7"/>
                <w:color w:val="auto"/>
              </w:rPr>
            </w:pPr>
          </w:p>
        </w:tc>
      </w:tr>
    </w:tbl>
    <w:p>
      <w:pPr>
        <w:spacing w:after="0" w:line="94"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INCOME (In thousands, except per share amounts)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20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420" w:type="dxa"/>
            <w:vAlign w:val="bottom"/>
            <w:gridSpan w:val="5"/>
          </w:tcPr>
          <w:p>
            <w:pPr>
              <w:ind w:left="46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02"/>
        </w:trPr>
        <w:tc>
          <w:tcPr>
            <w:tcW w:w="2200" w:type="dxa"/>
            <w:vAlign w:val="bottom"/>
          </w:tcPr>
          <w:p>
            <w:pPr>
              <w:spacing w:after="0"/>
              <w:rPr>
                <w:sz w:val="8"/>
                <w:szCs w:val="8"/>
                <w:color w:val="auto"/>
              </w:rPr>
            </w:pPr>
          </w:p>
        </w:tc>
        <w:tc>
          <w:tcPr>
            <w:tcW w:w="4820" w:type="dxa"/>
            <w:vAlign w:val="bottom"/>
          </w:tcPr>
          <w:p>
            <w:pPr>
              <w:spacing w:after="0"/>
              <w:rPr>
                <w:sz w:val="8"/>
                <w:szCs w:val="8"/>
                <w:color w:val="auto"/>
              </w:rPr>
            </w:pPr>
          </w:p>
        </w:tc>
        <w:tc>
          <w:tcPr>
            <w:tcW w:w="1840" w:type="dxa"/>
            <w:vAlign w:val="bottom"/>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tcPr>
          <w:p>
            <w:pPr>
              <w:jc w:val="center"/>
              <w:ind w:right="53"/>
              <w:spacing w:after="0" w:line="102" w:lineRule="exact"/>
              <w:rPr>
                <w:sz w:val="20"/>
                <w:szCs w:val="20"/>
                <w:color w:val="auto"/>
              </w:rPr>
            </w:pPr>
            <w:r>
              <w:rPr>
                <w:rFonts w:ascii="Arial" w:cs="Arial" w:eastAsia="Arial" w:hAnsi="Arial"/>
                <w:sz w:val="11"/>
                <w:szCs w:val="11"/>
                <w:b w:val="1"/>
                <w:bCs w:val="1"/>
                <w:color w:val="auto"/>
              </w:rPr>
              <w:t>April 29,</w:t>
            </w:r>
          </w:p>
        </w:tc>
        <w:tc>
          <w:tcPr>
            <w:tcW w:w="2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tcPr>
          <w:p>
            <w:pPr>
              <w:jc w:val="center"/>
              <w:ind w:right="53"/>
              <w:spacing w:after="0" w:line="102" w:lineRule="exact"/>
              <w:rPr>
                <w:sz w:val="20"/>
                <w:szCs w:val="20"/>
                <w:color w:val="auto"/>
              </w:rPr>
            </w:pPr>
            <w:r>
              <w:rPr>
                <w:rFonts w:ascii="Arial" w:cs="Arial" w:eastAsia="Arial" w:hAnsi="Arial"/>
                <w:sz w:val="11"/>
                <w:szCs w:val="11"/>
                <w:b w:val="1"/>
                <w:bCs w:val="1"/>
                <w:color w:val="auto"/>
              </w:rPr>
              <w:t>April 30,</w:t>
            </w: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20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53"/>
              <w:spacing w:after="0"/>
              <w:rPr>
                <w:sz w:val="20"/>
                <w:szCs w:val="20"/>
                <w:color w:val="auto"/>
              </w:rPr>
            </w:pPr>
            <w:r>
              <w:rPr>
                <w:rFonts w:ascii="Arial" w:cs="Arial" w:eastAsia="Arial" w:hAnsi="Arial"/>
                <w:sz w:val="14"/>
                <w:szCs w:val="14"/>
                <w:b w:val="1"/>
                <w:bCs w:val="1"/>
                <w:color w:val="auto"/>
                <w:w w:val="96"/>
              </w:rPr>
              <w:t>2006</w:t>
            </w:r>
          </w:p>
        </w:tc>
        <w:tc>
          <w:tcPr>
            <w:tcW w:w="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53"/>
              <w:spacing w:after="0"/>
              <w:rPr>
                <w:sz w:val="20"/>
                <w:szCs w:val="20"/>
                <w:color w:val="auto"/>
              </w:rPr>
            </w:pPr>
            <w:r>
              <w:rPr>
                <w:rFonts w:ascii="Arial" w:cs="Arial" w:eastAsia="Arial" w:hAnsi="Arial"/>
                <w:sz w:val="14"/>
                <w:szCs w:val="14"/>
                <w:b w:val="1"/>
                <w:bCs w:val="1"/>
                <w:color w:val="auto"/>
                <w:w w:val="96"/>
              </w:rPr>
              <w:t>2005</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200" w:type="dxa"/>
            <w:vAlign w:val="bottom"/>
          </w:tcPr>
          <w:p>
            <w:pPr>
              <w:spacing w:after="0"/>
              <w:rPr>
                <w:sz w:val="11"/>
                <w:szCs w:val="11"/>
                <w:color w:val="auto"/>
              </w:rPr>
            </w:pPr>
          </w:p>
        </w:tc>
        <w:tc>
          <w:tcPr>
            <w:tcW w:w="482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0" w:type="dxa"/>
            <w:vAlign w:val="bottom"/>
          </w:tcPr>
          <w:p>
            <w:pPr>
              <w:jc w:val="center"/>
              <w:ind w:right="53"/>
              <w:spacing w:after="0" w:line="129" w:lineRule="exact"/>
              <w:rPr>
                <w:sz w:val="20"/>
                <w:szCs w:val="20"/>
                <w:color w:val="auto"/>
              </w:rPr>
            </w:pPr>
            <w:r>
              <w:rPr>
                <w:rFonts w:ascii="Arial" w:cs="Arial" w:eastAsia="Arial" w:hAnsi="Arial"/>
                <w:sz w:val="14"/>
                <w:szCs w:val="14"/>
                <w:b w:val="1"/>
                <w:bCs w:val="1"/>
                <w:color w:val="auto"/>
                <w:w w:val="91"/>
              </w:rPr>
              <w:t>(restated) (1)</w:t>
            </w: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jc w:val="center"/>
              <w:ind w:right="53"/>
              <w:spacing w:after="0" w:line="129" w:lineRule="exact"/>
              <w:rPr>
                <w:sz w:val="20"/>
                <w:szCs w:val="20"/>
                <w:color w:val="auto"/>
              </w:rPr>
            </w:pPr>
            <w:r>
              <w:rPr>
                <w:rFonts w:ascii="Arial" w:cs="Arial" w:eastAsia="Arial" w:hAnsi="Arial"/>
                <w:sz w:val="14"/>
                <w:szCs w:val="14"/>
                <w:b w:val="1"/>
                <w:bCs w:val="1"/>
                <w:color w:val="auto"/>
                <w:w w:val="91"/>
              </w:rPr>
              <w:t>(restated) (1)</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7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521,196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364,770</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18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8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240,233</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175,785</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gridSpan w:val="2"/>
          </w:tcPr>
          <w:p>
            <w:pPr>
              <w:ind w:left="180"/>
              <w:spacing w:after="0"/>
              <w:rPr>
                <w:sz w:val="20"/>
                <w:szCs w:val="20"/>
                <w:color w:val="auto"/>
              </w:rPr>
            </w:pPr>
            <w:r>
              <w:rPr>
                <w:rFonts w:ascii="Arial" w:cs="Arial" w:eastAsia="Arial" w:hAnsi="Arial"/>
                <w:sz w:val="18"/>
                <w:szCs w:val="18"/>
                <w:color w:val="auto"/>
              </w:rPr>
              <w:t>Research and development and other</w:t>
            </w:r>
          </w:p>
        </w:tc>
        <w:tc>
          <w:tcPr>
            <w:tcW w:w="18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129,228</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77,950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8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38,862</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22,022</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gridSpan w:val="2"/>
          </w:tcPr>
          <w:p>
            <w:pPr>
              <w:ind w:left="180"/>
              <w:spacing w:after="0"/>
              <w:rPr>
                <w:sz w:val="20"/>
                <w:szCs w:val="20"/>
                <w:color w:val="auto"/>
              </w:rPr>
            </w:pPr>
            <w:r>
              <w:rPr>
                <w:rFonts w:ascii="Arial" w:cs="Arial" w:eastAsia="Arial" w:hAnsi="Arial"/>
                <w:sz w:val="18"/>
                <w:szCs w:val="18"/>
                <w:color w:val="auto"/>
              </w:rPr>
              <w:t>General and administrative</w:t>
            </w:r>
          </w:p>
        </w:tc>
        <w:tc>
          <w:tcPr>
            <w:tcW w:w="18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18,558</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9,568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8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20" w:type="dxa"/>
            <w:vAlign w:val="bottom"/>
            <w:tcBorders>
              <w:bottom w:val="single" w:sz="8" w:color="CCEEFF"/>
            </w:tcBorders>
            <w:gridSpan w:val="2"/>
          </w:tcPr>
          <w:p>
            <w:pPr>
              <w:ind w:left="360"/>
              <w:spacing w:after="0"/>
              <w:rPr>
                <w:sz w:val="20"/>
                <w:szCs w:val="20"/>
                <w:color w:val="auto"/>
              </w:rPr>
            </w:pPr>
            <w:r>
              <w:rPr>
                <w:rFonts w:ascii="Arial" w:cs="Arial" w:eastAsia="Arial" w:hAnsi="Arial"/>
                <w:sz w:val="18"/>
                <w:szCs w:val="18"/>
                <w:color w:val="auto"/>
              </w:rPr>
              <w:t>Total operating costs and expenses</w:t>
            </w:r>
          </w:p>
        </w:tc>
        <w:tc>
          <w:tcPr>
            <w:tcW w:w="18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444,232</w:t>
            </w:r>
          </w:p>
        </w:tc>
        <w:tc>
          <w:tcPr>
            <w:tcW w:w="28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305,084</w:t>
            </w:r>
          </w:p>
        </w:tc>
        <w:tc>
          <w:tcPr>
            <w:tcW w:w="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8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76,964</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59,686</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Interest and other income, net</w:t>
            </w:r>
          </w:p>
        </w:tc>
        <w:tc>
          <w:tcPr>
            <w:tcW w:w="18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7,616</w:t>
            </w:r>
          </w:p>
        </w:tc>
        <w:tc>
          <w:tcPr>
            <w:tcW w:w="28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3,612</w:t>
            </w:r>
          </w:p>
        </w:tc>
        <w:tc>
          <w:tcPr>
            <w:tcW w:w="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8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84,580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63,298</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Provision for income taxes</w:t>
            </w:r>
          </w:p>
        </w:tc>
        <w:tc>
          <w:tcPr>
            <w:tcW w:w="18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15,863</w:t>
            </w:r>
          </w:p>
        </w:tc>
        <w:tc>
          <w:tcPr>
            <w:tcW w:w="28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9,351</w:t>
            </w:r>
          </w:p>
        </w:tc>
        <w:tc>
          <w:tcPr>
            <w:tcW w:w="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Income before change in accounting principle</w:t>
            </w:r>
          </w:p>
        </w:tc>
        <w:tc>
          <w:tcPr>
            <w:tcW w:w="18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68,717</w:t>
            </w: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53,947</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2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8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8,846</w:t>
            </w:r>
          </w:p>
        </w:tc>
        <w:tc>
          <w:tcPr>
            <w:tcW w:w="28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02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Net income</w:t>
            </w:r>
          </w:p>
        </w:tc>
        <w:tc>
          <w:tcPr>
            <w:tcW w:w="184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77,563</w:t>
            </w:r>
          </w:p>
        </w:tc>
        <w:tc>
          <w:tcPr>
            <w:tcW w:w="28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53,947</w:t>
            </w:r>
          </w:p>
        </w:tc>
        <w:tc>
          <w:tcPr>
            <w:tcW w:w="2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020" w:type="dxa"/>
            <w:vAlign w:val="bottom"/>
            <w:gridSpan w:val="2"/>
            <w:vMerge w:val="restart"/>
          </w:tcPr>
          <w:p>
            <w:pPr>
              <w:spacing w:after="0"/>
              <w:rPr>
                <w:sz w:val="20"/>
                <w:szCs w:val="20"/>
                <w:color w:val="auto"/>
              </w:rPr>
            </w:pPr>
            <w:r>
              <w:rPr>
                <w:rFonts w:ascii="Arial" w:cs="Arial" w:eastAsia="Arial" w:hAnsi="Arial"/>
                <w:sz w:val="18"/>
                <w:szCs w:val="18"/>
                <w:color w:val="auto"/>
              </w:rPr>
              <w:t>Basic income per share:</w:t>
            </w:r>
          </w:p>
        </w:tc>
        <w:tc>
          <w:tcPr>
            <w:tcW w:w="18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7020" w:type="dxa"/>
            <w:vAlign w:val="bottom"/>
            <w:gridSpan w:val="2"/>
            <w:vMerge w:val="continue"/>
          </w:tcPr>
          <w:p>
            <w:pPr>
              <w:spacing w:after="0"/>
              <w:rPr>
                <w:sz w:val="14"/>
                <w:szCs w:val="14"/>
                <w:color w:val="auto"/>
              </w:rPr>
            </w:pPr>
          </w:p>
        </w:tc>
        <w:tc>
          <w:tcPr>
            <w:tcW w:w="18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70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Income before change in accounting principle</w:t>
            </w:r>
          </w:p>
        </w:tc>
        <w:tc>
          <w:tcPr>
            <w:tcW w:w="1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gridSpan w:val="2"/>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8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0.03</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702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8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020" w:type="dxa"/>
            <w:vAlign w:val="bottom"/>
            <w:gridSpan w:val="2"/>
            <w:vMerge w:val="restart"/>
          </w:tcPr>
          <w:p>
            <w:pPr>
              <w:spacing w:after="0"/>
              <w:rPr>
                <w:sz w:val="20"/>
                <w:szCs w:val="20"/>
                <w:color w:val="auto"/>
              </w:rPr>
            </w:pPr>
            <w:r>
              <w:rPr>
                <w:rFonts w:ascii="Arial" w:cs="Arial" w:eastAsia="Arial" w:hAnsi="Arial"/>
                <w:sz w:val="18"/>
                <w:szCs w:val="18"/>
                <w:color w:val="auto"/>
              </w:rPr>
              <w:t>Shares used in basic per share computation</w:t>
            </w:r>
          </w:p>
        </w:tc>
        <w:tc>
          <w:tcPr>
            <w:tcW w:w="18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7020" w:type="dxa"/>
            <w:vAlign w:val="bottom"/>
            <w:gridSpan w:val="2"/>
            <w:vMerge w:val="continue"/>
          </w:tcPr>
          <w:p>
            <w:pPr>
              <w:spacing w:after="0"/>
              <w:rPr>
                <w:sz w:val="17"/>
                <w:szCs w:val="17"/>
                <w:color w:val="auto"/>
              </w:rPr>
            </w:pPr>
          </w:p>
        </w:tc>
        <w:tc>
          <w:tcPr>
            <w:tcW w:w="18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0" w:type="dxa"/>
            <w:vAlign w:val="bottom"/>
          </w:tcPr>
          <w:p>
            <w:pPr>
              <w:jc w:val="right"/>
              <w:spacing w:after="0" w:line="196" w:lineRule="exact"/>
              <w:rPr>
                <w:sz w:val="20"/>
                <w:szCs w:val="20"/>
                <w:color w:val="auto"/>
              </w:rPr>
            </w:pPr>
            <w:r>
              <w:rPr>
                <w:rFonts w:ascii="Arial" w:cs="Arial" w:eastAsia="Arial" w:hAnsi="Arial"/>
                <w:sz w:val="18"/>
                <w:szCs w:val="18"/>
                <w:color w:val="auto"/>
              </w:rPr>
              <w:t>291,851</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0" w:type="dxa"/>
            <w:vAlign w:val="bottom"/>
          </w:tcPr>
          <w:p>
            <w:pPr>
              <w:jc w:val="right"/>
              <w:spacing w:after="0" w:line="196" w:lineRule="exact"/>
              <w:rPr>
                <w:sz w:val="20"/>
                <w:szCs w:val="20"/>
                <w:color w:val="auto"/>
              </w:rPr>
            </w:pPr>
            <w:r>
              <w:rPr>
                <w:rFonts w:ascii="Arial" w:cs="Arial" w:eastAsia="Arial" w:hAnsi="Arial"/>
                <w:sz w:val="18"/>
                <w:szCs w:val="18"/>
                <w:color w:val="auto"/>
              </w:rPr>
              <w:t>278,793</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4"/>
        </w:trPr>
        <w:tc>
          <w:tcPr>
            <w:tcW w:w="7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Diluted income per share:</w:t>
            </w:r>
          </w:p>
        </w:tc>
        <w:tc>
          <w:tcPr>
            <w:tcW w:w="184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7020" w:type="dxa"/>
            <w:vAlign w:val="bottom"/>
            <w:gridSpan w:val="2"/>
          </w:tcPr>
          <w:p>
            <w:pPr>
              <w:ind w:left="180"/>
              <w:spacing w:after="0"/>
              <w:rPr>
                <w:sz w:val="20"/>
                <w:szCs w:val="20"/>
                <w:color w:val="auto"/>
              </w:rPr>
            </w:pPr>
            <w:r>
              <w:rPr>
                <w:rFonts w:ascii="Arial" w:cs="Arial" w:eastAsia="Arial" w:hAnsi="Arial"/>
                <w:sz w:val="18"/>
                <w:szCs w:val="18"/>
                <w:color w:val="auto"/>
              </w:rPr>
              <w:t>Income before change in accounting principle</w:t>
            </w:r>
          </w:p>
        </w:tc>
        <w:tc>
          <w:tcPr>
            <w:tcW w:w="19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0.21</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8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0"/>
        </w:trPr>
        <w:tc>
          <w:tcPr>
            <w:tcW w:w="702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Diluted net income per share</w:t>
            </w:r>
          </w:p>
        </w:tc>
        <w:tc>
          <w:tcPr>
            <w:tcW w:w="184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0.24</w:t>
            </w:r>
          </w:p>
        </w:tc>
        <w:tc>
          <w:tcPr>
            <w:tcW w:w="28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0.17</w:t>
            </w:r>
          </w:p>
        </w:tc>
        <w:tc>
          <w:tcPr>
            <w:tcW w:w="2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7020" w:type="dxa"/>
            <w:vAlign w:val="bottom"/>
            <w:gridSpan w:val="2"/>
            <w:shd w:val="clear" w:color="auto" w:fill="CCEEFF"/>
          </w:tcPr>
          <w:p>
            <w:pPr>
              <w:spacing w:after="0" w:line="190" w:lineRule="exact"/>
              <w:rPr>
                <w:sz w:val="20"/>
                <w:szCs w:val="20"/>
                <w:color w:val="auto"/>
              </w:rPr>
            </w:pPr>
            <w:r>
              <w:rPr>
                <w:rFonts w:ascii="Arial" w:cs="Arial" w:eastAsia="Arial" w:hAnsi="Arial"/>
                <w:sz w:val="18"/>
                <w:szCs w:val="18"/>
                <w:color w:val="auto"/>
              </w:rPr>
              <w:t>Shares used in diluted per share computation</w:t>
            </w:r>
          </w:p>
        </w:tc>
        <w:tc>
          <w:tcPr>
            <w:tcW w:w="18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319,758</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310,695</w:t>
            </w:r>
          </w:p>
        </w:tc>
        <w:tc>
          <w:tcPr>
            <w:tcW w:w="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08"/>
        </w:trPr>
        <w:tc>
          <w:tcPr>
            <w:tcW w:w="2200" w:type="dxa"/>
            <w:vAlign w:val="bottom"/>
            <w:tcBorders>
              <w:bottom w:val="single" w:sz="8" w:color="auto"/>
            </w:tcBorders>
          </w:tcPr>
          <w:p>
            <w:pPr>
              <w:spacing w:after="0"/>
              <w:rPr>
                <w:sz w:val="9"/>
                <w:szCs w:val="9"/>
                <w:color w:val="auto"/>
              </w:rPr>
            </w:pPr>
          </w:p>
        </w:tc>
        <w:tc>
          <w:tcPr>
            <w:tcW w:w="4820" w:type="dxa"/>
            <w:vAlign w:val="bottom"/>
          </w:tcPr>
          <w:p>
            <w:pPr>
              <w:spacing w:after="0"/>
              <w:rPr>
                <w:sz w:val="9"/>
                <w:szCs w:val="9"/>
                <w:color w:val="auto"/>
              </w:rPr>
            </w:pPr>
          </w:p>
        </w:tc>
        <w:tc>
          <w:tcPr>
            <w:tcW w:w="184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38" w:orient="portrait"/>
          <w:cols w:equalWidth="0" w:num="1">
            <w:col w:w="11420"/>
          </w:cols>
          <w:pgMar w:left="240" w:top="120" w:right="239" w:bottom="138" w:gutter="0" w:footer="0" w:header="0"/>
        </w:sectPr>
      </w:pP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0" w:right="239" w:bottom="138" w:gutter="0" w:footer="0" w:header="0"/>
          <w:type w:val="continuous"/>
        </w:sectPr>
      </w:pPr>
    </w:p>
    <w:bookmarkStart w:id="3" w:name="page4"/>
    <w:bookmarkEnd w:id="3"/>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20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8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02"/>
        </w:trPr>
        <w:tc>
          <w:tcPr>
            <w:tcW w:w="2200" w:type="dxa"/>
            <w:vAlign w:val="bottom"/>
          </w:tcPr>
          <w:p>
            <w:pPr>
              <w:spacing w:after="0"/>
              <w:rPr>
                <w:sz w:val="8"/>
                <w:szCs w:val="8"/>
                <w:color w:val="auto"/>
              </w:rPr>
            </w:pPr>
          </w:p>
        </w:tc>
        <w:tc>
          <w:tcPr>
            <w:tcW w:w="52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1200" w:type="dxa"/>
            <w:vAlign w:val="bottom"/>
            <w:tcBorders>
              <w:top w:val="single" w:sz="8" w:color="auto"/>
            </w:tcBorders>
            <w:gridSpan w:val="2"/>
          </w:tcPr>
          <w:p>
            <w:pPr>
              <w:jc w:val="center"/>
              <w:ind w:right="380"/>
              <w:spacing w:after="0" w:line="102" w:lineRule="exact"/>
              <w:rPr>
                <w:sz w:val="20"/>
                <w:szCs w:val="20"/>
                <w:color w:val="auto"/>
              </w:rPr>
            </w:pPr>
            <w:r>
              <w:rPr>
                <w:rFonts w:ascii="Arial" w:cs="Arial" w:eastAsia="Arial" w:hAnsi="Arial"/>
                <w:sz w:val="11"/>
                <w:szCs w:val="11"/>
                <w:b w:val="1"/>
                <w:bCs w:val="1"/>
                <w:color w:val="auto"/>
              </w:rPr>
              <w:t>April 29,</w:t>
            </w:r>
          </w:p>
        </w:tc>
        <w:tc>
          <w:tcPr>
            <w:tcW w:w="100" w:type="dxa"/>
            <w:vAlign w:val="bottom"/>
            <w:tcBorders>
              <w:top w:val="single" w:sz="8" w:color="auto"/>
            </w:tcBorders>
          </w:tcPr>
          <w:p>
            <w:pPr>
              <w:spacing w:after="0"/>
              <w:rPr>
                <w:sz w:val="8"/>
                <w:szCs w:val="8"/>
                <w:color w:val="auto"/>
              </w:rPr>
            </w:pPr>
          </w:p>
        </w:tc>
        <w:tc>
          <w:tcPr>
            <w:tcW w:w="900" w:type="dxa"/>
            <w:vAlign w:val="bottom"/>
            <w:tcBorders>
              <w:top w:val="single" w:sz="8" w:color="auto"/>
            </w:tcBorders>
          </w:tcPr>
          <w:p>
            <w:pPr>
              <w:jc w:val="center"/>
              <w:ind w:right="32"/>
              <w:spacing w:after="0" w:line="102" w:lineRule="exact"/>
              <w:rPr>
                <w:sz w:val="20"/>
                <w:szCs w:val="20"/>
                <w:color w:val="auto"/>
              </w:rPr>
            </w:pPr>
            <w:r>
              <w:rPr>
                <w:rFonts w:ascii="Arial" w:cs="Arial" w:eastAsia="Arial" w:hAnsi="Arial"/>
                <w:sz w:val="11"/>
                <w:szCs w:val="11"/>
                <w:b w:val="1"/>
                <w:bCs w:val="1"/>
                <w:color w:val="auto"/>
              </w:rPr>
              <w:t>April 30,</w:t>
            </w: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20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96"/>
              </w:rPr>
              <w:t>2006</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32"/>
              <w:spacing w:after="0"/>
              <w:rPr>
                <w:sz w:val="20"/>
                <w:szCs w:val="20"/>
                <w:color w:val="auto"/>
              </w:rPr>
            </w:pPr>
            <w:r>
              <w:rPr>
                <w:rFonts w:ascii="Arial" w:cs="Arial" w:eastAsia="Arial" w:hAnsi="Arial"/>
                <w:sz w:val="14"/>
                <w:szCs w:val="14"/>
                <w:b w:val="1"/>
                <w:bCs w:val="1"/>
                <w:color w:val="auto"/>
                <w:w w:val="96"/>
              </w:rPr>
              <w:t>2005</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200" w:type="dxa"/>
            <w:vAlign w:val="bottom"/>
          </w:tcPr>
          <w:p>
            <w:pPr>
              <w:spacing w:after="0"/>
              <w:rPr>
                <w:sz w:val="11"/>
                <w:szCs w:val="11"/>
                <w:color w:val="auto"/>
              </w:rPr>
            </w:pPr>
          </w:p>
        </w:tc>
        <w:tc>
          <w:tcPr>
            <w:tcW w:w="5240" w:type="dxa"/>
            <w:vAlign w:val="bottom"/>
          </w:tcPr>
          <w:p>
            <w:pPr>
              <w:spacing w:after="0"/>
              <w:rPr>
                <w:sz w:val="11"/>
                <w:szCs w:val="11"/>
                <w:color w:val="auto"/>
              </w:rPr>
            </w:pPr>
          </w:p>
        </w:tc>
        <w:tc>
          <w:tcPr>
            <w:tcW w:w="1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tcPr>
          <w:p>
            <w:pPr>
              <w:jc w:val="center"/>
              <w:ind w:right="13"/>
              <w:spacing w:after="0" w:line="129" w:lineRule="exact"/>
              <w:rPr>
                <w:sz w:val="20"/>
                <w:szCs w:val="20"/>
                <w:color w:val="auto"/>
              </w:rPr>
            </w:pPr>
            <w:r>
              <w:rPr>
                <w:rFonts w:ascii="Arial" w:cs="Arial" w:eastAsia="Arial" w:hAnsi="Arial"/>
                <w:sz w:val="14"/>
                <w:szCs w:val="14"/>
                <w:b w:val="1"/>
                <w:bCs w:val="1"/>
                <w:color w:val="auto"/>
                <w:w w:val="91"/>
              </w:rPr>
              <w:t>(restated) (1)</w:t>
            </w: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jc w:val="center"/>
              <w:ind w:right="32"/>
              <w:spacing w:after="0" w:line="129" w:lineRule="exact"/>
              <w:rPr>
                <w:sz w:val="20"/>
                <w:szCs w:val="20"/>
                <w:color w:val="auto"/>
              </w:rPr>
            </w:pPr>
            <w:r>
              <w:rPr>
                <w:rFonts w:ascii="Arial" w:cs="Arial" w:eastAsia="Arial" w:hAnsi="Arial"/>
                <w:sz w:val="14"/>
                <w:szCs w:val="14"/>
                <w:b w:val="1"/>
                <w:bCs w:val="1"/>
                <w:color w:val="auto"/>
                <w:w w:val="91"/>
              </w:rPr>
              <w:t>(restated) (1)</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77,563</w:t>
            </w: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53,947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spacing w:after="0"/>
              <w:rPr>
                <w:sz w:val="20"/>
                <w:szCs w:val="20"/>
                <w:color w:val="auto"/>
              </w:rPr>
            </w:pPr>
            <w:r>
              <w:rPr>
                <w:rFonts w:ascii="Arial" w:cs="Arial" w:eastAsia="Arial" w:hAnsi="Arial"/>
                <w:sz w:val="18"/>
                <w:szCs w:val="18"/>
                <w:color w:val="auto"/>
              </w:rPr>
              <w:t>Cumulative effect of change in accounting principle, net</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(8,846)</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Depreciation and amortization</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15,615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ind w:left="180"/>
              <w:spacing w:after="0"/>
              <w:rPr>
                <w:sz w:val="20"/>
                <w:szCs w:val="20"/>
                <w:color w:val="auto"/>
              </w:rPr>
            </w:pPr>
            <w:r>
              <w:rPr>
                <w:rFonts w:ascii="Arial" w:cs="Arial" w:eastAsia="Arial" w:hAnsi="Arial"/>
                <w:sz w:val="18"/>
                <w:szCs w:val="18"/>
                <w:color w:val="auto"/>
              </w:rPr>
              <w:t>Stock-based compensation</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48,762</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9,590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(697)</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 net of acquisition:</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ind w:left="360"/>
              <w:spacing w:after="0"/>
              <w:rPr>
                <w:sz w:val="20"/>
                <w:szCs w:val="20"/>
                <w:color w:val="auto"/>
              </w:rPr>
            </w:pPr>
            <w:r>
              <w:rPr>
                <w:rFonts w:ascii="Arial" w:cs="Arial" w:eastAsia="Arial" w:hAnsi="Arial"/>
                <w:sz w:val="18"/>
                <w:szCs w:val="18"/>
                <w:color w:val="auto"/>
              </w:rPr>
              <w:t>Accounts receivable</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(48,372)</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(4,189)</w:t>
            </w: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8,729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15,664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ind w:left="360"/>
              <w:spacing w:after="0"/>
              <w:rPr>
                <w:sz w:val="20"/>
                <w:szCs w:val="20"/>
                <w:color w:val="auto"/>
              </w:rPr>
            </w:pPr>
            <w:r>
              <w:rPr>
                <w:rFonts w:ascii="Arial" w:cs="Arial" w:eastAsia="Arial" w:hAnsi="Arial"/>
                <w:sz w:val="18"/>
                <w:szCs w:val="18"/>
                <w:color w:val="auto"/>
              </w:rPr>
              <w:t>Prepaid expenses and other assets</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(25,799)</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(43,800)</w:t>
            </w: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(45,868)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(7,428)</w:t>
            </w:r>
          </w:p>
        </w:tc>
        <w:tc>
          <w:tcPr>
            <w:tcW w:w="0" w:type="dxa"/>
            <w:vAlign w:val="bottom"/>
          </w:tcPr>
          <w:p>
            <w:pPr>
              <w:spacing w:after="0"/>
              <w:rPr>
                <w:sz w:val="1"/>
                <w:szCs w:val="1"/>
                <w:color w:val="auto"/>
              </w:rPr>
            </w:pPr>
          </w:p>
        </w:tc>
      </w:tr>
      <w:tr>
        <w:trPr>
          <w:trHeight w:val="216"/>
        </w:trPr>
        <w:tc>
          <w:tcPr>
            <w:tcW w:w="7440" w:type="dxa"/>
            <w:vAlign w:val="bottom"/>
            <w:gridSpan w:val="2"/>
          </w:tcPr>
          <w:p>
            <w:pPr>
              <w:ind w:left="360"/>
              <w:spacing w:after="0"/>
              <w:rPr>
                <w:sz w:val="20"/>
                <w:szCs w:val="20"/>
                <w:color w:val="auto"/>
              </w:rPr>
            </w:pPr>
            <w:r>
              <w:rPr>
                <w:rFonts w:ascii="Arial" w:cs="Arial" w:eastAsia="Arial" w:hAnsi="Arial"/>
                <w:sz w:val="18"/>
                <w:szCs w:val="18"/>
                <w:color w:val="auto"/>
              </w:rPr>
              <w:t>Accrued liabilities and other</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2,500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763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(8,222)</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ind w:left="360"/>
              <w:spacing w:after="0"/>
              <w:rPr>
                <w:sz w:val="20"/>
                <w:szCs w:val="20"/>
                <w:color w:val="auto"/>
              </w:rPr>
            </w:pPr>
            <w:r>
              <w:rPr>
                <w:rFonts w:ascii="Arial" w:cs="Arial" w:eastAsia="Arial" w:hAnsi="Arial"/>
                <w:sz w:val="18"/>
                <w:szCs w:val="18"/>
                <w:color w:val="auto"/>
              </w:rPr>
              <w:t>Income taxes payable</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15,100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8,086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(1,133)</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440" w:type="dxa"/>
            <w:vAlign w:val="bottom"/>
            <w:tcBorders>
              <w:bottom w:val="single" w:sz="8" w:color="CCEEFF"/>
            </w:tcBorders>
            <w:gridSpan w:val="2"/>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160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46,683</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68,904</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44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ind w:left="180"/>
              <w:spacing w:after="0"/>
              <w:rPr>
                <w:sz w:val="20"/>
                <w:szCs w:val="20"/>
                <w:color w:val="auto"/>
              </w:rPr>
            </w:pPr>
            <w:r>
              <w:rPr>
                <w:rFonts w:ascii="Arial" w:cs="Arial" w:eastAsia="Arial" w:hAnsi="Arial"/>
                <w:sz w:val="18"/>
                <w:szCs w:val="18"/>
                <w:color w:val="auto"/>
              </w:rPr>
              <w:t>Cash paid for acquisition</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(24,008)</w:t>
            </w:r>
          </w:p>
        </w:tc>
        <w:tc>
          <w:tcPr>
            <w:tcW w:w="10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Purchases of short-term investments</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(57,405)</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(99,018)</w:t>
            </w:r>
          </w:p>
        </w:tc>
        <w:tc>
          <w:tcPr>
            <w:tcW w:w="0" w:type="dxa"/>
            <w:vAlign w:val="bottom"/>
          </w:tcPr>
          <w:p>
            <w:pPr>
              <w:spacing w:after="0"/>
              <w:rPr>
                <w:sz w:val="1"/>
                <w:szCs w:val="1"/>
                <w:color w:val="auto"/>
              </w:rPr>
            </w:pPr>
          </w:p>
        </w:tc>
      </w:tr>
      <w:tr>
        <w:trPr>
          <w:trHeight w:val="216"/>
        </w:trPr>
        <w:tc>
          <w:tcPr>
            <w:tcW w:w="7440" w:type="dxa"/>
            <w:vAlign w:val="bottom"/>
            <w:gridSpan w:val="2"/>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238,124</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48,051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Acquisition costs</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(461)</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40" w:type="dxa"/>
            <w:vAlign w:val="bottom"/>
            <w:gridSpan w:val="2"/>
          </w:tcPr>
          <w:p>
            <w:pPr>
              <w:ind w:left="180"/>
              <w:spacing w:after="0"/>
              <w:rPr>
                <w:sz w:val="20"/>
                <w:szCs w:val="20"/>
                <w:color w:val="auto"/>
              </w:rPr>
            </w:pPr>
            <w:r>
              <w:rPr>
                <w:rFonts w:ascii="Arial" w:cs="Arial" w:eastAsia="Arial" w:hAnsi="Arial"/>
                <w:sz w:val="18"/>
                <w:szCs w:val="18"/>
                <w:color w:val="auto"/>
              </w:rPr>
              <w:t>Purchases of property and equipment</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(28,948)</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(18,395)</w:t>
            </w:r>
          </w:p>
        </w:tc>
        <w:tc>
          <w:tcPr>
            <w:tcW w:w="0" w:type="dxa"/>
            <w:vAlign w:val="bottom"/>
          </w:tcPr>
          <w:p>
            <w:pPr>
              <w:spacing w:after="0"/>
              <w:rPr>
                <w:sz w:val="1"/>
                <w:szCs w:val="1"/>
                <w:color w:val="auto"/>
              </w:rPr>
            </w:pPr>
          </w:p>
        </w:tc>
      </w:tr>
      <w:tr>
        <w:trPr>
          <w:trHeight w:val="210"/>
        </w:trPr>
        <w:tc>
          <w:tcPr>
            <w:tcW w:w="7440" w:type="dxa"/>
            <w:vAlign w:val="bottom"/>
            <w:tcBorders>
              <w:top w:val="single" w:sz="8" w:color="CCEEFF"/>
            </w:tcBorders>
            <w:gridSpan w:val="2"/>
            <w:shd w:val="clear" w:color="auto" w:fill="CCEEFF"/>
          </w:tcPr>
          <w:p>
            <w:pPr>
              <w:ind w:left="540"/>
              <w:spacing w:after="0"/>
              <w:rPr>
                <w:sz w:val="20"/>
                <w:szCs w:val="20"/>
                <w:color w:val="auto"/>
              </w:rPr>
            </w:pPr>
            <w:r>
              <w:rPr>
                <w:rFonts w:ascii="Arial" w:cs="Arial" w:eastAsia="Arial" w:hAnsi="Arial"/>
                <w:sz w:val="18"/>
                <w:szCs w:val="18"/>
                <w:color w:val="auto"/>
              </w:rPr>
              <w:t>Net cash provided by (used in) investing activities</w:t>
            </w:r>
          </w:p>
        </w:tc>
        <w:tc>
          <w:tcPr>
            <w:tcW w:w="16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127,302</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(69,362)</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7440" w:type="dxa"/>
            <w:vAlign w:val="bottom"/>
            <w:gridSpan w:val="2"/>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6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10,904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20,119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gridSpan w:val="2"/>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(4,628)</w:t>
            </w:r>
          </w:p>
        </w:tc>
        <w:tc>
          <w:tcPr>
            <w:tcW w:w="1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(3,156)</w:t>
            </w: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697</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7440" w:type="dxa"/>
            <w:vAlign w:val="bottom"/>
            <w:tcBorders>
              <w:bottom w:val="single" w:sz="8" w:color="CCEEFF"/>
            </w:tcBorders>
            <w:gridSpan w:val="2"/>
          </w:tcPr>
          <w:p>
            <w:pPr>
              <w:ind w:left="540"/>
              <w:spacing w:after="0"/>
              <w:rPr>
                <w:sz w:val="20"/>
                <w:szCs w:val="20"/>
                <w:color w:val="auto"/>
              </w:rPr>
            </w:pPr>
            <w:r>
              <w:rPr>
                <w:rFonts w:ascii="Arial" w:cs="Arial" w:eastAsia="Arial" w:hAnsi="Arial"/>
                <w:sz w:val="18"/>
                <w:szCs w:val="18"/>
                <w:color w:val="auto"/>
              </w:rPr>
              <w:t>Net cash provided by financing activities</w:t>
            </w:r>
          </w:p>
        </w:tc>
        <w:tc>
          <w:tcPr>
            <w:tcW w:w="160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6,973</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16,963</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increase in cash and cash equivalents</w:t>
            </w:r>
          </w:p>
        </w:tc>
        <w:tc>
          <w:tcPr>
            <w:tcW w:w="1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180,958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16,505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4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160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348,431</w:t>
            </w:r>
          </w:p>
        </w:tc>
        <w:tc>
          <w:tcPr>
            <w:tcW w:w="28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166,471</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44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60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529,389</w:t>
            </w:r>
          </w:p>
        </w:tc>
        <w:tc>
          <w:tcPr>
            <w:tcW w:w="28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182,976</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4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Supplemental cash flows information:</w:t>
            </w:r>
          </w:p>
        </w:tc>
        <w:tc>
          <w:tcPr>
            <w:tcW w:w="16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7440" w:type="dxa"/>
            <w:vAlign w:val="bottom"/>
            <w:gridSpan w:val="2"/>
            <w:vMerge w:val="continue"/>
          </w:tcPr>
          <w:p>
            <w:pPr>
              <w:spacing w:after="0"/>
              <w:rPr>
                <w:sz w:val="14"/>
                <w:szCs w:val="14"/>
                <w:color w:val="auto"/>
              </w:rPr>
            </w:pPr>
          </w:p>
        </w:tc>
        <w:tc>
          <w:tcPr>
            <w:tcW w:w="1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74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Acquisition of property and equipment under capital lease obligations</w:t>
            </w:r>
          </w:p>
        </w:tc>
        <w:tc>
          <w:tcPr>
            <w:tcW w:w="1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3,212</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3,862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40" w:type="dxa"/>
            <w:vAlign w:val="bottom"/>
            <w:tcBorders>
              <w:top w:val="single" w:sz="8" w:color="CCEEFF"/>
              <w:bottom w:val="single" w:sz="8" w:color="CCEEFF"/>
            </w:tcBorders>
            <w:gridSpan w:val="2"/>
            <w:vMerge w:val="restart"/>
          </w:tcPr>
          <w:p>
            <w:pPr>
              <w:ind w:left="180"/>
              <w:spacing w:after="0"/>
              <w:rPr>
                <w:sz w:val="20"/>
                <w:szCs w:val="20"/>
                <w:color w:val="auto"/>
              </w:rPr>
            </w:pPr>
            <w:r>
              <w:rPr>
                <w:rFonts w:ascii="Arial" w:cs="Arial" w:eastAsia="Arial" w:hAnsi="Arial"/>
                <w:sz w:val="18"/>
                <w:szCs w:val="18"/>
                <w:color w:val="auto"/>
              </w:rPr>
              <w:t>Elimination of deferred stock-based compensation due to FAS 123R adoption</w:t>
            </w:r>
          </w:p>
        </w:tc>
        <w:tc>
          <w:tcPr>
            <w:tcW w:w="160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bottom w:val="single" w:sz="8" w:color="CCEEFF"/>
            </w:tcBorders>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7440" w:type="dxa"/>
            <w:vAlign w:val="bottom"/>
            <w:gridSpan w:val="2"/>
            <w:vMerge w:val="continue"/>
          </w:tcPr>
          <w:p>
            <w:pPr>
              <w:spacing w:after="0"/>
              <w:rPr>
                <w:sz w:val="17"/>
                <w:szCs w:val="17"/>
                <w:color w:val="auto"/>
              </w:rPr>
            </w:pPr>
          </w:p>
        </w:tc>
        <w:tc>
          <w:tcPr>
            <w:tcW w:w="1600" w:type="dxa"/>
            <w:vAlign w:val="bottom"/>
            <w:vMerge w:val="continue"/>
          </w:tcPr>
          <w:p>
            <w:pPr>
              <w:spacing w:after="0"/>
              <w:rPr>
                <w:sz w:val="17"/>
                <w:szCs w:val="17"/>
                <w:color w:val="auto"/>
              </w:rPr>
            </w:pPr>
          </w:p>
        </w:tc>
        <w:tc>
          <w:tcPr>
            <w:tcW w:w="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61,987</w:t>
            </w:r>
          </w:p>
        </w:tc>
        <w:tc>
          <w:tcPr>
            <w:tcW w:w="280" w:type="dxa"/>
            <w:vAlign w:val="bottom"/>
          </w:tcPr>
          <w:p>
            <w:pPr>
              <w:spacing w:after="0"/>
              <w:rPr>
                <w:sz w:val="17"/>
                <w:szCs w:val="17"/>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w:t>
            </w:r>
          </w:p>
        </w:tc>
        <w:tc>
          <w:tcPr>
            <w:tcW w:w="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20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2200" w:type="dxa"/>
            <w:vAlign w:val="bottom"/>
            <w:tcBorders>
              <w:bottom w:val="single" w:sz="8" w:color="auto"/>
            </w:tcBorders>
          </w:tcPr>
          <w:p>
            <w:pPr>
              <w:spacing w:after="0"/>
              <w:rPr>
                <w:sz w:val="7"/>
                <w:szCs w:val="7"/>
                <w:color w:val="auto"/>
              </w:rPr>
            </w:pPr>
          </w:p>
        </w:tc>
        <w:tc>
          <w:tcPr>
            <w:tcW w:w="5240" w:type="dxa"/>
            <w:vAlign w:val="bottom"/>
          </w:tcPr>
          <w:p>
            <w:pPr>
              <w:spacing w:after="0"/>
              <w:rPr>
                <w:sz w:val="7"/>
                <w:szCs w:val="7"/>
                <w:color w:val="auto"/>
              </w:rPr>
            </w:pPr>
          </w:p>
        </w:tc>
        <w:tc>
          <w:tcPr>
            <w:tcW w:w="1600" w:type="dxa"/>
            <w:vAlign w:val="bottom"/>
          </w:tcPr>
          <w:p>
            <w:pPr>
              <w:spacing w:after="0"/>
              <w:rPr>
                <w:sz w:val="7"/>
                <w:szCs w:val="7"/>
                <w:color w:val="auto"/>
              </w:rPr>
            </w:pPr>
          </w:p>
        </w:tc>
        <w:tc>
          <w:tcPr>
            <w:tcW w:w="100" w:type="dxa"/>
            <w:vAlign w:val="bottom"/>
          </w:tcPr>
          <w:p>
            <w:pPr>
              <w:spacing w:after="0"/>
              <w:rPr>
                <w:sz w:val="7"/>
                <w:szCs w:val="7"/>
                <w:color w:val="auto"/>
              </w:rPr>
            </w:pPr>
          </w:p>
        </w:tc>
        <w:tc>
          <w:tcPr>
            <w:tcW w:w="9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00" w:type="dxa"/>
            <w:vAlign w:val="bottom"/>
          </w:tcPr>
          <w:p>
            <w:pPr>
              <w:spacing w:after="0"/>
              <w:rPr>
                <w:sz w:val="7"/>
                <w:szCs w:val="7"/>
                <w:color w:val="auto"/>
              </w:rPr>
            </w:pPr>
          </w:p>
        </w:tc>
        <w:tc>
          <w:tcPr>
            <w:tcW w:w="90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spacing w:after="0"/>
        <w:rPr>
          <w:sz w:val="20"/>
          <w:szCs w:val="20"/>
          <w:color w:val="auto"/>
        </w:rPr>
      </w:pPr>
      <w:r>
        <w:rPr>
          <w:rFonts w:ascii="Arial" w:cs="Arial" w:eastAsia="Arial" w:hAnsi="Arial"/>
          <w:sz w:val="18"/>
          <w:szCs w:val="18"/>
          <w:color w:val="auto"/>
        </w:rPr>
        <w:t>(1) See Note 1 – Restatement of Consolidated Financial Statements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Restatement of Consolidated Financial Statements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Background</w:t>
      </w:r>
    </w:p>
    <w:p>
      <w:pPr>
        <w:spacing w:after="0" w:line="225" w:lineRule="exact"/>
        <w:rPr>
          <w:sz w:val="20"/>
          <w:szCs w:val="20"/>
          <w:color w:val="auto"/>
        </w:rPr>
      </w:pPr>
    </w:p>
    <w:p>
      <w:pPr>
        <w:ind w:firstLine="648"/>
        <w:spacing w:after="0" w:line="293" w:lineRule="auto"/>
        <w:rPr>
          <w:sz w:val="20"/>
          <w:szCs w:val="20"/>
          <w:color w:val="auto"/>
        </w:rPr>
      </w:pPr>
      <w:r>
        <w:rPr>
          <w:rFonts w:ascii="Arial" w:cs="Arial" w:eastAsia="Arial" w:hAnsi="Arial"/>
          <w:sz w:val="16"/>
          <w:szCs w:val="16"/>
          <w:color w:val="auto"/>
        </w:rPr>
        <w:t>On about May 23, 2006, the Company’s Chief Executive Officer initiated a review of the Company’s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the Company’s historical stock option practices and related accounting matters. This committee retained outside legal counsel at the time to assist with this internal review. In June and July 2006, this committee identified various stock option grants as having been potentially selected with the benefit of hindsight. During this time the Company was also named as a nominal defendant, and a number of the Company’s current and former directors and officers were named as defendants, in purported shareholder derivative actions.</w:t>
      </w:r>
    </w:p>
    <w:p>
      <w:pPr>
        <w:spacing w:after="0" w:line="165" w:lineRule="exact"/>
        <w:rPr>
          <w:sz w:val="20"/>
          <w:szCs w:val="20"/>
          <w:color w:val="auto"/>
        </w:rPr>
      </w:pPr>
    </w:p>
    <w:p>
      <w:pPr>
        <w:ind w:right="100" w:firstLine="648"/>
        <w:spacing w:after="0" w:line="272" w:lineRule="auto"/>
        <w:rPr>
          <w:sz w:val="20"/>
          <w:szCs w:val="20"/>
          <w:color w:val="auto"/>
        </w:rPr>
      </w:pPr>
      <w:r>
        <w:rPr>
          <w:rFonts w:ascii="Arial" w:cs="Arial" w:eastAsia="Arial" w:hAnsi="Arial"/>
          <w:sz w:val="17"/>
          <w:szCs w:val="17"/>
          <w:color w:val="auto"/>
        </w:rPr>
        <w:t>During this time, the Company was informed that its outside legal counsel at the time could not represent both the independent committee and the Company, particularly if that independent committee was going to evaluate and address matters raised by the derivative actions. The Company’s Board met on July 19, 2006 and appointed a successor special committee, titled the Special Committee Regarding Derivative Litigation, to assume responsibility for the stock option review and to evaluate and address matters raised by the derivative action (the “Special Committee”). The same independent director continued as the sole member of the Special Committee and, after consideration of a number of firms, selected new, independent counsel to represent the Special Committee. The Special Committee subsequently retained a second independent law firm (collectively “Independent Counsel”). Independent Counsel retained forensic accounting experts to assist in the internal review.</w:t>
      </w:r>
    </w:p>
    <w:p>
      <w:pPr>
        <w:sectPr>
          <w:pgSz w:w="11900" w:h="16838" w:orient="portrait"/>
          <w:cols w:equalWidth="0" w:num="1">
            <w:col w:w="11420"/>
          </w:cols>
          <w:pgMar w:left="240" w:top="364" w:right="239" w:bottom="0" w:gutter="0" w:footer="0" w:header="0"/>
        </w:sectPr>
      </w:pPr>
    </w:p>
    <w:bookmarkStart w:id="4" w:name="page5"/>
    <w:bookmarkEnd w:id="4"/>
    <w:p>
      <w:pPr>
        <w:ind w:firstLine="648"/>
        <w:spacing w:after="0" w:line="255" w:lineRule="auto"/>
        <w:rPr>
          <w:sz w:val="20"/>
          <w:szCs w:val="20"/>
          <w:color w:val="auto"/>
        </w:rPr>
      </w:pPr>
      <w:r>
        <w:rPr>
          <w:rFonts w:ascii="Arial" w:cs="Arial" w:eastAsia="Arial" w:hAnsi="Arial"/>
          <w:sz w:val="18"/>
          <w:szCs w:val="18"/>
          <w:color w:val="auto"/>
        </w:rPr>
        <w:t>The Special Committee reported its preliminary findings on quantitative issues to the Audit Committee and the Board on September 28, 2006. Based on the report of the Special Committee, and upon the recommendation of management and the Audit Committee, the Board concluded on October 2, 2006, that the Company would need to restate historical financial statements to record additional non-cash charges for stock-based compensation expense related to past option grants and that the historical financial statements and all earnings press releases and similar communications issued by the Company relating to periods beginning on or after its initial public offering in June 2000 should no longer be relied upon. The Company reported these conclusions in a current report on Form 8-K filed on the same day.</w:t>
      </w:r>
    </w:p>
    <w:p>
      <w:pPr>
        <w:spacing w:after="0" w:line="193" w:lineRule="exact"/>
        <w:rPr>
          <w:sz w:val="20"/>
          <w:szCs w:val="20"/>
          <w:color w:val="auto"/>
        </w:rPr>
      </w:pPr>
    </w:p>
    <w:p>
      <w:pPr>
        <w:ind w:right="20" w:firstLine="648"/>
        <w:spacing w:after="0" w:line="269" w:lineRule="auto"/>
        <w:rPr>
          <w:sz w:val="20"/>
          <w:szCs w:val="20"/>
          <w:color w:val="auto"/>
        </w:rPr>
      </w:pPr>
      <w:r>
        <w:rPr>
          <w:rFonts w:ascii="Arial" w:cs="Arial" w:eastAsia="Arial" w:hAnsi="Arial"/>
          <w:sz w:val="17"/>
          <w:szCs w:val="17"/>
          <w:color w:val="auto"/>
        </w:rPr>
        <w:t>On February 7, 2007, the former General Counsel of the U.S. subsidiary, Marvell Semiconductor, Inc. (“MSI”), who was a subject of the internal review, raised allegations regarding the independence of the sole member of the Special Committee. The Audit Committee thereafter formed a subcommittee consisting of the Chairman of the Audit Committee to investigate the matter. The subcommittee appointed a former federal judge to serve as independent reviewer for the subcommittee who in turn retained independent counsel. Although the independent reviewer made no findings as to the truth of the allegations themselves and expressed substantial doubt regarding the credibility of the allegations, he nevertheless concluded that the independent director should step down from the Special Committee to ensure compliance with the stringent independence standards developed by courts reviewing the independence of special litigation committees formed to assess the merits of shareholder derivative litigation. The subcommittee also found that the General Counsel violated the Company’s Code of Ethics and Business Conduct for not reporting the allegations timely. The subcommittee accepted the findings of the independent reviewer. The Company has since terminated the General Counsel for the violation. On March 30, 2007, the independent director resigned from the Special Committee and the Board appointed two independent non-director members to the Special Committee to continue the review of the Company’s historical stock option practices and related accounting matters, which action is permitted under the Company’s bye-laws. As a result, the Special Committee thereafter consisted of two non-directors.</w:t>
      </w:r>
    </w:p>
    <w:p>
      <w:pPr>
        <w:spacing w:after="0" w:line="180" w:lineRule="exact"/>
        <w:rPr>
          <w:sz w:val="20"/>
          <w:szCs w:val="20"/>
          <w:color w:val="auto"/>
        </w:rPr>
      </w:pPr>
    </w:p>
    <w:p>
      <w:pPr>
        <w:ind w:right="80" w:firstLine="648"/>
        <w:spacing w:after="0" w:line="259" w:lineRule="auto"/>
        <w:rPr>
          <w:sz w:val="20"/>
          <w:szCs w:val="20"/>
          <w:color w:val="auto"/>
        </w:rPr>
      </w:pPr>
      <w:r>
        <w:rPr>
          <w:rFonts w:ascii="Arial" w:cs="Arial" w:eastAsia="Arial" w:hAnsi="Arial"/>
          <w:sz w:val="18"/>
          <w:szCs w:val="18"/>
          <w:color w:val="auto"/>
        </w:rPr>
        <w:t>On April 27, 2007, the Special Committee reported its findings to the Board of Directors and to the Implementation Committee, which consists of three independent members of the Board. The Implementation Committee was formed by the Board on April 26, 2007 to make such decisions and take such action as the committee determines to be appropriate in light of the Special Committee’s findings and recommendations. On May 8, 2007, the Company disclosed on Form 8-K the completion of the independent review.</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Findings of the Special Committee</w:t>
      </w:r>
    </w:p>
    <w:p>
      <w:pPr>
        <w:spacing w:after="0" w:line="225" w:lineRule="exact"/>
        <w:rPr>
          <w:sz w:val="20"/>
          <w:szCs w:val="20"/>
          <w:color w:val="auto"/>
        </w:rPr>
      </w:pPr>
    </w:p>
    <w:p>
      <w:pPr>
        <w:ind w:right="40" w:firstLine="648"/>
        <w:spacing w:after="0" w:line="255" w:lineRule="auto"/>
        <w:rPr>
          <w:sz w:val="20"/>
          <w:szCs w:val="20"/>
          <w:color w:val="auto"/>
        </w:rPr>
      </w:pPr>
      <w:r>
        <w:rPr>
          <w:rFonts w:ascii="Arial" w:cs="Arial" w:eastAsia="Arial" w:hAnsi="Arial"/>
          <w:sz w:val="18"/>
          <w:szCs w:val="18"/>
          <w:color w:val="auto"/>
        </w:rPr>
        <w:t>From the Company’s initial public offering through June 9, 2006 (the “Relevant Period”), option grants awarded to employees who were not then executive officers, as defined in Section 16 of the Securities Exchange Act of 1934, as amended (“Section 16 Officers”), were awarded either by the Board of Directors or the Stock Option Committee of the Board. The Stock Option Committee was formed by the Board of Directors in December 2000 and consisted of the Chief Executive Officer and the former Executive Vice President and Chief Operating Officer. Pursuant to authority delegated by the Board of Directors under Marvell’s 1995 Stock Option Plan, the Stock Option Committee was empowered to act jointly. The Stock Option Committee awarded all grants to non-executives employees after its formation until June 9, 2006.</w:t>
      </w:r>
    </w:p>
    <w:p>
      <w:pPr>
        <w:spacing w:after="0" w:line="193" w:lineRule="exact"/>
        <w:rPr>
          <w:sz w:val="20"/>
          <w:szCs w:val="20"/>
          <w:color w:val="auto"/>
        </w:rPr>
      </w:pPr>
    </w:p>
    <w:p>
      <w:pPr>
        <w:ind w:firstLine="648"/>
        <w:spacing w:after="0" w:line="276" w:lineRule="auto"/>
        <w:rPr>
          <w:sz w:val="20"/>
          <w:szCs w:val="20"/>
          <w:color w:val="auto"/>
        </w:rPr>
      </w:pPr>
      <w:r>
        <w:rPr>
          <w:rFonts w:ascii="Arial" w:cs="Arial" w:eastAsia="Arial" w:hAnsi="Arial"/>
          <w:sz w:val="17"/>
          <w:szCs w:val="17"/>
          <w:color w:val="auto"/>
        </w:rPr>
        <w:t>The Special Committee concluded that only one member of the Stock Option Committee was actively involved in the grant approval process. Of the 59 minutes of meetings of the Stock Option Committee, all of which were prepared by or under the direction of the former General Counsel of MSI, only the first set of minutes were separately prepared for each member’s signature and signed by each of them; subsequently the minutes were only prepared for one member to sign and only one member signed those minutes. Additionally, the Special Committee determined that the Stock Option Committee conducted no meetings with respect to option grants and that minutes reflecting such meetings were false.</w:t>
      </w:r>
    </w:p>
    <w:p>
      <w:pPr>
        <w:spacing w:after="0" w:line="173"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The Special Committee determined that in a substantial number of instances grant dates were chosen by management with the benefit of hindsight, so as to provide exercise prices lower than the fair market value on the actual measurement date.</w:t>
      </w:r>
    </w:p>
    <w:p>
      <w:pPr>
        <w:spacing w:after="0" w:line="170" w:lineRule="exact"/>
        <w:rPr>
          <w:sz w:val="20"/>
          <w:szCs w:val="20"/>
          <w:color w:val="auto"/>
        </w:rPr>
      </w:pPr>
    </w:p>
    <w:p>
      <w:pPr>
        <w:jc w:val="both"/>
        <w:ind w:right="360" w:firstLine="648"/>
        <w:spacing w:after="0" w:line="264" w:lineRule="auto"/>
        <w:rPr>
          <w:sz w:val="20"/>
          <w:szCs w:val="20"/>
          <w:color w:val="auto"/>
        </w:rPr>
      </w:pPr>
      <w:r>
        <w:rPr>
          <w:rFonts w:ascii="Arial" w:cs="Arial" w:eastAsia="Arial" w:hAnsi="Arial"/>
          <w:sz w:val="18"/>
          <w:szCs w:val="18"/>
          <w:color w:val="auto"/>
        </w:rPr>
        <w:t>In addition to the foregoing, the review determined that false employee-related paperwork was employed to reflect start dates that preceded the actual first day of employment, and to reflect secondary grant authorizations as if they occurred on dates prior to the original grant date, which facilitated giving the employees favorable prices.</w:t>
      </w:r>
    </w:p>
    <w:p>
      <w:pPr>
        <w:spacing w:after="0" w:line="181"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From the Company’s initial public offering in June 2000 through February 28, 2002, grants to its former Chief Financial Officer were awarded only by the Stock Option Committee. The Stock Option Committee was not advised that it lacked the authority to make such awards. Furthermore, the first award made to its former Chief Financial Officer by the Executive Compensation Committee dated October 16, 2002 was backdated and the Special Committee found that the former General Counsel misled the Executive Compensation Committee with respect to the facts and circumstances surrounding the grant, including the grant date.</w:t>
      </w:r>
    </w:p>
    <w:p>
      <w:pPr>
        <w:spacing w:after="0" w:line="188" w:lineRule="exact"/>
        <w:rPr>
          <w:sz w:val="20"/>
          <w:szCs w:val="20"/>
          <w:color w:val="auto"/>
        </w:rPr>
      </w:pPr>
    </w:p>
    <w:p>
      <w:pPr>
        <w:ind w:right="60" w:firstLine="648"/>
        <w:spacing w:after="0" w:line="273" w:lineRule="auto"/>
        <w:rPr>
          <w:sz w:val="20"/>
          <w:szCs w:val="20"/>
          <w:color w:val="auto"/>
        </w:rPr>
      </w:pPr>
      <w:r>
        <w:rPr>
          <w:rFonts w:ascii="Arial" w:cs="Arial" w:eastAsia="Arial" w:hAnsi="Arial"/>
          <w:sz w:val="17"/>
          <w:szCs w:val="17"/>
          <w:color w:val="auto"/>
        </w:rPr>
        <w:t>During the Relevant Period, option grants to Section 16 Officers and members of the Board of Directors were approved by the Board of Directors or the Executive Compensation Committee or made pursuant to the Automatic Director Grant Program under the 1997 Director’s Stock Option Plan. In the absence of a meeting, grant approvals by the Executive Compensation Committee were documented via written consents, which were dated “as of” a specified date but signed at a later time. The Executive Compensation Committee comprised three to four independent members of the Board over the Relevant Period. The Special Committee found that current board members who had served or are serving on the Executive Compensation Committee had not engaged in impropriety or intentional backdating with the benefit of hindsight.</w:t>
      </w:r>
    </w:p>
    <w:p>
      <w:pPr>
        <w:spacing w:after="0" w:line="178" w:lineRule="exact"/>
        <w:rPr>
          <w:sz w:val="20"/>
          <w:szCs w:val="20"/>
          <w:color w:val="auto"/>
        </w:rPr>
      </w:pPr>
    </w:p>
    <w:p>
      <w:pPr>
        <w:ind w:right="280" w:firstLine="648"/>
        <w:spacing w:after="0" w:line="286" w:lineRule="auto"/>
        <w:rPr>
          <w:sz w:val="20"/>
          <w:szCs w:val="20"/>
          <w:color w:val="auto"/>
        </w:rPr>
      </w:pPr>
      <w:r>
        <w:rPr>
          <w:rFonts w:ascii="Arial" w:cs="Arial" w:eastAsia="Arial" w:hAnsi="Arial"/>
          <w:sz w:val="17"/>
          <w:szCs w:val="17"/>
          <w:color w:val="auto"/>
        </w:rPr>
        <w:t>The Special Committee found evidence of recommendations made by representatives of Human Resources and Finance and our external auditors between 2000 and 2004 to grant options on fixed grant dates In August 2004, the Company implemented revisions to the Company’s stock option grant processes and procedures for new hire and secondary grants that generally followed a fixed grant date schedule.</w:t>
      </w:r>
    </w:p>
    <w:p>
      <w:pPr>
        <w:spacing w:after="0" w:line="166" w:lineRule="exact"/>
        <w:rPr>
          <w:sz w:val="20"/>
          <w:szCs w:val="20"/>
          <w:color w:val="auto"/>
        </w:rPr>
      </w:pPr>
    </w:p>
    <w:p>
      <w:pPr>
        <w:ind w:right="580" w:firstLine="648"/>
        <w:spacing w:after="0" w:line="286" w:lineRule="auto"/>
        <w:rPr>
          <w:sz w:val="20"/>
          <w:szCs w:val="20"/>
          <w:color w:val="auto"/>
        </w:rPr>
      </w:pPr>
      <w:r>
        <w:rPr>
          <w:rFonts w:ascii="Arial" w:cs="Arial" w:eastAsia="Arial" w:hAnsi="Arial"/>
          <w:sz w:val="17"/>
          <w:szCs w:val="17"/>
          <w:color w:val="auto"/>
        </w:rPr>
        <w:t>For the period from the Company’s initial public offering in June 2000 through June 2006, the Special Committee found a systemic failure in controls over the stock option process, and that corporate documents, including the Company’s SEC filings on Form 10-K and Form 10-Q and proxy statements, were false in relation to the accounting and related disclosure covering stock option matters.</w:t>
      </w:r>
    </w:p>
    <w:p>
      <w:pPr>
        <w:spacing w:after="0" w:line="166" w:lineRule="exact"/>
        <w:rPr>
          <w:sz w:val="20"/>
          <w:szCs w:val="20"/>
          <w:color w:val="auto"/>
        </w:rPr>
      </w:pPr>
    </w:p>
    <w:p>
      <w:pPr>
        <w:ind w:right="500" w:firstLine="648"/>
        <w:spacing w:after="0" w:line="277" w:lineRule="auto"/>
        <w:rPr>
          <w:sz w:val="20"/>
          <w:szCs w:val="20"/>
          <w:color w:val="auto"/>
        </w:rPr>
      </w:pPr>
      <w:r>
        <w:rPr>
          <w:rFonts w:ascii="Arial" w:cs="Arial" w:eastAsia="Arial" w:hAnsi="Arial"/>
          <w:sz w:val="18"/>
          <w:szCs w:val="18"/>
          <w:color w:val="auto"/>
        </w:rPr>
        <w:t>The Special Committee found that certain individuals had varying degrees of responsibility for the lack of controls and the inappropriate grant practices. As to the following individuals, the Special Committee concluded among other things:</w:t>
      </w:r>
    </w:p>
    <w:p>
      <w:pPr>
        <w:sectPr>
          <w:pgSz w:w="11900" w:h="16838" w:orient="portrait"/>
          <w:cols w:equalWidth="0" w:num="1">
            <w:col w:w="11400"/>
          </w:cols>
          <w:pgMar w:left="240" w:top="125" w:right="259" w:bottom="0" w:gutter="0" w:footer="0" w:header="0"/>
        </w:sectPr>
      </w:pPr>
    </w:p>
    <w:bookmarkStart w:id="5" w:name="page6"/>
    <w:bookmarkEnd w:id="5"/>
    <w:p>
      <w:pPr>
        <w:ind w:right="180" w:firstLine="648"/>
        <w:spacing w:after="0" w:line="255" w:lineRule="auto"/>
        <w:rPr>
          <w:sz w:val="20"/>
          <w:szCs w:val="20"/>
          <w:color w:val="auto"/>
        </w:rPr>
      </w:pPr>
      <w:r>
        <w:rPr>
          <w:rFonts w:ascii="Arial" w:cs="Arial" w:eastAsia="Arial" w:hAnsi="Arial"/>
          <w:sz w:val="18"/>
          <w:szCs w:val="18"/>
          <w:color w:val="auto"/>
        </w:rPr>
        <w:t>Matthew Gloss, MSI’s corporate counsel from April 2000 until February 2001 and thereafter its Vice President and subsequently, General Counsel until his termination in March 2007, failed to properly advise upper management, including Dr. Sutardja and Ms. Dai, about their responsibilities and duties regarding stock options and other financial filings. The minutes of the Stock Option Committee were prepared by or at the direction of Matthew Gloss. Mr. Gloss was also found to have misled the Executive Compensation Committee by creating false minutes and unanimous written consents, including in one instance adding or directing the addition of a grant date to a unanimous written consent after that unanimous written consent was executed, or by creating minutes that were incomplete, inaccurate or misleading. He also failed to establish proper controls over the stock option process despite being on notice of various control problems.</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80" w:firstLine="648"/>
        <w:spacing w:after="0" w:line="257" w:lineRule="auto"/>
        <w:rPr>
          <w:sz w:val="20"/>
          <w:szCs w:val="20"/>
          <w:color w:val="auto"/>
        </w:rPr>
      </w:pPr>
      <w:r>
        <w:rPr>
          <w:rFonts w:ascii="Arial" w:cs="Arial" w:eastAsia="Arial" w:hAnsi="Arial"/>
          <w:sz w:val="18"/>
          <w:szCs w:val="18"/>
          <w:color w:val="auto"/>
        </w:rPr>
        <w:t>George A. Hervey, the Company’s Vice President and Chief Financial Officer throughout the Relevant Period until his resignation in May 2007, failed to properly advise upper management, including Dr. Sutardja and Ms. Dai, about their responsibilities and duties regarding stock options and other financial filings. Mr. Hervey also was found to have been aware of awarding options to two employees prior to their start date. He also failed to establish a system of proper controls despite being on notice of repeated concerns raised by others regarding the stock option process. He signed inaccurate external documents, including the Company’s SEC filings and financial statements.</w:t>
      </w:r>
    </w:p>
    <w:p>
      <w:pPr>
        <w:spacing w:after="0" w:line="188" w:lineRule="exact"/>
        <w:rPr>
          <w:sz w:val="20"/>
          <w:szCs w:val="20"/>
          <w:color w:val="auto"/>
        </w:rPr>
      </w:pPr>
    </w:p>
    <w:p>
      <w:pPr>
        <w:ind w:right="40" w:firstLine="648"/>
        <w:spacing w:after="0" w:line="293" w:lineRule="auto"/>
        <w:rPr>
          <w:sz w:val="20"/>
          <w:szCs w:val="20"/>
          <w:color w:val="auto"/>
        </w:rPr>
      </w:pPr>
      <w:r>
        <w:rPr>
          <w:rFonts w:ascii="Arial" w:cs="Arial" w:eastAsia="Arial" w:hAnsi="Arial"/>
          <w:sz w:val="16"/>
          <w:szCs w:val="16"/>
          <w:color w:val="auto"/>
        </w:rPr>
        <w:t>Weili Dai, the Company’s former Board member, who served as Executive Vice President and General Manager of the Communications Business Group from 1999 to April 2006 and thereafter also as Chief Operating Officer until she resigned from such positions in May 2007, played a central role in all Stock Option Committee grants. Ms. Dai participated in the selection of grant dates with the benefit of hindsight and signed false minutes and other employee related corporate documents. The Special Committee also found that she failed to establish proper internal controls and failed to exercise proper review and inquiry as an officer. Certain individuals involved in the process said that they did not feel able to provide her with frank advice. She signed inaccurate external documents, including 10-K’s and proxy statements. She did not personally benefit from any of the grants she approved.</w:t>
      </w:r>
    </w:p>
    <w:p>
      <w:pPr>
        <w:spacing w:after="0" w:line="165" w:lineRule="exact"/>
        <w:rPr>
          <w:sz w:val="20"/>
          <w:szCs w:val="20"/>
          <w:color w:val="auto"/>
        </w:rPr>
      </w:pPr>
    </w:p>
    <w:p>
      <w:pPr>
        <w:ind w:right="120" w:firstLine="648"/>
        <w:spacing w:after="0" w:line="276" w:lineRule="auto"/>
        <w:rPr>
          <w:sz w:val="20"/>
          <w:szCs w:val="20"/>
          <w:color w:val="auto"/>
        </w:rPr>
      </w:pPr>
      <w:r>
        <w:rPr>
          <w:rFonts w:ascii="Arial" w:cs="Arial" w:eastAsia="Arial" w:hAnsi="Arial"/>
          <w:sz w:val="17"/>
          <w:szCs w:val="17"/>
          <w:color w:val="auto"/>
        </w:rPr>
        <w:t>Dr. Sehat Sutardja, the Company’s Chairman of the Board, President and Chief Executive Officer, was found to have had a limited role in the stock option process and to have participated in only a few instances in awards with incorrect measurement dates with respect to which he had received no or inadequate advice. He signed inaccurate external documents, including the Company’s SEC filings, financial statements, and proxy statements. The Special Committee found that he failed to establish proper internal controls and that certain individuals involved in the process to some extent did not feel able to provide him with frank advice. He did not personally benefit from any of the grants he approved.</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Remediation</w:t>
      </w:r>
    </w:p>
    <w:p>
      <w:pPr>
        <w:spacing w:after="0" w:line="225" w:lineRule="exact"/>
        <w:rPr>
          <w:sz w:val="20"/>
          <w:szCs w:val="20"/>
          <w:color w:val="auto"/>
        </w:rPr>
      </w:pPr>
    </w:p>
    <w:p>
      <w:pPr>
        <w:ind w:right="960" w:firstLine="648"/>
        <w:spacing w:after="0" w:line="277" w:lineRule="auto"/>
        <w:rPr>
          <w:sz w:val="20"/>
          <w:szCs w:val="20"/>
          <w:color w:val="auto"/>
        </w:rPr>
      </w:pPr>
      <w:r>
        <w:rPr>
          <w:rFonts w:ascii="Arial" w:cs="Arial" w:eastAsia="Arial" w:hAnsi="Arial"/>
          <w:sz w:val="18"/>
          <w:szCs w:val="18"/>
          <w:color w:val="auto"/>
        </w:rPr>
        <w:t>With respect to the following employees, the Special Committee made recommendations, and Marvell’s Implementation Committee has implemented or is in the process of implementing the following remedial steps: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6"/>
          <w:szCs w:val="16"/>
          <w:color w:val="auto"/>
        </w:rPr>
        <w:t>The Company accepted the resignation of George A. Hervey on May 2, 2007. All unvested stock options previously awarded to him were cancelled.</w:t>
      </w:r>
    </w:p>
    <w:p>
      <w:pPr>
        <w:spacing w:after="0" w:line="248" w:lineRule="exact"/>
        <w:rPr>
          <w:sz w:val="20"/>
          <w:szCs w:val="20"/>
          <w:color w:val="auto"/>
        </w:rPr>
      </w:pPr>
    </w:p>
    <w:p>
      <w:pPr>
        <w:ind w:right="180" w:firstLine="648"/>
        <w:spacing w:after="0" w:line="255" w:lineRule="auto"/>
        <w:rPr>
          <w:sz w:val="20"/>
          <w:szCs w:val="20"/>
          <w:color w:val="auto"/>
        </w:rPr>
      </w:pPr>
      <w:r>
        <w:rPr>
          <w:rFonts w:ascii="Arial" w:cs="Arial" w:eastAsia="Arial" w:hAnsi="Arial"/>
          <w:sz w:val="18"/>
          <w:szCs w:val="18"/>
          <w:color w:val="auto"/>
        </w:rPr>
        <w:t>The Implementation Committee of our Board of Directors determined, contrary to the recommendation of the Special Committee, that Ms. Dai has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the Board of Directors on Ms. Dai’s activities. Additionally, all of Ms. Dai’s outstanding options that were unvested as of May 6, 2007 have been cancelled and the exercisability of already vested options have been limited, notwithstanding her continued employment.</w:t>
      </w:r>
    </w:p>
    <w:p>
      <w:pPr>
        <w:spacing w:after="0" w:line="189"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Dr. Sehat Sutardja will remain as President and Chief Executive Officer and as a member of the Board, but will step down as Chairman of the Board in favor of a non-executive Chairman. Dr. Sutardja agreed to reduce the number of shares received in his December 26, 2003 option grant by 500,000 pre-split shares (2,000,000 post-split shares), which is the amount of underlying shares mistakenly awarded by the Executive Compensation Committee in excess of that authorized under the applicable stock option plan.</w:t>
      </w:r>
    </w:p>
    <w:p>
      <w:pPr>
        <w:spacing w:after="0" w:line="187" w:lineRule="exact"/>
        <w:rPr>
          <w:sz w:val="20"/>
          <w:szCs w:val="20"/>
          <w:color w:val="auto"/>
        </w:rPr>
      </w:pPr>
    </w:p>
    <w:p>
      <w:pPr>
        <w:ind w:firstLine="648"/>
        <w:spacing w:after="0" w:line="293" w:lineRule="auto"/>
        <w:rPr>
          <w:sz w:val="20"/>
          <w:szCs w:val="20"/>
          <w:color w:val="auto"/>
        </w:rPr>
      </w:pPr>
      <w:r>
        <w:rPr>
          <w:rFonts w:ascii="Arial" w:cs="Arial" w:eastAsia="Arial" w:hAnsi="Arial"/>
          <w:sz w:val="16"/>
          <w:szCs w:val="16"/>
          <w:color w:val="auto"/>
        </w:rPr>
        <w:t>In April 2007, the Stock Option Committee was formally dissolved; however, it ceased to function during June 2006 and has granted no options since that time. Currently, the Executive Compensation Committee, comprising two independent Board members, holds periodic meetings to approve equity award grants. The process requires that any proposed equity awards be reviewed in advance by the Human Resources, Legal, Finance and Internal Audit Departments, and requires communication of the details of proposed equity awards to committee members prior to each monthly meeting, as well as awarding recipients promptly after the meeting. Equity awards are priced and valued based upon the closing price of the Company’s common stock on the date of the meeting. Decisions of the committee meeting are documented by minutes. Additionally, the Executive Compensation Committee adopted a policy regarding</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the granting of equity-based compensation awards. Following the Special Committee’s recommendations, the Company is conducting a search for a new Chief Operating Officer, Chief Financial Officer, General Counsel and Vice President of Compliance. Additionally, the Board’s Governance Committee is conducting a search for three new independent directors to fill existing vacancies. One of these independent directors will succeed Dr. Sutardja as Chairman of the Board.</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Pre-tax Financial Impact of the Equity Award Review</w:t>
      </w:r>
    </w:p>
    <w:p>
      <w:pPr>
        <w:spacing w:after="0" w:line="225"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Approximately 74% of shares granted during the Relevant Period were backdated or resulted in additional accounting charges. Of these re-measured grants, the stock prices on the original grant date were lower than the prices on the appropriate measurement dates for 97% of such shares. Substantially all options granted (99% of shares granted during the Relevant Period) have been evaluated for appropriate re-measurement dates under Accounting Principles Board Opinion No. 25 “Accounting for Stock Issued to Employees” (“APB25”).</w:t>
      </w:r>
    </w:p>
    <w:p>
      <w:pPr>
        <w:sectPr>
          <w:pgSz w:w="11900" w:h="16838" w:orient="portrait"/>
          <w:cols w:equalWidth="0" w:num="1">
            <w:col w:w="11420"/>
          </w:cols>
          <w:pgMar w:left="240" w:top="125" w:right="239" w:bottom="0" w:gutter="0" w:footer="0" w:header="0"/>
        </w:sectPr>
      </w:pPr>
    </w:p>
    <w:bookmarkStart w:id="6" w:name="page7"/>
    <w:bookmarkEnd w:id="6"/>
    <w:p>
      <w:pPr>
        <w:ind w:right="460" w:firstLine="648"/>
        <w:spacing w:after="0" w:line="264" w:lineRule="auto"/>
        <w:rPr>
          <w:sz w:val="20"/>
          <w:szCs w:val="20"/>
          <w:color w:val="auto"/>
        </w:rPr>
      </w:pPr>
      <w:r>
        <w:rPr>
          <w:rFonts w:ascii="Arial" w:cs="Arial" w:eastAsia="Arial" w:hAnsi="Arial"/>
          <w:sz w:val="18"/>
          <w:szCs w:val="18"/>
          <w:color w:val="auto"/>
        </w:rPr>
        <w:t>The types of grant discrepancies uncovered by the internal review (by both the Special Committee and management) and the additional pre-tax stock-compensation expense arising from these adjustments, quantified under APB 25 for periods through fiscal 2006, are summarized as follows (in thousands):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60" w:type="dxa"/>
            <w:vAlign w:val="bottom"/>
          </w:tcPr>
          <w:p>
            <w:pPr>
              <w:spacing w:after="0"/>
              <w:rPr>
                <w:sz w:val="14"/>
                <w:szCs w:val="14"/>
                <w:color w:val="auto"/>
              </w:rPr>
            </w:pPr>
          </w:p>
        </w:tc>
        <w:tc>
          <w:tcPr>
            <w:tcW w:w="9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5"/>
              </w:rPr>
              <w:t>Cumulative</w:t>
            </w:r>
          </w:p>
        </w:tc>
        <w:tc>
          <w:tcPr>
            <w:tcW w:w="8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180" w:type="dxa"/>
            <w:vAlign w:val="bottom"/>
          </w:tcPr>
          <w:p>
            <w:pPr>
              <w:spacing w:after="0"/>
              <w:rPr>
                <w:sz w:val="14"/>
                <w:szCs w:val="14"/>
                <w:color w:val="auto"/>
              </w:rPr>
            </w:pPr>
          </w:p>
        </w:tc>
        <w:tc>
          <w:tcPr>
            <w:tcW w:w="98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3"/>
              </w:rPr>
              <w:t>Year Ended</w:t>
            </w:r>
          </w:p>
        </w:tc>
        <w:tc>
          <w:tcPr>
            <w:tcW w:w="8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4"/>
                <w:szCs w:val="14"/>
                <w:color w:val="auto"/>
              </w:rPr>
            </w:pPr>
          </w:p>
        </w:tc>
        <w:tc>
          <w:tcPr>
            <w:tcW w:w="92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14"/>
                <w:szCs w:val="14"/>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4"/>
                <w:szCs w:val="14"/>
                <w:color w:val="auto"/>
              </w:rPr>
            </w:pPr>
          </w:p>
        </w:tc>
        <w:tc>
          <w:tcPr>
            <w:tcW w:w="88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2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4"/>
              </w:rPr>
              <w:t>through</w:t>
            </w:r>
          </w:p>
        </w:tc>
        <w:tc>
          <w:tcPr>
            <w:tcW w:w="80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880" w:type="dxa"/>
            <w:vAlign w:val="bottom"/>
            <w:gridSpan w:val="3"/>
          </w:tcPr>
          <w:p>
            <w:pPr>
              <w:jc w:val="center"/>
              <w:ind w:right="80"/>
              <w:spacing w:after="0" w:line="135" w:lineRule="exact"/>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35"/>
        </w:trPr>
        <w:tc>
          <w:tcPr>
            <w:tcW w:w="2260" w:type="dxa"/>
            <w:vAlign w:val="bottom"/>
          </w:tcPr>
          <w:p>
            <w:pPr>
              <w:spacing w:after="0"/>
              <w:rPr>
                <w:sz w:val="11"/>
                <w:szCs w:val="11"/>
                <w:color w:val="auto"/>
              </w:rPr>
            </w:pP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5"/>
              </w:rPr>
              <w:t>January 28,</w:t>
            </w:r>
          </w:p>
        </w:tc>
        <w:tc>
          <w:tcPr>
            <w:tcW w:w="80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5"/>
              </w:rPr>
              <w:t>January 28,</w:t>
            </w:r>
          </w:p>
        </w:tc>
        <w:tc>
          <w:tcPr>
            <w:tcW w:w="180" w:type="dxa"/>
            <w:vAlign w:val="bottom"/>
          </w:tcPr>
          <w:p>
            <w:pPr>
              <w:spacing w:after="0"/>
              <w:rPr>
                <w:sz w:val="11"/>
                <w:szCs w:val="11"/>
                <w:color w:val="auto"/>
              </w:rPr>
            </w:pPr>
          </w:p>
        </w:tc>
        <w:tc>
          <w:tcPr>
            <w:tcW w:w="980" w:type="dxa"/>
            <w:vAlign w:val="bottom"/>
            <w:gridSpan w:val="3"/>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January 29,</w:t>
            </w:r>
          </w:p>
        </w:tc>
        <w:tc>
          <w:tcPr>
            <w:tcW w:w="80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January 31,</w:t>
            </w:r>
          </w:p>
        </w:tc>
        <w:tc>
          <w:tcPr>
            <w:tcW w:w="200" w:type="dxa"/>
            <w:vAlign w:val="bottom"/>
          </w:tcPr>
          <w:p>
            <w:pPr>
              <w:spacing w:after="0"/>
              <w:rPr>
                <w:sz w:val="11"/>
                <w:szCs w:val="11"/>
                <w:color w:val="auto"/>
              </w:rPr>
            </w:pPr>
          </w:p>
        </w:tc>
        <w:tc>
          <w:tcPr>
            <w:tcW w:w="92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7"/>
              </w:rPr>
              <w:t>February 1,</w:t>
            </w:r>
          </w:p>
        </w:tc>
        <w:tc>
          <w:tcPr>
            <w:tcW w:w="80" w:type="dxa"/>
            <w:vAlign w:val="bottom"/>
          </w:tcPr>
          <w:p>
            <w:pPr>
              <w:spacing w:after="0"/>
              <w:rPr>
                <w:sz w:val="11"/>
                <w:szCs w:val="11"/>
                <w:color w:val="auto"/>
              </w:rPr>
            </w:pPr>
          </w:p>
        </w:tc>
        <w:tc>
          <w:tcPr>
            <w:tcW w:w="80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7"/>
              </w:rPr>
              <w:t>February 2,</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gridSpan w:val="2"/>
          </w:tcPr>
          <w:p>
            <w:pPr>
              <w:jc w:val="center"/>
              <w:ind w:right="180"/>
              <w:spacing w:after="0" w:line="135" w:lineRule="exact"/>
              <w:rPr>
                <w:sz w:val="20"/>
                <w:szCs w:val="20"/>
                <w:color w:val="auto"/>
              </w:rPr>
            </w:pPr>
            <w:r>
              <w:rPr>
                <w:rFonts w:ascii="Arial" w:cs="Arial" w:eastAsia="Arial" w:hAnsi="Arial"/>
                <w:sz w:val="14"/>
                <w:szCs w:val="14"/>
                <w:b w:val="1"/>
                <w:bCs w:val="1"/>
                <w:color w:val="auto"/>
                <w:w w:val="93"/>
              </w:rPr>
              <w:t>2001 and</w:t>
            </w:r>
          </w:p>
        </w:tc>
        <w:tc>
          <w:tcPr>
            <w:tcW w:w="0" w:type="dxa"/>
            <w:vAlign w:val="bottom"/>
          </w:tcPr>
          <w:p>
            <w:pPr>
              <w:spacing w:after="0"/>
              <w:rPr>
                <w:sz w:val="1"/>
                <w:szCs w:val="1"/>
                <w:color w:val="auto"/>
              </w:rPr>
            </w:pPr>
          </w:p>
        </w:tc>
      </w:tr>
      <w:tr>
        <w:trPr>
          <w:trHeight w:val="162"/>
        </w:trPr>
        <w:tc>
          <w:tcPr>
            <w:tcW w:w="2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jc w:val="center"/>
              <w:ind w:right="33"/>
              <w:spacing w:after="0"/>
              <w:rPr>
                <w:sz w:val="20"/>
                <w:szCs w:val="20"/>
                <w:color w:val="auto"/>
              </w:rPr>
            </w:pPr>
            <w:r>
              <w:rPr>
                <w:rFonts w:ascii="Arial" w:cs="Arial" w:eastAsia="Arial" w:hAnsi="Arial"/>
                <w:sz w:val="14"/>
                <w:szCs w:val="14"/>
                <w:b w:val="1"/>
                <w:bCs w:val="1"/>
                <w:color w:val="auto"/>
                <w:w w:val="96"/>
              </w:rPr>
              <w:t>2006</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jc w:val="center"/>
              <w:ind w:right="91"/>
              <w:spacing w:after="0"/>
              <w:rPr>
                <w:sz w:val="20"/>
                <w:szCs w:val="20"/>
                <w:color w:val="auto"/>
              </w:rPr>
            </w:pPr>
            <w:r>
              <w:rPr>
                <w:rFonts w:ascii="Arial" w:cs="Arial" w:eastAsia="Arial" w:hAnsi="Arial"/>
                <w:sz w:val="14"/>
                <w:szCs w:val="14"/>
                <w:b w:val="1"/>
                <w:bCs w:val="1"/>
                <w:color w:val="auto"/>
                <w:w w:val="96"/>
              </w:rPr>
              <w:t>2006</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center"/>
              <w:ind w:right="111"/>
              <w:spacing w:after="0"/>
              <w:rPr>
                <w:sz w:val="20"/>
                <w:szCs w:val="20"/>
                <w:color w:val="auto"/>
              </w:rPr>
            </w:pPr>
            <w:r>
              <w:rPr>
                <w:rFonts w:ascii="Arial" w:cs="Arial" w:eastAsia="Arial" w:hAnsi="Arial"/>
                <w:sz w:val="14"/>
                <w:szCs w:val="14"/>
                <w:b w:val="1"/>
                <w:bCs w:val="1"/>
                <w:color w:val="auto"/>
                <w:w w:val="96"/>
              </w:rPr>
              <w:t>2005</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center"/>
              <w:ind w:right="91"/>
              <w:spacing w:after="0"/>
              <w:rPr>
                <w:sz w:val="20"/>
                <w:szCs w:val="20"/>
                <w:color w:val="auto"/>
              </w:rPr>
            </w:pPr>
            <w:r>
              <w:rPr>
                <w:rFonts w:ascii="Arial" w:cs="Arial" w:eastAsia="Arial" w:hAnsi="Arial"/>
                <w:sz w:val="14"/>
                <w:szCs w:val="14"/>
                <w:b w:val="1"/>
                <w:bCs w:val="1"/>
                <w:color w:val="auto"/>
                <w:w w:val="89"/>
              </w:rPr>
              <w:t>2004</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jc w:val="center"/>
              <w:ind w:right="91"/>
              <w:spacing w:after="0"/>
              <w:rPr>
                <w:sz w:val="20"/>
                <w:szCs w:val="20"/>
                <w:color w:val="auto"/>
              </w:rPr>
            </w:pPr>
            <w:r>
              <w:rPr>
                <w:rFonts w:ascii="Arial" w:cs="Arial" w:eastAsia="Arial" w:hAnsi="Arial"/>
                <w:sz w:val="14"/>
                <w:szCs w:val="14"/>
                <w:b w:val="1"/>
                <w:bCs w:val="1"/>
                <w:color w:val="auto"/>
                <w:w w:val="96"/>
              </w:rPr>
              <w:t>2003</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jc w:val="center"/>
              <w:ind w:right="91"/>
              <w:spacing w:after="0"/>
              <w:rPr>
                <w:sz w:val="20"/>
                <w:szCs w:val="20"/>
                <w:color w:val="auto"/>
              </w:rPr>
            </w:pPr>
            <w:r>
              <w:rPr>
                <w:rFonts w:ascii="Arial" w:cs="Arial" w:eastAsia="Arial" w:hAnsi="Arial"/>
                <w:sz w:val="14"/>
                <w:szCs w:val="14"/>
                <w:b w:val="1"/>
                <w:bCs w:val="1"/>
                <w:color w:val="auto"/>
                <w:w w:val="96"/>
              </w:rPr>
              <w:t>2002</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rPr>
              <w:t>prior</w:t>
            </w:r>
          </w:p>
        </w:tc>
        <w:tc>
          <w:tcPr>
            <w:tcW w:w="0" w:type="dxa"/>
            <w:vAlign w:val="bottom"/>
          </w:tcPr>
          <w:p>
            <w:pPr>
              <w:spacing w:after="0"/>
              <w:rPr>
                <w:sz w:val="1"/>
                <w:szCs w:val="1"/>
                <w:color w:val="auto"/>
              </w:rPr>
            </w:pPr>
          </w:p>
        </w:tc>
      </w:tr>
      <w:tr>
        <w:trPr>
          <w:trHeight w:val="210"/>
        </w:trPr>
        <w:tc>
          <w:tcPr>
            <w:tcW w:w="22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Board of Director Grants (a)</w:t>
            </w: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80" w:type="dxa"/>
            <w:vAlign w:val="bottom"/>
            <w:gridSpan w:val="2"/>
          </w:tcPr>
          <w:p>
            <w:pPr>
              <w:spacing w:after="0"/>
              <w:rPr>
                <w:sz w:val="20"/>
                <w:szCs w:val="20"/>
                <w:color w:val="auto"/>
              </w:rPr>
            </w:pPr>
            <w:r>
              <w:rPr>
                <w:rFonts w:ascii="Arial" w:cs="Arial" w:eastAsia="Arial" w:hAnsi="Arial"/>
                <w:sz w:val="18"/>
                <w:szCs w:val="18"/>
                <w:color w:val="auto"/>
              </w:rPr>
              <w:t>Officer Grants (b)</w:t>
            </w:r>
          </w:p>
        </w:tc>
        <w:tc>
          <w:tcPr>
            <w:tcW w:w="660" w:type="dxa"/>
            <w:vAlign w:val="bottom"/>
          </w:tcPr>
          <w:p>
            <w:pPr>
              <w:jc w:val="right"/>
              <w:spacing w:after="0"/>
              <w:rPr>
                <w:sz w:val="20"/>
                <w:szCs w:val="20"/>
                <w:color w:val="auto"/>
              </w:rPr>
            </w:pPr>
            <w:r>
              <w:rPr>
                <w:rFonts w:ascii="Arial" w:cs="Arial" w:eastAsia="Arial" w:hAnsi="Arial"/>
                <w:sz w:val="18"/>
                <w:szCs w:val="18"/>
                <w:color w:val="auto"/>
              </w:rPr>
              <w:t>19,577</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6,317</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12,023</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836</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270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127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Re-priced Officer Grants (c)</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39,658</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24,827</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9,888</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4,943</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380" w:type="dxa"/>
            <w:vAlign w:val="bottom"/>
            <w:gridSpan w:val="2"/>
          </w:tcPr>
          <w:p>
            <w:pPr>
              <w:spacing w:after="0" w:line="201" w:lineRule="exact"/>
              <w:rPr>
                <w:sz w:val="20"/>
                <w:szCs w:val="20"/>
                <w:color w:val="auto"/>
              </w:rPr>
            </w:pPr>
            <w:r>
              <w:rPr>
                <w:rFonts w:ascii="Arial" w:cs="Arial" w:eastAsia="Arial" w:hAnsi="Arial"/>
                <w:sz w:val="18"/>
                <w:szCs w:val="18"/>
                <w:color w:val="auto"/>
              </w:rPr>
              <w:t>New Hire Grants – effective</w:t>
            </w:r>
          </w:p>
        </w:tc>
        <w:tc>
          <w:tcPr>
            <w:tcW w:w="6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380" w:type="dxa"/>
            <w:vAlign w:val="bottom"/>
            <w:gridSpan w:val="2"/>
          </w:tcPr>
          <w:p>
            <w:pPr>
              <w:ind w:left="180"/>
              <w:spacing w:after="0"/>
              <w:rPr>
                <w:sz w:val="20"/>
                <w:szCs w:val="20"/>
                <w:color w:val="auto"/>
              </w:rPr>
            </w:pPr>
            <w:r>
              <w:rPr>
                <w:rFonts w:ascii="Arial" w:cs="Arial" w:eastAsia="Arial" w:hAnsi="Arial"/>
                <w:sz w:val="18"/>
                <w:szCs w:val="18"/>
                <w:color w:val="auto"/>
              </w:rPr>
              <w:t>hire dates (d)</w:t>
            </w:r>
          </w:p>
        </w:tc>
        <w:tc>
          <w:tcPr>
            <w:tcW w:w="660" w:type="dxa"/>
            <w:vAlign w:val="bottom"/>
          </w:tcPr>
          <w:p>
            <w:pPr>
              <w:jc w:val="right"/>
              <w:spacing w:after="0"/>
              <w:rPr>
                <w:sz w:val="20"/>
                <w:szCs w:val="20"/>
                <w:color w:val="auto"/>
              </w:rPr>
            </w:pPr>
            <w:r>
              <w:rPr>
                <w:rFonts w:ascii="Arial" w:cs="Arial" w:eastAsia="Arial" w:hAnsi="Arial"/>
                <w:sz w:val="18"/>
                <w:szCs w:val="18"/>
                <w:color w:val="auto"/>
              </w:rPr>
              <w:t>19,879</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249</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1,530</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2,729</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4,754</w:t>
            </w: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7,278</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3,339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New Hire (e)</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49,876</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5,313</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13,235</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13,437</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10,322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80" w:type="dxa"/>
            <w:vAlign w:val="bottom"/>
            <w:gridSpan w:val="2"/>
          </w:tcPr>
          <w:p>
            <w:pPr>
              <w:spacing w:after="0"/>
              <w:rPr>
                <w:sz w:val="20"/>
                <w:szCs w:val="20"/>
                <w:color w:val="auto"/>
              </w:rPr>
            </w:pPr>
            <w:r>
              <w:rPr>
                <w:rFonts w:ascii="Arial" w:cs="Arial" w:eastAsia="Arial" w:hAnsi="Arial"/>
                <w:sz w:val="18"/>
                <w:szCs w:val="18"/>
                <w:color w:val="auto"/>
              </w:rPr>
              <w:t>Secondary Grants (e)</w:t>
            </w:r>
          </w:p>
        </w:tc>
        <w:tc>
          <w:tcPr>
            <w:tcW w:w="660" w:type="dxa"/>
            <w:vAlign w:val="bottom"/>
          </w:tcPr>
          <w:p>
            <w:pPr>
              <w:jc w:val="right"/>
              <w:spacing w:after="0"/>
              <w:rPr>
                <w:sz w:val="20"/>
                <w:szCs w:val="20"/>
                <w:color w:val="auto"/>
              </w:rPr>
            </w:pPr>
            <w:r>
              <w:rPr>
                <w:rFonts w:ascii="Arial" w:cs="Arial" w:eastAsia="Arial" w:hAnsi="Arial"/>
                <w:sz w:val="18"/>
                <w:szCs w:val="18"/>
                <w:color w:val="auto"/>
              </w:rPr>
              <w:t>18,165</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2,360</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3,713</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3,016</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4,432</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3,975</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669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38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Re-priced New Hire</w:t>
            </w:r>
          </w:p>
        </w:tc>
        <w:tc>
          <w:tcPr>
            <w:tcW w:w="6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3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Grants (f)</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100,575</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49,798</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23,727</w:t>
            </w: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25,254</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(1,885)</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3,681</w:t>
            </w:r>
          </w:p>
        </w:tc>
        <w:tc>
          <w:tcPr>
            <w:tcW w:w="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380" w:type="dxa"/>
            <w:vAlign w:val="bottom"/>
            <w:gridSpan w:val="2"/>
          </w:tcPr>
          <w:p>
            <w:pPr>
              <w:spacing w:after="0"/>
              <w:rPr>
                <w:sz w:val="20"/>
                <w:szCs w:val="20"/>
                <w:color w:val="auto"/>
              </w:rPr>
            </w:pPr>
            <w:r>
              <w:rPr>
                <w:rFonts w:ascii="Arial" w:cs="Arial" w:eastAsia="Arial" w:hAnsi="Arial"/>
                <w:sz w:val="18"/>
                <w:szCs w:val="18"/>
                <w:color w:val="auto"/>
              </w:rPr>
              <w:t>Evergreen Grants (g)</w:t>
            </w:r>
          </w:p>
        </w:tc>
        <w:tc>
          <w:tcPr>
            <w:tcW w:w="660" w:type="dxa"/>
            <w:vAlign w:val="bottom"/>
          </w:tcPr>
          <w:p>
            <w:pPr>
              <w:jc w:val="right"/>
              <w:spacing w:after="0"/>
              <w:rPr>
                <w:sz w:val="20"/>
                <w:szCs w:val="20"/>
                <w:color w:val="auto"/>
              </w:rPr>
            </w:pPr>
            <w:r>
              <w:rPr>
                <w:rFonts w:ascii="Arial" w:cs="Arial" w:eastAsia="Arial" w:hAnsi="Arial"/>
                <w:sz w:val="18"/>
                <w:szCs w:val="18"/>
                <w:color w:val="auto"/>
              </w:rPr>
              <w:t>60,838</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9,870</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11,082</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12,634</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17,911</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9,312</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Non-employee Grants * (h)</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1,166</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(264)</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1,884</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380" w:type="dxa"/>
            <w:vAlign w:val="bottom"/>
            <w:gridSpan w:val="2"/>
          </w:tcPr>
          <w:p>
            <w:pPr>
              <w:spacing w:after="0" w:line="201" w:lineRule="exact"/>
              <w:rPr>
                <w:sz w:val="20"/>
                <w:szCs w:val="20"/>
                <w:color w:val="auto"/>
              </w:rPr>
            </w:pPr>
            <w:r>
              <w:rPr>
                <w:rFonts w:ascii="Arial" w:cs="Arial" w:eastAsia="Arial" w:hAnsi="Arial"/>
                <w:sz w:val="18"/>
                <w:szCs w:val="18"/>
                <w:color w:val="auto"/>
              </w:rPr>
              <w:t>Termination related</w:t>
            </w:r>
          </w:p>
        </w:tc>
        <w:tc>
          <w:tcPr>
            <w:tcW w:w="6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380" w:type="dxa"/>
            <w:vAlign w:val="bottom"/>
            <w:gridSpan w:val="2"/>
          </w:tcPr>
          <w:p>
            <w:pPr>
              <w:ind w:left="180"/>
              <w:spacing w:after="0"/>
              <w:rPr>
                <w:sz w:val="20"/>
                <w:szCs w:val="20"/>
                <w:color w:val="auto"/>
              </w:rPr>
            </w:pPr>
            <w:r>
              <w:rPr>
                <w:rFonts w:ascii="Arial" w:cs="Arial" w:eastAsia="Arial" w:hAnsi="Arial"/>
                <w:sz w:val="18"/>
                <w:szCs w:val="18"/>
                <w:color w:val="auto"/>
              </w:rPr>
              <w:t>charges (i)</w:t>
            </w:r>
          </w:p>
        </w:tc>
        <w:tc>
          <w:tcPr>
            <w:tcW w:w="660" w:type="dxa"/>
            <w:vAlign w:val="bottom"/>
          </w:tcPr>
          <w:p>
            <w:pPr>
              <w:jc w:val="right"/>
              <w:spacing w:after="0"/>
              <w:rPr>
                <w:sz w:val="20"/>
                <w:szCs w:val="20"/>
                <w:color w:val="auto"/>
              </w:rPr>
            </w:pPr>
            <w:r>
              <w:rPr>
                <w:rFonts w:ascii="Arial" w:cs="Arial" w:eastAsia="Arial" w:hAnsi="Arial"/>
                <w:sz w:val="18"/>
                <w:szCs w:val="18"/>
                <w:color w:val="auto"/>
              </w:rPr>
              <w:t>10,006</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10,006</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2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327,375</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98,856</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75,684</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64,015</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35,540</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33,318</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19,962</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2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100" w:right="160" w:hanging="89"/>
        <w:spacing w:after="0" w:line="277" w:lineRule="auto"/>
        <w:rPr>
          <w:sz w:val="20"/>
          <w:szCs w:val="20"/>
          <w:color w:val="auto"/>
        </w:rPr>
      </w:pPr>
      <w:r>
        <w:rPr>
          <w:rFonts w:ascii="Arial" w:cs="Arial" w:eastAsia="Arial" w:hAnsi="Arial"/>
          <w:sz w:val="18"/>
          <w:szCs w:val="18"/>
          <w:color w:val="auto"/>
        </w:rPr>
        <w:t>*The restated financial statements include charges for non-employee grants of $1,062,000 for fiscal 2000, $139,000 for fiscal 1999, $41,000 for fiscal 1998, $12,000 for fiscal 1997 and $1,000 for fiscal 1996.</w:t>
      </w:r>
    </w:p>
    <w:p>
      <w:pPr>
        <w:spacing w:after="0" w:line="170" w:lineRule="exact"/>
        <w:rPr>
          <w:sz w:val="20"/>
          <w:szCs w:val="20"/>
          <w:color w:val="auto"/>
        </w:rPr>
      </w:pPr>
    </w:p>
    <w:p>
      <w:pPr>
        <w:ind w:left="340" w:right="60" w:hanging="332"/>
        <w:spacing w:after="0" w:line="259" w:lineRule="auto"/>
        <w:tabs>
          <w:tab w:leader="none" w:pos="32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Board of Director Grants: </w:t>
      </w:r>
      <w:r>
        <w:rPr>
          <w:rFonts w:ascii="Arial" w:cs="Arial" w:eastAsia="Arial" w:hAnsi="Arial"/>
          <w:sz w:val="18"/>
          <w:szCs w:val="18"/>
          <w:color w:val="auto"/>
        </w:rPr>
        <w:t>Non-employee directors receive initial and annual grants in their capacity as directors. A grant of 24,000 shares to a non-employee director, issued on an annual general meeting date in accordance with the terms of his appointment letter, was outside the 1997 Directors’ Stock Option Plan and therefore required approval from the Board. The Board approval was obtained at a later date. For accounting purposes, the grant was re-measured based on the Company’s stock price at the date of the Board’s ratification.</w:t>
      </w:r>
    </w:p>
    <w:p>
      <w:pPr>
        <w:spacing w:after="0" w:line="186" w:lineRule="exact"/>
        <w:rPr>
          <w:rFonts w:ascii="Arial" w:cs="Arial" w:eastAsia="Arial" w:hAnsi="Arial"/>
          <w:sz w:val="18"/>
          <w:szCs w:val="18"/>
          <w:i w:val="1"/>
          <w:iCs w:val="1"/>
          <w:color w:val="auto"/>
        </w:rPr>
      </w:pPr>
    </w:p>
    <w:p>
      <w:pPr>
        <w:ind w:left="340"/>
        <w:spacing w:after="0"/>
        <w:rPr>
          <w:rFonts w:ascii="Arial" w:cs="Arial" w:eastAsia="Arial" w:hAnsi="Arial"/>
          <w:sz w:val="18"/>
          <w:szCs w:val="18"/>
          <w:i w:val="1"/>
          <w:iCs w:val="1"/>
          <w:color w:val="auto"/>
        </w:rPr>
      </w:pPr>
      <w:r>
        <w:rPr>
          <w:rFonts w:ascii="Arial" w:cs="Arial" w:eastAsia="Arial" w:hAnsi="Arial"/>
          <w:sz w:val="18"/>
          <w:szCs w:val="18"/>
          <w:color w:val="auto"/>
        </w:rPr>
        <w:t>In December 2006, the terms of this option were reformed to reflect the revised stock option exercise price.</w:t>
      </w:r>
    </w:p>
    <w:p>
      <w:pPr>
        <w:spacing w:after="0" w:line="225" w:lineRule="exact"/>
        <w:rPr>
          <w:rFonts w:ascii="Arial" w:cs="Arial" w:eastAsia="Arial" w:hAnsi="Arial"/>
          <w:sz w:val="18"/>
          <w:szCs w:val="18"/>
          <w:i w:val="1"/>
          <w:iCs w:val="1"/>
          <w:color w:val="auto"/>
        </w:rPr>
      </w:pPr>
    </w:p>
    <w:p>
      <w:pPr>
        <w:ind w:left="340" w:right="100" w:hanging="332"/>
        <w:spacing w:after="0" w:line="342" w:lineRule="auto"/>
        <w:tabs>
          <w:tab w:leader="none" w:pos="320" w:val="left"/>
        </w:tabs>
        <w:numPr>
          <w:ilvl w:val="0"/>
          <w:numId w:val="3"/>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Officer Grants: </w:t>
      </w:r>
      <w:r>
        <w:rPr>
          <w:rFonts w:ascii="Arial" w:cs="Arial" w:eastAsia="Arial" w:hAnsi="Arial"/>
          <w:sz w:val="16"/>
          <w:szCs w:val="16"/>
          <w:color w:val="auto"/>
        </w:rPr>
        <w:t>During the Relevant Period, the Company granted options on 13 different dates (including the Re-Priced Officer Grants) to the then-Section 16 Officers — Dr. Sehat Sutardja, Weili Dai, Dr. Pantas Sutardja and George Hervey. The Company recorded additional compensation costs for</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left="340" w:right="60"/>
        <w:spacing w:after="0" w:line="288" w:lineRule="auto"/>
        <w:rPr>
          <w:sz w:val="20"/>
          <w:szCs w:val="20"/>
          <w:color w:val="auto"/>
        </w:rPr>
      </w:pPr>
      <w:r>
        <w:rPr>
          <w:rFonts w:ascii="Arial" w:cs="Arial" w:eastAsia="Arial" w:hAnsi="Arial"/>
          <w:sz w:val="16"/>
          <w:szCs w:val="16"/>
          <w:color w:val="auto"/>
        </w:rPr>
        <w:t>one grant on December 26, 2003 (which represented 75% of options granted) for three of the officers who were also founders of the Company (“Founder Officers”) and six grants (which represented 96% of options granted) for George Hervey. For accounting purposes, the grant of 12,640,000 shares to the Founder Officers was re-measured based on the stock price at the date the Executive Compensation Committee meeting occurred to approve the grants.</w:t>
      </w:r>
    </w:p>
    <w:p>
      <w:pPr>
        <w:ind w:left="340" w:right="180"/>
        <w:spacing w:after="0" w:line="261" w:lineRule="auto"/>
        <w:rPr>
          <w:sz w:val="20"/>
          <w:szCs w:val="20"/>
          <w:color w:val="auto"/>
        </w:rPr>
      </w:pPr>
      <w:r>
        <w:rPr>
          <w:rFonts w:ascii="Arial" w:cs="Arial" w:eastAsia="Arial" w:hAnsi="Arial"/>
          <w:sz w:val="18"/>
          <w:szCs w:val="18"/>
          <w:color w:val="auto"/>
        </w:rPr>
        <w:t>Grants to George Hervey totaling 1,279,892 shares of options originally priced at the “as of” dates of the written consents have been re-measured to the last documented date of approval received from members of the Executive Compensation Committee.</w:t>
      </w:r>
    </w:p>
    <w:p>
      <w:pPr>
        <w:spacing w:after="0" w:line="184" w:lineRule="exact"/>
        <w:rPr>
          <w:sz w:val="20"/>
          <w:szCs w:val="20"/>
          <w:color w:val="auto"/>
        </w:rPr>
      </w:pPr>
    </w:p>
    <w:p>
      <w:pPr>
        <w:ind w:left="340" w:right="40"/>
        <w:spacing w:after="0" w:line="259" w:lineRule="auto"/>
        <w:rPr>
          <w:sz w:val="20"/>
          <w:szCs w:val="20"/>
          <w:color w:val="auto"/>
        </w:rPr>
      </w:pPr>
      <w:r>
        <w:rPr>
          <w:rFonts w:ascii="Arial" w:cs="Arial" w:eastAsia="Arial" w:hAnsi="Arial"/>
          <w:sz w:val="18"/>
          <w:szCs w:val="18"/>
          <w:color w:val="auto"/>
        </w:rPr>
        <w:t>In December 2006, the terms of the options deemed to have been issued at a discount were reformed to reflect the revised stock option exercise prices for all affected Section 16 Officer grants. Of these 5.4 million reformed options, the Company received from the Officers the incremental exercise prices for the portion of these options which had previously been exercised totaling $9.6 million. The reformation of these options did not result in incremental compensation cost in the fourth quarter of fiscal 2007.</w:t>
      </w:r>
    </w:p>
    <w:p>
      <w:pPr>
        <w:spacing w:after="0" w:line="187" w:lineRule="exact"/>
        <w:rPr>
          <w:sz w:val="20"/>
          <w:szCs w:val="20"/>
          <w:color w:val="auto"/>
        </w:rPr>
      </w:pPr>
    </w:p>
    <w:p>
      <w:pPr>
        <w:ind w:left="340" w:right="240"/>
        <w:spacing w:after="0" w:line="277" w:lineRule="auto"/>
        <w:rPr>
          <w:sz w:val="20"/>
          <w:szCs w:val="20"/>
          <w:color w:val="auto"/>
        </w:rPr>
      </w:pPr>
      <w:r>
        <w:rPr>
          <w:rFonts w:ascii="Arial" w:cs="Arial" w:eastAsia="Arial" w:hAnsi="Arial"/>
          <w:sz w:val="18"/>
          <w:szCs w:val="18"/>
          <w:color w:val="auto"/>
        </w:rPr>
        <w:t>The amounts above do not include $7.5 million in unrecognized stock-based compensation that will be recorded in the second quarter of fiscal 2008 in connection with the cancellation of certain officer grants to Dr. Sehat Sutardja and Weili Dai.</w:t>
      </w:r>
    </w:p>
    <w:p>
      <w:pPr>
        <w:spacing w:after="0" w:line="170" w:lineRule="exact"/>
        <w:rPr>
          <w:sz w:val="20"/>
          <w:szCs w:val="20"/>
          <w:color w:val="auto"/>
        </w:rPr>
      </w:pPr>
    </w:p>
    <w:p>
      <w:pPr>
        <w:ind w:left="340" w:right="220" w:hanging="332"/>
        <w:spacing w:after="0" w:line="288" w:lineRule="auto"/>
        <w:tabs>
          <w:tab w:leader="none" w:pos="324" w:val="left"/>
        </w:tabs>
        <w:numPr>
          <w:ilvl w:val="0"/>
          <w:numId w:val="4"/>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Re-priced Officer Grants: </w:t>
      </w:r>
      <w:r>
        <w:rPr>
          <w:rFonts w:ascii="Arial" w:cs="Arial" w:eastAsia="Arial" w:hAnsi="Arial"/>
          <w:sz w:val="16"/>
          <w:szCs w:val="16"/>
          <w:color w:val="auto"/>
        </w:rPr>
        <w:t>The minutes of the May 22, 2002 Executive Compensation Committee meeting reflect the Executive Compensation</w:t>
      </w:r>
      <w:r>
        <w:rPr>
          <w:rFonts w:ascii="Arial" w:cs="Arial" w:eastAsia="Arial" w:hAnsi="Arial"/>
          <w:sz w:val="16"/>
          <w:szCs w:val="16"/>
          <w:i w:val="1"/>
          <w:iCs w:val="1"/>
          <w:color w:val="auto"/>
        </w:rPr>
        <w:t xml:space="preserve"> </w:t>
      </w:r>
      <w:r>
        <w:rPr>
          <w:rFonts w:ascii="Arial" w:cs="Arial" w:eastAsia="Arial" w:hAnsi="Arial"/>
          <w:sz w:val="16"/>
          <w:szCs w:val="16"/>
          <w:color w:val="auto"/>
        </w:rPr>
        <w:t>Committee’s approval of a grant to the Founder Officers totaling 1.6 million shares, to be effective on the execution of a unanimous written consent. In June 2002, the Executive Compensation Committee members executed a unanimous written consent dated June 6, 2002 and effective as of May 22,</w:t>
      </w:r>
    </w:p>
    <w:p>
      <w:pPr>
        <w:ind w:left="340" w:right="20"/>
        <w:spacing w:after="0" w:line="252" w:lineRule="auto"/>
        <w:rPr>
          <w:rFonts w:ascii="Arial" w:cs="Arial" w:eastAsia="Arial" w:hAnsi="Arial"/>
          <w:sz w:val="16"/>
          <w:szCs w:val="16"/>
          <w:i w:val="1"/>
          <w:iCs w:val="1"/>
          <w:color w:val="auto"/>
        </w:rPr>
      </w:pPr>
      <w:r>
        <w:rPr>
          <w:rFonts w:ascii="Arial" w:cs="Arial" w:eastAsia="Arial" w:hAnsi="Arial"/>
          <w:sz w:val="18"/>
          <w:szCs w:val="18"/>
          <w:color w:val="auto"/>
        </w:rPr>
        <w:t>2002. The Special Committee found that on September 10, 2002 after the former General Counsel had a discussion with two of the Founder Officers who indicated that the setting of the price as of May 22, 2002 was inaccurate, the grant was repriced to the fair market value on June 6, 2002. The Special Committee further found that the former General Counsel had misled the Executive Compensation Committee as to the reasons for the change. The Special Committe further found that the amendment was falsely characterized as a documentation error rather than a grant modification. While the affected options were not considered to be issued at a discount on the date of the modification, these shares were subject to variable accounting until the Company’s adoption of Statement of Financial Accounting Standards No. 123 (revised 2004), “Share-Based Payment” (“SFAS 123R”) at the beginning of fiscal 2007.</w:t>
      </w:r>
    </w:p>
    <w:p>
      <w:pPr>
        <w:spacing w:after="0" w:line="193" w:lineRule="exact"/>
        <w:rPr>
          <w:rFonts w:ascii="Arial" w:cs="Arial" w:eastAsia="Arial" w:hAnsi="Arial"/>
          <w:sz w:val="16"/>
          <w:szCs w:val="16"/>
          <w:i w:val="1"/>
          <w:iCs w:val="1"/>
          <w:color w:val="auto"/>
        </w:rPr>
      </w:pPr>
    </w:p>
    <w:p>
      <w:pPr>
        <w:ind w:left="340" w:right="40" w:hanging="332"/>
        <w:spacing w:after="0" w:line="286" w:lineRule="auto"/>
        <w:tabs>
          <w:tab w:leader="none" w:pos="320" w:val="left"/>
        </w:tabs>
        <w:numPr>
          <w:ilvl w:val="0"/>
          <w:numId w:val="4"/>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New Hire Grants – effective hire dates: </w:t>
      </w:r>
      <w:r>
        <w:rPr>
          <w:rFonts w:ascii="Arial" w:cs="Arial" w:eastAsia="Arial" w:hAnsi="Arial"/>
          <w:sz w:val="17"/>
          <w:szCs w:val="17"/>
          <w:color w:val="auto"/>
        </w:rPr>
        <w:t>The internal review identified 4,669,200 options to 30 new hire recipients which required revision to reflect a</w:t>
      </w:r>
      <w:r>
        <w:rPr>
          <w:rFonts w:ascii="Arial" w:cs="Arial" w:eastAsia="Arial" w:hAnsi="Arial"/>
          <w:sz w:val="17"/>
          <w:szCs w:val="17"/>
          <w:i w:val="1"/>
          <w:iCs w:val="1"/>
          <w:color w:val="auto"/>
        </w:rPr>
        <w:t xml:space="preserve"> </w:t>
      </w:r>
      <w:r>
        <w:rPr>
          <w:rFonts w:ascii="Arial" w:cs="Arial" w:eastAsia="Arial" w:hAnsi="Arial"/>
          <w:sz w:val="17"/>
          <w:szCs w:val="17"/>
          <w:color w:val="auto"/>
        </w:rPr>
        <w:t>later date. In all cases, the stock price on the original grant date was lower than the price on the appropriate measurement date. For accounting purposes, the new hire start dates had to be reconstructed through payroll records and evaluated to determine appropriate re-measurement dates.</w:t>
      </w:r>
    </w:p>
    <w:p>
      <w:pPr>
        <w:spacing w:after="0" w:line="165" w:lineRule="exact"/>
        <w:rPr>
          <w:rFonts w:ascii="Arial" w:cs="Arial" w:eastAsia="Arial" w:hAnsi="Arial"/>
          <w:sz w:val="17"/>
          <w:szCs w:val="17"/>
          <w:i w:val="1"/>
          <w:iCs w:val="1"/>
          <w:color w:val="auto"/>
        </w:rPr>
      </w:pPr>
    </w:p>
    <w:p>
      <w:pPr>
        <w:ind w:left="340" w:hanging="332"/>
        <w:spacing w:after="0" w:line="293" w:lineRule="auto"/>
        <w:tabs>
          <w:tab w:leader="none" w:pos="324" w:val="left"/>
        </w:tabs>
        <w:numPr>
          <w:ilvl w:val="0"/>
          <w:numId w:val="4"/>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Other New Hire and Secondary Grants: </w:t>
      </w:r>
      <w:r>
        <w:rPr>
          <w:rFonts w:ascii="Arial" w:cs="Arial" w:eastAsia="Arial" w:hAnsi="Arial"/>
          <w:sz w:val="16"/>
          <w:szCs w:val="16"/>
          <w:color w:val="auto"/>
        </w:rPr>
        <w:t>In addition to grants issued to new hires at the commencement of their employment, the Company occasionally</w:t>
      </w:r>
      <w:r>
        <w:rPr>
          <w:rFonts w:ascii="Arial" w:cs="Arial" w:eastAsia="Arial" w:hAnsi="Arial"/>
          <w:sz w:val="16"/>
          <w:szCs w:val="16"/>
          <w:i w:val="1"/>
          <w:iCs w:val="1"/>
          <w:color w:val="auto"/>
        </w:rPr>
        <w:t xml:space="preserve"> </w:t>
      </w:r>
      <w:r>
        <w:rPr>
          <w:rFonts w:ascii="Arial" w:cs="Arial" w:eastAsia="Arial" w:hAnsi="Arial"/>
          <w:sz w:val="16"/>
          <w:szCs w:val="16"/>
          <w:color w:val="auto"/>
        </w:rPr>
        <w:t>issues secondary grants to employees for outstanding performance, retention or other discretionary reasons outside of the annual performance review cycle. During the Relevant Period, the Company granted new hire and secondary options on 86 different dates, excluding assumption of acquisition-related options. These dates included grants made from August 2004 onwards when a fixed grant date schedule was set on the first Friday of each month. As a result of the internal review, the Company recorded additional compensation costs for grants relating to 37 different grant dates, impacting approximately two-thirds of the new hire and secondary grants (totaling 48,708,478 options). The original grant date with respect to such grants</w:t>
      </w:r>
    </w:p>
    <w:p>
      <w:pPr>
        <w:sectPr>
          <w:pgSz w:w="11900" w:h="16838" w:orient="portrait"/>
          <w:cols w:equalWidth="0" w:num="1">
            <w:col w:w="11420"/>
          </w:cols>
          <w:pgMar w:left="240" w:top="125" w:right="239" w:bottom="0" w:gutter="0" w:footer="0" w:header="0"/>
        </w:sectPr>
      </w:pPr>
    </w:p>
    <w:bookmarkStart w:id="7" w:name="page8"/>
    <w:bookmarkEnd w:id="7"/>
    <w:p>
      <w:pPr>
        <w:ind w:left="340" w:right="60"/>
        <w:spacing w:after="0" w:line="270" w:lineRule="auto"/>
        <w:rPr>
          <w:sz w:val="20"/>
          <w:szCs w:val="20"/>
          <w:color w:val="auto"/>
        </w:rPr>
      </w:pPr>
      <w:r>
        <w:rPr>
          <w:rFonts w:ascii="Arial" w:cs="Arial" w:eastAsia="Arial" w:hAnsi="Arial"/>
          <w:sz w:val="17"/>
          <w:szCs w:val="17"/>
          <w:color w:val="auto"/>
        </w:rPr>
        <w:t>preceded the appropriate measurement date and in substantially all instances, the stock price on the former date was lower than the price on the appropriate measurement date. Generally, the terms of new hire grants, except for their exercise prices, are stated in employee offer letters which are acknowledged by employees. For new hire grants, re-measurement dates were determined based on the first instance when the Stock Option Committee grant date was picked. For secondary grants, as there was no other reliable documentation available to support the measurement date, the Company applied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such submission documentation, the Company used the date the grant entry was created in the option database, as this was the most objectively verifiable date when the terms of the grant were known, in accordance with the SEC Chief Accountant’s letter issued on September 19, 2006, outlining the SEC staff’s interpretation of specific accounting guidance for registrants under APB 25.</w:t>
      </w:r>
    </w:p>
    <w:p>
      <w:pPr>
        <w:spacing w:after="0" w:line="182" w:lineRule="exact"/>
        <w:rPr>
          <w:sz w:val="20"/>
          <w:szCs w:val="20"/>
          <w:color w:val="auto"/>
        </w:rPr>
      </w:pPr>
    </w:p>
    <w:p>
      <w:pPr>
        <w:ind w:left="340" w:right="460" w:hanging="332"/>
        <w:spacing w:after="0" w:line="286" w:lineRule="auto"/>
        <w:tabs>
          <w:tab w:leader="none" w:pos="334" w:val="left"/>
        </w:tabs>
        <w:numPr>
          <w:ilvl w:val="0"/>
          <w:numId w:val="5"/>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Re-priced New Hire Grants: </w:t>
      </w:r>
      <w:r>
        <w:rPr>
          <w:rFonts w:ascii="Arial" w:cs="Arial" w:eastAsia="Arial" w:hAnsi="Arial"/>
          <w:sz w:val="17"/>
          <w:szCs w:val="17"/>
          <w:color w:val="auto"/>
        </w:rPr>
        <w:t>Of the new hire grants in the Relevant Period, grant prices were re-set for a segment of grants on three grant dates.</w:t>
      </w:r>
      <w:r>
        <w:rPr>
          <w:rFonts w:ascii="Arial" w:cs="Arial" w:eastAsia="Arial" w:hAnsi="Arial"/>
          <w:sz w:val="17"/>
          <w:szCs w:val="17"/>
          <w:i w:val="1"/>
          <w:iCs w:val="1"/>
          <w:color w:val="auto"/>
        </w:rPr>
        <w:t xml:space="preserve"> </w:t>
      </w:r>
      <w:r>
        <w:rPr>
          <w:rFonts w:ascii="Arial" w:cs="Arial" w:eastAsia="Arial" w:hAnsi="Arial"/>
          <w:sz w:val="17"/>
          <w:szCs w:val="17"/>
          <w:color w:val="auto"/>
        </w:rPr>
        <w:t>Consequently, affected awards totaling 6,224,200 options were subject to variable accounting until the Company’s adoption of SFAS 123R. The re-pricing resulted from the Stock Option Committee’s originally designated grant date being modified to a later grant date.</w:t>
      </w:r>
    </w:p>
    <w:p>
      <w:pPr>
        <w:spacing w:after="0" w:line="38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40" w:hanging="332"/>
        <w:spacing w:after="0" w:line="288" w:lineRule="auto"/>
        <w:tabs>
          <w:tab w:leader="none" w:pos="320" w:val="left"/>
        </w:tabs>
        <w:numPr>
          <w:ilvl w:val="0"/>
          <w:numId w:val="6"/>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Evergreen Grants: </w:t>
      </w:r>
      <w:r>
        <w:rPr>
          <w:rFonts w:ascii="Arial" w:cs="Arial" w:eastAsia="Arial" w:hAnsi="Arial"/>
          <w:sz w:val="16"/>
          <w:szCs w:val="16"/>
          <w:color w:val="auto"/>
        </w:rPr>
        <w:t>During the Relevant Period, there were eight Evergreen grant dates. Substantially all employees are entitled to these grants for</w:t>
      </w:r>
      <w:r>
        <w:rPr>
          <w:rFonts w:ascii="Arial" w:cs="Arial" w:eastAsia="Arial" w:hAnsi="Arial"/>
          <w:sz w:val="16"/>
          <w:szCs w:val="16"/>
          <w:i w:val="1"/>
          <w:iCs w:val="1"/>
          <w:color w:val="auto"/>
        </w:rPr>
        <w:t xml:space="preserve"> </w:t>
      </w:r>
      <w:r>
        <w:rPr>
          <w:rFonts w:ascii="Arial" w:cs="Arial" w:eastAsia="Arial" w:hAnsi="Arial"/>
          <w:sz w:val="16"/>
          <w:szCs w:val="16"/>
          <w:color w:val="auto"/>
        </w:rPr>
        <w:t>retention purposes. There were two Evergreen grant dates in both fiscal 2003 and 2004. There was evidence of amendments to the recipients and/or the number of options subsequent to the original grant date. In all cases, the definitive lists of award recipients could not be reasonably determined until after the original grant date, impacting 54,702,828 options. Consequently, all Evergreen grants were re-measured on subsequent dates when the granting process was considered to be finalized. For purposes of the restatement, the Company used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this supporting documentation, the date the grant entry was created in the option database was used. In substantially all instances, the stock price on the former date was lower than the price on the appropriate measurement date. The last Evergreen grant (totaling 7,215,056 options) occurred during fiscal 2007 and the effects on the restatement were included in the restated fair value of the affected grants under SFAS 123R, increasing the grant date fair value of affected options by $0.31 per share.</w:t>
      </w:r>
    </w:p>
    <w:p>
      <w:pPr>
        <w:spacing w:after="0" w:line="169" w:lineRule="exact"/>
        <w:rPr>
          <w:rFonts w:ascii="Arial" w:cs="Arial" w:eastAsia="Arial" w:hAnsi="Arial"/>
          <w:sz w:val="16"/>
          <w:szCs w:val="16"/>
          <w:i w:val="1"/>
          <w:iCs w:val="1"/>
          <w:color w:val="auto"/>
        </w:rPr>
      </w:pPr>
    </w:p>
    <w:p>
      <w:pPr>
        <w:ind w:left="340" w:right="40" w:hanging="332"/>
        <w:spacing w:after="0" w:line="272" w:lineRule="auto"/>
        <w:tabs>
          <w:tab w:leader="none" w:pos="320" w:val="left"/>
        </w:tabs>
        <w:numPr>
          <w:ilvl w:val="0"/>
          <w:numId w:val="6"/>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Non-employee Grants: </w:t>
      </w:r>
      <w:r>
        <w:rPr>
          <w:rFonts w:ascii="Arial" w:cs="Arial" w:eastAsia="Arial" w:hAnsi="Arial"/>
          <w:sz w:val="17"/>
          <w:szCs w:val="17"/>
          <w:color w:val="auto"/>
        </w:rPr>
        <w:t>Since the inception of the Company, 3,819,000 options were granted to 13 recipients who were not employees or directors of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 These grants were erroneously accounted for under APB 25 as if they had been made to employees. Of these, four recipients that were granted a total of 1,483,000 options subsequently became employees or directors of the Company. As a result, the affected awards were accounted for as non-employee grants under EITF 96-18, Accounting for Equity Instruments That Are Issued to Other Than Employees for Acquiring, or in Conjunction with Selling, Goods or Services, which resulted in the application of variable accounting on these options until exercised or cancelled. Options held by consultants who became employees or directors of the Company have been accounted for under FASB Interpretation No. 44, Accounting for Certain Transactions involving Stock Compensation, which addresses a change in grantee status.</w:t>
      </w:r>
    </w:p>
    <w:p>
      <w:pPr>
        <w:spacing w:after="0" w:line="177" w:lineRule="exact"/>
        <w:rPr>
          <w:rFonts w:ascii="Arial" w:cs="Arial" w:eastAsia="Arial" w:hAnsi="Arial"/>
          <w:sz w:val="17"/>
          <w:szCs w:val="17"/>
          <w:i w:val="1"/>
          <w:iCs w:val="1"/>
          <w:color w:val="auto"/>
        </w:rPr>
      </w:pPr>
    </w:p>
    <w:p>
      <w:pPr>
        <w:ind w:left="340" w:right="180" w:hanging="332"/>
        <w:spacing w:after="0" w:line="259" w:lineRule="auto"/>
        <w:tabs>
          <w:tab w:leader="none" w:pos="321"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Termination-related charges: </w:t>
      </w:r>
      <w:r>
        <w:rPr>
          <w:rFonts w:ascii="Arial" w:cs="Arial" w:eastAsia="Arial" w:hAnsi="Arial"/>
          <w:sz w:val="18"/>
          <w:szCs w:val="18"/>
          <w:color w:val="auto"/>
        </w:rPr>
        <w:t>With respect to option grants to an employee, the post-service exercise period for 605,332 vested stock options was</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effectively extended by an unpaid leave of absence arrangement which appears to have lacked substance. The Company applied APB 25 as if the leave of absence arrangement was a constructive modification extending the exercise period of vested awards. The Company recorded $10.0 million in additional deferred compensation charges in fiscal 2001.</w:t>
      </w:r>
    </w:p>
    <w:p>
      <w:pPr>
        <w:spacing w:after="0" w:line="187" w:lineRule="exact"/>
        <w:rPr>
          <w:sz w:val="20"/>
          <w:szCs w:val="20"/>
          <w:color w:val="auto"/>
        </w:rPr>
      </w:pPr>
    </w:p>
    <w:p>
      <w:pPr>
        <w:ind w:right="100" w:firstLine="648"/>
        <w:spacing w:after="0" w:line="297" w:lineRule="auto"/>
        <w:rPr>
          <w:sz w:val="20"/>
          <w:szCs w:val="20"/>
          <w:color w:val="auto"/>
        </w:rPr>
      </w:pPr>
      <w:r>
        <w:rPr>
          <w:rFonts w:ascii="Arial" w:cs="Arial" w:eastAsia="Arial" w:hAnsi="Arial"/>
          <w:sz w:val="16"/>
          <w:szCs w:val="16"/>
          <w:color w:val="auto"/>
        </w:rPr>
        <w:t>Notwithstanding the foregoing, the lack of conclusive evidence in the case of certain grants required management to apply significant judgment in establishing revised measurement dates. The Company determined that the total cumulative, pre-tax, non-cash, stock-based compensation expense resulting from revised measurement dates under APB 25 was $327.4 million for periods through fiscal 2006. There was no impact on revenue. The Company adopted SFAS 123R at the beginning of fiscal 2007. As a result of the above adjustments, and after revisions to the SFAS 123R fair value assumptions, the pre-tax, non-cash, stock-based compensation expense in the first quarter of fiscal 2007 increased by $4.2 million to $48.8 million.</w:t>
      </w:r>
    </w:p>
    <w:p>
      <w:pPr>
        <w:spacing w:after="0" w:line="15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Tax Impact of the Equity Award Review and Other</w:t>
      </w:r>
    </w:p>
    <w:p>
      <w:pPr>
        <w:spacing w:after="0" w:line="225" w:lineRule="exact"/>
        <w:rPr>
          <w:sz w:val="20"/>
          <w:szCs w:val="20"/>
          <w:color w:val="auto"/>
        </w:rPr>
      </w:pPr>
    </w:p>
    <w:p>
      <w:pPr>
        <w:jc w:val="both"/>
        <w:ind w:right="60" w:firstLine="324"/>
        <w:spacing w:after="0" w:line="288" w:lineRule="auto"/>
        <w:rPr>
          <w:sz w:val="20"/>
          <w:szCs w:val="20"/>
          <w:color w:val="auto"/>
        </w:rPr>
      </w:pPr>
      <w:r>
        <w:rPr>
          <w:rFonts w:ascii="Arial" w:cs="Arial" w:eastAsia="Arial" w:hAnsi="Arial"/>
          <w:sz w:val="16"/>
          <w:szCs w:val="16"/>
          <w:color w:val="auto"/>
        </w:rPr>
        <w:t>The majority of the additional $327.4 million stock option compensation is expensed on the financial statements of the entities located in tax jurisdictions having a lower tax rate than that of the U.S. The tax benefits associated with all but $12.0 million of the $327.4 million total expense is recorded in Bermuda at zero percent tax rate. The $12.0 million of compensation expense and associated tax benefits have resulted in a cumulative deferred tax asset of</w:t>
      </w:r>
    </w:p>
    <w:p>
      <w:pPr>
        <w:ind w:right="200"/>
        <w:spacing w:after="0" w:line="261" w:lineRule="auto"/>
        <w:rPr>
          <w:sz w:val="20"/>
          <w:szCs w:val="20"/>
          <w:color w:val="auto"/>
        </w:rPr>
      </w:pPr>
      <w:r>
        <w:rPr>
          <w:rFonts w:ascii="Arial" w:cs="Arial" w:eastAsia="Arial" w:hAnsi="Arial"/>
          <w:sz w:val="18"/>
          <w:szCs w:val="18"/>
          <w:color w:val="auto"/>
        </w:rPr>
        <w:t>$2.5 million as of January 28, 2006 and a deferred provision benefit of $4.8 million. The tax impact of the adjustments arising from the equity award review is summarized as follows (in thousands):</w:t>
      </w:r>
    </w:p>
    <w:p>
      <w:pPr>
        <w:spacing w:after="0" w:line="40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12</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5"/>
        </w:trPr>
        <w:tc>
          <w:tcPr>
            <w:tcW w:w="17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780" w:type="dxa"/>
            <w:vAlign w:val="bottom"/>
            <w:tcBorders>
              <w:bottom w:val="single" w:sz="8" w:color="010101"/>
            </w:tcBorders>
            <w:gridSpan w:val="2"/>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62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64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6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6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272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469"/>
        </w:trPr>
        <w:tc>
          <w:tcPr>
            <w:tcW w:w="1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5"/>
              </w:rPr>
              <w:t>Cumulative</w:t>
            </w:r>
          </w:p>
        </w:tc>
        <w:tc>
          <w:tcPr>
            <w:tcW w:w="60" w:type="dxa"/>
            <w:vAlign w:val="bottom"/>
          </w:tcPr>
          <w:p>
            <w:pPr>
              <w:spacing w:after="0"/>
              <w:rPr>
                <w:sz w:val="24"/>
                <w:szCs w:val="24"/>
                <w:color w:val="auto"/>
              </w:rPr>
            </w:pPr>
          </w:p>
        </w:tc>
        <w:tc>
          <w:tcPr>
            <w:tcW w:w="1000" w:type="dxa"/>
            <w:vAlign w:val="bottom"/>
            <w:gridSpan w:val="3"/>
            <w:vMerge w:val="restart"/>
          </w:tcPr>
          <w:p>
            <w:pPr>
              <w:jc w:val="center"/>
              <w:ind w:right="200"/>
              <w:spacing w:after="0"/>
              <w:rPr>
                <w:sz w:val="20"/>
                <w:szCs w:val="20"/>
                <w:color w:val="auto"/>
              </w:rPr>
            </w:pPr>
            <w:r>
              <w:rPr>
                <w:rFonts w:ascii="Arial" w:cs="Arial" w:eastAsia="Arial" w:hAnsi="Arial"/>
                <w:sz w:val="14"/>
                <w:szCs w:val="14"/>
                <w:b w:val="1"/>
                <w:bCs w:val="1"/>
                <w:color w:val="auto"/>
                <w:w w:val="93"/>
              </w:rPr>
              <w:t>Year Ended</w:t>
            </w:r>
          </w:p>
        </w:tc>
        <w:tc>
          <w:tcPr>
            <w:tcW w:w="920" w:type="dxa"/>
            <w:vAlign w:val="bottom"/>
            <w:gridSpan w:val="3"/>
            <w:vMerge w:val="restart"/>
          </w:tcPr>
          <w:p>
            <w:pPr>
              <w:jc w:val="center"/>
              <w:ind w:right="160"/>
              <w:spacing w:after="0"/>
              <w:rPr>
                <w:sz w:val="20"/>
                <w:szCs w:val="20"/>
                <w:color w:val="auto"/>
              </w:rPr>
            </w:pPr>
            <w:r>
              <w:rPr>
                <w:rFonts w:ascii="Arial" w:cs="Arial" w:eastAsia="Arial" w:hAnsi="Arial"/>
                <w:sz w:val="14"/>
                <w:szCs w:val="14"/>
                <w:b w:val="1"/>
                <w:bCs w:val="1"/>
                <w:color w:val="auto"/>
                <w:w w:val="93"/>
              </w:rPr>
              <w:t>Year Ended</w:t>
            </w:r>
          </w:p>
        </w:tc>
        <w:tc>
          <w:tcPr>
            <w:tcW w:w="60" w:type="dxa"/>
            <w:vAlign w:val="bottom"/>
          </w:tcPr>
          <w:p>
            <w:pPr>
              <w:spacing w:after="0"/>
              <w:rPr>
                <w:sz w:val="24"/>
                <w:szCs w:val="24"/>
                <w:color w:val="auto"/>
              </w:rPr>
            </w:pPr>
          </w:p>
        </w:tc>
        <w:tc>
          <w:tcPr>
            <w:tcW w:w="960" w:type="dxa"/>
            <w:vAlign w:val="bottom"/>
            <w:gridSpan w:val="3"/>
            <w:vMerge w:val="restart"/>
          </w:tcPr>
          <w:p>
            <w:pPr>
              <w:jc w:val="center"/>
              <w:ind w:right="200"/>
              <w:spacing w:after="0"/>
              <w:rPr>
                <w:sz w:val="20"/>
                <w:szCs w:val="20"/>
                <w:color w:val="auto"/>
              </w:rPr>
            </w:pPr>
            <w:r>
              <w:rPr>
                <w:rFonts w:ascii="Arial" w:cs="Arial" w:eastAsia="Arial" w:hAnsi="Arial"/>
                <w:sz w:val="14"/>
                <w:szCs w:val="14"/>
                <w:b w:val="1"/>
                <w:bCs w:val="1"/>
                <w:color w:val="auto"/>
                <w:w w:val="93"/>
              </w:rPr>
              <w:t>Year Ended</w:t>
            </w:r>
          </w:p>
        </w:tc>
        <w:tc>
          <w:tcPr>
            <w:tcW w:w="20" w:type="dxa"/>
            <w:vAlign w:val="bottom"/>
          </w:tcPr>
          <w:p>
            <w:pPr>
              <w:spacing w:after="0"/>
              <w:rPr>
                <w:sz w:val="24"/>
                <w:szCs w:val="24"/>
                <w:color w:val="auto"/>
              </w:rPr>
            </w:pPr>
          </w:p>
        </w:tc>
        <w:tc>
          <w:tcPr>
            <w:tcW w:w="94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3"/>
              </w:rPr>
              <w:t>Year Ended</w:t>
            </w:r>
          </w:p>
        </w:tc>
        <w:tc>
          <w:tcPr>
            <w:tcW w:w="60" w:type="dxa"/>
            <w:vAlign w:val="bottom"/>
          </w:tcPr>
          <w:p>
            <w:pPr>
              <w:spacing w:after="0"/>
              <w:rPr>
                <w:sz w:val="24"/>
                <w:szCs w:val="24"/>
                <w:color w:val="auto"/>
              </w:rPr>
            </w:pPr>
          </w:p>
        </w:tc>
        <w:tc>
          <w:tcPr>
            <w:tcW w:w="94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3"/>
              </w:rPr>
              <w:t>Year Ended</w:t>
            </w:r>
          </w:p>
        </w:tc>
        <w:tc>
          <w:tcPr>
            <w:tcW w:w="60" w:type="dxa"/>
            <w:vAlign w:val="bottom"/>
          </w:tcPr>
          <w:p>
            <w:pPr>
              <w:spacing w:after="0"/>
              <w:rPr>
                <w:sz w:val="24"/>
                <w:szCs w:val="24"/>
                <w:color w:val="auto"/>
              </w:rPr>
            </w:pPr>
          </w:p>
        </w:tc>
        <w:tc>
          <w:tcPr>
            <w:tcW w:w="3620" w:type="dxa"/>
            <w:vAlign w:val="bottom"/>
            <w:gridSpan w:val="3"/>
            <w:vMerge w:val="restart"/>
          </w:tcPr>
          <w:p>
            <w:pPr>
              <w:jc w:val="center"/>
              <w:ind w:right="278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1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90"/>
              </w:rPr>
              <w:t>through</w:t>
            </w:r>
          </w:p>
        </w:tc>
        <w:tc>
          <w:tcPr>
            <w:tcW w:w="60" w:type="dxa"/>
            <w:vAlign w:val="bottom"/>
          </w:tcPr>
          <w:p>
            <w:pPr>
              <w:spacing w:after="0"/>
              <w:rPr>
                <w:sz w:val="11"/>
                <w:szCs w:val="11"/>
                <w:color w:val="auto"/>
              </w:rPr>
            </w:pPr>
          </w:p>
        </w:tc>
        <w:tc>
          <w:tcPr>
            <w:tcW w:w="1000" w:type="dxa"/>
            <w:vAlign w:val="bottom"/>
            <w:gridSpan w:val="3"/>
            <w:vMerge w:val="continue"/>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6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20" w:type="dxa"/>
            <w:vAlign w:val="bottom"/>
          </w:tcPr>
          <w:p>
            <w:pPr>
              <w:spacing w:after="0"/>
              <w:rPr>
                <w:sz w:val="11"/>
                <w:szCs w:val="11"/>
                <w:color w:val="auto"/>
              </w:rPr>
            </w:pPr>
          </w:p>
        </w:tc>
        <w:tc>
          <w:tcPr>
            <w:tcW w:w="940" w:type="dxa"/>
            <w:vAlign w:val="bottom"/>
            <w:gridSpan w:val="3"/>
            <w:vMerge w:val="continue"/>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gridSpan w:val="3"/>
            <w:vMerge w:val="continue"/>
          </w:tcPr>
          <w:p>
            <w:pPr>
              <w:spacing w:after="0"/>
              <w:rPr>
                <w:sz w:val="11"/>
                <w:szCs w:val="11"/>
                <w:color w:val="auto"/>
              </w:rPr>
            </w:pPr>
          </w:p>
        </w:tc>
        <w:tc>
          <w:tcPr>
            <w:tcW w:w="60" w:type="dxa"/>
            <w:vAlign w:val="bottom"/>
          </w:tcPr>
          <w:p>
            <w:pPr>
              <w:spacing w:after="0"/>
              <w:rPr>
                <w:sz w:val="11"/>
                <w:szCs w:val="11"/>
                <w:color w:val="auto"/>
              </w:rPr>
            </w:pPr>
          </w:p>
        </w:tc>
        <w:tc>
          <w:tcPr>
            <w:tcW w:w="36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0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3"/>
              </w:rPr>
              <w:t>January 28,</w:t>
            </w:r>
          </w:p>
        </w:tc>
        <w:tc>
          <w:tcPr>
            <w:tcW w:w="60" w:type="dxa"/>
            <w:vAlign w:val="bottom"/>
          </w:tcPr>
          <w:p>
            <w:pPr>
              <w:spacing w:after="0"/>
              <w:rPr>
                <w:sz w:val="11"/>
                <w:szCs w:val="11"/>
                <w:color w:val="auto"/>
              </w:rPr>
            </w:pPr>
          </w:p>
        </w:tc>
        <w:tc>
          <w:tcPr>
            <w:tcW w:w="100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January 28,</w:t>
            </w:r>
          </w:p>
        </w:tc>
        <w:tc>
          <w:tcPr>
            <w:tcW w:w="920" w:type="dxa"/>
            <w:vAlign w:val="bottom"/>
            <w:gridSpan w:val="3"/>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January 29,</w:t>
            </w:r>
          </w:p>
        </w:tc>
        <w:tc>
          <w:tcPr>
            <w:tcW w:w="60" w:type="dxa"/>
            <w:vAlign w:val="bottom"/>
          </w:tcPr>
          <w:p>
            <w:pPr>
              <w:spacing w:after="0"/>
              <w:rPr>
                <w:sz w:val="11"/>
                <w:szCs w:val="11"/>
                <w:color w:val="auto"/>
              </w:rPr>
            </w:pPr>
          </w:p>
        </w:tc>
        <w:tc>
          <w:tcPr>
            <w:tcW w:w="960" w:type="dxa"/>
            <w:vAlign w:val="bottom"/>
            <w:gridSpan w:val="3"/>
          </w:tcPr>
          <w:p>
            <w:pPr>
              <w:jc w:val="center"/>
              <w:ind w:right="180"/>
              <w:spacing w:after="0" w:line="135" w:lineRule="exact"/>
              <w:rPr>
                <w:sz w:val="20"/>
                <w:szCs w:val="20"/>
                <w:color w:val="auto"/>
              </w:rPr>
            </w:pPr>
            <w:r>
              <w:rPr>
                <w:rFonts w:ascii="Arial" w:cs="Arial" w:eastAsia="Arial" w:hAnsi="Arial"/>
                <w:sz w:val="14"/>
                <w:szCs w:val="14"/>
                <w:b w:val="1"/>
                <w:bCs w:val="1"/>
                <w:color w:val="auto"/>
                <w:w w:val="95"/>
              </w:rPr>
              <w:t>January 31,</w:t>
            </w:r>
          </w:p>
        </w:tc>
        <w:tc>
          <w:tcPr>
            <w:tcW w:w="20" w:type="dxa"/>
            <w:vAlign w:val="bottom"/>
          </w:tcPr>
          <w:p>
            <w:pPr>
              <w:spacing w:after="0"/>
              <w:rPr>
                <w:sz w:val="11"/>
                <w:szCs w:val="11"/>
                <w:color w:val="auto"/>
              </w:rPr>
            </w:pPr>
          </w:p>
        </w:tc>
        <w:tc>
          <w:tcPr>
            <w:tcW w:w="94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5"/>
              </w:rPr>
              <w:t>February 1,</w:t>
            </w:r>
          </w:p>
        </w:tc>
        <w:tc>
          <w:tcPr>
            <w:tcW w:w="60" w:type="dxa"/>
            <w:vAlign w:val="bottom"/>
          </w:tcPr>
          <w:p>
            <w:pPr>
              <w:spacing w:after="0"/>
              <w:rPr>
                <w:sz w:val="11"/>
                <w:szCs w:val="11"/>
                <w:color w:val="auto"/>
              </w:rPr>
            </w:pPr>
          </w:p>
        </w:tc>
        <w:tc>
          <w:tcPr>
            <w:tcW w:w="94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5"/>
              </w:rPr>
              <w:t>February 2,</w:t>
            </w:r>
          </w:p>
        </w:tc>
        <w:tc>
          <w:tcPr>
            <w:tcW w:w="60" w:type="dxa"/>
            <w:vAlign w:val="bottom"/>
          </w:tcPr>
          <w:p>
            <w:pPr>
              <w:spacing w:after="0"/>
              <w:rPr>
                <w:sz w:val="11"/>
                <w:szCs w:val="11"/>
                <w:color w:val="auto"/>
              </w:rPr>
            </w:pPr>
          </w:p>
        </w:tc>
        <w:tc>
          <w:tcPr>
            <w:tcW w:w="3620" w:type="dxa"/>
            <w:vAlign w:val="bottom"/>
            <w:gridSpan w:val="3"/>
          </w:tcPr>
          <w:p>
            <w:pPr>
              <w:jc w:val="center"/>
              <w:ind w:right="2800"/>
              <w:spacing w:after="0" w:line="135" w:lineRule="exact"/>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62"/>
        </w:trPr>
        <w:tc>
          <w:tcPr>
            <w:tcW w:w="17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39"/>
              <w:spacing w:after="0"/>
              <w:rPr>
                <w:sz w:val="20"/>
                <w:szCs w:val="20"/>
                <w:color w:val="auto"/>
              </w:rPr>
            </w:pPr>
            <w:r>
              <w:rPr>
                <w:rFonts w:ascii="Arial" w:cs="Arial" w:eastAsia="Arial" w:hAnsi="Arial"/>
                <w:sz w:val="14"/>
                <w:szCs w:val="14"/>
                <w:b w:val="1"/>
                <w:bCs w:val="1"/>
                <w:color w:val="auto"/>
                <w:w w:val="89"/>
              </w:rPr>
              <w:t>2006</w:t>
            </w: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96"/>
              <w:spacing w:after="0"/>
              <w:rPr>
                <w:sz w:val="20"/>
                <w:szCs w:val="20"/>
                <w:color w:val="auto"/>
              </w:rPr>
            </w:pPr>
            <w:r>
              <w:rPr>
                <w:rFonts w:ascii="Arial" w:cs="Arial" w:eastAsia="Arial" w:hAnsi="Arial"/>
                <w:sz w:val="14"/>
                <w:szCs w:val="14"/>
                <w:b w:val="1"/>
                <w:bCs w:val="1"/>
                <w:color w:val="auto"/>
                <w:w w:val="89"/>
              </w:rPr>
              <w:t>2006</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96"/>
              <w:spacing w:after="0"/>
              <w:rPr>
                <w:sz w:val="20"/>
                <w:szCs w:val="20"/>
                <w:color w:val="auto"/>
              </w:rPr>
            </w:pPr>
            <w:r>
              <w:rPr>
                <w:rFonts w:ascii="Arial" w:cs="Arial" w:eastAsia="Arial" w:hAnsi="Arial"/>
                <w:sz w:val="14"/>
                <w:szCs w:val="14"/>
                <w:b w:val="1"/>
                <w:bCs w:val="1"/>
                <w:color w:val="auto"/>
                <w:w w:val="89"/>
              </w:rPr>
              <w:t>2005</w:t>
            </w:r>
          </w:p>
        </w:tc>
        <w:tc>
          <w:tcPr>
            <w:tcW w:w="1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6"/>
              </w:rPr>
              <w:t>2004</w:t>
            </w:r>
          </w:p>
        </w:tc>
        <w:tc>
          <w:tcPr>
            <w:tcW w:w="1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116"/>
              <w:spacing w:after="0"/>
              <w:rPr>
                <w:sz w:val="20"/>
                <w:szCs w:val="20"/>
                <w:color w:val="auto"/>
              </w:rPr>
            </w:pPr>
            <w:r>
              <w:rPr>
                <w:rFonts w:ascii="Arial" w:cs="Arial" w:eastAsia="Arial" w:hAnsi="Arial"/>
                <w:sz w:val="14"/>
                <w:szCs w:val="14"/>
                <w:b w:val="1"/>
                <w:bCs w:val="1"/>
                <w:color w:val="auto"/>
                <w:w w:val="89"/>
              </w:rPr>
              <w:t>2003</w:t>
            </w: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116"/>
              <w:spacing w:after="0"/>
              <w:rPr>
                <w:sz w:val="20"/>
                <w:szCs w:val="20"/>
                <w:color w:val="auto"/>
              </w:rPr>
            </w:pPr>
            <w:r>
              <w:rPr>
                <w:rFonts w:ascii="Arial" w:cs="Arial" w:eastAsia="Arial" w:hAnsi="Arial"/>
                <w:sz w:val="14"/>
                <w:szCs w:val="14"/>
                <w:b w:val="1"/>
                <w:bCs w:val="1"/>
                <w:color w:val="auto"/>
                <w:w w:val="89"/>
              </w:rPr>
              <w:t>2002</w:t>
            </w: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176"/>
              <w:spacing w:after="0"/>
              <w:rPr>
                <w:sz w:val="20"/>
                <w:szCs w:val="20"/>
                <w:color w:val="auto"/>
              </w:rPr>
            </w:pPr>
            <w:r>
              <w:rPr>
                <w:rFonts w:ascii="Arial" w:cs="Arial" w:eastAsia="Arial" w:hAnsi="Arial"/>
                <w:sz w:val="14"/>
                <w:szCs w:val="14"/>
                <w:b w:val="1"/>
                <w:bCs w:val="1"/>
                <w:color w:val="auto"/>
                <w:w w:val="96"/>
              </w:rPr>
              <w:t>2001</w:t>
            </w:r>
          </w:p>
        </w:tc>
        <w:tc>
          <w:tcPr>
            <w:tcW w:w="2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172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Operating costs and</w:t>
            </w:r>
          </w:p>
        </w:tc>
        <w:tc>
          <w:tcPr>
            <w:tcW w:w="2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720" w:type="dxa"/>
            <w:vAlign w:val="bottom"/>
            <w:tcBorders>
              <w:right w:val="single" w:sz="8" w:color="CCEEFF"/>
            </w:tcBorders>
            <w:shd w:val="clear" w:color="auto" w:fill="CCEEFF"/>
          </w:tcPr>
          <w:p>
            <w:pPr>
              <w:spacing w:after="0"/>
              <w:rPr>
                <w:sz w:val="15"/>
                <w:szCs w:val="15"/>
                <w:color w:val="auto"/>
              </w:rPr>
            </w:pPr>
          </w:p>
        </w:tc>
        <w:tc>
          <w:tcPr>
            <w:tcW w:w="2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7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expenses - Payroll</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20" w:type="dxa"/>
            <w:vAlign w:val="bottom"/>
            <w:tcBorders>
              <w:right w:val="single" w:sz="8" w:color="CCEEFF"/>
            </w:tcBorders>
            <w:shd w:val="clear" w:color="auto" w:fill="CCEEFF"/>
          </w:tcPr>
          <w:p>
            <w:pPr>
              <w:spacing w:after="0"/>
              <w:rPr>
                <w:sz w:val="18"/>
                <w:szCs w:val="18"/>
                <w:color w:val="auto"/>
              </w:rPr>
            </w:pPr>
          </w:p>
        </w:tc>
        <w:tc>
          <w:tcPr>
            <w:tcW w:w="2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7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(a)</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7,628</w:t>
            </w:r>
          </w:p>
        </w:tc>
        <w:tc>
          <w:tcPr>
            <w:tcW w:w="120" w:type="dxa"/>
            <w:vAlign w:val="bottom"/>
            <w:shd w:val="clear" w:color="auto" w:fill="CCEEFF"/>
          </w:tcPr>
          <w:p>
            <w:pPr>
              <w:spacing w:after="0"/>
              <w:rPr>
                <w:sz w:val="20"/>
                <w:szCs w:val="20"/>
                <w:color w:val="auto"/>
              </w:rPr>
            </w:pP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200" w:type="dxa"/>
            <w:vAlign w:val="bottom"/>
            <w:shd w:val="clear" w:color="auto" w:fill="CCEEFF"/>
          </w:tcPr>
          <w:p>
            <w:pPr>
              <w:spacing w:after="0"/>
              <w:rPr>
                <w:sz w:val="20"/>
                <w:szCs w:val="20"/>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2,306</w:t>
            </w:r>
          </w:p>
        </w:tc>
        <w:tc>
          <w:tcPr>
            <w:tcW w:w="140" w:type="dxa"/>
            <w:vAlign w:val="bottom"/>
            <w:shd w:val="clear" w:color="auto" w:fill="CCEEFF"/>
          </w:tcPr>
          <w:p>
            <w:pPr>
              <w:spacing w:after="0"/>
              <w:rPr>
                <w:sz w:val="20"/>
                <w:szCs w:val="20"/>
                <w:color w:val="auto"/>
              </w:rPr>
            </w:pPr>
          </w:p>
        </w:tc>
        <w:tc>
          <w:tcPr>
            <w:tcW w:w="22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160" w:type="dxa"/>
            <w:vAlign w:val="bottom"/>
            <w:shd w:val="clear" w:color="auto" w:fill="CCEEFF"/>
          </w:tcPr>
          <w:p>
            <w:pPr>
              <w:spacing w:after="0"/>
              <w:rPr>
                <w:sz w:val="20"/>
                <w:szCs w:val="20"/>
                <w:color w:val="auto"/>
              </w:rPr>
            </w:pPr>
          </w:p>
        </w:tc>
        <w:tc>
          <w:tcPr>
            <w:tcW w:w="20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20" w:type="dxa"/>
            <w:vAlign w:val="bottom"/>
            <w:shd w:val="clear" w:color="auto" w:fill="CCEEFF"/>
          </w:tcPr>
          <w:p>
            <w:pPr>
              <w:spacing w:after="0"/>
              <w:rPr>
                <w:sz w:val="20"/>
                <w:szCs w:val="20"/>
                <w:color w:val="auto"/>
              </w:rPr>
            </w:pP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720" w:type="dxa"/>
            <w:vAlign w:val="bottom"/>
          </w:tcPr>
          <w:p>
            <w:pPr>
              <w:spacing w:after="0" w:line="201" w:lineRule="exact"/>
              <w:rPr>
                <w:sz w:val="20"/>
                <w:szCs w:val="20"/>
                <w:color w:val="auto"/>
              </w:rPr>
            </w:pPr>
            <w:r>
              <w:rPr>
                <w:rFonts w:ascii="Arial" w:cs="Arial" w:eastAsia="Arial" w:hAnsi="Arial"/>
                <w:sz w:val="18"/>
                <w:szCs w:val="18"/>
                <w:color w:val="auto"/>
              </w:rPr>
              <w:t>Provision for income</w:t>
            </w: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7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720" w:type="dxa"/>
            <w:vAlign w:val="bottom"/>
          </w:tcPr>
          <w:p>
            <w:pPr>
              <w:ind w:left="180"/>
              <w:spacing w:after="0"/>
              <w:rPr>
                <w:sz w:val="20"/>
                <w:szCs w:val="20"/>
                <w:color w:val="auto"/>
              </w:rPr>
            </w:pPr>
            <w:r>
              <w:rPr>
                <w:rFonts w:ascii="Arial" w:cs="Arial" w:eastAsia="Arial" w:hAnsi="Arial"/>
                <w:sz w:val="18"/>
                <w:szCs w:val="18"/>
                <w:color w:val="auto"/>
              </w:rPr>
              <w:t>tax – Deferred</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720" w:type="dxa"/>
            <w:vAlign w:val="bottom"/>
          </w:tcPr>
          <w:p>
            <w:pPr>
              <w:ind w:left="180"/>
              <w:spacing w:after="0"/>
              <w:rPr>
                <w:sz w:val="20"/>
                <w:szCs w:val="20"/>
                <w:color w:val="auto"/>
              </w:rPr>
            </w:pPr>
            <w:r>
              <w:rPr>
                <w:rFonts w:ascii="Arial" w:cs="Arial" w:eastAsia="Arial" w:hAnsi="Arial"/>
                <w:sz w:val="18"/>
                <w:szCs w:val="18"/>
                <w:color w:val="auto"/>
              </w:rPr>
              <w:t>Income Tax</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720" w:type="dxa"/>
            <w:vAlign w:val="bottom"/>
          </w:tcPr>
          <w:p>
            <w:pPr>
              <w:ind w:left="180"/>
              <w:spacing w:after="0"/>
              <w:rPr>
                <w:sz w:val="20"/>
                <w:szCs w:val="20"/>
                <w:color w:val="auto"/>
              </w:rPr>
            </w:pPr>
            <w:r>
              <w:rPr>
                <w:rFonts w:ascii="Arial" w:cs="Arial" w:eastAsia="Arial" w:hAnsi="Arial"/>
                <w:sz w:val="18"/>
                <w:szCs w:val="18"/>
                <w:color w:val="auto"/>
              </w:rPr>
              <w:t>Benefit (b)</w:t>
            </w: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(4,806)</w:t>
            </w: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(1,822)</w:t>
            </w:r>
          </w:p>
        </w:tc>
        <w:tc>
          <w:tcPr>
            <w:tcW w:w="160" w:type="dxa"/>
            <w:vAlign w:val="bottom"/>
          </w:tcPr>
          <w:p>
            <w:pPr>
              <w:spacing w:after="0"/>
              <w:rPr>
                <w:sz w:val="20"/>
                <w:szCs w:val="20"/>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(1,150)</w:t>
            </w: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(1,170)</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(405)</w:t>
            </w: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(259)</w:t>
            </w: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4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-1562100</wp:posOffset>
            </wp:positionV>
            <wp:extent cx="12700"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-1562100</wp:posOffset>
            </wp:positionV>
            <wp:extent cx="12700"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481" w:gutter="0" w:footer="0" w:header="0"/>
        </w:sectPr>
      </w:pPr>
    </w:p>
    <w:bookmarkStart w:id="8" w:name="page9"/>
    <w:bookmarkEnd w:id="8"/>
    <w:p>
      <w:pPr>
        <w:spacing w:after="0" w:line="52"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8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w:t>
            </w: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80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6"/>
              </w:rPr>
              <w:t>tax – Section 162(m)</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and utilization of</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assets** (c)</w:t>
            </w:r>
          </w:p>
        </w:tc>
        <w:tc>
          <w:tcPr>
            <w:tcW w:w="1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2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20"/>
                <w:szCs w:val="20"/>
                <w:color w:val="auto"/>
              </w:rPr>
            </w:pPr>
          </w:p>
        </w:tc>
        <w:tc>
          <w:tcPr>
            <w:tcW w:w="360" w:type="dxa"/>
            <w:vAlign w:val="bottom"/>
            <w:shd w:val="clear" w:color="auto" w:fill="CCEEFF"/>
          </w:tcPr>
          <w:p>
            <w:pPr>
              <w:spacing w:after="0"/>
              <w:rPr>
                <w:sz w:val="20"/>
                <w:szCs w:val="20"/>
                <w:color w:val="auto"/>
              </w:rPr>
            </w:pPr>
          </w:p>
        </w:tc>
        <w:tc>
          <w:tcPr>
            <w:tcW w:w="5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82"/>
        </w:trPr>
        <w:tc>
          <w:tcPr>
            <w:tcW w:w="1800" w:type="dxa"/>
            <w:vAlign w:val="bottom"/>
          </w:tcPr>
          <w:p>
            <w:pPr>
              <w:ind w:left="180"/>
              <w:spacing w:after="0" w:line="182" w:lineRule="exact"/>
              <w:rPr>
                <w:sz w:val="20"/>
                <w:szCs w:val="20"/>
                <w:color w:val="auto"/>
              </w:rPr>
            </w:pPr>
            <w:r>
              <w:rPr>
                <w:rFonts w:ascii="Arial" w:cs="Arial" w:eastAsia="Arial" w:hAnsi="Arial"/>
                <w:sz w:val="18"/>
                <w:szCs w:val="18"/>
                <w:color w:val="auto"/>
              </w:rPr>
              <w:t>Tax impact of the</w:t>
            </w:r>
          </w:p>
        </w:tc>
        <w:tc>
          <w:tcPr>
            <w:tcW w:w="12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600" w:type="dxa"/>
            <w:vAlign w:val="bottom"/>
            <w:tcBorders>
              <w:top w:val="single" w:sz="8" w:color="auto"/>
            </w:tcBorders>
          </w:tcPr>
          <w:p>
            <w:pPr>
              <w:spacing w:after="0"/>
              <w:rPr>
                <w:sz w:val="15"/>
                <w:szCs w:val="15"/>
                <w:color w:val="auto"/>
              </w:rPr>
            </w:pPr>
          </w:p>
        </w:tc>
        <w:tc>
          <w:tcPr>
            <w:tcW w:w="180" w:type="dxa"/>
            <w:vAlign w:val="bottom"/>
          </w:tcPr>
          <w:p>
            <w:pPr>
              <w:spacing w:after="0"/>
              <w:rPr>
                <w:sz w:val="15"/>
                <w:szCs w:val="15"/>
                <w:color w:val="auto"/>
              </w:rPr>
            </w:pPr>
          </w:p>
        </w:tc>
        <w:tc>
          <w:tcPr>
            <w:tcW w:w="200" w:type="dxa"/>
            <w:vAlign w:val="bottom"/>
            <w:tcBorders>
              <w:top w:val="single" w:sz="8" w:color="auto"/>
            </w:tcBorders>
          </w:tcPr>
          <w:p>
            <w:pPr>
              <w:spacing w:after="0"/>
              <w:rPr>
                <w:sz w:val="15"/>
                <w:szCs w:val="15"/>
                <w:color w:val="auto"/>
              </w:rPr>
            </w:pPr>
          </w:p>
        </w:tc>
        <w:tc>
          <w:tcPr>
            <w:tcW w:w="600" w:type="dxa"/>
            <w:vAlign w:val="bottom"/>
            <w:tcBorders>
              <w:top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220" w:type="dxa"/>
            <w:vAlign w:val="bottom"/>
            <w:tcBorders>
              <w:top w:val="single" w:sz="8" w:color="auto"/>
            </w:tcBorders>
          </w:tcPr>
          <w:p>
            <w:pPr>
              <w:spacing w:after="0"/>
              <w:rPr>
                <w:sz w:val="15"/>
                <w:szCs w:val="15"/>
                <w:color w:val="auto"/>
              </w:rPr>
            </w:pPr>
          </w:p>
        </w:tc>
        <w:tc>
          <w:tcPr>
            <w:tcW w:w="560" w:type="dxa"/>
            <w:vAlign w:val="bottom"/>
            <w:tcBorders>
              <w:top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260" w:type="dxa"/>
            <w:vAlign w:val="bottom"/>
            <w:tcBorders>
              <w:top w:val="single" w:sz="8" w:color="auto"/>
            </w:tcBorders>
          </w:tcPr>
          <w:p>
            <w:pPr>
              <w:spacing w:after="0"/>
              <w:rPr>
                <w:sz w:val="15"/>
                <w:szCs w:val="15"/>
                <w:color w:val="auto"/>
              </w:rPr>
            </w:pPr>
          </w:p>
        </w:tc>
        <w:tc>
          <w:tcPr>
            <w:tcW w:w="54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80" w:type="dxa"/>
            <w:vAlign w:val="bottom"/>
            <w:tcBorders>
              <w:top w:val="single" w:sz="8" w:color="auto"/>
            </w:tcBorders>
          </w:tcPr>
          <w:p>
            <w:pPr>
              <w:spacing w:after="0"/>
              <w:rPr>
                <w:sz w:val="15"/>
                <w:szCs w:val="15"/>
                <w:color w:val="auto"/>
              </w:rPr>
            </w:pPr>
          </w:p>
        </w:tc>
        <w:tc>
          <w:tcPr>
            <w:tcW w:w="54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80" w:type="dxa"/>
            <w:vAlign w:val="bottom"/>
            <w:tcBorders>
              <w:top w:val="single" w:sz="8" w:color="auto"/>
            </w:tcBorders>
          </w:tcPr>
          <w:p>
            <w:pPr>
              <w:spacing w:after="0"/>
              <w:rPr>
                <w:sz w:val="15"/>
                <w:szCs w:val="15"/>
                <w:color w:val="auto"/>
              </w:rPr>
            </w:pPr>
          </w:p>
        </w:tc>
        <w:tc>
          <w:tcPr>
            <w:tcW w:w="54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60" w:type="dxa"/>
            <w:vAlign w:val="bottom"/>
            <w:tcBorders>
              <w:top w:val="single" w:sz="8" w:color="auto"/>
            </w:tcBorders>
          </w:tcPr>
          <w:p>
            <w:pPr>
              <w:spacing w:after="0"/>
              <w:rPr>
                <w:sz w:val="15"/>
                <w:szCs w:val="15"/>
                <w:color w:val="auto"/>
              </w:rPr>
            </w:pPr>
          </w:p>
        </w:tc>
        <w:tc>
          <w:tcPr>
            <w:tcW w:w="480" w:type="dxa"/>
            <w:vAlign w:val="bottom"/>
            <w:tcBorders>
              <w:top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1800" w:type="dxa"/>
            <w:vAlign w:val="bottom"/>
          </w:tcPr>
          <w:p>
            <w:pPr>
              <w:ind w:left="360"/>
              <w:spacing w:after="0"/>
              <w:rPr>
                <w:sz w:val="20"/>
                <w:szCs w:val="20"/>
                <w:color w:val="auto"/>
              </w:rPr>
            </w:pPr>
            <w:r>
              <w:rPr>
                <w:rFonts w:ascii="Arial" w:cs="Arial" w:eastAsia="Arial" w:hAnsi="Arial"/>
                <w:sz w:val="18"/>
                <w:szCs w:val="18"/>
                <w:color w:val="auto"/>
              </w:rPr>
              <w:t>equity award</w:t>
            </w:r>
          </w:p>
        </w:tc>
        <w:tc>
          <w:tcPr>
            <w:tcW w:w="300" w:type="dxa"/>
            <w:vAlign w:val="bottom"/>
            <w:gridSpan w:val="2"/>
            <w:vMerge w:val="restart"/>
          </w:tcPr>
          <w:p>
            <w:pPr>
              <w:jc w:val="right"/>
              <w:ind w:right="100"/>
              <w:spacing w:after="0"/>
              <w:rPr>
                <w:sz w:val="20"/>
                <w:szCs w:val="20"/>
                <w:color w:val="auto"/>
              </w:rPr>
            </w:pPr>
            <w:r>
              <w:rPr>
                <w:rFonts w:ascii="Arial" w:cs="Arial" w:eastAsia="Arial" w:hAnsi="Arial"/>
                <w:sz w:val="18"/>
                <w:szCs w:val="18"/>
                <w:color w:val="auto"/>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30,028</w:t>
            </w:r>
          </w:p>
        </w:tc>
        <w:tc>
          <w:tcPr>
            <w:tcW w:w="380" w:type="dxa"/>
            <w:vAlign w:val="bottom"/>
            <w:gridSpan w:val="2"/>
            <w:vMerge w:val="restart"/>
          </w:tcPr>
          <w:p>
            <w:pPr>
              <w:jc w:val="right"/>
              <w:ind w:right="100"/>
              <w:spacing w:after="0"/>
              <w:rPr>
                <w:sz w:val="20"/>
                <w:szCs w:val="20"/>
                <w:color w:val="auto"/>
              </w:rPr>
            </w:pPr>
            <w:r>
              <w:rPr>
                <w:rFonts w:ascii="Arial" w:cs="Arial" w:eastAsia="Arial" w:hAnsi="Arial"/>
                <w:sz w:val="18"/>
                <w:szCs w:val="18"/>
                <w:color w:val="auto"/>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29,768</w:t>
            </w:r>
          </w:p>
        </w:tc>
        <w:tc>
          <w:tcPr>
            <w:tcW w:w="200" w:type="dxa"/>
            <w:vAlign w:val="bottom"/>
          </w:tcPr>
          <w:p>
            <w:pPr>
              <w:spacing w:after="0"/>
              <w:rPr>
                <w:sz w:val="18"/>
                <w:szCs w:val="18"/>
                <w:color w:val="auto"/>
              </w:rPr>
            </w:pPr>
          </w:p>
        </w:tc>
        <w:tc>
          <w:tcPr>
            <w:tcW w:w="220" w:type="dxa"/>
            <w:vAlign w:val="bottom"/>
            <w:vMerge w:val="restart"/>
          </w:tcPr>
          <w:p>
            <w:pPr>
              <w:jc w:val="right"/>
              <w:ind w:right="65"/>
              <w:spacing w:after="0"/>
              <w:rPr>
                <w:sz w:val="20"/>
                <w:szCs w:val="20"/>
                <w:color w:val="auto"/>
              </w:rPr>
            </w:pPr>
            <w:r>
              <w:rPr>
                <w:rFonts w:ascii="Arial" w:cs="Arial" w:eastAsia="Arial" w:hAnsi="Arial"/>
                <w:sz w:val="15"/>
                <w:szCs w:val="15"/>
                <w:color w:val="auto"/>
                <w:w w:val="71"/>
              </w:rPr>
              <w:t>$</w:t>
            </w:r>
          </w:p>
        </w:tc>
        <w:tc>
          <w:tcPr>
            <w:tcW w:w="560" w:type="dxa"/>
            <w:vAlign w:val="bottom"/>
            <w:vMerge w:val="restart"/>
          </w:tcPr>
          <w:p>
            <w:pPr>
              <w:jc w:val="right"/>
              <w:spacing w:after="0"/>
              <w:rPr>
                <w:sz w:val="20"/>
                <w:szCs w:val="20"/>
                <w:color w:val="auto"/>
              </w:rPr>
            </w:pPr>
            <w:r>
              <w:rPr>
                <w:rFonts w:ascii="Arial" w:cs="Arial" w:eastAsia="Arial" w:hAnsi="Arial"/>
                <w:sz w:val="18"/>
                <w:szCs w:val="18"/>
                <w:color w:val="auto"/>
              </w:rPr>
              <w:t>1,156</w:t>
            </w:r>
          </w:p>
        </w:tc>
        <w:tc>
          <w:tcPr>
            <w:tcW w:w="46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66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(249)</w:t>
            </w:r>
          </w:p>
        </w:tc>
        <w:tc>
          <w:tcPr>
            <w:tcW w:w="34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66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(388)</w:t>
            </w:r>
          </w:p>
        </w:tc>
        <w:tc>
          <w:tcPr>
            <w:tcW w:w="34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66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(259)</w:t>
            </w:r>
          </w:p>
        </w:tc>
        <w:tc>
          <w:tcPr>
            <w:tcW w:w="420" w:type="dxa"/>
            <w:vAlign w:val="bottom"/>
            <w:gridSpan w:val="2"/>
            <w:vMerge w:val="restart"/>
          </w:tcPr>
          <w:p>
            <w:pPr>
              <w:jc w:val="right"/>
              <w:ind w:right="260"/>
              <w:spacing w:after="0"/>
              <w:rPr>
                <w:sz w:val="20"/>
                <w:szCs w:val="20"/>
                <w:color w:val="auto"/>
              </w:rPr>
            </w:pPr>
            <w:r>
              <w:rPr>
                <w:rFonts w:ascii="Arial" w:cs="Arial" w:eastAsia="Arial" w:hAnsi="Arial"/>
                <w:sz w:val="18"/>
                <w:szCs w:val="18"/>
                <w:color w:val="auto"/>
              </w:rPr>
              <w:t>$</w:t>
            </w:r>
          </w:p>
        </w:tc>
        <w:tc>
          <w:tcPr>
            <w:tcW w:w="540" w:type="dxa"/>
            <w:vAlign w:val="bottom"/>
            <w:gridSpan w:val="2"/>
            <w:vMerge w:val="restart"/>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7"/>
        </w:trPr>
        <w:tc>
          <w:tcPr>
            <w:tcW w:w="1800" w:type="dxa"/>
            <w:vAlign w:val="bottom"/>
          </w:tcPr>
          <w:p>
            <w:pPr>
              <w:ind w:left="360"/>
              <w:spacing w:after="0"/>
              <w:rPr>
                <w:sz w:val="20"/>
                <w:szCs w:val="20"/>
                <w:color w:val="auto"/>
              </w:rPr>
            </w:pPr>
            <w:r>
              <w:rPr>
                <w:rFonts w:ascii="Arial" w:cs="Arial" w:eastAsia="Arial" w:hAnsi="Arial"/>
                <w:sz w:val="18"/>
                <w:szCs w:val="18"/>
                <w:color w:val="auto"/>
              </w:rPr>
              <w:t>review</w:t>
            </w:r>
          </w:p>
        </w:tc>
        <w:tc>
          <w:tcPr>
            <w:tcW w:w="300" w:type="dxa"/>
            <w:vAlign w:val="bottom"/>
            <w:gridSpan w:val="2"/>
            <w:vMerge w:val="continue"/>
          </w:tcPr>
          <w:p>
            <w:pPr>
              <w:spacing w:after="0"/>
              <w:rPr>
                <w:sz w:val="22"/>
                <w:szCs w:val="22"/>
                <w:color w:val="auto"/>
              </w:rPr>
            </w:pPr>
          </w:p>
        </w:tc>
        <w:tc>
          <w:tcPr>
            <w:tcW w:w="600" w:type="dxa"/>
            <w:vAlign w:val="bottom"/>
            <w:vMerge w:val="continue"/>
          </w:tcPr>
          <w:p>
            <w:pPr>
              <w:spacing w:after="0"/>
              <w:rPr>
                <w:sz w:val="22"/>
                <w:szCs w:val="22"/>
                <w:color w:val="auto"/>
              </w:rPr>
            </w:pPr>
          </w:p>
        </w:tc>
        <w:tc>
          <w:tcPr>
            <w:tcW w:w="380" w:type="dxa"/>
            <w:vAlign w:val="bottom"/>
            <w:gridSpan w:val="2"/>
            <w:vMerge w:val="continue"/>
          </w:tcPr>
          <w:p>
            <w:pPr>
              <w:spacing w:after="0"/>
              <w:rPr>
                <w:sz w:val="22"/>
                <w:szCs w:val="22"/>
                <w:color w:val="auto"/>
              </w:rPr>
            </w:pPr>
          </w:p>
        </w:tc>
        <w:tc>
          <w:tcPr>
            <w:tcW w:w="600" w:type="dxa"/>
            <w:vAlign w:val="bottom"/>
            <w:vMerge w:val="continue"/>
          </w:tcPr>
          <w:p>
            <w:pPr>
              <w:spacing w:after="0"/>
              <w:rPr>
                <w:sz w:val="22"/>
                <w:szCs w:val="22"/>
                <w:color w:val="auto"/>
              </w:rPr>
            </w:pPr>
          </w:p>
        </w:tc>
        <w:tc>
          <w:tcPr>
            <w:tcW w:w="200" w:type="dxa"/>
            <w:vAlign w:val="bottom"/>
          </w:tcPr>
          <w:p>
            <w:pPr>
              <w:spacing w:after="0"/>
              <w:rPr>
                <w:sz w:val="22"/>
                <w:szCs w:val="22"/>
                <w:color w:val="auto"/>
              </w:rPr>
            </w:pPr>
          </w:p>
        </w:tc>
        <w:tc>
          <w:tcPr>
            <w:tcW w:w="220" w:type="dxa"/>
            <w:vAlign w:val="bottom"/>
            <w:vMerge w:val="continue"/>
          </w:tcPr>
          <w:p>
            <w:pPr>
              <w:spacing w:after="0"/>
              <w:rPr>
                <w:sz w:val="22"/>
                <w:szCs w:val="22"/>
                <w:color w:val="auto"/>
              </w:rPr>
            </w:pPr>
          </w:p>
        </w:tc>
        <w:tc>
          <w:tcPr>
            <w:tcW w:w="560" w:type="dxa"/>
            <w:vAlign w:val="bottom"/>
            <w:vMerge w:val="continue"/>
          </w:tcPr>
          <w:p>
            <w:pPr>
              <w:spacing w:after="0"/>
              <w:rPr>
                <w:sz w:val="22"/>
                <w:szCs w:val="22"/>
                <w:color w:val="auto"/>
              </w:rPr>
            </w:pPr>
          </w:p>
        </w:tc>
        <w:tc>
          <w:tcPr>
            <w:tcW w:w="460" w:type="dxa"/>
            <w:vAlign w:val="bottom"/>
            <w:gridSpan w:val="2"/>
            <w:vMerge w:val="continue"/>
          </w:tcPr>
          <w:p>
            <w:pPr>
              <w:spacing w:after="0"/>
              <w:rPr>
                <w:sz w:val="22"/>
                <w:szCs w:val="22"/>
                <w:color w:val="auto"/>
              </w:rPr>
            </w:pPr>
          </w:p>
        </w:tc>
        <w:tc>
          <w:tcPr>
            <w:tcW w:w="660" w:type="dxa"/>
            <w:vAlign w:val="bottom"/>
            <w:gridSpan w:val="2"/>
            <w:vMerge w:val="continue"/>
          </w:tcPr>
          <w:p>
            <w:pPr>
              <w:spacing w:after="0"/>
              <w:rPr>
                <w:sz w:val="22"/>
                <w:szCs w:val="22"/>
                <w:color w:val="auto"/>
              </w:rPr>
            </w:pPr>
          </w:p>
        </w:tc>
        <w:tc>
          <w:tcPr>
            <w:tcW w:w="340" w:type="dxa"/>
            <w:vAlign w:val="bottom"/>
            <w:gridSpan w:val="2"/>
            <w:vMerge w:val="continue"/>
          </w:tcPr>
          <w:p>
            <w:pPr>
              <w:spacing w:after="0"/>
              <w:rPr>
                <w:sz w:val="22"/>
                <w:szCs w:val="22"/>
                <w:color w:val="auto"/>
              </w:rPr>
            </w:pPr>
          </w:p>
        </w:tc>
        <w:tc>
          <w:tcPr>
            <w:tcW w:w="660" w:type="dxa"/>
            <w:vAlign w:val="bottom"/>
            <w:gridSpan w:val="2"/>
            <w:vMerge w:val="continue"/>
          </w:tcPr>
          <w:p>
            <w:pPr>
              <w:spacing w:after="0"/>
              <w:rPr>
                <w:sz w:val="22"/>
                <w:szCs w:val="22"/>
                <w:color w:val="auto"/>
              </w:rPr>
            </w:pPr>
          </w:p>
        </w:tc>
        <w:tc>
          <w:tcPr>
            <w:tcW w:w="340" w:type="dxa"/>
            <w:vAlign w:val="bottom"/>
            <w:gridSpan w:val="2"/>
            <w:vMerge w:val="continue"/>
          </w:tcPr>
          <w:p>
            <w:pPr>
              <w:spacing w:after="0"/>
              <w:rPr>
                <w:sz w:val="22"/>
                <w:szCs w:val="22"/>
                <w:color w:val="auto"/>
              </w:rPr>
            </w:pPr>
          </w:p>
        </w:tc>
        <w:tc>
          <w:tcPr>
            <w:tcW w:w="660" w:type="dxa"/>
            <w:vAlign w:val="bottom"/>
            <w:gridSpan w:val="2"/>
            <w:vMerge w:val="continue"/>
          </w:tcPr>
          <w:p>
            <w:pPr>
              <w:spacing w:after="0"/>
              <w:rPr>
                <w:sz w:val="22"/>
                <w:szCs w:val="22"/>
                <w:color w:val="auto"/>
              </w:rPr>
            </w:pPr>
          </w:p>
        </w:tc>
        <w:tc>
          <w:tcPr>
            <w:tcW w:w="420" w:type="dxa"/>
            <w:vAlign w:val="bottom"/>
            <w:gridSpan w:val="2"/>
            <w:vMerge w:val="continue"/>
          </w:tcPr>
          <w:p>
            <w:pPr>
              <w:spacing w:after="0"/>
              <w:rPr>
                <w:sz w:val="22"/>
                <w:szCs w:val="22"/>
                <w:color w:val="auto"/>
              </w:rPr>
            </w:pPr>
          </w:p>
        </w:tc>
        <w:tc>
          <w:tcPr>
            <w:tcW w:w="54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155"/>
        </w:trPr>
        <w:tc>
          <w:tcPr>
            <w:tcW w:w="1800" w:type="dxa"/>
            <w:vAlign w:val="bottom"/>
            <w:tcBorders>
              <w:top w:val="single" w:sz="8" w:color="CCEEFF"/>
            </w:tcBorders>
            <w:shd w:val="clear" w:color="auto" w:fill="CCEEFF"/>
          </w:tcPr>
          <w:p>
            <w:pPr>
              <w:spacing w:after="0" w:line="156" w:lineRule="exact"/>
              <w:rPr>
                <w:sz w:val="20"/>
                <w:szCs w:val="20"/>
                <w:color w:val="auto"/>
              </w:rPr>
            </w:pPr>
            <w:r>
              <w:rPr>
                <w:rFonts w:ascii="Arial" w:cs="Arial" w:eastAsia="Arial" w:hAnsi="Arial"/>
                <w:sz w:val="18"/>
                <w:szCs w:val="18"/>
                <w:color w:val="auto"/>
              </w:rPr>
              <w:t>Reduction to deferred</w:t>
            </w:r>
          </w:p>
        </w:tc>
        <w:tc>
          <w:tcPr>
            <w:tcW w:w="12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00" w:type="dxa"/>
            <w:vAlign w:val="bottom"/>
            <w:tcBorders>
              <w:top w:val="single" w:sz="8" w:color="auto"/>
            </w:tcBorders>
            <w:shd w:val="clear" w:color="auto" w:fill="CCEEFF"/>
          </w:tcPr>
          <w:p>
            <w:pPr>
              <w:spacing w:after="0"/>
              <w:rPr>
                <w:sz w:val="13"/>
                <w:szCs w:val="13"/>
                <w:color w:val="auto"/>
              </w:rPr>
            </w:pPr>
          </w:p>
        </w:tc>
        <w:tc>
          <w:tcPr>
            <w:tcW w:w="18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auto"/>
            </w:tcBorders>
            <w:shd w:val="clear" w:color="auto" w:fill="CCEEFF"/>
          </w:tcPr>
          <w:p>
            <w:pPr>
              <w:spacing w:after="0"/>
              <w:rPr>
                <w:sz w:val="13"/>
                <w:szCs w:val="13"/>
                <w:color w:val="auto"/>
              </w:rPr>
            </w:pPr>
          </w:p>
        </w:tc>
        <w:tc>
          <w:tcPr>
            <w:tcW w:w="60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220" w:type="dxa"/>
            <w:vAlign w:val="bottom"/>
            <w:tcBorders>
              <w:top w:val="single" w:sz="8" w:color="auto"/>
            </w:tcBorders>
            <w:shd w:val="clear" w:color="auto" w:fill="CCEEFF"/>
          </w:tcPr>
          <w:p>
            <w:pPr>
              <w:spacing w:after="0"/>
              <w:rPr>
                <w:sz w:val="13"/>
                <w:szCs w:val="13"/>
                <w:color w:val="auto"/>
              </w:rPr>
            </w:pPr>
          </w:p>
        </w:tc>
        <w:tc>
          <w:tcPr>
            <w:tcW w:w="560" w:type="dxa"/>
            <w:vAlign w:val="bottom"/>
            <w:tcBorders>
              <w:top w:val="single" w:sz="8" w:color="auto"/>
            </w:tcBorders>
            <w:shd w:val="clear" w:color="auto" w:fill="CCEEFF"/>
          </w:tcPr>
          <w:p>
            <w:pPr>
              <w:spacing w:after="0"/>
              <w:rPr>
                <w:sz w:val="13"/>
                <w:szCs w:val="13"/>
                <w:color w:val="auto"/>
              </w:rPr>
            </w:pPr>
          </w:p>
        </w:tc>
        <w:tc>
          <w:tcPr>
            <w:tcW w:w="200" w:type="dxa"/>
            <w:vAlign w:val="bottom"/>
            <w:tcBorders>
              <w:top w:val="single" w:sz="8" w:color="CCEEFF"/>
            </w:tcBorders>
            <w:shd w:val="clear" w:color="auto" w:fill="CCEEFF"/>
          </w:tcPr>
          <w:p>
            <w:pPr>
              <w:spacing w:after="0"/>
              <w:rPr>
                <w:sz w:val="13"/>
                <w:szCs w:val="13"/>
                <w:color w:val="auto"/>
              </w:rPr>
            </w:pPr>
          </w:p>
        </w:tc>
        <w:tc>
          <w:tcPr>
            <w:tcW w:w="260" w:type="dxa"/>
            <w:vAlign w:val="bottom"/>
            <w:tcBorders>
              <w:top w:val="single" w:sz="8" w:color="auto"/>
            </w:tcBorders>
            <w:shd w:val="clear" w:color="auto" w:fill="CCEEFF"/>
          </w:tcPr>
          <w:p>
            <w:pPr>
              <w:spacing w:after="0"/>
              <w:rPr>
                <w:sz w:val="13"/>
                <w:szCs w:val="13"/>
                <w:color w:val="auto"/>
              </w:rPr>
            </w:pPr>
          </w:p>
        </w:tc>
        <w:tc>
          <w:tcPr>
            <w:tcW w:w="5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280" w:type="dxa"/>
            <w:vAlign w:val="bottom"/>
            <w:tcBorders>
              <w:top w:val="single" w:sz="8" w:color="auto"/>
            </w:tcBorders>
            <w:shd w:val="clear" w:color="auto" w:fill="CCEEFF"/>
          </w:tcPr>
          <w:p>
            <w:pPr>
              <w:spacing w:after="0"/>
              <w:rPr>
                <w:sz w:val="13"/>
                <w:szCs w:val="13"/>
                <w:color w:val="auto"/>
              </w:rPr>
            </w:pPr>
          </w:p>
        </w:tc>
        <w:tc>
          <w:tcPr>
            <w:tcW w:w="5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280" w:type="dxa"/>
            <w:vAlign w:val="bottom"/>
            <w:tcBorders>
              <w:top w:val="single" w:sz="8" w:color="auto"/>
            </w:tcBorders>
            <w:shd w:val="clear" w:color="auto" w:fill="CCEEFF"/>
          </w:tcPr>
          <w:p>
            <w:pPr>
              <w:spacing w:after="0"/>
              <w:rPr>
                <w:sz w:val="13"/>
                <w:szCs w:val="13"/>
                <w:color w:val="auto"/>
              </w:rPr>
            </w:pPr>
          </w:p>
        </w:tc>
        <w:tc>
          <w:tcPr>
            <w:tcW w:w="5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360" w:type="dxa"/>
            <w:vAlign w:val="bottom"/>
            <w:tcBorders>
              <w:top w:val="single" w:sz="8" w:color="auto"/>
            </w:tcBorders>
            <w:shd w:val="clear" w:color="auto" w:fill="CCEEFF"/>
          </w:tcPr>
          <w:p>
            <w:pPr>
              <w:spacing w:after="0"/>
              <w:rPr>
                <w:sz w:val="13"/>
                <w:szCs w:val="13"/>
                <w:color w:val="auto"/>
              </w:rPr>
            </w:pPr>
          </w:p>
        </w:tc>
        <w:tc>
          <w:tcPr>
            <w:tcW w:w="480" w:type="dxa"/>
            <w:vAlign w:val="bottom"/>
            <w:tcBorders>
              <w:top w:val="single" w:sz="8" w:color="auto"/>
            </w:tcBorders>
            <w:shd w:val="clear" w:color="auto" w:fill="CCEEFF"/>
          </w:tcPr>
          <w:p>
            <w:pPr>
              <w:spacing w:after="0"/>
              <w:rPr>
                <w:sz w:val="13"/>
                <w:szCs w:val="13"/>
                <w:color w:val="auto"/>
              </w:rPr>
            </w:pPr>
          </w:p>
        </w:tc>
        <w:tc>
          <w:tcPr>
            <w:tcW w:w="6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1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asset for</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exemption</w:t>
            </w:r>
          </w:p>
        </w:tc>
        <w:tc>
          <w:tcPr>
            <w:tcW w:w="30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5,275</w:t>
            </w:r>
          </w:p>
        </w:tc>
        <w:tc>
          <w:tcPr>
            <w:tcW w:w="38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3,249</w:t>
            </w:r>
          </w:p>
        </w:tc>
        <w:tc>
          <w:tcPr>
            <w:tcW w:w="200" w:type="dxa"/>
            <w:vAlign w:val="bottom"/>
            <w:shd w:val="clear" w:color="auto" w:fill="CCEEFF"/>
          </w:tcPr>
          <w:p>
            <w:pPr>
              <w:spacing w:after="0"/>
              <w:rPr>
                <w:sz w:val="18"/>
                <w:szCs w:val="18"/>
                <w:color w:val="auto"/>
              </w:rPr>
            </w:pPr>
          </w:p>
        </w:tc>
        <w:tc>
          <w:tcPr>
            <w:tcW w:w="220" w:type="dxa"/>
            <w:vAlign w:val="bottom"/>
            <w:vMerge w:val="restart"/>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5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40" w:type="dxa"/>
            <w:vAlign w:val="bottom"/>
            <w:gridSpan w:val="2"/>
            <w:vMerge w:val="restart"/>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18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benefit (d)</w:t>
            </w:r>
          </w:p>
        </w:tc>
        <w:tc>
          <w:tcPr>
            <w:tcW w:w="300" w:type="dxa"/>
            <w:vAlign w:val="bottom"/>
            <w:gridSpan w:val="2"/>
            <w:vMerge w:val="continue"/>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380" w:type="dxa"/>
            <w:vAlign w:val="bottom"/>
            <w:gridSpan w:val="2"/>
            <w:vMerge w:val="continue"/>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560" w:type="dxa"/>
            <w:vAlign w:val="bottom"/>
            <w:vMerge w:val="continue"/>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60" w:type="dxa"/>
            <w:vAlign w:val="bottom"/>
            <w:gridSpan w:val="2"/>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60" w:type="dxa"/>
            <w:vAlign w:val="bottom"/>
            <w:gridSpan w:val="2"/>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60" w:type="dxa"/>
            <w:vAlign w:val="bottom"/>
            <w:gridSpan w:val="2"/>
            <w:vMerge w:val="continue"/>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4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40" w:right="140" w:hanging="332"/>
        <w:spacing w:after="0" w:line="277" w:lineRule="auto"/>
        <w:tabs>
          <w:tab w:leader="none" w:pos="326"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$3.0 million of additional employer and employee withholding taxes relating to exercises of affected opinions, including penalty and interest, and $24.2 million of Section 409A expenses of employees, including penalties and interest was also recorded in fiscal 2007.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$4.9 million of penalty and interest associated with Section 162(m) liability was also recorded in fiscal 2007.</w:t>
      </w:r>
    </w:p>
    <w:p>
      <w:pPr>
        <w:spacing w:after="0" w:line="225" w:lineRule="exact"/>
        <w:rPr>
          <w:sz w:val="20"/>
          <w:szCs w:val="20"/>
          <w:color w:val="auto"/>
        </w:rPr>
      </w:pPr>
    </w:p>
    <w:p>
      <w:pPr>
        <w:ind w:left="340" w:right="60" w:hanging="332"/>
        <w:spacing w:after="0" w:line="276" w:lineRule="auto"/>
        <w:tabs>
          <w:tab w:leader="none" w:pos="307" w:val="left"/>
        </w:tabs>
        <w:numPr>
          <w:ilvl w:val="0"/>
          <w:numId w:val="8"/>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Payroll Tax - </w:t>
      </w:r>
      <w:r>
        <w:rPr>
          <w:rFonts w:ascii="Arial" w:cs="Arial" w:eastAsia="Arial" w:hAnsi="Arial"/>
          <w:sz w:val="17"/>
          <w:szCs w:val="17"/>
          <w:color w:val="auto"/>
        </w:rPr>
        <w:t>The revised measurement dates for certain stock options as discussed in this filing may result in adverse federal and state tax consequences</w:t>
      </w:r>
      <w:r>
        <w:rPr>
          <w:rFonts w:ascii="Arial" w:cs="Arial" w:eastAsia="Arial" w:hAnsi="Arial"/>
          <w:sz w:val="17"/>
          <w:szCs w:val="17"/>
          <w:i w:val="1"/>
          <w:iCs w:val="1"/>
          <w:color w:val="auto"/>
        </w:rPr>
        <w:t xml:space="preserve"> </w:t>
      </w:r>
      <w:r>
        <w:rPr>
          <w:rFonts w:ascii="Arial" w:cs="Arial" w:eastAsia="Arial" w:hAnsi="Arial"/>
          <w:sz w:val="17"/>
          <w:szCs w:val="17"/>
          <w:color w:val="auto"/>
        </w:rPr>
        <w:t>to holders of those options under IRC Section 409A which was enacted in 2004 to impose certain restrictions on deferred compensation arrangements. The adverse tax consequences are that Section 409A may subject the option holder of the re-measured retroactively priced stock options to a penalty tax and interest on the exercise of the options vesting after December 31, 2004. In addition to similar penalty taxes and interest under California and other state income tax laws upon the exercise of the option grant will apply.</w:t>
      </w:r>
    </w:p>
    <w:p>
      <w:pPr>
        <w:spacing w:after="0" w:line="172" w:lineRule="exact"/>
        <w:rPr>
          <w:rFonts w:ascii="Arial" w:cs="Arial" w:eastAsia="Arial" w:hAnsi="Arial"/>
          <w:sz w:val="17"/>
          <w:szCs w:val="17"/>
          <w:i w:val="1"/>
          <w:iCs w:val="1"/>
          <w:color w:val="auto"/>
        </w:rPr>
      </w:pPr>
    </w:p>
    <w:p>
      <w:pPr>
        <w:ind w:left="660" w:hanging="328"/>
        <w:spacing w:after="0" w:line="271" w:lineRule="auto"/>
        <w:tabs>
          <w:tab w:leader="none" w:pos="624" w:val="left"/>
        </w:tabs>
        <w:numPr>
          <w:ilvl w:val="1"/>
          <w:numId w:val="8"/>
        </w:numPr>
        <w:rPr>
          <w:rFonts w:ascii="Arial" w:cs="Arial" w:eastAsia="Arial" w:hAnsi="Arial"/>
          <w:sz w:val="17"/>
          <w:szCs w:val="17"/>
          <w:color w:val="auto"/>
        </w:rPr>
      </w:pPr>
      <w:r>
        <w:rPr>
          <w:rFonts w:ascii="Arial" w:cs="Arial" w:eastAsia="Arial" w:hAnsi="Arial"/>
          <w:sz w:val="17"/>
          <w:szCs w:val="17"/>
          <w:i w:val="1"/>
          <w:iCs w:val="1"/>
          <w:color w:val="auto"/>
        </w:rPr>
        <w:t>Exercised options</w:t>
      </w:r>
      <w:r>
        <w:rPr>
          <w:rFonts w:ascii="Arial" w:cs="Arial" w:eastAsia="Arial" w:hAnsi="Arial"/>
          <w:sz w:val="17"/>
          <w:szCs w:val="17"/>
          <w:color w:val="auto"/>
        </w:rPr>
        <w:t>. The option grants had been originally issued as incentive stock options. Due to the re-measurement caused by the re-pricing, they</w:t>
      </w:r>
      <w:r>
        <w:rPr>
          <w:rFonts w:ascii="Arial" w:cs="Arial" w:eastAsia="Arial" w:hAnsi="Arial"/>
          <w:sz w:val="17"/>
          <w:szCs w:val="17"/>
          <w:i w:val="1"/>
          <w:iCs w:val="1"/>
          <w:color w:val="auto"/>
        </w:rPr>
        <w:t xml:space="preserve"> </w:t>
      </w:r>
      <w:r>
        <w:rPr>
          <w:rFonts w:ascii="Arial" w:cs="Arial" w:eastAsia="Arial" w:hAnsi="Arial"/>
          <w:sz w:val="17"/>
          <w:szCs w:val="17"/>
          <w:color w:val="auto"/>
        </w:rPr>
        <w:t>have become non-statutory stock options. The Company has accrued employment taxes for the exercise in each of the years due to the conversion of the options from incentive to non-statutory. Included in the restated results through fiscal 2006 are additional employer and employee withholding taxes relating to exercises of affected options totaling $7.6 million, including penalties and interest. The amounts represent additional compensation expense and have been classified in their respective functional categories. On a calendar year basis the amounts total: calendar 2003 of $0.8 million, calendar 2004 of $1.9 million, calendar 2005 of $3.7 million, and calendar 2006 of $4.2 million. The above table reflects the amounts on a fiscal year basis. The full amount of compensation, taxes, interest and penalties has been accrued as reflected above as well as in fiscal 2007. The total amount accrued through fiscal 2007 is $10.6 million.</w:t>
      </w:r>
    </w:p>
    <w:p>
      <w:pPr>
        <w:spacing w:after="0" w:line="178" w:lineRule="exact"/>
        <w:rPr>
          <w:rFonts w:ascii="Arial" w:cs="Arial" w:eastAsia="Arial" w:hAnsi="Arial"/>
          <w:sz w:val="17"/>
          <w:szCs w:val="17"/>
          <w:color w:val="auto"/>
        </w:rPr>
      </w:pPr>
    </w:p>
    <w:p>
      <w:pPr>
        <w:ind w:left="620" w:hanging="288"/>
        <w:spacing w:after="0"/>
        <w:tabs>
          <w:tab w:leader="none" w:pos="620" w:val="left"/>
        </w:tabs>
        <w:numPr>
          <w:ilvl w:val="1"/>
          <w:numId w:val="8"/>
        </w:numPr>
        <w:rPr>
          <w:rFonts w:ascii="Arial" w:cs="Arial" w:eastAsia="Arial" w:hAnsi="Arial"/>
          <w:sz w:val="18"/>
          <w:szCs w:val="18"/>
          <w:color w:val="auto"/>
        </w:rPr>
      </w:pPr>
      <w:r>
        <w:rPr>
          <w:rFonts w:ascii="Arial" w:cs="Arial" w:eastAsia="Arial" w:hAnsi="Arial"/>
          <w:sz w:val="18"/>
          <w:szCs w:val="18"/>
          <w:i w:val="1"/>
          <w:iCs w:val="1"/>
          <w:color w:val="auto"/>
        </w:rPr>
        <w:t>Section 409A</w:t>
      </w:r>
    </w:p>
    <w:p>
      <w:pPr>
        <w:spacing w:after="0" w:line="225" w:lineRule="exact"/>
        <w:rPr>
          <w:sz w:val="20"/>
          <w:szCs w:val="20"/>
          <w:color w:val="auto"/>
        </w:rPr>
      </w:pPr>
    </w:p>
    <w:p>
      <w:pPr>
        <w:ind w:left="660" w:right="100"/>
        <w:spacing w:after="0" w:line="257" w:lineRule="auto"/>
        <w:rPr>
          <w:sz w:val="20"/>
          <w:szCs w:val="20"/>
          <w:color w:val="auto"/>
        </w:rPr>
      </w:pPr>
      <w:r>
        <w:rPr>
          <w:rFonts w:ascii="Arial" w:cs="Arial" w:eastAsia="Arial" w:hAnsi="Arial"/>
          <w:sz w:val="18"/>
          <w:szCs w:val="18"/>
          <w:color w:val="auto"/>
        </w:rPr>
        <w:t>The Company has informed employees who exercised options in 2006 that any additional tax costs accruing to such employees from Section 409A, ISO disqualification, and employment taxes will be reimbursed by the company and grossed up. For the Section 409A affected options exercised during calendar year 2006, the IRS issued guidelines that would allow employers to enter into a global settlement of Section 409A issues on behalf of their employees. California and other states have offered a similar program. This liability does not appear in the above table, but has been accrued in fiscal year 2007 as explained in the remainder of this section.</w:t>
      </w:r>
    </w:p>
    <w:p>
      <w:pPr>
        <w:spacing w:after="0" w:line="188" w:lineRule="exact"/>
        <w:rPr>
          <w:sz w:val="20"/>
          <w:szCs w:val="20"/>
          <w:color w:val="auto"/>
        </w:rPr>
      </w:pPr>
    </w:p>
    <w:p>
      <w:pPr>
        <w:ind w:left="660" w:right="60"/>
        <w:spacing w:after="0" w:line="342" w:lineRule="auto"/>
        <w:rPr>
          <w:sz w:val="20"/>
          <w:szCs w:val="20"/>
          <w:color w:val="auto"/>
        </w:rPr>
      </w:pPr>
      <w:r>
        <w:rPr>
          <w:rFonts w:ascii="Arial" w:cs="Arial" w:eastAsia="Arial" w:hAnsi="Arial"/>
          <w:sz w:val="16"/>
          <w:szCs w:val="16"/>
          <w:color w:val="auto"/>
        </w:rPr>
        <w:t>Because all holders of re-measured stock options generally were not involved in or aware of the retroactive pricing, the Board of Directors approved our plan to deal with the adverse tax consequences that may be incurred by the holders of the re-measured options in the fourth quarter of fiscal</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80"/>
        <w:spacing w:after="0" w:line="279" w:lineRule="auto"/>
        <w:rPr>
          <w:sz w:val="20"/>
          <w:szCs w:val="20"/>
          <w:color w:val="auto"/>
        </w:rPr>
      </w:pPr>
      <w:r>
        <w:rPr>
          <w:rFonts w:ascii="Arial" w:cs="Arial" w:eastAsia="Arial" w:hAnsi="Arial"/>
          <w:sz w:val="17"/>
          <w:szCs w:val="17"/>
          <w:color w:val="auto"/>
        </w:rPr>
        <w:t>2007. Therefore, the Company recorded in the last quarter of fiscal 2007 Section 409A expenses for the adverse tax consequences of the re-measured options exercised during calendar year 2006 of approximately $24.2 million, including estimated penalties and interest. The amount represents additional compensation expense and has been classified in the respective functional categories. The Company has sent timely notices to the IRS and the California Franchise Tax Board that it has elected to participate in these programs.</w:t>
      </w:r>
    </w:p>
    <w:p>
      <w:pPr>
        <w:spacing w:after="0" w:line="171" w:lineRule="exact"/>
        <w:rPr>
          <w:sz w:val="20"/>
          <w:szCs w:val="20"/>
          <w:color w:val="auto"/>
        </w:rPr>
      </w:pPr>
    </w:p>
    <w:p>
      <w:pPr>
        <w:ind w:left="660" w:right="220" w:hanging="328"/>
        <w:spacing w:after="0" w:line="279" w:lineRule="auto"/>
        <w:tabs>
          <w:tab w:leader="none" w:pos="624" w:val="left"/>
        </w:tabs>
        <w:numPr>
          <w:ilvl w:val="1"/>
          <w:numId w:val="9"/>
        </w:numPr>
        <w:rPr>
          <w:rFonts w:ascii="Arial" w:cs="Arial" w:eastAsia="Arial" w:hAnsi="Arial"/>
          <w:sz w:val="17"/>
          <w:szCs w:val="17"/>
          <w:color w:val="auto"/>
        </w:rPr>
      </w:pPr>
      <w:r>
        <w:rPr>
          <w:rFonts w:ascii="Arial" w:cs="Arial" w:eastAsia="Arial" w:hAnsi="Arial"/>
          <w:sz w:val="17"/>
          <w:szCs w:val="17"/>
          <w:i w:val="1"/>
          <w:iCs w:val="1"/>
          <w:color w:val="auto"/>
        </w:rPr>
        <w:t>Unexercised options</w:t>
      </w:r>
      <w:r>
        <w:rPr>
          <w:rFonts w:ascii="Arial" w:cs="Arial" w:eastAsia="Arial" w:hAnsi="Arial"/>
          <w:sz w:val="17"/>
          <w:szCs w:val="17"/>
          <w:color w:val="auto"/>
        </w:rPr>
        <w:t>. The IRS has provided taxpayers with the following two ways of correcting unexercised discounted stock options: 1) setting a</w:t>
      </w:r>
      <w:r>
        <w:rPr>
          <w:rFonts w:ascii="Arial" w:cs="Arial" w:eastAsia="Arial" w:hAnsi="Arial"/>
          <w:sz w:val="17"/>
          <w:szCs w:val="17"/>
          <w:i w:val="1"/>
          <w:iCs w:val="1"/>
          <w:color w:val="auto"/>
        </w:rPr>
        <w:t xml:space="preserve"> </w:t>
      </w:r>
      <w:r>
        <w:rPr>
          <w:rFonts w:ascii="Arial" w:cs="Arial" w:eastAsia="Arial" w:hAnsi="Arial"/>
          <w:sz w:val="17"/>
          <w:szCs w:val="17"/>
          <w:color w:val="auto"/>
        </w:rPr>
        <w:t>fixed exercise date; or 2) increasing the exercise price of the option up to the fair market price on the date of grant. The Company is actively evaluating these options. The discount associated with unexercised stock options outstanding as of January 27, 2007 amounted to $51.7 million. The company has not determined the tax consequences associated with these potential future remedies.</w:t>
      </w:r>
    </w:p>
    <w:p>
      <w:pPr>
        <w:spacing w:after="0" w:line="171" w:lineRule="exact"/>
        <w:rPr>
          <w:rFonts w:ascii="Arial" w:cs="Arial" w:eastAsia="Arial" w:hAnsi="Arial"/>
          <w:sz w:val="17"/>
          <w:szCs w:val="17"/>
          <w:color w:val="auto"/>
        </w:rPr>
      </w:pPr>
    </w:p>
    <w:p>
      <w:pPr>
        <w:ind w:left="340" w:right="40" w:hanging="332"/>
        <w:spacing w:after="0" w:line="276" w:lineRule="auto"/>
        <w:tabs>
          <w:tab w:leader="none" w:pos="320" w:val="left"/>
        </w:tabs>
        <w:numPr>
          <w:ilvl w:val="0"/>
          <w:numId w:val="9"/>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Deferred Tax Asset for Stock Based Compensation: </w:t>
      </w:r>
      <w:r>
        <w:rPr>
          <w:rFonts w:ascii="Arial" w:cs="Arial" w:eastAsia="Arial" w:hAnsi="Arial"/>
          <w:sz w:val="17"/>
          <w:szCs w:val="17"/>
          <w:color w:val="auto"/>
        </w:rPr>
        <w:t>The Company recorded adjustments for the creation of additional deferred tax asset for stock based</w:t>
      </w:r>
      <w:r>
        <w:rPr>
          <w:rFonts w:ascii="Arial" w:cs="Arial" w:eastAsia="Arial" w:hAnsi="Arial"/>
          <w:sz w:val="17"/>
          <w:szCs w:val="17"/>
          <w:i w:val="1"/>
          <w:iCs w:val="1"/>
          <w:color w:val="auto"/>
        </w:rPr>
        <w:t xml:space="preserve"> </w:t>
      </w:r>
      <w:r>
        <w:rPr>
          <w:rFonts w:ascii="Arial" w:cs="Arial" w:eastAsia="Arial" w:hAnsi="Arial"/>
          <w:sz w:val="17"/>
          <w:szCs w:val="17"/>
          <w:color w:val="auto"/>
        </w:rPr>
        <w:t>compensation that is deductible at later periods for U.S. income tax purposes on its balance sheets for year end dates of each of fiscal 2002 through fiscal 2006. As a result, additional benefits for income tax arising from stock based compensation were recognized in fiscal 2006 of $1.8 million, fiscal 2005 of $1.1 million, fiscal 2004 of $1.2 million, fiscal 2003 of $0.4 million and fiscal 2002 of $0.3 million. The total gross stock based compensation cost that results in a deferred tax benefit is $12.0 million of the total expense of $327.4 million.</w:t>
      </w:r>
    </w:p>
    <w:p>
      <w:pPr>
        <w:spacing w:after="0" w:line="172" w:lineRule="exact"/>
        <w:rPr>
          <w:rFonts w:ascii="Arial" w:cs="Arial" w:eastAsia="Arial" w:hAnsi="Arial"/>
          <w:sz w:val="17"/>
          <w:szCs w:val="17"/>
          <w:i w:val="1"/>
          <w:iCs w:val="1"/>
          <w:color w:val="auto"/>
        </w:rPr>
      </w:pPr>
    </w:p>
    <w:p>
      <w:pPr>
        <w:ind w:left="340" w:right="160"/>
        <w:spacing w:after="0" w:line="257" w:lineRule="auto"/>
        <w:rPr>
          <w:rFonts w:ascii="Arial" w:cs="Arial" w:eastAsia="Arial" w:hAnsi="Arial"/>
          <w:sz w:val="17"/>
          <w:szCs w:val="17"/>
          <w:i w:val="1"/>
          <w:iCs w:val="1"/>
          <w:color w:val="auto"/>
        </w:rPr>
      </w:pPr>
      <w:r>
        <w:rPr>
          <w:rFonts w:ascii="Arial" w:cs="Arial" w:eastAsia="Arial" w:hAnsi="Arial"/>
          <w:sz w:val="18"/>
          <w:szCs w:val="18"/>
          <w:color w:val="auto"/>
        </w:rPr>
        <w:t>In addition, the Company evaluated the impact of the restatement on its global tax provision. The Company and its subsidiaries file tax returns in multiple tax jurisdictions around the world. In the U.S. jurisdiction one of the company’s subsidiaries claims a tax deduction relative to stock options with regard to the U.S. distributor business. In accordance with FAS 123R for this jurisdiction where the deduction is claimed during fiscal 2007, the Company has recorded a deferred tax asset totaling $3.5 million at January 27, 2007, to reflect future tax deductions to the extent the company believes such asset is recoverable.</w:t>
      </w:r>
    </w:p>
    <w:p>
      <w:pPr>
        <w:spacing w:after="0" w:line="188" w:lineRule="exact"/>
        <w:rPr>
          <w:rFonts w:ascii="Arial" w:cs="Arial" w:eastAsia="Arial" w:hAnsi="Arial"/>
          <w:sz w:val="17"/>
          <w:szCs w:val="17"/>
          <w:i w:val="1"/>
          <w:iCs w:val="1"/>
          <w:color w:val="auto"/>
        </w:rPr>
      </w:pPr>
    </w:p>
    <w:p>
      <w:pPr>
        <w:ind w:left="340" w:right="160" w:hanging="332"/>
        <w:spacing w:after="0" w:line="302" w:lineRule="auto"/>
        <w:tabs>
          <w:tab w:leader="none" w:pos="324" w:val="left"/>
        </w:tabs>
        <w:numPr>
          <w:ilvl w:val="0"/>
          <w:numId w:val="9"/>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Income Tax - Section 162(m) and utilization of deferred tax assets: </w:t>
      </w:r>
      <w:r>
        <w:rPr>
          <w:rFonts w:ascii="Arial" w:cs="Arial" w:eastAsia="Arial" w:hAnsi="Arial"/>
          <w:sz w:val="16"/>
          <w:szCs w:val="16"/>
          <w:color w:val="auto"/>
        </w:rPr>
        <w:t>The Company has accrued for the current and deferred tax impact of $104.5 million</w:t>
      </w:r>
      <w:r>
        <w:rPr>
          <w:rFonts w:ascii="Arial" w:cs="Arial" w:eastAsia="Arial" w:hAnsi="Arial"/>
          <w:sz w:val="16"/>
          <w:szCs w:val="16"/>
          <w:i w:val="1"/>
          <w:iCs w:val="1"/>
          <w:color w:val="auto"/>
        </w:rPr>
        <w:t xml:space="preserve"> </w:t>
      </w:r>
      <w:r>
        <w:rPr>
          <w:rFonts w:ascii="Arial" w:cs="Arial" w:eastAsia="Arial" w:hAnsi="Arial"/>
          <w:sz w:val="16"/>
          <w:szCs w:val="16"/>
          <w:color w:val="auto"/>
        </w:rPr>
        <w:t>of non-deductible officer compensation related to Internal Revenue Code Section 162(m) (“Section 162(m)”)in fiscal 2006. Section 162(m) limits the deductibility of compensation in excess of one million dollars, but exempts stock option compensation where the option was issued at fair market value on the date of grant. The Company has determined that $104.5 million of executive compensation in fiscal 2006 does not meet the exclusion criteria</w:t>
      </w:r>
    </w:p>
    <w:p>
      <w:pPr>
        <w:sectPr>
          <w:pgSz w:w="11900" w:h="16891" w:orient="portrait"/>
          <w:cols w:equalWidth="0" w:num="1">
            <w:col w:w="11400"/>
          </w:cols>
          <w:pgMar w:left="240" w:top="134" w:right="259" w:bottom="0" w:gutter="0" w:footer="0" w:header="0"/>
        </w:sectPr>
      </w:pPr>
    </w:p>
    <w:bookmarkStart w:id="9" w:name="page10"/>
    <w:bookmarkEnd w:id="9"/>
    <w:p>
      <w:pPr>
        <w:ind w:left="340"/>
        <w:spacing w:after="0" w:line="264" w:lineRule="auto"/>
        <w:rPr>
          <w:sz w:val="20"/>
          <w:szCs w:val="20"/>
          <w:color w:val="auto"/>
        </w:rPr>
      </w:pPr>
      <w:r>
        <w:rPr>
          <w:rFonts w:ascii="Arial" w:cs="Arial" w:eastAsia="Arial" w:hAnsi="Arial"/>
          <w:sz w:val="18"/>
          <w:szCs w:val="18"/>
          <w:color w:val="auto"/>
        </w:rPr>
        <w:t>under Section 162(m), under existing IRS interpretations, and have therefore accrued $21.8 million of current tax expense and $5.4 million of deferred tax expense associated with the utilization of net operating losses. The Company has accrued the penalty and interest totaling $4.9 million associated with this liability in fiscal 2007.</w:t>
      </w:r>
    </w:p>
    <w:p>
      <w:pPr>
        <w:spacing w:after="0" w:line="181" w:lineRule="exact"/>
        <w:rPr>
          <w:sz w:val="20"/>
          <w:szCs w:val="20"/>
          <w:color w:val="auto"/>
        </w:rPr>
      </w:pPr>
    </w:p>
    <w:p>
      <w:pPr>
        <w:ind w:left="340" w:right="300" w:hanging="332"/>
        <w:spacing w:after="0" w:line="277" w:lineRule="auto"/>
        <w:tabs>
          <w:tab w:leader="none" w:pos="32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Other: </w:t>
      </w:r>
      <w:r>
        <w:rPr>
          <w:rFonts w:ascii="Arial" w:cs="Arial" w:eastAsia="Arial" w:hAnsi="Arial"/>
          <w:sz w:val="18"/>
          <w:szCs w:val="18"/>
          <w:color w:val="auto"/>
        </w:rPr>
        <w:t>The Company recorded adjustments to correct an overstatement of deferred tax asset related to the Singapore entity. The original deferred tax</w:t>
      </w:r>
      <w:r>
        <w:rPr>
          <w:rFonts w:ascii="Arial" w:cs="Arial" w:eastAsia="Arial" w:hAnsi="Arial"/>
          <w:sz w:val="18"/>
          <w:szCs w:val="18"/>
          <w:i w:val="1"/>
          <w:iCs w:val="1"/>
          <w:color w:val="auto"/>
        </w:rPr>
        <w:t xml:space="preserve"> </w:t>
      </w:r>
      <w:r>
        <w:rPr>
          <w:rFonts w:ascii="Arial" w:cs="Arial" w:eastAsia="Arial" w:hAnsi="Arial"/>
          <w:sz w:val="18"/>
          <w:szCs w:val="18"/>
          <w:color w:val="auto"/>
        </w:rPr>
        <w:t>asset had not reflected the benefit of the Pioneer status of this entity.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Accumulated Deficit Impact of Equity Award Review and Other Tax Adjustments</w:t>
      </w:r>
    </w:p>
    <w:p>
      <w:pPr>
        <w:spacing w:after="0" w:line="225" w:lineRule="exact"/>
        <w:rPr>
          <w:sz w:val="20"/>
          <w:szCs w:val="20"/>
          <w:color w:val="auto"/>
        </w:rPr>
      </w:pPr>
    </w:p>
    <w:p>
      <w:pPr>
        <w:ind w:right="380" w:firstLine="324"/>
        <w:spacing w:after="0" w:line="264" w:lineRule="auto"/>
        <w:rPr>
          <w:sz w:val="20"/>
          <w:szCs w:val="20"/>
          <w:color w:val="auto"/>
        </w:rPr>
      </w:pPr>
      <w:r>
        <w:rPr>
          <w:rFonts w:ascii="Arial" w:cs="Arial" w:eastAsia="Arial" w:hAnsi="Arial"/>
          <w:sz w:val="18"/>
          <w:szCs w:val="18"/>
          <w:color w:val="auto"/>
        </w:rPr>
        <w:t>The table below reflects the breakdown by year of the cumulative adjustment to retained earnings. The consolidated financial statements for periods through fiscal 2006 included in previously filed periodic reports with the SEC for such periods have not been amended. The consolidated financial statements, included in this Form 10-Q, have been restated as follows (in thousands):</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16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40" w:type="dxa"/>
            <w:vAlign w:val="bottom"/>
            <w:gridSpan w:val="5"/>
          </w:tcPr>
          <w:p>
            <w:pPr>
              <w:jc w:val="center"/>
              <w:ind w:right="200"/>
              <w:spacing w:after="0"/>
              <w:rPr>
                <w:sz w:val="20"/>
                <w:szCs w:val="20"/>
                <w:color w:val="auto"/>
              </w:rPr>
            </w:pPr>
            <w:r>
              <w:rPr>
                <w:rFonts w:ascii="Arial" w:cs="Arial" w:eastAsia="Arial" w:hAnsi="Arial"/>
                <w:sz w:val="13"/>
                <w:szCs w:val="13"/>
                <w:b w:val="1"/>
                <w:bCs w:val="1"/>
                <w:color w:val="auto"/>
                <w:w w:val="91"/>
              </w:rPr>
              <w:t>Cumulative</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5"/>
        </w:trPr>
        <w:tc>
          <w:tcPr>
            <w:tcW w:w="1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gridSpan w:val="3"/>
          </w:tcPr>
          <w:p>
            <w:pPr>
              <w:jc w:val="center"/>
              <w:ind w:right="300"/>
              <w:spacing w:after="0" w:line="135" w:lineRule="exact"/>
              <w:rPr>
                <w:sz w:val="20"/>
                <w:szCs w:val="20"/>
                <w:color w:val="auto"/>
              </w:rPr>
            </w:pPr>
            <w:r>
              <w:rPr>
                <w:rFonts w:ascii="Arial" w:cs="Arial" w:eastAsia="Arial" w:hAnsi="Arial"/>
                <w:sz w:val="13"/>
                <w:szCs w:val="13"/>
                <w:b w:val="1"/>
                <w:bCs w:val="1"/>
                <w:color w:val="auto"/>
                <w:w w:val="86"/>
              </w:rPr>
              <w:t>effect of</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gridSpan w:val="3"/>
          </w:tcPr>
          <w:p>
            <w:pPr>
              <w:jc w:val="center"/>
              <w:ind w:right="320"/>
              <w:spacing w:after="0" w:line="135" w:lineRule="exact"/>
              <w:rPr>
                <w:sz w:val="20"/>
                <w:szCs w:val="20"/>
                <w:color w:val="auto"/>
              </w:rPr>
            </w:pPr>
            <w:r>
              <w:rPr>
                <w:rFonts w:ascii="Arial" w:cs="Arial" w:eastAsia="Arial" w:hAnsi="Arial"/>
                <w:sz w:val="13"/>
                <w:szCs w:val="13"/>
                <w:b w:val="1"/>
                <w:bCs w:val="1"/>
                <w:color w:val="auto"/>
                <w:w w:val="80"/>
              </w:rPr>
              <w:t>Section</w:t>
            </w:r>
          </w:p>
        </w:tc>
        <w:tc>
          <w:tcPr>
            <w:tcW w:w="20" w:type="dxa"/>
            <w:vAlign w:val="bottom"/>
          </w:tcPr>
          <w:p>
            <w:pPr>
              <w:spacing w:after="0"/>
              <w:rPr>
                <w:sz w:val="11"/>
                <w:szCs w:val="11"/>
                <w:color w:val="auto"/>
              </w:rPr>
            </w:pPr>
          </w:p>
        </w:tc>
        <w:tc>
          <w:tcPr>
            <w:tcW w:w="820" w:type="dxa"/>
            <w:vAlign w:val="bottom"/>
            <w:gridSpan w:val="4"/>
          </w:tcPr>
          <w:p>
            <w:pPr>
              <w:jc w:val="center"/>
              <w:ind w:right="220"/>
              <w:spacing w:after="0" w:line="135" w:lineRule="exact"/>
              <w:rPr>
                <w:sz w:val="20"/>
                <w:szCs w:val="20"/>
                <w:color w:val="auto"/>
              </w:rPr>
            </w:pPr>
            <w:r>
              <w:rPr>
                <w:rFonts w:ascii="Arial" w:cs="Arial" w:eastAsia="Arial" w:hAnsi="Arial"/>
                <w:sz w:val="13"/>
                <w:szCs w:val="13"/>
                <w:b w:val="1"/>
                <w:bCs w:val="1"/>
                <w:color w:val="auto"/>
                <w:w w:val="85"/>
              </w:rPr>
              <w:t>change in</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gridSpan w:val="3"/>
          </w:tcPr>
          <w:p>
            <w:pPr>
              <w:jc w:val="center"/>
              <w:ind w:right="160"/>
              <w:spacing w:after="0" w:line="135" w:lineRule="exact"/>
              <w:rPr>
                <w:sz w:val="20"/>
                <w:szCs w:val="20"/>
                <w:color w:val="auto"/>
              </w:rPr>
            </w:pPr>
            <w:r>
              <w:rPr>
                <w:rFonts w:ascii="Arial" w:cs="Arial" w:eastAsia="Arial" w:hAnsi="Arial"/>
                <w:sz w:val="13"/>
                <w:szCs w:val="13"/>
                <w:b w:val="1"/>
                <w:bCs w:val="1"/>
                <w:color w:val="auto"/>
                <w:w w:val="86"/>
              </w:rPr>
              <w:t>Estimated</w:t>
            </w: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80" w:type="dxa"/>
            <w:vAlign w:val="bottom"/>
            <w:gridSpan w:val="4"/>
          </w:tcPr>
          <w:p>
            <w:pPr>
              <w:jc w:val="center"/>
              <w:ind w:right="260"/>
              <w:spacing w:after="0" w:line="135" w:lineRule="exact"/>
              <w:rPr>
                <w:sz w:val="20"/>
                <w:szCs w:val="20"/>
                <w:color w:val="auto"/>
              </w:rPr>
            </w:pPr>
            <w:r>
              <w:rPr>
                <w:rFonts w:ascii="Arial" w:cs="Arial" w:eastAsia="Arial" w:hAnsi="Arial"/>
                <w:sz w:val="13"/>
                <w:szCs w:val="13"/>
                <w:b w:val="1"/>
                <w:bCs w:val="1"/>
                <w:color w:val="auto"/>
                <w:w w:val="91"/>
              </w:rPr>
              <w:t>Additional</w:t>
            </w:r>
          </w:p>
        </w:tc>
        <w:tc>
          <w:tcPr>
            <w:tcW w:w="780" w:type="dxa"/>
            <w:vAlign w:val="bottom"/>
            <w:gridSpan w:val="4"/>
          </w:tcPr>
          <w:p>
            <w:pPr>
              <w:jc w:val="center"/>
              <w:ind w:right="160"/>
              <w:spacing w:after="0" w:line="135" w:lineRule="exact"/>
              <w:rPr>
                <w:sz w:val="20"/>
                <w:szCs w:val="20"/>
                <w:color w:val="auto"/>
              </w:rPr>
            </w:pPr>
            <w:r>
              <w:rPr>
                <w:rFonts w:ascii="Arial" w:cs="Arial" w:eastAsia="Arial" w:hAnsi="Arial"/>
                <w:sz w:val="13"/>
                <w:szCs w:val="13"/>
                <w:b w:val="1"/>
                <w:bCs w:val="1"/>
                <w:color w:val="auto"/>
                <w:w w:val="91"/>
              </w:rPr>
              <w:t>Additional</w:t>
            </w:r>
          </w:p>
        </w:tc>
        <w:tc>
          <w:tcPr>
            <w:tcW w:w="900" w:type="dxa"/>
            <w:vAlign w:val="bottom"/>
            <w:gridSpan w:val="5"/>
          </w:tcPr>
          <w:p>
            <w:pPr>
              <w:jc w:val="center"/>
              <w:ind w:right="160"/>
              <w:spacing w:after="0" w:line="135" w:lineRule="exact"/>
              <w:rPr>
                <w:sz w:val="20"/>
                <w:szCs w:val="20"/>
                <w:color w:val="auto"/>
              </w:rPr>
            </w:pPr>
            <w:r>
              <w:rPr>
                <w:rFonts w:ascii="Arial" w:cs="Arial" w:eastAsia="Arial" w:hAnsi="Arial"/>
                <w:sz w:val="13"/>
                <w:szCs w:val="13"/>
                <w:b w:val="1"/>
                <w:bCs w:val="1"/>
                <w:color w:val="auto"/>
                <w:w w:val="90"/>
              </w:rPr>
              <w:t>162(m) and</w:t>
            </w:r>
          </w:p>
        </w:tc>
        <w:tc>
          <w:tcPr>
            <w:tcW w:w="840" w:type="dxa"/>
            <w:vAlign w:val="bottom"/>
            <w:gridSpan w:val="5"/>
          </w:tcPr>
          <w:p>
            <w:pPr>
              <w:jc w:val="center"/>
              <w:ind w:right="200"/>
              <w:spacing w:after="0" w:line="135" w:lineRule="exact"/>
              <w:rPr>
                <w:sz w:val="20"/>
                <w:szCs w:val="20"/>
                <w:color w:val="auto"/>
              </w:rPr>
            </w:pPr>
            <w:r>
              <w:rPr>
                <w:rFonts w:ascii="Arial" w:cs="Arial" w:eastAsia="Arial" w:hAnsi="Arial"/>
                <w:sz w:val="13"/>
                <w:szCs w:val="13"/>
                <w:b w:val="1"/>
                <w:bCs w:val="1"/>
                <w:color w:val="auto"/>
                <w:w w:val="86"/>
              </w:rPr>
              <w:t>accounting</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80" w:type="dxa"/>
            <w:vAlign w:val="bottom"/>
            <w:gridSpan w:val="3"/>
          </w:tcPr>
          <w:p>
            <w:pPr>
              <w:jc w:val="center"/>
              <w:ind w:right="200"/>
              <w:spacing w:after="0" w:line="135" w:lineRule="exact"/>
              <w:rPr>
                <w:sz w:val="20"/>
                <w:szCs w:val="20"/>
                <w:color w:val="auto"/>
              </w:rPr>
            </w:pPr>
            <w:r>
              <w:rPr>
                <w:rFonts w:ascii="Arial" w:cs="Arial" w:eastAsia="Arial" w:hAnsi="Arial"/>
                <w:sz w:val="13"/>
                <w:szCs w:val="13"/>
                <w:b w:val="1"/>
                <w:bCs w:val="1"/>
                <w:color w:val="auto"/>
                <w:w w:val="82"/>
              </w:rPr>
              <w:t>Stock-based</w:t>
            </w:r>
          </w:p>
        </w:tc>
        <w:tc>
          <w:tcPr>
            <w:tcW w:w="40" w:type="dxa"/>
            <w:vAlign w:val="bottom"/>
          </w:tcPr>
          <w:p>
            <w:pPr>
              <w:spacing w:after="0"/>
              <w:rPr>
                <w:sz w:val="11"/>
                <w:szCs w:val="11"/>
                <w:color w:val="auto"/>
              </w:rPr>
            </w:pPr>
          </w:p>
        </w:tc>
        <w:tc>
          <w:tcPr>
            <w:tcW w:w="780" w:type="dxa"/>
            <w:vAlign w:val="bottom"/>
            <w:gridSpan w:val="3"/>
          </w:tcPr>
          <w:p>
            <w:pPr>
              <w:jc w:val="center"/>
              <w:ind w:right="160"/>
              <w:spacing w:after="0" w:line="135" w:lineRule="exact"/>
              <w:rPr>
                <w:sz w:val="20"/>
                <w:szCs w:val="20"/>
                <w:color w:val="auto"/>
              </w:rPr>
            </w:pPr>
            <w:r>
              <w:rPr>
                <w:rFonts w:ascii="Arial" w:cs="Arial" w:eastAsia="Arial" w:hAnsi="Arial"/>
                <w:sz w:val="13"/>
                <w:szCs w:val="13"/>
                <w:b w:val="1"/>
                <w:bCs w:val="1"/>
                <w:color w:val="auto"/>
                <w:w w:val="87"/>
              </w:rPr>
              <w:t>additional</w:t>
            </w: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3"/>
          </w:tcPr>
          <w:p>
            <w:pPr>
              <w:jc w:val="center"/>
              <w:ind w:right="340"/>
              <w:spacing w:after="0" w:line="135" w:lineRule="exact"/>
              <w:rPr>
                <w:sz w:val="20"/>
                <w:szCs w:val="20"/>
                <w:color w:val="auto"/>
              </w:rPr>
            </w:pPr>
            <w:r>
              <w:rPr>
                <w:rFonts w:ascii="Arial" w:cs="Arial" w:eastAsia="Arial" w:hAnsi="Arial"/>
                <w:sz w:val="13"/>
                <w:szCs w:val="13"/>
                <w:b w:val="1"/>
                <w:bCs w:val="1"/>
                <w:color w:val="auto"/>
                <w:w w:val="88"/>
              </w:rPr>
              <w:t>deferred</w:t>
            </w:r>
          </w:p>
        </w:tc>
        <w:tc>
          <w:tcPr>
            <w:tcW w:w="20" w:type="dxa"/>
            <w:vAlign w:val="bottom"/>
          </w:tcPr>
          <w:p>
            <w:pPr>
              <w:spacing w:after="0"/>
              <w:rPr>
                <w:sz w:val="11"/>
                <w:szCs w:val="11"/>
                <w:color w:val="auto"/>
              </w:rPr>
            </w:pPr>
          </w:p>
        </w:tc>
        <w:tc>
          <w:tcPr>
            <w:tcW w:w="760" w:type="dxa"/>
            <w:vAlign w:val="bottom"/>
            <w:gridSpan w:val="3"/>
          </w:tcPr>
          <w:p>
            <w:pPr>
              <w:jc w:val="center"/>
              <w:ind w:right="180"/>
              <w:spacing w:after="0" w:line="135" w:lineRule="exact"/>
              <w:rPr>
                <w:sz w:val="20"/>
                <w:szCs w:val="20"/>
                <w:color w:val="auto"/>
              </w:rPr>
            </w:pPr>
            <w:r>
              <w:rPr>
                <w:rFonts w:ascii="Arial" w:cs="Arial" w:eastAsia="Arial" w:hAnsi="Arial"/>
                <w:sz w:val="13"/>
                <w:szCs w:val="13"/>
                <w:b w:val="1"/>
                <w:bCs w:val="1"/>
                <w:color w:val="auto"/>
                <w:w w:val="88"/>
              </w:rPr>
              <w:t>deferred</w:t>
            </w: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gridSpan w:val="3"/>
          </w:tcPr>
          <w:p>
            <w:pPr>
              <w:jc w:val="center"/>
              <w:ind w:right="260"/>
              <w:spacing w:after="0" w:line="135" w:lineRule="exact"/>
              <w:rPr>
                <w:sz w:val="20"/>
                <w:szCs w:val="20"/>
                <w:color w:val="auto"/>
              </w:rPr>
            </w:pPr>
            <w:r>
              <w:rPr>
                <w:rFonts w:ascii="Arial" w:cs="Arial" w:eastAsia="Arial" w:hAnsi="Arial"/>
                <w:sz w:val="13"/>
                <w:szCs w:val="13"/>
                <w:b w:val="1"/>
                <w:bCs w:val="1"/>
                <w:color w:val="auto"/>
                <w:w w:val="79"/>
              </w:rPr>
              <w:t>utilization</w:t>
            </w:r>
          </w:p>
        </w:tc>
        <w:tc>
          <w:tcPr>
            <w:tcW w:w="20" w:type="dxa"/>
            <w:vAlign w:val="bottom"/>
          </w:tcPr>
          <w:p>
            <w:pPr>
              <w:spacing w:after="0"/>
              <w:rPr>
                <w:sz w:val="11"/>
                <w:szCs w:val="11"/>
                <w:color w:val="auto"/>
              </w:rPr>
            </w:pPr>
          </w:p>
        </w:tc>
        <w:tc>
          <w:tcPr>
            <w:tcW w:w="820" w:type="dxa"/>
            <w:vAlign w:val="bottom"/>
            <w:gridSpan w:val="4"/>
          </w:tcPr>
          <w:p>
            <w:pPr>
              <w:jc w:val="center"/>
              <w:ind w:right="220"/>
              <w:spacing w:after="0" w:line="135" w:lineRule="exact"/>
              <w:rPr>
                <w:sz w:val="20"/>
                <w:szCs w:val="20"/>
                <w:color w:val="auto"/>
              </w:rPr>
            </w:pPr>
            <w:r>
              <w:rPr>
                <w:rFonts w:ascii="Arial" w:cs="Arial" w:eastAsia="Arial" w:hAnsi="Arial"/>
                <w:sz w:val="13"/>
                <w:szCs w:val="13"/>
                <w:b w:val="1"/>
                <w:bCs w:val="1"/>
                <w:color w:val="auto"/>
                <w:w w:val="89"/>
              </w:rPr>
              <w:t>principle,</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gridSpan w:val="2"/>
          </w:tcPr>
          <w:p>
            <w:pPr>
              <w:jc w:val="center"/>
              <w:ind w:right="400"/>
              <w:spacing w:after="0" w:line="135" w:lineRule="exact"/>
              <w:rPr>
                <w:sz w:val="20"/>
                <w:szCs w:val="20"/>
                <w:color w:val="auto"/>
              </w:rPr>
            </w:pPr>
            <w:r>
              <w:rPr>
                <w:rFonts w:ascii="Arial" w:cs="Arial" w:eastAsia="Arial" w:hAnsi="Arial"/>
                <w:sz w:val="13"/>
                <w:szCs w:val="13"/>
                <w:b w:val="1"/>
                <w:bCs w:val="1"/>
                <w:color w:val="auto"/>
                <w:w w:val="89"/>
              </w:rPr>
              <w:t>Total</w:t>
            </w: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16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20" w:type="dxa"/>
            <w:vAlign w:val="bottom"/>
            <w:gridSpan w:val="4"/>
          </w:tcPr>
          <w:p>
            <w:pPr>
              <w:jc w:val="center"/>
              <w:ind w:right="140"/>
              <w:spacing w:after="0" w:line="135" w:lineRule="exact"/>
              <w:rPr>
                <w:sz w:val="20"/>
                <w:szCs w:val="20"/>
                <w:color w:val="auto"/>
              </w:rPr>
            </w:pPr>
            <w:r>
              <w:rPr>
                <w:rFonts w:ascii="Arial" w:cs="Arial" w:eastAsia="Arial" w:hAnsi="Arial"/>
                <w:sz w:val="13"/>
                <w:szCs w:val="13"/>
                <w:b w:val="1"/>
                <w:bCs w:val="1"/>
                <w:color w:val="auto"/>
                <w:w w:val="83"/>
              </w:rPr>
              <w:t>compensation</w:t>
            </w:r>
          </w:p>
        </w:tc>
        <w:tc>
          <w:tcPr>
            <w:tcW w:w="40" w:type="dxa"/>
            <w:vAlign w:val="bottom"/>
          </w:tcPr>
          <w:p>
            <w:pPr>
              <w:spacing w:after="0"/>
              <w:rPr>
                <w:sz w:val="11"/>
                <w:szCs w:val="11"/>
                <w:color w:val="auto"/>
              </w:rPr>
            </w:pPr>
          </w:p>
        </w:tc>
        <w:tc>
          <w:tcPr>
            <w:tcW w:w="780" w:type="dxa"/>
            <w:vAlign w:val="bottom"/>
            <w:gridSpan w:val="3"/>
          </w:tcPr>
          <w:p>
            <w:pPr>
              <w:jc w:val="center"/>
              <w:ind w:right="160"/>
              <w:spacing w:after="0" w:line="135" w:lineRule="exact"/>
              <w:rPr>
                <w:sz w:val="20"/>
                <w:szCs w:val="20"/>
                <w:color w:val="auto"/>
              </w:rPr>
            </w:pPr>
            <w:r>
              <w:rPr>
                <w:rFonts w:ascii="Arial" w:cs="Arial" w:eastAsia="Arial" w:hAnsi="Arial"/>
                <w:sz w:val="13"/>
                <w:szCs w:val="13"/>
                <w:b w:val="1"/>
                <w:bCs w:val="1"/>
                <w:color w:val="auto"/>
                <w:w w:val="89"/>
              </w:rPr>
              <w:t>payroll tax</w:t>
            </w: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80" w:type="dxa"/>
            <w:vAlign w:val="bottom"/>
            <w:gridSpan w:val="4"/>
          </w:tcPr>
          <w:p>
            <w:pPr>
              <w:jc w:val="center"/>
              <w:ind w:right="260"/>
              <w:spacing w:after="0" w:line="135" w:lineRule="exact"/>
              <w:rPr>
                <w:sz w:val="20"/>
                <w:szCs w:val="20"/>
                <w:color w:val="auto"/>
              </w:rPr>
            </w:pPr>
            <w:r>
              <w:rPr>
                <w:rFonts w:ascii="Arial" w:cs="Arial" w:eastAsia="Arial" w:hAnsi="Arial"/>
                <w:sz w:val="13"/>
                <w:szCs w:val="13"/>
                <w:b w:val="1"/>
                <w:bCs w:val="1"/>
                <w:color w:val="auto"/>
                <w:w w:val="85"/>
              </w:rPr>
              <w:t>income tax</w:t>
            </w:r>
          </w:p>
        </w:tc>
        <w:tc>
          <w:tcPr>
            <w:tcW w:w="780" w:type="dxa"/>
            <w:vAlign w:val="bottom"/>
            <w:gridSpan w:val="4"/>
          </w:tcPr>
          <w:p>
            <w:pPr>
              <w:jc w:val="center"/>
              <w:ind w:right="160"/>
              <w:spacing w:after="0" w:line="135" w:lineRule="exact"/>
              <w:rPr>
                <w:sz w:val="20"/>
                <w:szCs w:val="20"/>
                <w:color w:val="auto"/>
              </w:rPr>
            </w:pPr>
            <w:r>
              <w:rPr>
                <w:rFonts w:ascii="Arial" w:cs="Arial" w:eastAsia="Arial" w:hAnsi="Arial"/>
                <w:sz w:val="13"/>
                <w:szCs w:val="13"/>
                <w:b w:val="1"/>
                <w:bCs w:val="1"/>
                <w:color w:val="auto"/>
                <w:w w:val="85"/>
              </w:rPr>
              <w:t>income tax</w:t>
            </w:r>
          </w:p>
        </w:tc>
        <w:tc>
          <w:tcPr>
            <w:tcW w:w="60" w:type="dxa"/>
            <w:vAlign w:val="bottom"/>
          </w:tcPr>
          <w:p>
            <w:pPr>
              <w:spacing w:after="0"/>
              <w:rPr>
                <w:sz w:val="11"/>
                <w:szCs w:val="11"/>
                <w:color w:val="auto"/>
              </w:rPr>
            </w:pPr>
          </w:p>
        </w:tc>
        <w:tc>
          <w:tcPr>
            <w:tcW w:w="840" w:type="dxa"/>
            <w:vAlign w:val="bottom"/>
            <w:gridSpan w:val="4"/>
          </w:tcPr>
          <w:p>
            <w:pPr>
              <w:jc w:val="center"/>
              <w:ind w:right="220"/>
              <w:spacing w:after="0" w:line="135" w:lineRule="exact"/>
              <w:rPr>
                <w:sz w:val="20"/>
                <w:szCs w:val="20"/>
                <w:color w:val="auto"/>
              </w:rPr>
            </w:pPr>
            <w:r>
              <w:rPr>
                <w:rFonts w:ascii="Arial" w:cs="Arial" w:eastAsia="Arial" w:hAnsi="Arial"/>
                <w:sz w:val="13"/>
                <w:szCs w:val="13"/>
                <w:b w:val="1"/>
                <w:bCs w:val="1"/>
                <w:color w:val="auto"/>
                <w:w w:val="85"/>
              </w:rPr>
              <w:t>of deferred</w:t>
            </w:r>
          </w:p>
        </w:tc>
        <w:tc>
          <w:tcPr>
            <w:tcW w:w="20" w:type="dxa"/>
            <w:vAlign w:val="bottom"/>
          </w:tcPr>
          <w:p>
            <w:pPr>
              <w:spacing w:after="0"/>
              <w:rPr>
                <w:sz w:val="11"/>
                <w:szCs w:val="11"/>
                <w:color w:val="auto"/>
              </w:rPr>
            </w:pPr>
          </w:p>
        </w:tc>
        <w:tc>
          <w:tcPr>
            <w:tcW w:w="820" w:type="dxa"/>
            <w:vAlign w:val="bottom"/>
            <w:gridSpan w:val="4"/>
          </w:tcPr>
          <w:p>
            <w:pPr>
              <w:jc w:val="center"/>
              <w:ind w:right="220"/>
              <w:spacing w:after="0" w:line="135" w:lineRule="exact"/>
              <w:rPr>
                <w:sz w:val="20"/>
                <w:szCs w:val="20"/>
                <w:color w:val="auto"/>
              </w:rPr>
            </w:pPr>
            <w:r>
              <w:rPr>
                <w:rFonts w:ascii="Arial" w:cs="Arial" w:eastAsia="Arial" w:hAnsi="Arial"/>
                <w:sz w:val="13"/>
                <w:szCs w:val="13"/>
                <w:b w:val="1"/>
                <w:bCs w:val="1"/>
                <w:color w:val="auto"/>
                <w:w w:val="89"/>
              </w:rPr>
              <w:t>net of tax</w:t>
            </w:r>
          </w:p>
        </w:tc>
        <w:tc>
          <w:tcPr>
            <w:tcW w:w="980" w:type="dxa"/>
            <w:vAlign w:val="bottom"/>
            <w:gridSpan w:val="4"/>
          </w:tcPr>
          <w:p>
            <w:pPr>
              <w:jc w:val="center"/>
              <w:ind w:right="180"/>
              <w:spacing w:after="0" w:line="135" w:lineRule="exact"/>
              <w:rPr>
                <w:sz w:val="20"/>
                <w:szCs w:val="20"/>
                <w:color w:val="auto"/>
              </w:rPr>
            </w:pPr>
            <w:r>
              <w:rPr>
                <w:rFonts w:ascii="Arial" w:cs="Arial" w:eastAsia="Arial" w:hAnsi="Arial"/>
                <w:sz w:val="13"/>
                <w:szCs w:val="13"/>
                <w:b w:val="1"/>
                <w:bCs w:val="1"/>
                <w:color w:val="auto"/>
                <w:w w:val="87"/>
              </w:rPr>
              <w:t>Adjustments,</w:t>
            </w: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16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80" w:type="dxa"/>
            <w:vAlign w:val="bottom"/>
            <w:gridSpan w:val="2"/>
          </w:tcPr>
          <w:p>
            <w:pPr>
              <w:jc w:val="center"/>
              <w:ind w:right="280"/>
              <w:spacing w:after="0"/>
              <w:rPr>
                <w:sz w:val="20"/>
                <w:szCs w:val="20"/>
                <w:color w:val="auto"/>
              </w:rPr>
            </w:pPr>
            <w:r>
              <w:rPr>
                <w:rFonts w:ascii="Arial" w:cs="Arial" w:eastAsia="Arial" w:hAnsi="Arial"/>
                <w:sz w:val="13"/>
                <w:szCs w:val="13"/>
                <w:b w:val="1"/>
                <w:bCs w:val="1"/>
                <w:color w:val="auto"/>
                <w:w w:val="80"/>
              </w:rPr>
              <w:t>expense</w:t>
            </w: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00" w:type="dxa"/>
            <w:vAlign w:val="bottom"/>
            <w:gridSpan w:val="2"/>
          </w:tcPr>
          <w:p>
            <w:pPr>
              <w:jc w:val="center"/>
              <w:ind w:right="240"/>
              <w:spacing w:after="0"/>
              <w:rPr>
                <w:sz w:val="20"/>
                <w:szCs w:val="20"/>
                <w:color w:val="auto"/>
              </w:rPr>
            </w:pPr>
            <w:r>
              <w:rPr>
                <w:rFonts w:ascii="Arial" w:cs="Arial" w:eastAsia="Arial" w:hAnsi="Arial"/>
                <w:sz w:val="13"/>
                <w:szCs w:val="13"/>
                <w:b w:val="1"/>
                <w:bCs w:val="1"/>
                <w:color w:val="auto"/>
                <w:w w:val="80"/>
              </w:rPr>
              <w:t>expense</w:t>
            </w: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0" w:type="dxa"/>
            <w:vAlign w:val="bottom"/>
            <w:gridSpan w:val="3"/>
          </w:tcPr>
          <w:p>
            <w:pPr>
              <w:jc w:val="center"/>
              <w:ind w:right="340"/>
              <w:spacing w:after="0"/>
              <w:rPr>
                <w:sz w:val="20"/>
                <w:szCs w:val="20"/>
                <w:color w:val="auto"/>
              </w:rPr>
            </w:pPr>
            <w:r>
              <w:rPr>
                <w:rFonts w:ascii="Arial" w:cs="Arial" w:eastAsia="Arial" w:hAnsi="Arial"/>
                <w:sz w:val="13"/>
                <w:szCs w:val="13"/>
                <w:b w:val="1"/>
                <w:bCs w:val="1"/>
                <w:color w:val="auto"/>
                <w:w w:val="89"/>
              </w:rPr>
              <w:t>benefit</w:t>
            </w:r>
          </w:p>
        </w:tc>
        <w:tc>
          <w:tcPr>
            <w:tcW w:w="20" w:type="dxa"/>
            <w:vAlign w:val="bottom"/>
          </w:tcPr>
          <w:p>
            <w:pPr>
              <w:spacing w:after="0"/>
              <w:rPr>
                <w:sz w:val="13"/>
                <w:szCs w:val="13"/>
                <w:color w:val="auto"/>
              </w:rPr>
            </w:pPr>
          </w:p>
        </w:tc>
        <w:tc>
          <w:tcPr>
            <w:tcW w:w="760" w:type="dxa"/>
            <w:vAlign w:val="bottom"/>
            <w:gridSpan w:val="3"/>
          </w:tcPr>
          <w:p>
            <w:pPr>
              <w:jc w:val="center"/>
              <w:ind w:right="180"/>
              <w:spacing w:after="0"/>
              <w:rPr>
                <w:sz w:val="20"/>
                <w:szCs w:val="20"/>
                <w:color w:val="auto"/>
              </w:rPr>
            </w:pPr>
            <w:r>
              <w:rPr>
                <w:rFonts w:ascii="Arial" w:cs="Arial" w:eastAsia="Arial" w:hAnsi="Arial"/>
                <w:sz w:val="13"/>
                <w:szCs w:val="13"/>
                <w:b w:val="1"/>
                <w:bCs w:val="1"/>
                <w:color w:val="auto"/>
                <w:w w:val="85"/>
              </w:rPr>
              <w:t>provision</w:t>
            </w: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40" w:type="dxa"/>
            <w:vAlign w:val="bottom"/>
            <w:gridSpan w:val="3"/>
          </w:tcPr>
          <w:p>
            <w:pPr>
              <w:jc w:val="center"/>
              <w:ind w:right="280"/>
              <w:spacing w:after="0"/>
              <w:rPr>
                <w:sz w:val="20"/>
                <w:szCs w:val="20"/>
                <w:color w:val="auto"/>
              </w:rPr>
            </w:pPr>
            <w:r>
              <w:rPr>
                <w:rFonts w:ascii="Arial" w:cs="Arial" w:eastAsia="Arial" w:hAnsi="Arial"/>
                <w:sz w:val="13"/>
                <w:szCs w:val="13"/>
                <w:b w:val="1"/>
                <w:bCs w:val="1"/>
                <w:color w:val="auto"/>
                <w:w w:val="73"/>
              </w:rPr>
              <w:t>tax assets</w:t>
            </w: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40" w:type="dxa"/>
            <w:vAlign w:val="bottom"/>
            <w:gridSpan w:val="3"/>
          </w:tcPr>
          <w:p>
            <w:pPr>
              <w:jc w:val="center"/>
              <w:ind w:right="300"/>
              <w:spacing w:after="0"/>
              <w:rPr>
                <w:sz w:val="20"/>
                <w:szCs w:val="20"/>
                <w:color w:val="auto"/>
              </w:rPr>
            </w:pPr>
            <w:r>
              <w:rPr>
                <w:rFonts w:ascii="Arial" w:cs="Arial" w:eastAsia="Arial" w:hAnsi="Arial"/>
                <w:sz w:val="13"/>
                <w:szCs w:val="13"/>
                <w:b w:val="1"/>
                <w:bCs w:val="1"/>
                <w:color w:val="auto"/>
                <w:w w:val="80"/>
              </w:rPr>
              <w:t>effect</w:t>
            </w:r>
          </w:p>
        </w:tc>
        <w:tc>
          <w:tcPr>
            <w:tcW w:w="100" w:type="dxa"/>
            <w:vAlign w:val="bottom"/>
          </w:tcPr>
          <w:p>
            <w:pPr>
              <w:spacing w:after="0"/>
              <w:rPr>
                <w:sz w:val="13"/>
                <w:szCs w:val="13"/>
                <w:color w:val="auto"/>
              </w:rPr>
            </w:pPr>
          </w:p>
        </w:tc>
        <w:tc>
          <w:tcPr>
            <w:tcW w:w="880" w:type="dxa"/>
            <w:vAlign w:val="bottom"/>
            <w:gridSpan w:val="3"/>
          </w:tcPr>
          <w:p>
            <w:pPr>
              <w:jc w:val="center"/>
              <w:ind w:right="260"/>
              <w:spacing w:after="0"/>
              <w:rPr>
                <w:sz w:val="20"/>
                <w:szCs w:val="20"/>
                <w:color w:val="auto"/>
              </w:rPr>
            </w:pPr>
            <w:r>
              <w:rPr>
                <w:rFonts w:ascii="Arial" w:cs="Arial" w:eastAsia="Arial" w:hAnsi="Arial"/>
                <w:sz w:val="13"/>
                <w:szCs w:val="13"/>
                <w:b w:val="1"/>
                <w:bCs w:val="1"/>
                <w:color w:val="auto"/>
                <w:w w:val="86"/>
              </w:rPr>
              <w:t>net of tax</w:t>
            </w:r>
          </w:p>
        </w:tc>
        <w:tc>
          <w:tcPr>
            <w:tcW w:w="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10"/>
        </w:trPr>
        <w:tc>
          <w:tcPr>
            <w:tcW w:w="1660" w:type="dxa"/>
            <w:vAlign w:val="bottom"/>
            <w:tcBorders>
              <w:top w:val="single" w:sz="8" w:color="CCEEFF"/>
            </w:tcBorders>
            <w:shd w:val="clear" w:color="auto" w:fill="CCEEFF"/>
          </w:tcPr>
          <w:p>
            <w:pPr>
              <w:spacing w:after="0" w:line="110" w:lineRule="exact"/>
              <w:rPr>
                <w:sz w:val="20"/>
                <w:szCs w:val="20"/>
                <w:color w:val="auto"/>
              </w:rPr>
            </w:pPr>
            <w:r>
              <w:rPr>
                <w:rFonts w:ascii="Arial" w:cs="Arial" w:eastAsia="Arial" w:hAnsi="Arial"/>
                <w:sz w:val="12"/>
                <w:szCs w:val="12"/>
                <w:color w:val="auto"/>
              </w:rPr>
              <w:t>Fiscal 2000 and</w:t>
            </w:r>
          </w:p>
        </w:tc>
        <w:tc>
          <w:tcPr>
            <w:tcW w:w="760" w:type="dxa"/>
            <w:vAlign w:val="bottom"/>
            <w:tcBorders>
              <w:top w:val="single" w:sz="8" w:color="CCEEFF"/>
            </w:tcBorders>
            <w:shd w:val="clear" w:color="auto" w:fill="CCEEFF"/>
          </w:tcPr>
          <w:p>
            <w:pPr>
              <w:spacing w:after="0"/>
              <w:rPr>
                <w:sz w:val="9"/>
                <w:szCs w:val="9"/>
                <w:color w:val="auto"/>
              </w:rPr>
            </w:pPr>
          </w:p>
        </w:tc>
        <w:tc>
          <w:tcPr>
            <w:tcW w:w="20" w:type="dxa"/>
            <w:vAlign w:val="bottom"/>
            <w:tcBorders>
              <w:top w:val="single" w:sz="8" w:color="CCEEFF"/>
            </w:tcBorders>
            <w:shd w:val="clear" w:color="auto" w:fill="CCEEFF"/>
          </w:tcPr>
          <w:p>
            <w:pPr>
              <w:spacing w:after="0"/>
              <w:rPr>
                <w:sz w:val="9"/>
                <w:szCs w:val="9"/>
                <w:color w:val="auto"/>
              </w:rPr>
            </w:pPr>
          </w:p>
        </w:tc>
        <w:tc>
          <w:tcPr>
            <w:tcW w:w="40" w:type="dxa"/>
            <w:vAlign w:val="bottom"/>
            <w:tcBorders>
              <w:top w:val="single" w:sz="8" w:color="auto"/>
            </w:tcBorders>
            <w:shd w:val="clear" w:color="auto" w:fill="CCEEFF"/>
          </w:tcPr>
          <w:p>
            <w:pPr>
              <w:spacing w:after="0"/>
              <w:rPr>
                <w:sz w:val="9"/>
                <w:szCs w:val="9"/>
                <w:color w:val="auto"/>
              </w:rPr>
            </w:pPr>
          </w:p>
        </w:tc>
        <w:tc>
          <w:tcPr>
            <w:tcW w:w="100" w:type="dxa"/>
            <w:vAlign w:val="bottom"/>
            <w:tcBorders>
              <w:top w:val="single" w:sz="8" w:color="auto"/>
            </w:tcBorders>
            <w:shd w:val="clear" w:color="auto" w:fill="CCEEFF"/>
          </w:tcPr>
          <w:p>
            <w:pPr>
              <w:spacing w:after="0"/>
              <w:rPr>
                <w:sz w:val="9"/>
                <w:szCs w:val="9"/>
                <w:color w:val="auto"/>
              </w:rPr>
            </w:pPr>
          </w:p>
        </w:tc>
        <w:tc>
          <w:tcPr>
            <w:tcW w:w="680" w:type="dxa"/>
            <w:vAlign w:val="bottom"/>
            <w:tcBorders>
              <w:top w:val="single" w:sz="8" w:color="auto"/>
              <w:right w:val="single" w:sz="8" w:color="CCEEFF"/>
            </w:tcBorders>
            <w:shd w:val="clear" w:color="auto" w:fill="CCEEFF"/>
          </w:tcPr>
          <w:p>
            <w:pPr>
              <w:spacing w:after="0"/>
              <w:rPr>
                <w:sz w:val="9"/>
                <w:szCs w:val="9"/>
                <w:color w:val="auto"/>
              </w:rPr>
            </w:pPr>
          </w:p>
        </w:tc>
        <w:tc>
          <w:tcPr>
            <w:tcW w:w="100" w:type="dxa"/>
            <w:vAlign w:val="bottom"/>
            <w:tcBorders>
              <w:top w:val="single" w:sz="8" w:color="CCEEFF"/>
            </w:tcBorders>
            <w:shd w:val="clear" w:color="auto" w:fill="CCEEFF"/>
          </w:tcPr>
          <w:p>
            <w:pPr>
              <w:spacing w:after="0"/>
              <w:rPr>
                <w:sz w:val="9"/>
                <w:szCs w:val="9"/>
                <w:color w:val="auto"/>
              </w:rPr>
            </w:pPr>
          </w:p>
        </w:tc>
        <w:tc>
          <w:tcPr>
            <w:tcW w:w="40" w:type="dxa"/>
            <w:vAlign w:val="bottom"/>
            <w:tcBorders>
              <w:top w:val="single" w:sz="8" w:color="auto"/>
            </w:tcBorders>
            <w:shd w:val="clear" w:color="auto" w:fill="CCEEFF"/>
          </w:tcPr>
          <w:p>
            <w:pPr>
              <w:spacing w:after="0"/>
              <w:rPr>
                <w:sz w:val="9"/>
                <w:szCs w:val="9"/>
                <w:color w:val="auto"/>
              </w:rPr>
            </w:pPr>
          </w:p>
        </w:tc>
        <w:tc>
          <w:tcPr>
            <w:tcW w:w="80" w:type="dxa"/>
            <w:vAlign w:val="bottom"/>
            <w:tcBorders>
              <w:top w:val="single" w:sz="8" w:color="auto"/>
            </w:tcBorders>
            <w:shd w:val="clear" w:color="auto" w:fill="CCEEFF"/>
          </w:tcPr>
          <w:p>
            <w:pPr>
              <w:spacing w:after="0"/>
              <w:rPr>
                <w:sz w:val="9"/>
                <w:szCs w:val="9"/>
                <w:color w:val="auto"/>
              </w:rPr>
            </w:pPr>
          </w:p>
        </w:tc>
        <w:tc>
          <w:tcPr>
            <w:tcW w:w="660" w:type="dxa"/>
            <w:vAlign w:val="bottom"/>
            <w:tcBorders>
              <w:top w:val="single" w:sz="8" w:color="auto"/>
              <w:right w:val="single" w:sz="8" w:color="CCEEFF"/>
            </w:tcBorders>
            <w:shd w:val="clear" w:color="auto" w:fill="CCEEFF"/>
          </w:tcPr>
          <w:p>
            <w:pPr>
              <w:spacing w:after="0"/>
              <w:rPr>
                <w:sz w:val="9"/>
                <w:szCs w:val="9"/>
                <w:color w:val="auto"/>
              </w:rPr>
            </w:pPr>
          </w:p>
        </w:tc>
        <w:tc>
          <w:tcPr>
            <w:tcW w:w="40" w:type="dxa"/>
            <w:vAlign w:val="bottom"/>
            <w:tcBorders>
              <w:top w:val="single" w:sz="8" w:color="CCEEFF"/>
            </w:tcBorders>
            <w:shd w:val="clear" w:color="auto" w:fill="CCEEFF"/>
          </w:tcPr>
          <w:p>
            <w:pPr>
              <w:spacing w:after="0"/>
              <w:rPr>
                <w:sz w:val="9"/>
                <w:szCs w:val="9"/>
                <w:color w:val="auto"/>
              </w:rPr>
            </w:pPr>
          </w:p>
        </w:tc>
        <w:tc>
          <w:tcPr>
            <w:tcW w:w="40" w:type="dxa"/>
            <w:vAlign w:val="bottom"/>
            <w:tcBorders>
              <w:top w:val="single" w:sz="8" w:color="CCEEFF"/>
            </w:tcBorders>
            <w:shd w:val="clear" w:color="auto" w:fill="CCEEFF"/>
          </w:tcPr>
          <w:p>
            <w:pPr>
              <w:spacing w:after="0"/>
              <w:rPr>
                <w:sz w:val="9"/>
                <w:szCs w:val="9"/>
                <w:color w:val="auto"/>
              </w:rPr>
            </w:pPr>
          </w:p>
        </w:tc>
        <w:tc>
          <w:tcPr>
            <w:tcW w:w="60" w:type="dxa"/>
            <w:vAlign w:val="bottom"/>
            <w:tcBorders>
              <w:top w:val="single" w:sz="8" w:color="auto"/>
            </w:tcBorders>
            <w:shd w:val="clear" w:color="auto" w:fill="CCEEFF"/>
          </w:tcPr>
          <w:p>
            <w:pPr>
              <w:spacing w:after="0"/>
              <w:rPr>
                <w:sz w:val="9"/>
                <w:szCs w:val="9"/>
                <w:color w:val="auto"/>
              </w:rPr>
            </w:pPr>
          </w:p>
        </w:tc>
        <w:tc>
          <w:tcPr>
            <w:tcW w:w="80" w:type="dxa"/>
            <w:vAlign w:val="bottom"/>
            <w:tcBorders>
              <w:top w:val="single" w:sz="8" w:color="auto"/>
            </w:tcBorders>
            <w:shd w:val="clear" w:color="auto" w:fill="CCEEFF"/>
          </w:tcPr>
          <w:p>
            <w:pPr>
              <w:spacing w:after="0"/>
              <w:rPr>
                <w:sz w:val="9"/>
                <w:szCs w:val="9"/>
                <w:color w:val="auto"/>
              </w:rPr>
            </w:pPr>
          </w:p>
        </w:tc>
        <w:tc>
          <w:tcPr>
            <w:tcW w:w="680" w:type="dxa"/>
            <w:vAlign w:val="bottom"/>
            <w:tcBorders>
              <w:top w:val="single" w:sz="8" w:color="auto"/>
              <w:right w:val="single" w:sz="8" w:color="CCEEFF"/>
            </w:tcBorders>
            <w:shd w:val="clear" w:color="auto" w:fill="CCEEFF"/>
          </w:tcPr>
          <w:p>
            <w:pPr>
              <w:spacing w:after="0"/>
              <w:rPr>
                <w:sz w:val="9"/>
                <w:szCs w:val="9"/>
                <w:color w:val="auto"/>
              </w:rPr>
            </w:pPr>
          </w:p>
        </w:tc>
        <w:tc>
          <w:tcPr>
            <w:tcW w:w="40" w:type="dxa"/>
            <w:vAlign w:val="bottom"/>
            <w:tcBorders>
              <w:top w:val="single" w:sz="8" w:color="CCEEFF"/>
            </w:tcBorders>
            <w:shd w:val="clear" w:color="auto" w:fill="CCEEFF"/>
          </w:tcPr>
          <w:p>
            <w:pPr>
              <w:spacing w:after="0"/>
              <w:rPr>
                <w:sz w:val="9"/>
                <w:szCs w:val="9"/>
                <w:color w:val="auto"/>
              </w:rPr>
            </w:pPr>
          </w:p>
        </w:tc>
        <w:tc>
          <w:tcPr>
            <w:tcW w:w="80" w:type="dxa"/>
            <w:vAlign w:val="bottom"/>
            <w:tcBorders>
              <w:top w:val="single" w:sz="8" w:color="auto"/>
            </w:tcBorders>
            <w:shd w:val="clear" w:color="auto" w:fill="CCEEFF"/>
          </w:tcPr>
          <w:p>
            <w:pPr>
              <w:spacing w:after="0"/>
              <w:rPr>
                <w:sz w:val="9"/>
                <w:szCs w:val="9"/>
                <w:color w:val="auto"/>
              </w:rPr>
            </w:pPr>
          </w:p>
        </w:tc>
        <w:tc>
          <w:tcPr>
            <w:tcW w:w="20" w:type="dxa"/>
            <w:vAlign w:val="bottom"/>
            <w:tcBorders>
              <w:top w:val="single" w:sz="8" w:color="auto"/>
            </w:tcBorders>
            <w:shd w:val="clear" w:color="auto" w:fill="CCEEFF"/>
          </w:tcPr>
          <w:p>
            <w:pPr>
              <w:spacing w:after="0"/>
              <w:rPr>
                <w:sz w:val="9"/>
                <w:szCs w:val="9"/>
                <w:color w:val="auto"/>
              </w:rPr>
            </w:pPr>
          </w:p>
        </w:tc>
        <w:tc>
          <w:tcPr>
            <w:tcW w:w="240" w:type="dxa"/>
            <w:vAlign w:val="bottom"/>
            <w:tcBorders>
              <w:top w:val="single" w:sz="8" w:color="auto"/>
            </w:tcBorders>
            <w:shd w:val="clear" w:color="auto" w:fill="CCEEFF"/>
          </w:tcPr>
          <w:p>
            <w:pPr>
              <w:spacing w:after="0"/>
              <w:rPr>
                <w:sz w:val="9"/>
                <w:szCs w:val="9"/>
                <w:color w:val="auto"/>
              </w:rPr>
            </w:pPr>
          </w:p>
        </w:tc>
        <w:tc>
          <w:tcPr>
            <w:tcW w:w="500" w:type="dxa"/>
            <w:vAlign w:val="bottom"/>
            <w:tcBorders>
              <w:top w:val="single" w:sz="8" w:color="auto"/>
              <w:right w:val="single" w:sz="8" w:color="CCEEFF"/>
            </w:tcBorders>
            <w:shd w:val="clear" w:color="auto" w:fill="CCEEFF"/>
          </w:tcPr>
          <w:p>
            <w:pPr>
              <w:spacing w:after="0"/>
              <w:rPr>
                <w:sz w:val="9"/>
                <w:szCs w:val="9"/>
                <w:color w:val="auto"/>
              </w:rPr>
            </w:pPr>
          </w:p>
        </w:tc>
        <w:tc>
          <w:tcPr>
            <w:tcW w:w="20" w:type="dxa"/>
            <w:vAlign w:val="bottom"/>
            <w:tcBorders>
              <w:top w:val="single" w:sz="8" w:color="CCEEFF"/>
            </w:tcBorders>
            <w:shd w:val="clear" w:color="auto" w:fill="CCEEFF"/>
          </w:tcPr>
          <w:p>
            <w:pPr>
              <w:spacing w:after="0"/>
              <w:rPr>
                <w:sz w:val="9"/>
                <w:szCs w:val="9"/>
                <w:color w:val="auto"/>
              </w:rPr>
            </w:pPr>
          </w:p>
        </w:tc>
        <w:tc>
          <w:tcPr>
            <w:tcW w:w="60" w:type="dxa"/>
            <w:vAlign w:val="bottom"/>
            <w:tcBorders>
              <w:top w:val="single" w:sz="8" w:color="auto"/>
            </w:tcBorders>
            <w:shd w:val="clear" w:color="auto" w:fill="CCEEFF"/>
          </w:tcPr>
          <w:p>
            <w:pPr>
              <w:spacing w:after="0"/>
              <w:rPr>
                <w:sz w:val="9"/>
                <w:szCs w:val="9"/>
                <w:color w:val="auto"/>
              </w:rPr>
            </w:pPr>
          </w:p>
        </w:tc>
        <w:tc>
          <w:tcPr>
            <w:tcW w:w="100" w:type="dxa"/>
            <w:vAlign w:val="bottom"/>
            <w:tcBorders>
              <w:top w:val="single" w:sz="8" w:color="auto"/>
              <w:right w:val="single" w:sz="8" w:color="CCEEFF"/>
            </w:tcBorders>
            <w:shd w:val="clear" w:color="auto" w:fill="CCEEFF"/>
          </w:tcPr>
          <w:p>
            <w:pPr>
              <w:spacing w:after="0"/>
              <w:rPr>
                <w:sz w:val="9"/>
                <w:szCs w:val="9"/>
                <w:color w:val="auto"/>
              </w:rPr>
            </w:pPr>
          </w:p>
        </w:tc>
        <w:tc>
          <w:tcPr>
            <w:tcW w:w="600" w:type="dxa"/>
            <w:vAlign w:val="bottom"/>
            <w:tcBorders>
              <w:top w:val="single" w:sz="8" w:color="auto"/>
            </w:tcBorders>
            <w:shd w:val="clear" w:color="auto" w:fill="CCEEFF"/>
          </w:tcPr>
          <w:p>
            <w:pPr>
              <w:spacing w:after="0"/>
              <w:rPr>
                <w:sz w:val="9"/>
                <w:szCs w:val="9"/>
                <w:color w:val="auto"/>
              </w:rPr>
            </w:pPr>
          </w:p>
        </w:tc>
        <w:tc>
          <w:tcPr>
            <w:tcW w:w="80" w:type="dxa"/>
            <w:vAlign w:val="bottom"/>
            <w:tcBorders>
              <w:top w:val="single" w:sz="8" w:color="CCEEFF"/>
              <w:right w:val="single" w:sz="8" w:color="CCEEFF"/>
            </w:tcBorders>
            <w:shd w:val="clear" w:color="auto" w:fill="CCEEFF"/>
          </w:tcPr>
          <w:p>
            <w:pPr>
              <w:spacing w:after="0"/>
              <w:rPr>
                <w:sz w:val="9"/>
                <w:szCs w:val="9"/>
                <w:color w:val="auto"/>
              </w:rPr>
            </w:pPr>
          </w:p>
        </w:tc>
        <w:tc>
          <w:tcPr>
            <w:tcW w:w="60" w:type="dxa"/>
            <w:vAlign w:val="bottom"/>
            <w:tcBorders>
              <w:top w:val="single" w:sz="8" w:color="auto"/>
            </w:tcBorders>
            <w:shd w:val="clear" w:color="auto" w:fill="CCEEFF"/>
          </w:tcPr>
          <w:p>
            <w:pPr>
              <w:spacing w:after="0"/>
              <w:rPr>
                <w:sz w:val="9"/>
                <w:szCs w:val="9"/>
                <w:color w:val="auto"/>
              </w:rPr>
            </w:pPr>
          </w:p>
        </w:tc>
        <w:tc>
          <w:tcPr>
            <w:tcW w:w="20" w:type="dxa"/>
            <w:vAlign w:val="bottom"/>
            <w:tcBorders>
              <w:top w:val="single" w:sz="8" w:color="auto"/>
            </w:tcBorders>
            <w:shd w:val="clear" w:color="auto" w:fill="CCEEFF"/>
          </w:tcPr>
          <w:p>
            <w:pPr>
              <w:spacing w:after="0"/>
              <w:rPr>
                <w:sz w:val="9"/>
                <w:szCs w:val="9"/>
                <w:color w:val="auto"/>
              </w:rPr>
            </w:pPr>
          </w:p>
        </w:tc>
        <w:tc>
          <w:tcPr>
            <w:tcW w:w="80" w:type="dxa"/>
            <w:vAlign w:val="bottom"/>
            <w:tcBorders>
              <w:top w:val="single" w:sz="8" w:color="auto"/>
            </w:tcBorders>
            <w:shd w:val="clear" w:color="auto" w:fill="CCEEFF"/>
          </w:tcPr>
          <w:p>
            <w:pPr>
              <w:spacing w:after="0"/>
              <w:rPr>
                <w:sz w:val="9"/>
                <w:szCs w:val="9"/>
                <w:color w:val="auto"/>
              </w:rPr>
            </w:pPr>
          </w:p>
        </w:tc>
        <w:tc>
          <w:tcPr>
            <w:tcW w:w="640" w:type="dxa"/>
            <w:vAlign w:val="bottom"/>
            <w:tcBorders>
              <w:top w:val="single" w:sz="8" w:color="auto"/>
            </w:tcBorders>
            <w:shd w:val="clear" w:color="auto" w:fill="CCEEFF"/>
          </w:tcPr>
          <w:p>
            <w:pPr>
              <w:spacing w:after="0"/>
              <w:rPr>
                <w:sz w:val="9"/>
                <w:szCs w:val="9"/>
                <w:color w:val="auto"/>
              </w:rPr>
            </w:pPr>
          </w:p>
        </w:tc>
        <w:tc>
          <w:tcPr>
            <w:tcW w:w="80" w:type="dxa"/>
            <w:vAlign w:val="bottom"/>
            <w:tcBorders>
              <w:top w:val="single" w:sz="8" w:color="CCEEFF"/>
            </w:tcBorders>
            <w:shd w:val="clear" w:color="auto" w:fill="CCEEFF"/>
          </w:tcPr>
          <w:p>
            <w:pPr>
              <w:spacing w:after="0"/>
              <w:rPr>
                <w:sz w:val="9"/>
                <w:szCs w:val="9"/>
                <w:color w:val="auto"/>
              </w:rPr>
            </w:pPr>
          </w:p>
        </w:tc>
        <w:tc>
          <w:tcPr>
            <w:tcW w:w="20" w:type="dxa"/>
            <w:vAlign w:val="bottom"/>
            <w:tcBorders>
              <w:top w:val="single" w:sz="8" w:color="CCEEFF"/>
            </w:tcBorders>
            <w:shd w:val="clear" w:color="auto" w:fill="CCEEFF"/>
          </w:tcPr>
          <w:p>
            <w:pPr>
              <w:spacing w:after="0"/>
              <w:rPr>
                <w:sz w:val="9"/>
                <w:szCs w:val="9"/>
                <w:color w:val="auto"/>
              </w:rPr>
            </w:pPr>
          </w:p>
        </w:tc>
        <w:tc>
          <w:tcPr>
            <w:tcW w:w="100" w:type="dxa"/>
            <w:vAlign w:val="bottom"/>
            <w:tcBorders>
              <w:top w:val="single" w:sz="8" w:color="auto"/>
            </w:tcBorders>
            <w:shd w:val="clear" w:color="auto" w:fill="CCEEFF"/>
          </w:tcPr>
          <w:p>
            <w:pPr>
              <w:spacing w:after="0"/>
              <w:rPr>
                <w:sz w:val="9"/>
                <w:szCs w:val="9"/>
                <w:color w:val="auto"/>
              </w:rPr>
            </w:pPr>
          </w:p>
        </w:tc>
        <w:tc>
          <w:tcPr>
            <w:tcW w:w="120" w:type="dxa"/>
            <w:vAlign w:val="bottom"/>
            <w:tcBorders>
              <w:top w:val="single" w:sz="8" w:color="auto"/>
            </w:tcBorders>
            <w:shd w:val="clear" w:color="auto" w:fill="CCEEFF"/>
          </w:tcPr>
          <w:p>
            <w:pPr>
              <w:spacing w:after="0"/>
              <w:rPr>
                <w:sz w:val="9"/>
                <w:szCs w:val="9"/>
                <w:color w:val="auto"/>
              </w:rPr>
            </w:pPr>
          </w:p>
        </w:tc>
        <w:tc>
          <w:tcPr>
            <w:tcW w:w="660" w:type="dxa"/>
            <w:vAlign w:val="bottom"/>
            <w:tcBorders>
              <w:top w:val="single" w:sz="8" w:color="auto"/>
              <w:right w:val="single" w:sz="8" w:color="CCEEFF"/>
            </w:tcBorders>
            <w:shd w:val="clear" w:color="auto" w:fill="CCEEFF"/>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67"/>
        </w:trPr>
        <w:tc>
          <w:tcPr>
            <w:tcW w:w="1660" w:type="dxa"/>
            <w:vAlign w:val="bottom"/>
            <w:shd w:val="clear" w:color="auto" w:fill="CCEEFF"/>
          </w:tcPr>
          <w:p>
            <w:pPr>
              <w:ind w:left="180"/>
              <w:spacing w:after="0"/>
              <w:rPr>
                <w:sz w:val="20"/>
                <w:szCs w:val="20"/>
                <w:color w:val="auto"/>
              </w:rPr>
            </w:pPr>
            <w:r>
              <w:rPr>
                <w:rFonts w:ascii="Arial" w:cs="Arial" w:eastAsia="Arial" w:hAnsi="Arial"/>
                <w:sz w:val="14"/>
                <w:szCs w:val="14"/>
                <w:color w:val="auto"/>
              </w:rPr>
              <w:t>prior*</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1,255</w:t>
            </w:r>
          </w:p>
        </w:tc>
        <w:tc>
          <w:tcPr>
            <w:tcW w:w="100" w:type="dxa"/>
            <w:vAlign w:val="bottom"/>
            <w:shd w:val="clear" w:color="auto" w:fill="CCEEFF"/>
          </w:tcPr>
          <w:p>
            <w:pPr>
              <w:spacing w:after="0"/>
              <w:rPr>
                <w:sz w:val="14"/>
                <w:szCs w:val="14"/>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00" w:type="dxa"/>
            <w:vAlign w:val="bottom"/>
            <w:gridSpan w:val="2"/>
            <w:shd w:val="clear" w:color="auto" w:fill="CCEEFF"/>
          </w:tcPr>
          <w:p>
            <w:pPr>
              <w:jc w:val="center"/>
              <w:ind w:left="289"/>
              <w:spacing w:after="0"/>
              <w:rPr>
                <w:sz w:val="20"/>
                <w:szCs w:val="20"/>
                <w:color w:val="auto"/>
              </w:rPr>
            </w:pPr>
            <w:r>
              <w:rPr>
                <w:rFonts w:ascii="Arial" w:cs="Arial" w:eastAsia="Arial" w:hAnsi="Arial"/>
                <w:sz w:val="14"/>
                <w:szCs w:val="14"/>
                <w:color w:val="auto"/>
                <w:w w:val="99"/>
              </w:rPr>
              <w:t>—</w:t>
            </w:r>
          </w:p>
        </w:tc>
        <w:tc>
          <w:tcPr>
            <w:tcW w:w="180" w:type="dxa"/>
            <w:vAlign w:val="bottom"/>
            <w:gridSpan w:val="3"/>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800" w:type="dxa"/>
            <w:vAlign w:val="bottom"/>
            <w:gridSpan w:val="3"/>
            <w:shd w:val="clear" w:color="auto" w:fill="CCEEFF"/>
          </w:tcPr>
          <w:p>
            <w:pPr>
              <w:ind w:left="480"/>
              <w:spacing w:after="0"/>
              <w:rPr>
                <w:sz w:val="20"/>
                <w:szCs w:val="20"/>
                <w:color w:val="auto"/>
              </w:rPr>
            </w:pPr>
            <w:r>
              <w:rPr>
                <w:rFonts w:ascii="Arial" w:cs="Arial" w:eastAsia="Arial" w:hAnsi="Arial"/>
                <w:sz w:val="14"/>
                <w:szCs w:val="14"/>
                <w:color w:val="auto"/>
              </w:rPr>
              <w:t>—  $</w:t>
            </w:r>
          </w:p>
        </w:tc>
        <w:tc>
          <w:tcPr>
            <w:tcW w:w="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80" w:type="dxa"/>
            <w:vAlign w:val="bottom"/>
            <w:gridSpan w:val="3"/>
            <w:shd w:val="clear" w:color="auto" w:fill="CCEEFF"/>
          </w:tcPr>
          <w:p>
            <w:pPr>
              <w:ind w:left="300"/>
              <w:spacing w:after="0"/>
              <w:rPr>
                <w:sz w:val="20"/>
                <w:szCs w:val="20"/>
                <w:color w:val="auto"/>
              </w:rPr>
            </w:pPr>
            <w:r>
              <w:rPr>
                <w:rFonts w:ascii="Arial" w:cs="Arial" w:eastAsia="Arial" w:hAnsi="Arial"/>
                <w:sz w:val="14"/>
                <w:szCs w:val="14"/>
                <w:color w:val="auto"/>
              </w:rPr>
              <w:t>— $</w:t>
            </w:r>
          </w:p>
        </w:tc>
        <w:tc>
          <w:tcPr>
            <w:tcW w:w="100" w:type="dxa"/>
            <w:vAlign w:val="bottom"/>
            <w:tcBorders>
              <w:right w:val="single" w:sz="8" w:color="CCEEFF"/>
            </w:tcBorders>
            <w:shd w:val="clear" w:color="auto" w:fill="CCEEFF"/>
          </w:tcPr>
          <w:p>
            <w:pPr>
              <w:spacing w:after="0"/>
              <w:rPr>
                <w:sz w:val="14"/>
                <w:szCs w:val="14"/>
                <w:color w:val="auto"/>
              </w:rPr>
            </w:pPr>
          </w:p>
        </w:tc>
        <w:tc>
          <w:tcPr>
            <w:tcW w:w="740" w:type="dxa"/>
            <w:vAlign w:val="bottom"/>
            <w:gridSpan w:val="3"/>
            <w:shd w:val="clear" w:color="auto" w:fill="CCEEFF"/>
          </w:tcPr>
          <w:p>
            <w:pPr>
              <w:ind w:left="440"/>
              <w:spacing w:after="0"/>
              <w:rPr>
                <w:sz w:val="20"/>
                <w:szCs w:val="20"/>
                <w:color w:val="auto"/>
              </w:rPr>
            </w:pPr>
            <w:r>
              <w:rPr>
                <w:rFonts w:ascii="Arial" w:cs="Arial" w:eastAsia="Arial" w:hAnsi="Arial"/>
                <w:sz w:val="14"/>
                <w:szCs w:val="14"/>
                <w:color w:val="auto"/>
              </w:rPr>
              <w:t>— $</w:t>
            </w: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gridSpan w:val="3"/>
            <w:shd w:val="clear" w:color="auto" w:fill="CCEEFF"/>
          </w:tcPr>
          <w:p>
            <w:pPr>
              <w:ind w:left="480"/>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4"/>
                <w:szCs w:val="14"/>
                <w:color w:val="auto"/>
                <w:w w:val="76"/>
              </w:rPr>
              <w:t>$</w:t>
            </w:r>
          </w:p>
        </w:tc>
        <w:tc>
          <w:tcPr>
            <w:tcW w:w="120" w:type="dxa"/>
            <w:vAlign w:val="bottom"/>
            <w:shd w:val="clear" w:color="auto" w:fill="CCEEFF"/>
          </w:tcPr>
          <w:p>
            <w:pPr>
              <w:spacing w:after="0"/>
              <w:rPr>
                <w:sz w:val="14"/>
                <w:szCs w:val="14"/>
                <w:color w:val="auto"/>
              </w:rPr>
            </w:pPr>
          </w:p>
        </w:tc>
        <w:tc>
          <w:tcPr>
            <w:tcW w:w="6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1,255</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rPr>
              <w:t>Fiscal 2001</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18,707</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center"/>
              <w:ind w:left="289"/>
              <w:spacing w:after="0" w:line="149" w:lineRule="exact"/>
              <w:rPr>
                <w:sz w:val="20"/>
                <w:szCs w:val="20"/>
                <w:color w:val="auto"/>
              </w:rPr>
            </w:pPr>
            <w:r>
              <w:rPr>
                <w:rFonts w:ascii="Arial" w:cs="Arial" w:eastAsia="Arial" w:hAnsi="Arial"/>
                <w:sz w:val="14"/>
                <w:szCs w:val="14"/>
                <w:color w:val="auto"/>
                <w:w w:val="99"/>
              </w:rPr>
              <w:t>—</w:t>
            </w: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3"/>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20" w:type="dxa"/>
            <w:vAlign w:val="bottom"/>
            <w:gridSpan w:val="2"/>
          </w:tcPr>
          <w:p>
            <w:pPr>
              <w:ind w:left="3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3"/>
          </w:tcPr>
          <w:p>
            <w:pPr>
              <w:ind w:left="440"/>
              <w:spacing w:after="0" w:line="149" w:lineRule="exact"/>
              <w:rPr>
                <w:sz w:val="20"/>
                <w:szCs w:val="20"/>
                <w:color w:val="auto"/>
              </w:rPr>
            </w:pPr>
            <w:r>
              <w:rPr>
                <w:rFonts w:ascii="Arial" w:cs="Arial" w:eastAsia="Arial" w:hAnsi="Arial"/>
                <w:sz w:val="14"/>
                <w:szCs w:val="14"/>
                <w:color w:val="auto"/>
              </w:rPr>
              <w:t>—</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gridSpan w:val="3"/>
          </w:tcPr>
          <w:p>
            <w:pPr>
              <w:ind w:left="48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18,707</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Fiscal 2002</w:t>
            </w:r>
          </w:p>
        </w:tc>
        <w:tc>
          <w:tcPr>
            <w:tcW w:w="76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33,318</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center"/>
              <w:ind w:left="289"/>
              <w:spacing w:after="0" w:line="149" w:lineRule="exact"/>
              <w:rPr>
                <w:sz w:val="20"/>
                <w:szCs w:val="20"/>
                <w:color w:val="auto"/>
              </w:rPr>
            </w:pPr>
            <w:r>
              <w:rPr>
                <w:rFonts w:ascii="Arial" w:cs="Arial" w:eastAsia="Arial" w:hAnsi="Arial"/>
                <w:sz w:val="14"/>
                <w:szCs w:val="14"/>
                <w:color w:val="auto"/>
                <w:w w:val="99"/>
              </w:rPr>
              <w:t>—</w:t>
            </w: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(259)</w:t>
            </w:r>
          </w:p>
        </w:tc>
        <w:tc>
          <w:tcPr>
            <w:tcW w:w="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520" w:type="dxa"/>
            <w:vAlign w:val="bottom"/>
            <w:gridSpan w:val="2"/>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00" w:type="dxa"/>
            <w:vAlign w:val="bottom"/>
            <w:tcBorders>
              <w:right w:val="single" w:sz="8" w:color="CCEEFF"/>
            </w:tcBorders>
            <w:shd w:val="clear" w:color="auto" w:fill="CCEEFF"/>
          </w:tcPr>
          <w:p>
            <w:pPr>
              <w:spacing w:after="0"/>
              <w:rPr>
                <w:sz w:val="12"/>
                <w:szCs w:val="12"/>
                <w:color w:val="auto"/>
              </w:rPr>
            </w:pPr>
          </w:p>
        </w:tc>
        <w:tc>
          <w:tcPr>
            <w:tcW w:w="740" w:type="dxa"/>
            <w:vAlign w:val="bottom"/>
            <w:gridSpan w:val="3"/>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40" w:type="dxa"/>
            <w:vAlign w:val="bottom"/>
            <w:gridSpan w:val="3"/>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33,059</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rPr>
              <w:t>Fiscal 2003</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35,540</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center"/>
              <w:ind w:left="329"/>
              <w:spacing w:after="0" w:line="149" w:lineRule="exact"/>
              <w:rPr>
                <w:sz w:val="20"/>
                <w:szCs w:val="20"/>
                <w:color w:val="auto"/>
              </w:rPr>
            </w:pPr>
            <w:r>
              <w:rPr>
                <w:rFonts w:ascii="Arial" w:cs="Arial" w:eastAsia="Arial" w:hAnsi="Arial"/>
                <w:sz w:val="14"/>
                <w:szCs w:val="14"/>
                <w:color w:val="auto"/>
                <w:w w:val="89"/>
              </w:rPr>
              <w:t>17</w:t>
            </w:r>
          </w:p>
        </w:tc>
        <w:tc>
          <w:tcPr>
            <w:tcW w:w="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(405)</w:t>
            </w: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3"/>
          </w:tcPr>
          <w:p>
            <w:pPr>
              <w:ind w:left="440"/>
              <w:spacing w:after="0" w:line="149" w:lineRule="exact"/>
              <w:rPr>
                <w:sz w:val="20"/>
                <w:szCs w:val="20"/>
                <w:color w:val="auto"/>
              </w:rPr>
            </w:pPr>
            <w:r>
              <w:rPr>
                <w:rFonts w:ascii="Arial" w:cs="Arial" w:eastAsia="Arial" w:hAnsi="Arial"/>
                <w:sz w:val="14"/>
                <w:szCs w:val="14"/>
                <w:color w:val="auto"/>
              </w:rPr>
              <w:t>—</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gridSpan w:val="3"/>
          </w:tcPr>
          <w:p>
            <w:pPr>
              <w:ind w:left="48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35,152</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Fiscal 2004</w:t>
            </w:r>
          </w:p>
        </w:tc>
        <w:tc>
          <w:tcPr>
            <w:tcW w:w="76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64,015</w:t>
            </w:r>
          </w:p>
        </w:tc>
        <w:tc>
          <w:tcPr>
            <w:tcW w:w="10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tcBorders>
              <w:right w:val="single" w:sz="8" w:color="CCEEFF"/>
            </w:tcBorders>
            <w:shd w:val="clear" w:color="auto" w:fill="CCEEFF"/>
          </w:tcPr>
          <w:p>
            <w:pPr>
              <w:jc w:val="center"/>
              <w:ind w:left="249"/>
              <w:spacing w:after="0" w:line="149" w:lineRule="exact"/>
              <w:rPr>
                <w:sz w:val="20"/>
                <w:szCs w:val="20"/>
                <w:color w:val="auto"/>
              </w:rPr>
            </w:pPr>
            <w:r>
              <w:rPr>
                <w:rFonts w:ascii="Arial" w:cs="Arial" w:eastAsia="Arial" w:hAnsi="Arial"/>
                <w:sz w:val="14"/>
                <w:szCs w:val="14"/>
                <w:color w:val="auto"/>
                <w:w w:val="94"/>
              </w:rPr>
              <w:t>921</w:t>
            </w:r>
          </w:p>
        </w:tc>
        <w:tc>
          <w:tcPr>
            <w:tcW w:w="4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(1,170)</w:t>
            </w:r>
          </w:p>
        </w:tc>
        <w:tc>
          <w:tcPr>
            <w:tcW w:w="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52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00" w:type="dxa"/>
            <w:vAlign w:val="bottom"/>
            <w:tcBorders>
              <w:right w:val="single" w:sz="8" w:color="CCEEFF"/>
            </w:tcBorders>
            <w:shd w:val="clear" w:color="auto" w:fill="CCEEFF"/>
          </w:tcPr>
          <w:p>
            <w:pPr>
              <w:spacing w:after="0"/>
              <w:rPr>
                <w:sz w:val="12"/>
                <w:szCs w:val="12"/>
                <w:color w:val="auto"/>
              </w:rPr>
            </w:pPr>
          </w:p>
        </w:tc>
        <w:tc>
          <w:tcPr>
            <w:tcW w:w="740" w:type="dxa"/>
            <w:vAlign w:val="bottom"/>
            <w:gridSpan w:val="3"/>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40" w:type="dxa"/>
            <w:vAlign w:val="bottom"/>
            <w:gridSpan w:val="3"/>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63,766</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0"/>
        </w:trPr>
        <w:tc>
          <w:tcPr>
            <w:tcW w:w="1660" w:type="dxa"/>
            <w:vAlign w:val="bottom"/>
          </w:tcPr>
          <w:p>
            <w:pPr>
              <w:spacing w:after="0" w:line="110" w:lineRule="exact"/>
              <w:rPr>
                <w:sz w:val="20"/>
                <w:szCs w:val="20"/>
                <w:color w:val="auto"/>
              </w:rPr>
            </w:pPr>
            <w:r>
              <w:rPr>
                <w:rFonts w:ascii="Arial" w:cs="Arial" w:eastAsia="Arial" w:hAnsi="Arial"/>
                <w:sz w:val="12"/>
                <w:szCs w:val="12"/>
                <w:color w:val="auto"/>
              </w:rPr>
              <w:t>Cumulative effect</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40" w:type="dxa"/>
            <w:vAlign w:val="bottom"/>
            <w:tcBorders>
              <w:top w:val="single" w:sz="8" w:color="auto"/>
            </w:tcBorders>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680" w:type="dxa"/>
            <w:vAlign w:val="bottom"/>
            <w:tcBorders>
              <w:top w:val="single" w:sz="8" w:color="auto"/>
            </w:tcBorders>
          </w:tcPr>
          <w:p>
            <w:pPr>
              <w:spacing w:after="0"/>
              <w:rPr>
                <w:sz w:val="9"/>
                <w:szCs w:val="9"/>
                <w:color w:val="auto"/>
              </w:rPr>
            </w:pPr>
          </w:p>
        </w:tc>
        <w:tc>
          <w:tcPr>
            <w:tcW w:w="100" w:type="dxa"/>
            <w:vAlign w:val="bottom"/>
          </w:tcPr>
          <w:p>
            <w:pPr>
              <w:spacing w:after="0"/>
              <w:rPr>
                <w:sz w:val="9"/>
                <w:szCs w:val="9"/>
                <w:color w:val="auto"/>
              </w:rPr>
            </w:pPr>
          </w:p>
        </w:tc>
        <w:tc>
          <w:tcPr>
            <w:tcW w:w="40" w:type="dxa"/>
            <w:vAlign w:val="bottom"/>
            <w:tcBorders>
              <w:top w:val="single" w:sz="8" w:color="auto"/>
            </w:tcBorders>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660" w:type="dxa"/>
            <w:vAlign w:val="bottom"/>
            <w:tcBorders>
              <w:top w:val="single" w:sz="8" w:color="auto"/>
            </w:tcBorders>
          </w:tcPr>
          <w:p>
            <w:pPr>
              <w:spacing w:after="0"/>
              <w:rPr>
                <w:sz w:val="9"/>
                <w:szCs w:val="9"/>
                <w:color w:val="auto"/>
              </w:rPr>
            </w:pPr>
          </w:p>
        </w:tc>
        <w:tc>
          <w:tcPr>
            <w:tcW w:w="4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Borders>
              <w:top w:val="single" w:sz="8" w:color="auto"/>
            </w:tcBorders>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680" w:type="dxa"/>
            <w:vAlign w:val="bottom"/>
            <w:tcBorders>
              <w:top w:val="single" w:sz="8" w:color="auto"/>
            </w:tcBorders>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20" w:type="dxa"/>
            <w:vAlign w:val="bottom"/>
            <w:tcBorders>
              <w:top w:val="single" w:sz="8" w:color="auto"/>
            </w:tcBorders>
          </w:tcPr>
          <w:p>
            <w:pPr>
              <w:spacing w:after="0"/>
              <w:rPr>
                <w:sz w:val="9"/>
                <w:szCs w:val="9"/>
                <w:color w:val="auto"/>
              </w:rPr>
            </w:pPr>
          </w:p>
        </w:tc>
        <w:tc>
          <w:tcPr>
            <w:tcW w:w="240" w:type="dxa"/>
            <w:vAlign w:val="bottom"/>
            <w:tcBorders>
              <w:top w:val="single" w:sz="8" w:color="auto"/>
            </w:tcBorders>
          </w:tcPr>
          <w:p>
            <w:pPr>
              <w:spacing w:after="0"/>
              <w:rPr>
                <w:sz w:val="9"/>
                <w:szCs w:val="9"/>
                <w:color w:val="auto"/>
              </w:rPr>
            </w:pPr>
          </w:p>
        </w:tc>
        <w:tc>
          <w:tcPr>
            <w:tcW w:w="500" w:type="dxa"/>
            <w:vAlign w:val="bottom"/>
            <w:tcBorders>
              <w:top w:val="single" w:sz="8" w:color="auto"/>
            </w:tcBorders>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Borders>
              <w:top w:val="single" w:sz="8" w:color="auto"/>
            </w:tcBorders>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600" w:type="dxa"/>
            <w:vAlign w:val="bottom"/>
            <w:tcBorders>
              <w:top w:val="single" w:sz="8" w:color="auto"/>
            </w:tcBorders>
          </w:tcPr>
          <w:p>
            <w:pPr>
              <w:spacing w:after="0"/>
              <w:rPr>
                <w:sz w:val="9"/>
                <w:szCs w:val="9"/>
                <w:color w:val="auto"/>
              </w:rPr>
            </w:pPr>
          </w:p>
        </w:tc>
        <w:tc>
          <w:tcPr>
            <w:tcW w:w="80" w:type="dxa"/>
            <w:vAlign w:val="bottom"/>
          </w:tcPr>
          <w:p>
            <w:pPr>
              <w:spacing w:after="0"/>
              <w:rPr>
                <w:sz w:val="9"/>
                <w:szCs w:val="9"/>
                <w:color w:val="auto"/>
              </w:rPr>
            </w:pPr>
          </w:p>
        </w:tc>
        <w:tc>
          <w:tcPr>
            <w:tcW w:w="60" w:type="dxa"/>
            <w:vAlign w:val="bottom"/>
            <w:tcBorders>
              <w:top w:val="single" w:sz="8" w:color="auto"/>
            </w:tcBorders>
          </w:tcPr>
          <w:p>
            <w:pPr>
              <w:spacing w:after="0"/>
              <w:rPr>
                <w:sz w:val="9"/>
                <w:szCs w:val="9"/>
                <w:color w:val="auto"/>
              </w:rPr>
            </w:pPr>
          </w:p>
        </w:tc>
        <w:tc>
          <w:tcPr>
            <w:tcW w:w="20" w:type="dxa"/>
            <w:vAlign w:val="bottom"/>
            <w:tcBorders>
              <w:top w:val="single" w:sz="8" w:color="auto"/>
            </w:tcBorders>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640" w:type="dxa"/>
            <w:vAlign w:val="bottom"/>
            <w:tcBorders>
              <w:top w:val="single" w:sz="8" w:color="auto"/>
            </w:tcBorders>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660" w:type="dxa"/>
            <w:vAlign w:val="bottom"/>
            <w:tcBorders>
              <w:top w:val="single" w:sz="8" w:color="auto"/>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1660" w:type="dxa"/>
            <w:vAlign w:val="bottom"/>
          </w:tcPr>
          <w:p>
            <w:pPr>
              <w:ind w:left="180"/>
              <w:spacing w:after="0" w:line="149" w:lineRule="exact"/>
              <w:rPr>
                <w:sz w:val="20"/>
                <w:szCs w:val="20"/>
                <w:color w:val="auto"/>
              </w:rPr>
            </w:pPr>
            <w:r>
              <w:rPr>
                <w:rFonts w:ascii="Arial" w:cs="Arial" w:eastAsia="Arial" w:hAnsi="Arial"/>
                <w:sz w:val="14"/>
                <w:szCs w:val="14"/>
                <w:color w:val="auto"/>
              </w:rPr>
              <w:t>at January 31,</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1660" w:type="dxa"/>
            <w:vAlign w:val="bottom"/>
          </w:tcPr>
          <w:p>
            <w:pPr>
              <w:ind w:left="180"/>
              <w:spacing w:after="0"/>
              <w:rPr>
                <w:sz w:val="20"/>
                <w:szCs w:val="20"/>
                <w:color w:val="auto"/>
              </w:rPr>
            </w:pPr>
            <w:r>
              <w:rPr>
                <w:rFonts w:ascii="Arial" w:cs="Arial" w:eastAsia="Arial" w:hAnsi="Arial"/>
                <w:sz w:val="14"/>
                <w:szCs w:val="14"/>
                <w:color w:val="auto"/>
              </w:rPr>
              <w:t>2004</w:t>
            </w: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jc w:val="right"/>
              <w:spacing w:after="0"/>
              <w:rPr>
                <w:sz w:val="20"/>
                <w:szCs w:val="20"/>
                <w:color w:val="auto"/>
              </w:rPr>
            </w:pPr>
            <w:r>
              <w:rPr>
                <w:rFonts w:ascii="Arial" w:cs="Arial" w:eastAsia="Arial" w:hAnsi="Arial"/>
                <w:sz w:val="14"/>
                <w:szCs w:val="14"/>
                <w:color w:val="auto"/>
              </w:rPr>
              <w:t>152,835</w:t>
            </w:r>
          </w:p>
        </w:tc>
        <w:tc>
          <w:tcPr>
            <w:tcW w:w="1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jc w:val="center"/>
              <w:ind w:left="249"/>
              <w:spacing w:after="0"/>
              <w:rPr>
                <w:sz w:val="20"/>
                <w:szCs w:val="20"/>
                <w:color w:val="auto"/>
              </w:rPr>
            </w:pPr>
            <w:r>
              <w:rPr>
                <w:rFonts w:ascii="Arial" w:cs="Arial" w:eastAsia="Arial" w:hAnsi="Arial"/>
                <w:sz w:val="14"/>
                <w:szCs w:val="14"/>
                <w:color w:val="auto"/>
                <w:w w:val="94"/>
              </w:rPr>
              <w:t>938</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jc w:val="right"/>
              <w:spacing w:after="0"/>
              <w:rPr>
                <w:sz w:val="20"/>
                <w:szCs w:val="20"/>
                <w:color w:val="auto"/>
              </w:rPr>
            </w:pPr>
            <w:r>
              <w:rPr>
                <w:rFonts w:ascii="Arial" w:cs="Arial" w:eastAsia="Arial" w:hAnsi="Arial"/>
                <w:sz w:val="14"/>
                <w:szCs w:val="14"/>
                <w:color w:val="auto"/>
              </w:rPr>
              <w:t>(1,834)</w:t>
            </w: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20" w:type="dxa"/>
            <w:vAlign w:val="bottom"/>
            <w:gridSpan w:val="2"/>
          </w:tcPr>
          <w:p>
            <w:pPr>
              <w:ind w:left="28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40" w:type="dxa"/>
            <w:vAlign w:val="bottom"/>
            <w:gridSpan w:val="3"/>
          </w:tcPr>
          <w:p>
            <w:pPr>
              <w:ind w:left="440"/>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40" w:type="dxa"/>
            <w:vAlign w:val="bottom"/>
            <w:gridSpan w:val="3"/>
          </w:tcPr>
          <w:p>
            <w:pPr>
              <w:ind w:left="48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151,939</w:t>
            </w: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63"/>
        </w:trPr>
        <w:tc>
          <w:tcPr>
            <w:tcW w:w="1660" w:type="dxa"/>
            <w:vAlign w:val="bottom"/>
          </w:tcPr>
          <w:p>
            <w:pPr>
              <w:spacing w:after="0"/>
              <w:rPr>
                <w:sz w:val="24"/>
                <w:szCs w:val="24"/>
                <w:color w:val="auto"/>
              </w:rPr>
            </w:pPr>
          </w:p>
        </w:tc>
        <w:tc>
          <w:tcPr>
            <w:tcW w:w="920" w:type="dxa"/>
            <w:vAlign w:val="bottom"/>
            <w:gridSpan w:val="4"/>
          </w:tcPr>
          <w:p>
            <w:pPr>
              <w:ind w:left="20"/>
              <w:spacing w:after="0"/>
              <w:rPr>
                <w:sz w:val="20"/>
                <w:szCs w:val="20"/>
                <w:color w:val="auto"/>
              </w:rPr>
            </w:pPr>
            <w:r>
              <w:rPr>
                <w:rFonts w:ascii="Arial" w:cs="Arial" w:eastAsia="Arial" w:hAnsi="Arial"/>
                <w:sz w:val="14"/>
                <w:szCs w:val="14"/>
                <w:b w:val="1"/>
                <w:bCs w:val="1"/>
                <w:color w:val="auto"/>
              </w:rPr>
              <w:t>Net income</w:t>
            </w: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0"/>
              </w:rPr>
              <w:t>Net income</w:t>
            </w:r>
          </w:p>
        </w:tc>
        <w:tc>
          <w:tcPr>
            <w:tcW w:w="0" w:type="dxa"/>
            <w:vAlign w:val="bottom"/>
          </w:tcPr>
          <w:p>
            <w:pPr>
              <w:spacing w:after="0"/>
              <w:rPr>
                <w:sz w:val="1"/>
                <w:szCs w:val="1"/>
                <w:color w:val="auto"/>
              </w:rPr>
            </w:pPr>
          </w:p>
        </w:tc>
      </w:tr>
      <w:tr>
        <w:trPr>
          <w:trHeight w:val="162"/>
        </w:trPr>
        <w:tc>
          <w:tcPr>
            <w:tcW w:w="1660" w:type="dxa"/>
            <w:vAlign w:val="bottom"/>
          </w:tcPr>
          <w:p>
            <w:pPr>
              <w:spacing w:after="0"/>
              <w:rPr>
                <w:sz w:val="14"/>
                <w:szCs w:val="14"/>
                <w:color w:val="auto"/>
              </w:rPr>
            </w:pPr>
          </w:p>
        </w:tc>
        <w:tc>
          <w:tcPr>
            <w:tcW w:w="920" w:type="dxa"/>
            <w:vAlign w:val="bottom"/>
            <w:gridSpan w:val="4"/>
          </w:tcPr>
          <w:p>
            <w:pPr>
              <w:ind w:left="20"/>
              <w:spacing w:after="0"/>
              <w:rPr>
                <w:sz w:val="20"/>
                <w:szCs w:val="20"/>
                <w:color w:val="auto"/>
              </w:rPr>
            </w:pPr>
            <w:r>
              <w:rPr>
                <w:rFonts w:ascii="Arial" w:cs="Arial" w:eastAsia="Arial" w:hAnsi="Arial"/>
                <w:sz w:val="14"/>
                <w:szCs w:val="14"/>
                <w:b w:val="1"/>
                <w:bCs w:val="1"/>
                <w:color w:val="auto"/>
              </w:rPr>
              <w:t>as reported</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9"/>
              </w:rPr>
              <w:t>as restated</w:t>
            </w:r>
          </w:p>
        </w:tc>
        <w:tc>
          <w:tcPr>
            <w:tcW w:w="0" w:type="dxa"/>
            <w:vAlign w:val="bottom"/>
          </w:tcPr>
          <w:p>
            <w:pPr>
              <w:spacing w:after="0"/>
              <w:rPr>
                <w:sz w:val="1"/>
                <w:szCs w:val="1"/>
                <w:color w:val="auto"/>
              </w:rPr>
            </w:pPr>
          </w:p>
        </w:tc>
      </w:tr>
      <w:tr>
        <w:trPr>
          <w:trHeight w:val="142"/>
        </w:trPr>
        <w:tc>
          <w:tcPr>
            <w:tcW w:w="166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Fiscal 2005</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   141,661</w:t>
            </w:r>
          </w:p>
        </w:tc>
        <w:tc>
          <w:tcPr>
            <w:tcW w:w="2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780" w:type="dxa"/>
            <w:vAlign w:val="bottom"/>
            <w:tcBorders>
              <w:top w:val="single" w:sz="8" w:color="CCEEFF"/>
            </w:tcBorders>
            <w:gridSpan w:val="2"/>
            <w:shd w:val="clear" w:color="auto" w:fill="CCEEFF"/>
          </w:tcPr>
          <w:p>
            <w:pPr>
              <w:jc w:val="right"/>
              <w:ind w:right="100"/>
              <w:spacing w:after="0" w:line="142" w:lineRule="exact"/>
              <w:rPr>
                <w:sz w:val="20"/>
                <w:szCs w:val="20"/>
                <w:color w:val="auto"/>
              </w:rPr>
            </w:pPr>
            <w:r>
              <w:rPr>
                <w:rFonts w:ascii="Arial" w:cs="Arial" w:eastAsia="Arial" w:hAnsi="Arial"/>
                <w:sz w:val="14"/>
                <w:szCs w:val="14"/>
                <w:color w:val="auto"/>
              </w:rPr>
              <w:t>75,684</w:t>
            </w:r>
          </w:p>
        </w:tc>
        <w:tc>
          <w:tcPr>
            <w:tcW w:w="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700" w:type="dxa"/>
            <w:vAlign w:val="bottom"/>
            <w:tcBorders>
              <w:top w:val="single" w:sz="8" w:color="CCEEFF"/>
            </w:tcBorders>
            <w:gridSpan w:val="2"/>
            <w:shd w:val="clear" w:color="auto" w:fill="CCEEFF"/>
          </w:tcPr>
          <w:p>
            <w:pPr>
              <w:jc w:val="right"/>
              <w:ind w:right="40"/>
              <w:spacing w:after="0" w:line="142" w:lineRule="exact"/>
              <w:rPr>
                <w:sz w:val="20"/>
                <w:szCs w:val="20"/>
                <w:color w:val="auto"/>
              </w:rPr>
            </w:pPr>
            <w:r>
              <w:rPr>
                <w:rFonts w:ascii="Arial" w:cs="Arial" w:eastAsia="Arial" w:hAnsi="Arial"/>
                <w:sz w:val="14"/>
                <w:szCs w:val="14"/>
                <w:color w:val="auto"/>
              </w:rPr>
              <w:t>2,306</w:t>
            </w:r>
          </w:p>
        </w:tc>
        <w:tc>
          <w:tcPr>
            <w:tcW w:w="4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720" w:type="dxa"/>
            <w:vAlign w:val="bottom"/>
            <w:tcBorders>
              <w:top w:val="single" w:sz="8" w:color="CCEEFF"/>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(1,150)</w:t>
            </w:r>
          </w:p>
        </w:tc>
        <w:tc>
          <w:tcPr>
            <w:tcW w:w="80" w:type="dxa"/>
            <w:vAlign w:val="bottom"/>
            <w:tcBorders>
              <w:top w:val="single" w:sz="8" w:color="CCEEFF"/>
            </w:tcBorders>
            <w:shd w:val="clear" w:color="auto" w:fill="CCEEFF"/>
          </w:tcPr>
          <w:p>
            <w:pPr>
              <w:spacing w:after="0"/>
              <w:rPr>
                <w:sz w:val="12"/>
                <w:szCs w:val="12"/>
                <w:color w:val="auto"/>
              </w:rPr>
            </w:pPr>
          </w:p>
        </w:tc>
        <w:tc>
          <w:tcPr>
            <w:tcW w:w="20" w:type="dxa"/>
            <w:vAlign w:val="bottom"/>
            <w:tcBorders>
              <w:top w:val="single" w:sz="8" w:color="CCEEFF"/>
            </w:tcBorders>
            <w:shd w:val="clear" w:color="auto" w:fill="CCEEFF"/>
          </w:tcPr>
          <w:p>
            <w:pPr>
              <w:spacing w:after="0"/>
              <w:rPr>
                <w:sz w:val="12"/>
                <w:szCs w:val="12"/>
                <w:color w:val="auto"/>
              </w:rPr>
            </w:pPr>
          </w:p>
        </w:tc>
        <w:tc>
          <w:tcPr>
            <w:tcW w:w="240" w:type="dxa"/>
            <w:vAlign w:val="bottom"/>
            <w:tcBorders>
              <w:top w:val="single" w:sz="8" w:color="CCEEFF"/>
            </w:tcBorders>
            <w:shd w:val="clear" w:color="auto" w:fill="CCEEFF"/>
          </w:tcPr>
          <w:p>
            <w:pPr>
              <w:spacing w:after="0"/>
              <w:rPr>
                <w:sz w:val="12"/>
                <w:szCs w:val="12"/>
                <w:color w:val="auto"/>
              </w:rPr>
            </w:pPr>
          </w:p>
        </w:tc>
        <w:tc>
          <w:tcPr>
            <w:tcW w:w="520" w:type="dxa"/>
            <w:vAlign w:val="bottom"/>
            <w:tcBorders>
              <w:top w:val="single" w:sz="8" w:color="CCEEFF"/>
            </w:tcBorders>
            <w:gridSpan w:val="2"/>
            <w:shd w:val="clear" w:color="auto" w:fill="CCEEFF"/>
          </w:tcPr>
          <w:p>
            <w:pPr>
              <w:jc w:val="right"/>
              <w:ind w:right="20"/>
              <w:spacing w:after="0" w:line="142" w:lineRule="exact"/>
              <w:rPr>
                <w:sz w:val="20"/>
                <w:szCs w:val="20"/>
                <w:color w:val="auto"/>
              </w:rPr>
            </w:pPr>
            <w:r>
              <w:rPr>
                <w:rFonts w:ascii="Arial" w:cs="Arial" w:eastAsia="Arial" w:hAnsi="Arial"/>
                <w:sz w:val="14"/>
                <w:szCs w:val="14"/>
                <w:color w:val="auto"/>
              </w:rPr>
              <w:t>2,026</w:t>
            </w:r>
          </w:p>
        </w:tc>
        <w:tc>
          <w:tcPr>
            <w:tcW w:w="6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right w:val="single" w:sz="8" w:color="CCEEFF"/>
            </w:tcBorders>
            <w:shd w:val="clear" w:color="auto" w:fill="CCEEFF"/>
          </w:tcPr>
          <w:p>
            <w:pPr>
              <w:spacing w:after="0"/>
              <w:rPr>
                <w:sz w:val="12"/>
                <w:szCs w:val="12"/>
                <w:color w:val="auto"/>
              </w:rPr>
            </w:pPr>
          </w:p>
        </w:tc>
        <w:tc>
          <w:tcPr>
            <w:tcW w:w="740" w:type="dxa"/>
            <w:vAlign w:val="bottom"/>
            <w:tcBorders>
              <w:top w:val="single" w:sz="8" w:color="CCEEFF"/>
            </w:tcBorders>
            <w:gridSpan w:val="3"/>
            <w:shd w:val="clear" w:color="auto" w:fill="CCEEFF"/>
          </w:tcPr>
          <w:p>
            <w:pPr>
              <w:ind w:left="540"/>
              <w:spacing w:after="0" w:line="142" w:lineRule="exact"/>
              <w:rPr>
                <w:sz w:val="20"/>
                <w:szCs w:val="20"/>
                <w:color w:val="auto"/>
              </w:rPr>
            </w:pPr>
            <w:r>
              <w:rPr>
                <w:rFonts w:ascii="Arial" w:cs="Arial" w:eastAsia="Arial" w:hAnsi="Arial"/>
                <w:sz w:val="14"/>
                <w:szCs w:val="14"/>
                <w:color w:val="auto"/>
              </w:rPr>
              <w:t>—</w:t>
            </w:r>
          </w:p>
        </w:tc>
        <w:tc>
          <w:tcPr>
            <w:tcW w:w="2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740" w:type="dxa"/>
            <w:vAlign w:val="bottom"/>
            <w:tcBorders>
              <w:top w:val="single" w:sz="8" w:color="CCEEFF"/>
            </w:tcBorders>
            <w:gridSpan w:val="3"/>
            <w:shd w:val="clear" w:color="auto" w:fill="CCEEFF"/>
          </w:tcPr>
          <w:p>
            <w:pPr>
              <w:ind w:left="580"/>
              <w:spacing w:after="0" w:line="142" w:lineRule="exact"/>
              <w:rPr>
                <w:sz w:val="20"/>
                <w:szCs w:val="20"/>
                <w:color w:val="auto"/>
              </w:rPr>
            </w:pPr>
            <w:r>
              <w:rPr>
                <w:rFonts w:ascii="Arial" w:cs="Arial" w:eastAsia="Arial" w:hAnsi="Arial"/>
                <w:sz w:val="14"/>
                <w:szCs w:val="14"/>
                <w:color w:val="auto"/>
                <w:w w:val="99"/>
              </w:rPr>
              <w:t>—</w:t>
            </w:r>
          </w:p>
        </w:tc>
        <w:tc>
          <w:tcPr>
            <w:tcW w:w="10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760" w:type="dxa"/>
            <w:vAlign w:val="bottom"/>
            <w:tcBorders>
              <w:top w:val="single" w:sz="8" w:color="CCEEFF"/>
            </w:tcBorders>
            <w:gridSpan w:val="2"/>
            <w:shd w:val="clear" w:color="auto" w:fill="CCEEFF"/>
          </w:tcPr>
          <w:p>
            <w:pPr>
              <w:jc w:val="right"/>
              <w:ind w:right="60"/>
              <w:spacing w:after="0" w:line="142" w:lineRule="exact"/>
              <w:rPr>
                <w:sz w:val="20"/>
                <w:szCs w:val="20"/>
                <w:color w:val="auto"/>
              </w:rPr>
            </w:pPr>
            <w:r>
              <w:rPr>
                <w:rFonts w:ascii="Arial" w:cs="Arial" w:eastAsia="Arial" w:hAnsi="Arial"/>
                <w:sz w:val="14"/>
                <w:szCs w:val="14"/>
                <w:color w:val="auto"/>
              </w:rPr>
              <w:t>78,866</w:t>
            </w: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7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62,795</w:t>
            </w: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rPr>
              <w:t>Fiscal 2006:</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166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 April</w:t>
            </w:r>
          </w:p>
        </w:tc>
        <w:tc>
          <w:tcPr>
            <w:tcW w:w="7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80" w:type="dxa"/>
            <w:vAlign w:val="bottom"/>
            <w:tcBorders>
              <w:right w:val="single" w:sz="8" w:color="CCEEFF"/>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tcBorders>
              <w:right w:val="single" w:sz="8" w:color="CCEEFF"/>
            </w:tcBorders>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tcBorders>
              <w:right w:val="single" w:sz="8" w:color="CCEEFF"/>
            </w:tcBorders>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00" w:type="dxa"/>
            <w:vAlign w:val="bottom"/>
            <w:tcBorders>
              <w:right w:val="single" w:sz="8" w:color="CCEEFF"/>
            </w:tcBorders>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100" w:type="dxa"/>
            <w:vAlign w:val="bottom"/>
            <w:tcBorders>
              <w:right w:val="single" w:sz="8" w:color="CCEEFF"/>
            </w:tcBorders>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80" w:type="dxa"/>
            <w:vAlign w:val="bottom"/>
            <w:tcBorders>
              <w:right w:val="single" w:sz="8" w:color="CCEEFF"/>
            </w:tcBorders>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60" w:type="dxa"/>
            <w:vAlign w:val="bottom"/>
            <w:tcBorders>
              <w:right w:val="single" w:sz="8" w:color="CCEEFF"/>
            </w:tcBorders>
            <w:shd w:val="clear" w:color="auto" w:fill="CCEEFF"/>
          </w:tcPr>
          <w:p>
            <w:pPr>
              <w:spacing w:after="0"/>
              <w:rPr>
                <w:sz w:val="11"/>
                <w:szCs w:val="11"/>
                <w:color w:val="auto"/>
              </w:rPr>
            </w:pPr>
          </w:p>
        </w:tc>
        <w:tc>
          <w:tcPr>
            <w:tcW w:w="100" w:type="dxa"/>
            <w:vAlign w:val="bottom"/>
            <w:tcBorders>
              <w:left w:val="single" w:sz="8" w:color="CCEEFF"/>
            </w:tcBorders>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4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660" w:type="dxa"/>
            <w:vAlign w:val="bottom"/>
            <w:shd w:val="clear" w:color="auto" w:fill="CCEEFF"/>
          </w:tcPr>
          <w:p>
            <w:pPr>
              <w:ind w:left="180"/>
              <w:spacing w:after="0"/>
              <w:rPr>
                <w:sz w:val="20"/>
                <w:szCs w:val="20"/>
                <w:color w:val="auto"/>
              </w:rPr>
            </w:pPr>
            <w:r>
              <w:rPr>
                <w:rFonts w:ascii="Arial" w:cs="Arial" w:eastAsia="Arial" w:hAnsi="Arial"/>
                <w:sz w:val="14"/>
                <w:szCs w:val="14"/>
                <w:color w:val="auto"/>
              </w:rPr>
              <w:t>30, 2005</w:t>
            </w:r>
          </w:p>
        </w:tc>
        <w:tc>
          <w:tcPr>
            <w:tcW w:w="76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8,719</w:t>
            </w:r>
          </w:p>
        </w:tc>
        <w:tc>
          <w:tcPr>
            <w:tcW w:w="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866</w:t>
            </w:r>
          </w:p>
        </w:tc>
        <w:tc>
          <w:tcPr>
            <w:tcW w:w="4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0" w:type="dxa"/>
            <w:vAlign w:val="bottom"/>
            <w:gridSpan w:val="3"/>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4"/>
                <w:szCs w:val="14"/>
                <w:color w:val="auto"/>
              </w:rPr>
            </w:pPr>
          </w:p>
        </w:tc>
        <w:tc>
          <w:tcPr>
            <w:tcW w:w="100" w:type="dxa"/>
            <w:vAlign w:val="bottom"/>
            <w:tcBorders>
              <w:right w:val="single" w:sz="8" w:color="CCEEFF"/>
            </w:tcBorders>
            <w:shd w:val="clear" w:color="auto" w:fill="CCEEFF"/>
          </w:tcPr>
          <w:p>
            <w:pPr>
              <w:spacing w:after="0"/>
              <w:rPr>
                <w:sz w:val="14"/>
                <w:szCs w:val="14"/>
                <w:color w:val="auto"/>
              </w:rPr>
            </w:pPr>
          </w:p>
        </w:tc>
        <w:tc>
          <w:tcPr>
            <w:tcW w:w="740" w:type="dxa"/>
            <w:vAlign w:val="bottom"/>
            <w:gridSpan w:val="3"/>
            <w:shd w:val="clear" w:color="auto" w:fill="CCEEFF"/>
          </w:tcPr>
          <w:p>
            <w:pPr>
              <w:ind w:left="540"/>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gridSpan w:val="3"/>
            <w:shd w:val="clear" w:color="auto" w:fill="CCEEFF"/>
          </w:tcPr>
          <w:p>
            <w:pPr>
              <w:ind w:left="580"/>
              <w:spacing w:after="0"/>
              <w:rPr>
                <w:sz w:val="20"/>
                <w:szCs w:val="20"/>
                <w:color w:val="auto"/>
              </w:rPr>
            </w:pPr>
            <w:r>
              <w:rPr>
                <w:rFonts w:ascii="Arial" w:cs="Arial" w:eastAsia="Arial" w:hAnsi="Arial"/>
                <w:sz w:val="14"/>
                <w:szCs w:val="14"/>
                <w:color w:val="auto"/>
                <w:w w:val="99"/>
              </w:rPr>
              <w:t>—</w:t>
            </w:r>
          </w:p>
        </w:tc>
        <w:tc>
          <w:tcPr>
            <w:tcW w:w="1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9,585</w:t>
            </w:r>
          </w:p>
        </w:tc>
        <w:tc>
          <w:tcPr>
            <w:tcW w:w="80" w:type="dxa"/>
            <w:vAlign w:val="bottom"/>
            <w:shd w:val="clear" w:color="auto" w:fill="CCEEFF"/>
          </w:tcPr>
          <w:p>
            <w:pPr>
              <w:spacing w:after="0"/>
              <w:rPr>
                <w:sz w:val="14"/>
                <w:szCs w:val="14"/>
                <w:color w:val="auto"/>
              </w:rPr>
            </w:pPr>
          </w:p>
        </w:tc>
        <w:tc>
          <w:tcPr>
            <w:tcW w:w="74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660" w:type="dxa"/>
            <w:vAlign w:val="bottom"/>
          </w:tcPr>
          <w:p>
            <w:pPr>
              <w:spacing w:after="0" w:line="130" w:lineRule="exact"/>
              <w:rPr>
                <w:sz w:val="20"/>
                <w:szCs w:val="20"/>
                <w:color w:val="auto"/>
              </w:rPr>
            </w:pPr>
            <w:r>
              <w:rPr>
                <w:rFonts w:ascii="Arial" w:cs="Arial" w:eastAsia="Arial" w:hAnsi="Arial"/>
                <w:sz w:val="14"/>
                <w:szCs w:val="14"/>
                <w:color w:val="auto"/>
              </w:rPr>
              <w:t>Three months ended July</w:t>
            </w: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660" w:type="dxa"/>
            <w:vAlign w:val="bottom"/>
          </w:tcPr>
          <w:p>
            <w:pPr>
              <w:ind w:left="180"/>
              <w:spacing w:after="0"/>
              <w:rPr>
                <w:sz w:val="20"/>
                <w:szCs w:val="20"/>
                <w:color w:val="auto"/>
              </w:rPr>
            </w:pPr>
            <w:r>
              <w:rPr>
                <w:rFonts w:ascii="Arial" w:cs="Arial" w:eastAsia="Arial" w:hAnsi="Arial"/>
                <w:sz w:val="14"/>
                <w:szCs w:val="14"/>
                <w:color w:val="auto"/>
              </w:rPr>
              <w:t>30, 2005</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4"/>
                <w:szCs w:val="14"/>
                <w:color w:val="auto"/>
              </w:rPr>
              <w:t>29,120</w:t>
            </w: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4"/>
                <w:szCs w:val="14"/>
                <w:color w:val="auto"/>
              </w:rPr>
              <w:t>1,083</w:t>
            </w: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gridSpan w:val="3"/>
          </w:tcPr>
          <w:p>
            <w:pPr>
              <w:jc w:val="right"/>
              <w:ind w:right="120"/>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20" w:type="dxa"/>
            <w:vAlign w:val="bottom"/>
            <w:gridSpan w:val="2"/>
          </w:tcPr>
          <w:p>
            <w:pPr>
              <w:jc w:val="right"/>
              <w:ind w:right="2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3"/>
          </w:tcPr>
          <w:p>
            <w:pPr>
              <w:ind w:left="540"/>
              <w:spacing w:after="0"/>
              <w:rPr>
                <w:sz w:val="20"/>
                <w:szCs w:val="20"/>
                <w:color w:val="auto"/>
              </w:rPr>
            </w:pPr>
            <w:r>
              <w:rPr>
                <w:rFonts w:ascii="Arial" w:cs="Arial" w:eastAsia="Arial" w:hAnsi="Arial"/>
                <w:sz w:val="14"/>
                <w:szCs w:val="14"/>
                <w:color w:val="auto"/>
              </w:rPr>
              <w:t>—</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3"/>
          </w:tcPr>
          <w:p>
            <w:pPr>
              <w:ind w:left="580"/>
              <w:spacing w:after="0"/>
              <w:rPr>
                <w:sz w:val="20"/>
                <w:szCs w:val="20"/>
                <w:color w:val="auto"/>
              </w:rPr>
            </w:pPr>
            <w:r>
              <w:rPr>
                <w:rFonts w:ascii="Arial" w:cs="Arial" w:eastAsia="Arial" w:hAnsi="Arial"/>
                <w:sz w:val="14"/>
                <w:szCs w:val="14"/>
                <w:color w:val="auto"/>
                <w:w w:val="99"/>
              </w:rPr>
              <w:t>—</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4"/>
                <w:szCs w:val="14"/>
                <w:color w:val="auto"/>
              </w:rPr>
              <w:t>30,203</w:t>
            </w: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66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w:t>
            </w:r>
          </w:p>
        </w:tc>
        <w:tc>
          <w:tcPr>
            <w:tcW w:w="7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80" w:type="dxa"/>
            <w:vAlign w:val="bottom"/>
            <w:tcBorders>
              <w:right w:val="single" w:sz="8" w:color="CCEEFF"/>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tcBorders>
              <w:right w:val="single" w:sz="8" w:color="CCEEFF"/>
            </w:tcBorders>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tcBorders>
              <w:right w:val="single" w:sz="8" w:color="CCEEFF"/>
            </w:tcBorders>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00" w:type="dxa"/>
            <w:vAlign w:val="bottom"/>
            <w:tcBorders>
              <w:right w:val="single" w:sz="8" w:color="CCEEFF"/>
            </w:tcBorders>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100" w:type="dxa"/>
            <w:vAlign w:val="bottom"/>
            <w:tcBorders>
              <w:right w:val="single" w:sz="8" w:color="CCEEFF"/>
            </w:tcBorders>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80" w:type="dxa"/>
            <w:vAlign w:val="bottom"/>
            <w:tcBorders>
              <w:right w:val="single" w:sz="8" w:color="CCEEFF"/>
            </w:tcBorders>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60" w:type="dxa"/>
            <w:vAlign w:val="bottom"/>
            <w:tcBorders>
              <w:right w:val="single" w:sz="8" w:color="CCEEFF"/>
            </w:tcBorders>
            <w:shd w:val="clear" w:color="auto" w:fill="CCEEFF"/>
          </w:tcPr>
          <w:p>
            <w:pPr>
              <w:spacing w:after="0"/>
              <w:rPr>
                <w:sz w:val="11"/>
                <w:szCs w:val="11"/>
                <w:color w:val="auto"/>
              </w:rPr>
            </w:pPr>
          </w:p>
        </w:tc>
        <w:tc>
          <w:tcPr>
            <w:tcW w:w="100" w:type="dxa"/>
            <w:vAlign w:val="bottom"/>
            <w:tcBorders>
              <w:left w:val="single" w:sz="8" w:color="CCEEFF"/>
            </w:tcBorders>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4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660" w:type="dxa"/>
            <w:vAlign w:val="bottom"/>
            <w:shd w:val="clear" w:color="auto" w:fill="CCEEFF"/>
          </w:tcPr>
          <w:p>
            <w:pPr>
              <w:ind w:left="180"/>
              <w:spacing w:after="0"/>
              <w:rPr>
                <w:sz w:val="20"/>
                <w:szCs w:val="20"/>
                <w:color w:val="auto"/>
              </w:rPr>
            </w:pPr>
            <w:r>
              <w:rPr>
                <w:rFonts w:ascii="Arial" w:cs="Arial" w:eastAsia="Arial" w:hAnsi="Arial"/>
                <w:sz w:val="14"/>
                <w:szCs w:val="14"/>
                <w:color w:val="auto"/>
              </w:rPr>
              <w:t>October 29, 2005</w:t>
            </w:r>
          </w:p>
        </w:tc>
        <w:tc>
          <w:tcPr>
            <w:tcW w:w="76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9,102</w:t>
            </w:r>
          </w:p>
        </w:tc>
        <w:tc>
          <w:tcPr>
            <w:tcW w:w="10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60" w:type="dxa"/>
            <w:vAlign w:val="bottom"/>
            <w:tcBorders>
              <w:right w:val="single" w:sz="8" w:color="CCEEFF"/>
            </w:tcBorders>
            <w:shd w:val="clear" w:color="auto" w:fill="CCEEFF"/>
          </w:tcPr>
          <w:p>
            <w:pPr>
              <w:jc w:val="center"/>
              <w:ind w:left="349"/>
              <w:spacing w:after="0"/>
              <w:rPr>
                <w:sz w:val="20"/>
                <w:szCs w:val="20"/>
                <w:color w:val="auto"/>
              </w:rPr>
            </w:pPr>
            <w:r>
              <w:rPr>
                <w:rFonts w:ascii="Arial" w:cs="Arial" w:eastAsia="Arial" w:hAnsi="Arial"/>
                <w:sz w:val="14"/>
                <w:szCs w:val="14"/>
                <w:color w:val="auto"/>
                <w:w w:val="85"/>
              </w:rPr>
              <w:t>589</w:t>
            </w:r>
          </w:p>
        </w:tc>
        <w:tc>
          <w:tcPr>
            <w:tcW w:w="4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0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4"/>
                <w:szCs w:val="14"/>
                <w:color w:val="auto"/>
              </w:rPr>
            </w:pPr>
          </w:p>
        </w:tc>
        <w:tc>
          <w:tcPr>
            <w:tcW w:w="100" w:type="dxa"/>
            <w:vAlign w:val="bottom"/>
            <w:tcBorders>
              <w:right w:val="single" w:sz="8" w:color="CCEEFF"/>
            </w:tcBorders>
            <w:shd w:val="clear" w:color="auto" w:fill="CCEEFF"/>
          </w:tcPr>
          <w:p>
            <w:pPr>
              <w:spacing w:after="0"/>
              <w:rPr>
                <w:sz w:val="14"/>
                <w:szCs w:val="14"/>
                <w:color w:val="auto"/>
              </w:rPr>
            </w:pPr>
          </w:p>
        </w:tc>
        <w:tc>
          <w:tcPr>
            <w:tcW w:w="7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w:t>
            </w: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gridSpan w:val="3"/>
            <w:shd w:val="clear" w:color="auto" w:fill="CCEEFF"/>
          </w:tcPr>
          <w:p>
            <w:pPr>
              <w:jc w:val="right"/>
              <w:ind w:right="20"/>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9,691</w:t>
            </w:r>
          </w:p>
        </w:tc>
        <w:tc>
          <w:tcPr>
            <w:tcW w:w="100" w:type="dxa"/>
            <w:vAlign w:val="bottom"/>
            <w:tcBorders>
              <w:left w:val="single" w:sz="8" w:color="CCEEFF"/>
            </w:tcBorders>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660" w:type="dxa"/>
            <w:vAlign w:val="bottom"/>
          </w:tcPr>
          <w:p>
            <w:pPr>
              <w:spacing w:after="0" w:line="130" w:lineRule="exact"/>
              <w:rPr>
                <w:sz w:val="20"/>
                <w:szCs w:val="20"/>
                <w:color w:val="auto"/>
              </w:rPr>
            </w:pPr>
            <w:r>
              <w:rPr>
                <w:rFonts w:ascii="Arial" w:cs="Arial" w:eastAsia="Arial" w:hAnsi="Arial"/>
                <w:sz w:val="14"/>
                <w:szCs w:val="14"/>
                <w:color w:val="auto"/>
              </w:rPr>
              <w:t>Three months ended</w:t>
            </w: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660" w:type="dxa"/>
            <w:vAlign w:val="bottom"/>
          </w:tcPr>
          <w:p>
            <w:pPr>
              <w:ind w:left="180"/>
              <w:spacing w:after="0"/>
              <w:rPr>
                <w:sz w:val="20"/>
                <w:szCs w:val="20"/>
                <w:color w:val="auto"/>
              </w:rPr>
            </w:pPr>
            <w:r>
              <w:rPr>
                <w:rFonts w:ascii="Arial" w:cs="Arial" w:eastAsia="Arial" w:hAnsi="Arial"/>
                <w:sz w:val="14"/>
                <w:szCs w:val="14"/>
                <w:color w:val="auto"/>
              </w:rPr>
              <w:t>January 28, 2006</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Arial" w:cs="Arial" w:eastAsia="Arial" w:hAnsi="Arial"/>
                <w:sz w:val="14"/>
                <w:szCs w:val="14"/>
                <w:color w:val="auto"/>
              </w:rPr>
              <w:t>51,915</w:t>
            </w: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jc w:val="center"/>
              <w:ind w:left="229"/>
              <w:spacing w:after="0"/>
              <w:rPr>
                <w:sz w:val="20"/>
                <w:szCs w:val="20"/>
                <w:color w:val="auto"/>
              </w:rPr>
            </w:pPr>
            <w:r>
              <w:rPr>
                <w:rFonts w:ascii="Arial" w:cs="Arial" w:eastAsia="Arial" w:hAnsi="Arial"/>
                <w:sz w:val="14"/>
                <w:szCs w:val="14"/>
                <w:color w:val="auto"/>
                <w:w w:val="91"/>
              </w:rPr>
              <w:t>1,846</w:t>
            </w: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gridSpan w:val="2"/>
          </w:tcPr>
          <w:p>
            <w:pPr>
              <w:jc w:val="right"/>
              <w:spacing w:after="0"/>
              <w:rPr>
                <w:sz w:val="20"/>
                <w:szCs w:val="20"/>
                <w:color w:val="auto"/>
              </w:rPr>
            </w:pPr>
            <w:r>
              <w:rPr>
                <w:rFonts w:ascii="Arial" w:cs="Arial" w:eastAsia="Arial" w:hAnsi="Arial"/>
                <w:sz w:val="14"/>
                <w:szCs w:val="14"/>
                <w:color w:val="auto"/>
              </w:rPr>
              <w:t>(1,822)</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00" w:type="dxa"/>
            <w:vAlign w:val="bottom"/>
          </w:tcPr>
          <w:p>
            <w:pPr>
              <w:jc w:val="right"/>
              <w:spacing w:after="0"/>
              <w:rPr>
                <w:sz w:val="20"/>
                <w:szCs w:val="20"/>
                <w:color w:val="auto"/>
              </w:rPr>
            </w:pPr>
            <w:r>
              <w:rPr>
                <w:rFonts w:ascii="Arial" w:cs="Arial" w:eastAsia="Arial" w:hAnsi="Arial"/>
                <w:sz w:val="14"/>
                <w:szCs w:val="14"/>
                <w:color w:val="auto"/>
              </w:rPr>
              <w:t>3,249</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color w:val="auto"/>
              </w:rPr>
              <w:t>27,206</w:t>
            </w: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3"/>
          </w:tcPr>
          <w:p>
            <w:pPr>
              <w:jc w:val="right"/>
              <w:ind w:right="2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82,394</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66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Total for Fiscal 2006</w:t>
            </w:r>
          </w:p>
        </w:tc>
        <w:tc>
          <w:tcPr>
            <w:tcW w:w="76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331,363</w:t>
            </w:r>
          </w:p>
        </w:tc>
        <w:tc>
          <w:tcPr>
            <w:tcW w:w="2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bottom w:val="single" w:sz="8" w:color="auto"/>
            </w:tcBorders>
            <w:shd w:val="clear" w:color="auto" w:fill="CCEEFF"/>
          </w:tcPr>
          <w:p>
            <w:pPr>
              <w:spacing w:after="0"/>
              <w:rPr>
                <w:sz w:val="12"/>
                <w:szCs w:val="12"/>
                <w:color w:val="auto"/>
              </w:rPr>
            </w:pPr>
          </w:p>
        </w:tc>
        <w:tc>
          <w:tcPr>
            <w:tcW w:w="680" w:type="dxa"/>
            <w:vAlign w:val="bottom"/>
            <w:tcBorders>
              <w:top w:val="single" w:sz="8" w:color="auto"/>
              <w:bottom w:val="single" w:sz="8" w:color="auto"/>
              <w:right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98,856</w:t>
            </w:r>
          </w:p>
        </w:tc>
        <w:tc>
          <w:tcPr>
            <w:tcW w:w="10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60" w:type="dxa"/>
            <w:vAlign w:val="bottom"/>
            <w:tcBorders>
              <w:top w:val="single" w:sz="8" w:color="auto"/>
              <w:bottom w:val="single" w:sz="8" w:color="auto"/>
              <w:right w:val="single" w:sz="8" w:color="CCEEFF"/>
            </w:tcBorders>
            <w:shd w:val="clear" w:color="auto" w:fill="CCEEFF"/>
          </w:tcPr>
          <w:p>
            <w:pPr>
              <w:jc w:val="center"/>
              <w:ind w:left="229"/>
              <w:spacing w:after="0" w:line="142" w:lineRule="exact"/>
              <w:rPr>
                <w:sz w:val="20"/>
                <w:szCs w:val="20"/>
                <w:color w:val="auto"/>
              </w:rPr>
            </w:pPr>
            <w:r>
              <w:rPr>
                <w:rFonts w:ascii="Arial" w:cs="Arial" w:eastAsia="Arial" w:hAnsi="Arial"/>
                <w:sz w:val="14"/>
                <w:szCs w:val="14"/>
                <w:color w:val="auto"/>
                <w:w w:val="91"/>
              </w:rPr>
              <w:t>4,384</w:t>
            </w:r>
          </w:p>
        </w:tc>
        <w:tc>
          <w:tcPr>
            <w:tcW w:w="4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680" w:type="dxa"/>
            <w:vAlign w:val="bottom"/>
            <w:tcBorders>
              <w:top w:val="single" w:sz="8" w:color="auto"/>
              <w:bottom w:val="single" w:sz="8" w:color="auto"/>
              <w:right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(1,822)</w:t>
            </w:r>
          </w:p>
        </w:tc>
        <w:tc>
          <w:tcPr>
            <w:tcW w:w="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20" w:type="dxa"/>
            <w:vAlign w:val="bottom"/>
            <w:tcBorders>
              <w:top w:val="single" w:sz="8" w:color="CCEEFF"/>
            </w:tcBorders>
            <w:shd w:val="clear" w:color="auto" w:fill="CCEEFF"/>
          </w:tcPr>
          <w:p>
            <w:pPr>
              <w:spacing w:after="0"/>
              <w:rPr>
                <w:sz w:val="12"/>
                <w:szCs w:val="12"/>
                <w:color w:val="auto"/>
              </w:rPr>
            </w:pPr>
          </w:p>
        </w:tc>
        <w:tc>
          <w:tcPr>
            <w:tcW w:w="240" w:type="dxa"/>
            <w:vAlign w:val="bottom"/>
            <w:tcBorders>
              <w:top w:val="single" w:sz="8" w:color="auto"/>
              <w:bottom w:val="single" w:sz="8" w:color="auto"/>
            </w:tcBorders>
            <w:shd w:val="clear" w:color="auto" w:fill="CCEEFF"/>
          </w:tcPr>
          <w:p>
            <w:pPr>
              <w:spacing w:after="0"/>
              <w:rPr>
                <w:sz w:val="12"/>
                <w:szCs w:val="12"/>
                <w:color w:val="auto"/>
              </w:rPr>
            </w:pPr>
          </w:p>
        </w:tc>
        <w:tc>
          <w:tcPr>
            <w:tcW w:w="500" w:type="dxa"/>
            <w:vAlign w:val="bottom"/>
            <w:tcBorders>
              <w:top w:val="single" w:sz="8" w:color="auto"/>
              <w:bottom w:val="single" w:sz="8" w:color="auto"/>
              <w:right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3,249</w:t>
            </w:r>
          </w:p>
        </w:tc>
        <w:tc>
          <w:tcPr>
            <w:tcW w:w="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right w:val="single" w:sz="8" w:color="CCEEFF"/>
            </w:tcBorders>
            <w:shd w:val="clear" w:color="auto" w:fill="CCEEFF"/>
          </w:tcPr>
          <w:p>
            <w:pPr>
              <w:spacing w:after="0"/>
              <w:rPr>
                <w:sz w:val="12"/>
                <w:szCs w:val="12"/>
                <w:color w:val="auto"/>
              </w:rPr>
            </w:pPr>
          </w:p>
        </w:tc>
        <w:tc>
          <w:tcPr>
            <w:tcW w:w="680" w:type="dxa"/>
            <w:vAlign w:val="bottom"/>
            <w:tcBorders>
              <w:top w:val="single" w:sz="8" w:color="auto"/>
              <w:bottom w:val="single" w:sz="8" w:color="auto"/>
              <w:right w:val="single" w:sz="8" w:color="CCEEFF"/>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27,206</w:t>
            </w:r>
          </w:p>
        </w:tc>
        <w:tc>
          <w:tcPr>
            <w:tcW w:w="60" w:type="dxa"/>
            <w:vAlign w:val="bottom"/>
            <w:tcBorders>
              <w:top w:val="single" w:sz="8" w:color="CCEEFF"/>
            </w:tcBorders>
            <w:shd w:val="clear" w:color="auto" w:fill="CCEEFF"/>
          </w:tcPr>
          <w:p>
            <w:pPr>
              <w:spacing w:after="0"/>
              <w:rPr>
                <w:sz w:val="12"/>
                <w:szCs w:val="12"/>
                <w:color w:val="auto"/>
              </w:rPr>
            </w:pPr>
          </w:p>
        </w:tc>
        <w:tc>
          <w:tcPr>
            <w:tcW w:w="2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bottom w:val="single" w:sz="8" w:color="auto"/>
            </w:tcBorders>
            <w:shd w:val="clear" w:color="auto" w:fill="CCEEFF"/>
          </w:tcPr>
          <w:p>
            <w:pPr>
              <w:spacing w:after="0"/>
              <w:rPr>
                <w:sz w:val="12"/>
                <w:szCs w:val="12"/>
                <w:color w:val="auto"/>
              </w:rPr>
            </w:pPr>
          </w:p>
        </w:tc>
        <w:tc>
          <w:tcPr>
            <w:tcW w:w="720" w:type="dxa"/>
            <w:vAlign w:val="bottom"/>
            <w:tcBorders>
              <w:top w:val="single" w:sz="8" w:color="auto"/>
              <w:bottom w:val="single" w:sz="8" w:color="auto"/>
            </w:tcBorders>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2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bottom w:val="single" w:sz="8" w:color="auto"/>
            </w:tcBorders>
            <w:shd w:val="clear" w:color="auto" w:fill="CCEEFF"/>
          </w:tcPr>
          <w:p>
            <w:pPr>
              <w:spacing w:after="0"/>
              <w:rPr>
                <w:sz w:val="12"/>
                <w:szCs w:val="12"/>
                <w:color w:val="auto"/>
              </w:rPr>
            </w:pPr>
          </w:p>
        </w:tc>
        <w:tc>
          <w:tcPr>
            <w:tcW w:w="660" w:type="dxa"/>
            <w:vAlign w:val="bottom"/>
            <w:tcBorders>
              <w:top w:val="single" w:sz="8" w:color="auto"/>
              <w:bottom w:val="single" w:sz="8" w:color="auto"/>
              <w:right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131,873</w:t>
            </w:r>
          </w:p>
        </w:tc>
        <w:tc>
          <w:tcPr>
            <w:tcW w:w="100" w:type="dxa"/>
            <w:vAlign w:val="bottom"/>
            <w:tcBorders>
              <w:top w:val="single" w:sz="8" w:color="CCEEFF"/>
              <w:left w:val="single" w:sz="8" w:color="CCEEFF"/>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74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199,490</w:t>
            </w:r>
          </w:p>
        </w:tc>
        <w:tc>
          <w:tcPr>
            <w:tcW w:w="6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10"/>
        </w:trPr>
        <w:tc>
          <w:tcPr>
            <w:tcW w:w="1660" w:type="dxa"/>
            <w:vAlign w:val="bottom"/>
          </w:tcPr>
          <w:p>
            <w:pPr>
              <w:spacing w:after="0" w:line="110" w:lineRule="exact"/>
              <w:rPr>
                <w:sz w:val="20"/>
                <w:szCs w:val="20"/>
                <w:color w:val="auto"/>
              </w:rPr>
            </w:pPr>
            <w:r>
              <w:rPr>
                <w:rFonts w:ascii="Arial" w:cs="Arial" w:eastAsia="Arial" w:hAnsi="Arial"/>
                <w:sz w:val="12"/>
                <w:szCs w:val="12"/>
                <w:color w:val="auto"/>
              </w:rPr>
              <w:t>Cumulative effect at</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40" w:type="dxa"/>
            <w:vAlign w:val="bottom"/>
          </w:tcPr>
          <w:p>
            <w:pPr>
              <w:spacing w:after="0"/>
              <w:rPr>
                <w:sz w:val="9"/>
                <w:szCs w:val="9"/>
                <w:color w:val="auto"/>
              </w:rPr>
            </w:pPr>
          </w:p>
        </w:tc>
        <w:tc>
          <w:tcPr>
            <w:tcW w:w="100" w:type="dxa"/>
            <w:vAlign w:val="bottom"/>
          </w:tcPr>
          <w:p>
            <w:pPr>
              <w:spacing w:after="0"/>
              <w:rPr>
                <w:sz w:val="9"/>
                <w:szCs w:val="9"/>
                <w:color w:val="auto"/>
              </w:rPr>
            </w:pPr>
          </w:p>
        </w:tc>
        <w:tc>
          <w:tcPr>
            <w:tcW w:w="68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660" w:type="dxa"/>
            <w:vAlign w:val="bottom"/>
          </w:tcPr>
          <w:p>
            <w:pPr>
              <w:spacing w:after="0"/>
              <w:rPr>
                <w:sz w:val="9"/>
                <w:szCs w:val="9"/>
                <w:color w:val="auto"/>
              </w:rPr>
            </w:pPr>
          </w:p>
        </w:tc>
        <w:tc>
          <w:tcPr>
            <w:tcW w:w="4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6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0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tcPr>
          <w:p>
            <w:pPr>
              <w:spacing w:after="0"/>
              <w:rPr>
                <w:sz w:val="9"/>
                <w:szCs w:val="9"/>
                <w:color w:val="auto"/>
              </w:rPr>
            </w:pPr>
          </w:p>
        </w:tc>
        <w:tc>
          <w:tcPr>
            <w:tcW w:w="8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6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67"/>
        </w:trPr>
        <w:tc>
          <w:tcPr>
            <w:tcW w:w="1660" w:type="dxa"/>
            <w:vAlign w:val="bottom"/>
          </w:tcPr>
          <w:p>
            <w:pPr>
              <w:ind w:left="180"/>
              <w:spacing w:after="0"/>
              <w:rPr>
                <w:sz w:val="20"/>
                <w:szCs w:val="20"/>
                <w:color w:val="auto"/>
              </w:rPr>
            </w:pPr>
            <w:r>
              <w:rPr>
                <w:rFonts w:ascii="Arial" w:cs="Arial" w:eastAsia="Arial" w:hAnsi="Arial"/>
                <w:sz w:val="14"/>
                <w:szCs w:val="14"/>
                <w:color w:val="auto"/>
              </w:rPr>
              <w:t>January 28, 2006</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Arial" w:cs="Arial" w:eastAsia="Arial" w:hAnsi="Arial"/>
                <w:sz w:val="14"/>
                <w:szCs w:val="14"/>
                <w:color w:val="auto"/>
              </w:rPr>
              <w:t>327,375</w:t>
            </w: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jc w:val="center"/>
              <w:ind w:left="229"/>
              <w:spacing w:after="0"/>
              <w:rPr>
                <w:sz w:val="20"/>
                <w:szCs w:val="20"/>
                <w:color w:val="auto"/>
              </w:rPr>
            </w:pPr>
            <w:r>
              <w:rPr>
                <w:rFonts w:ascii="Arial" w:cs="Arial" w:eastAsia="Arial" w:hAnsi="Arial"/>
                <w:sz w:val="14"/>
                <w:szCs w:val="14"/>
                <w:color w:val="auto"/>
                <w:w w:val="91"/>
              </w:rPr>
              <w:t>7,628</w:t>
            </w: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gridSpan w:val="2"/>
          </w:tcPr>
          <w:p>
            <w:pPr>
              <w:jc w:val="right"/>
              <w:spacing w:after="0"/>
              <w:rPr>
                <w:sz w:val="20"/>
                <w:szCs w:val="20"/>
                <w:color w:val="auto"/>
              </w:rPr>
            </w:pPr>
            <w:r>
              <w:rPr>
                <w:rFonts w:ascii="Arial" w:cs="Arial" w:eastAsia="Arial" w:hAnsi="Arial"/>
                <w:sz w:val="14"/>
                <w:szCs w:val="14"/>
                <w:color w:val="auto"/>
              </w:rPr>
              <w:t>(4,806)</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00" w:type="dxa"/>
            <w:vAlign w:val="bottom"/>
          </w:tcPr>
          <w:p>
            <w:pPr>
              <w:jc w:val="right"/>
              <w:spacing w:after="0"/>
              <w:rPr>
                <w:sz w:val="20"/>
                <w:szCs w:val="20"/>
                <w:color w:val="auto"/>
              </w:rPr>
            </w:pPr>
            <w:r>
              <w:rPr>
                <w:rFonts w:ascii="Arial" w:cs="Arial" w:eastAsia="Arial" w:hAnsi="Arial"/>
                <w:sz w:val="14"/>
                <w:szCs w:val="14"/>
                <w:color w:val="auto"/>
              </w:rPr>
              <w:t>5,275</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color w:val="auto"/>
              </w:rPr>
              <w:t>27,206</w:t>
            </w: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3"/>
          </w:tcPr>
          <w:p>
            <w:pPr>
              <w:jc w:val="right"/>
              <w:ind w:right="2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color w:val="auto"/>
              </w:rPr>
              <w:t>362,678</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66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 April</w:t>
            </w:r>
          </w:p>
        </w:tc>
        <w:tc>
          <w:tcPr>
            <w:tcW w:w="7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80" w:type="dxa"/>
            <w:vAlign w:val="bottom"/>
            <w:tcBorders>
              <w:right w:val="single" w:sz="8" w:color="CCEEFF"/>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tcBorders>
              <w:right w:val="single" w:sz="8" w:color="CCEEFF"/>
            </w:tcBorders>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tcBorders>
              <w:right w:val="single" w:sz="8" w:color="CCEEFF"/>
            </w:tcBorders>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00" w:type="dxa"/>
            <w:vAlign w:val="bottom"/>
            <w:tcBorders>
              <w:right w:val="single" w:sz="8" w:color="CCEEFF"/>
            </w:tcBorders>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100" w:type="dxa"/>
            <w:vAlign w:val="bottom"/>
            <w:tcBorders>
              <w:right w:val="single" w:sz="8" w:color="CCEEFF"/>
            </w:tcBorders>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80" w:type="dxa"/>
            <w:vAlign w:val="bottom"/>
            <w:tcBorders>
              <w:right w:val="single" w:sz="8" w:color="CCEEFF"/>
            </w:tcBorders>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60" w:type="dxa"/>
            <w:vAlign w:val="bottom"/>
            <w:tcBorders>
              <w:right w:val="single" w:sz="8" w:color="CCEEFF"/>
            </w:tcBorders>
            <w:shd w:val="clear" w:color="auto" w:fill="CCEEFF"/>
          </w:tcPr>
          <w:p>
            <w:pPr>
              <w:spacing w:after="0"/>
              <w:rPr>
                <w:sz w:val="11"/>
                <w:szCs w:val="11"/>
                <w:color w:val="auto"/>
              </w:rPr>
            </w:pPr>
          </w:p>
        </w:tc>
        <w:tc>
          <w:tcPr>
            <w:tcW w:w="100" w:type="dxa"/>
            <w:vAlign w:val="bottom"/>
            <w:tcBorders>
              <w:left w:val="single" w:sz="8" w:color="CCEEFF"/>
            </w:tcBorders>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4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660" w:type="dxa"/>
            <w:vAlign w:val="bottom"/>
            <w:shd w:val="clear" w:color="auto" w:fill="CCEEFF"/>
          </w:tcPr>
          <w:p>
            <w:pPr>
              <w:ind w:left="180"/>
              <w:spacing w:after="0"/>
              <w:rPr>
                <w:sz w:val="20"/>
                <w:szCs w:val="20"/>
                <w:color w:val="auto"/>
              </w:rPr>
            </w:pPr>
            <w:r>
              <w:rPr>
                <w:rFonts w:ascii="Arial" w:cs="Arial" w:eastAsia="Arial" w:hAnsi="Arial"/>
                <w:sz w:val="14"/>
                <w:szCs w:val="14"/>
                <w:color w:val="auto"/>
              </w:rPr>
              <w:t>29, 2006</w:t>
            </w:r>
          </w:p>
        </w:tc>
        <w:tc>
          <w:tcPr>
            <w:tcW w:w="7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75,297</w:t>
            </w:r>
          </w:p>
        </w:tc>
        <w:tc>
          <w:tcPr>
            <w:tcW w:w="2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4,225</w:t>
            </w:r>
          </w:p>
        </w:tc>
        <w:tc>
          <w:tcPr>
            <w:tcW w:w="10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60" w:type="dxa"/>
            <w:vAlign w:val="bottom"/>
            <w:tcBorders>
              <w:right w:val="single" w:sz="8" w:color="CCEEFF"/>
            </w:tcBorders>
            <w:shd w:val="clear" w:color="auto" w:fill="CCEEFF"/>
          </w:tcPr>
          <w:p>
            <w:pPr>
              <w:jc w:val="center"/>
              <w:ind w:left="229"/>
              <w:spacing w:after="0"/>
              <w:rPr>
                <w:sz w:val="20"/>
                <w:szCs w:val="20"/>
                <w:color w:val="auto"/>
              </w:rPr>
            </w:pPr>
            <w:r>
              <w:rPr>
                <w:rFonts w:ascii="Arial" w:cs="Arial" w:eastAsia="Arial" w:hAnsi="Arial"/>
                <w:sz w:val="14"/>
                <w:szCs w:val="14"/>
                <w:color w:val="auto"/>
                <w:w w:val="91"/>
              </w:rPr>
              <w:t>2,170</w:t>
            </w:r>
          </w:p>
        </w:tc>
        <w:tc>
          <w:tcPr>
            <w:tcW w:w="4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(3,325)</w:t>
            </w:r>
          </w:p>
        </w:tc>
        <w:tc>
          <w:tcPr>
            <w:tcW w:w="8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4"/>
                <w:szCs w:val="14"/>
                <w:color w:val="auto"/>
              </w:rPr>
            </w:pPr>
          </w:p>
        </w:tc>
        <w:tc>
          <w:tcPr>
            <w:tcW w:w="100" w:type="dxa"/>
            <w:vAlign w:val="bottom"/>
            <w:tcBorders>
              <w:right w:val="single" w:sz="8" w:color="CCEEFF"/>
            </w:tcBorders>
            <w:shd w:val="clear" w:color="auto" w:fill="CCEEFF"/>
          </w:tcPr>
          <w:p>
            <w:pPr>
              <w:spacing w:after="0"/>
              <w:rPr>
                <w:sz w:val="14"/>
                <w:szCs w:val="14"/>
                <w:color w:val="auto"/>
              </w:rPr>
            </w:pPr>
          </w:p>
        </w:tc>
        <w:tc>
          <w:tcPr>
            <w:tcW w:w="68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4"/>
                <w:szCs w:val="14"/>
                <w:color w:val="auto"/>
              </w:rPr>
              <w:t>3,510</w:t>
            </w:r>
          </w:p>
        </w:tc>
        <w:tc>
          <w:tcPr>
            <w:tcW w:w="6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840" w:type="dxa"/>
            <w:vAlign w:val="bottom"/>
            <w:gridSpan w:val="4"/>
            <w:shd w:val="clear" w:color="auto" w:fill="CCEEFF"/>
          </w:tcPr>
          <w:p>
            <w:pPr>
              <w:jc w:val="right"/>
              <w:spacing w:after="0"/>
              <w:rPr>
                <w:sz w:val="20"/>
                <w:szCs w:val="20"/>
                <w:color w:val="auto"/>
              </w:rPr>
            </w:pPr>
            <w:r>
              <w:rPr>
                <w:rFonts w:ascii="Arial" w:cs="Arial" w:eastAsia="Arial" w:hAnsi="Arial"/>
                <w:sz w:val="14"/>
                <w:szCs w:val="14"/>
                <w:color w:val="auto"/>
              </w:rPr>
              <w:t>(8,846)</w:t>
            </w:r>
          </w:p>
        </w:tc>
        <w:tc>
          <w:tcPr>
            <w:tcW w:w="120" w:type="dxa"/>
            <w:vAlign w:val="bottom"/>
            <w:shd w:val="clear" w:color="auto" w:fill="CCEEFF"/>
          </w:tcPr>
          <w:p>
            <w:pPr>
              <w:spacing w:after="0"/>
              <w:rPr>
                <w:sz w:val="14"/>
                <w:szCs w:val="14"/>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4"/>
                <w:szCs w:val="14"/>
                <w:color w:val="auto"/>
              </w:rPr>
              <w:t>(2,266)</w:t>
            </w:r>
          </w:p>
        </w:tc>
        <w:tc>
          <w:tcPr>
            <w:tcW w:w="80" w:type="dxa"/>
            <w:vAlign w:val="bottom"/>
            <w:shd w:val="clear" w:color="auto" w:fill="CCEEFF"/>
          </w:tcPr>
          <w:p>
            <w:pPr>
              <w:spacing w:after="0"/>
              <w:rPr>
                <w:sz w:val="14"/>
                <w:szCs w:val="14"/>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77,563</w:t>
            </w:r>
          </w:p>
        </w:tc>
        <w:tc>
          <w:tcPr>
            <w:tcW w:w="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660" w:type="dxa"/>
            <w:vAlign w:val="bottom"/>
            <w:vMerge w:val="restart"/>
          </w:tcPr>
          <w:p>
            <w:pPr>
              <w:spacing w:after="0" w:line="130" w:lineRule="exact"/>
              <w:rPr>
                <w:sz w:val="20"/>
                <w:szCs w:val="20"/>
                <w:color w:val="auto"/>
              </w:rPr>
            </w:pPr>
            <w:r>
              <w:rPr>
                <w:rFonts w:ascii="Arial" w:cs="Arial" w:eastAsia="Arial" w:hAnsi="Arial"/>
                <w:sz w:val="14"/>
                <w:szCs w:val="14"/>
                <w:color w:val="auto"/>
              </w:rPr>
              <w:t>Cumulative effect at April</w:t>
            </w:r>
          </w:p>
        </w:tc>
        <w:tc>
          <w:tcPr>
            <w:tcW w:w="7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6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500" w:type="dxa"/>
            <w:vAlign w:val="bottom"/>
            <w:tcBorders>
              <w:right w:val="single" w:sz="8" w:color="auto"/>
            </w:tcBorders>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right w:val="single" w:sz="8" w:color="auto"/>
            </w:tcBorders>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tcBorders>
              <w:right w:val="single" w:sz="8" w:color="auto"/>
            </w:tcBorders>
            <w:shd w:val="clear" w:color="auto" w:fill="000000"/>
          </w:tcPr>
          <w:p>
            <w:pPr>
              <w:spacing w:after="0" w:line="20" w:lineRule="exact"/>
              <w:rPr>
                <w:sz w:val="1"/>
                <w:szCs w:val="1"/>
                <w:color w:val="auto"/>
              </w:rPr>
            </w:pPr>
          </w:p>
        </w:tc>
        <w:tc>
          <w:tcPr>
            <w:tcW w:w="100" w:type="dxa"/>
            <w:vAlign w:val="bottom"/>
            <w:tcBorders>
              <w:left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0"/>
        </w:trPr>
        <w:tc>
          <w:tcPr>
            <w:tcW w:w="1660" w:type="dxa"/>
            <w:vAlign w:val="bottom"/>
            <w:vMerge w:val="continue"/>
          </w:tcPr>
          <w:p>
            <w:pPr>
              <w:spacing w:after="0"/>
              <w:rPr>
                <w:sz w:val="9"/>
                <w:szCs w:val="9"/>
                <w:color w:val="auto"/>
              </w:rPr>
            </w:pPr>
          </w:p>
        </w:tc>
        <w:tc>
          <w:tcPr>
            <w:tcW w:w="920" w:type="dxa"/>
            <w:vAlign w:val="bottom"/>
            <w:gridSpan w:val="4"/>
            <w:vMerge w:val="restart"/>
          </w:tcPr>
          <w:p>
            <w:pPr>
              <w:jc w:val="right"/>
              <w:spacing w:after="0"/>
              <w:rPr>
                <w:sz w:val="20"/>
                <w:szCs w:val="20"/>
                <w:color w:val="auto"/>
              </w:rPr>
            </w:pPr>
            <w:r>
              <w:rPr>
                <w:rFonts w:ascii="Arial" w:cs="Arial" w:eastAsia="Arial" w:hAnsi="Arial"/>
                <w:sz w:val="14"/>
                <w:szCs w:val="14"/>
                <w:color w:val="auto"/>
              </w:rPr>
              <w:t>$</w:t>
            </w:r>
          </w:p>
        </w:tc>
        <w:tc>
          <w:tcPr>
            <w:tcW w:w="680" w:type="dxa"/>
            <w:vAlign w:val="bottom"/>
            <w:vMerge w:val="restart"/>
          </w:tcPr>
          <w:p>
            <w:pPr>
              <w:jc w:val="right"/>
              <w:spacing w:after="0"/>
              <w:rPr>
                <w:sz w:val="20"/>
                <w:szCs w:val="20"/>
                <w:color w:val="auto"/>
              </w:rPr>
            </w:pPr>
            <w:r>
              <w:rPr>
                <w:rFonts w:ascii="Arial" w:cs="Arial" w:eastAsia="Arial" w:hAnsi="Arial"/>
                <w:sz w:val="14"/>
                <w:szCs w:val="14"/>
                <w:color w:val="auto"/>
              </w:rPr>
              <w:t>331,600</w:t>
            </w:r>
          </w:p>
        </w:tc>
        <w:tc>
          <w:tcPr>
            <w:tcW w:w="100" w:type="dxa"/>
            <w:vAlign w:val="bottom"/>
          </w:tcPr>
          <w:p>
            <w:pPr>
              <w:spacing w:after="0"/>
              <w:rPr>
                <w:sz w:val="9"/>
                <w:szCs w:val="9"/>
                <w:color w:val="auto"/>
              </w:rPr>
            </w:pPr>
          </w:p>
        </w:tc>
        <w:tc>
          <w:tcPr>
            <w:tcW w:w="120" w:type="dxa"/>
            <w:vAlign w:val="bottom"/>
            <w:gridSpan w:val="2"/>
            <w:vMerge w:val="restart"/>
          </w:tcPr>
          <w:p>
            <w:pPr>
              <w:jc w:val="right"/>
              <w:spacing w:after="0"/>
              <w:rPr>
                <w:sz w:val="20"/>
                <w:szCs w:val="20"/>
                <w:color w:val="auto"/>
              </w:rPr>
            </w:pPr>
            <w:r>
              <w:rPr>
                <w:rFonts w:ascii="Arial" w:cs="Arial" w:eastAsia="Arial" w:hAnsi="Arial"/>
                <w:sz w:val="14"/>
                <w:szCs w:val="14"/>
                <w:color w:val="auto"/>
              </w:rPr>
              <w:t>$</w:t>
            </w:r>
          </w:p>
        </w:tc>
        <w:tc>
          <w:tcPr>
            <w:tcW w:w="660" w:type="dxa"/>
            <w:vAlign w:val="bottom"/>
            <w:vMerge w:val="restart"/>
          </w:tcPr>
          <w:p>
            <w:pPr>
              <w:jc w:val="center"/>
              <w:ind w:left="229"/>
              <w:spacing w:after="0"/>
              <w:rPr>
                <w:sz w:val="20"/>
                <w:szCs w:val="20"/>
                <w:color w:val="auto"/>
              </w:rPr>
            </w:pPr>
            <w:r>
              <w:rPr>
                <w:rFonts w:ascii="Arial" w:cs="Arial" w:eastAsia="Arial" w:hAnsi="Arial"/>
                <w:sz w:val="14"/>
                <w:szCs w:val="14"/>
                <w:color w:val="auto"/>
                <w:w w:val="91"/>
              </w:rPr>
              <w:t>9,798</w:t>
            </w:r>
          </w:p>
        </w:tc>
        <w:tc>
          <w:tcPr>
            <w:tcW w:w="40" w:type="dxa"/>
            <w:vAlign w:val="bottom"/>
          </w:tcPr>
          <w:p>
            <w:pPr>
              <w:spacing w:after="0"/>
              <w:rPr>
                <w:sz w:val="9"/>
                <w:szCs w:val="9"/>
                <w:color w:val="auto"/>
              </w:rPr>
            </w:pPr>
          </w:p>
        </w:tc>
        <w:tc>
          <w:tcPr>
            <w:tcW w:w="180" w:type="dxa"/>
            <w:vAlign w:val="bottom"/>
            <w:gridSpan w:val="3"/>
            <w:vMerge w:val="restart"/>
          </w:tcPr>
          <w:p>
            <w:pPr>
              <w:jc w:val="right"/>
              <w:spacing w:after="0"/>
              <w:rPr>
                <w:sz w:val="20"/>
                <w:szCs w:val="20"/>
                <w:color w:val="auto"/>
              </w:rPr>
            </w:pPr>
            <w:r>
              <w:rPr>
                <w:rFonts w:ascii="Arial" w:cs="Arial" w:eastAsia="Arial" w:hAnsi="Arial"/>
                <w:sz w:val="14"/>
                <w:szCs w:val="14"/>
                <w:color w:val="auto"/>
              </w:rPr>
              <w:t>$</w:t>
            </w:r>
          </w:p>
        </w:tc>
        <w:tc>
          <w:tcPr>
            <w:tcW w:w="720" w:type="dxa"/>
            <w:vAlign w:val="bottom"/>
            <w:gridSpan w:val="2"/>
            <w:vMerge w:val="restart"/>
          </w:tcPr>
          <w:p>
            <w:pPr>
              <w:jc w:val="right"/>
              <w:spacing w:after="0"/>
              <w:rPr>
                <w:sz w:val="20"/>
                <w:szCs w:val="20"/>
                <w:color w:val="auto"/>
              </w:rPr>
            </w:pPr>
            <w:r>
              <w:rPr>
                <w:rFonts w:ascii="Arial" w:cs="Arial" w:eastAsia="Arial" w:hAnsi="Arial"/>
                <w:sz w:val="14"/>
                <w:szCs w:val="14"/>
                <w:color w:val="auto"/>
              </w:rPr>
              <w:t>(8,131)</w:t>
            </w:r>
          </w:p>
        </w:tc>
        <w:tc>
          <w:tcPr>
            <w:tcW w:w="80" w:type="dxa"/>
            <w:vAlign w:val="bottom"/>
          </w:tcPr>
          <w:p>
            <w:pPr>
              <w:spacing w:after="0"/>
              <w:rPr>
                <w:sz w:val="9"/>
                <w:szCs w:val="9"/>
                <w:color w:val="auto"/>
              </w:rPr>
            </w:pPr>
          </w:p>
        </w:tc>
        <w:tc>
          <w:tcPr>
            <w:tcW w:w="260" w:type="dxa"/>
            <w:vAlign w:val="bottom"/>
            <w:gridSpan w:val="2"/>
            <w:vMerge w:val="restart"/>
          </w:tcPr>
          <w:p>
            <w:pPr>
              <w:jc w:val="right"/>
              <w:ind w:right="97"/>
              <w:spacing w:after="0"/>
              <w:rPr>
                <w:sz w:val="20"/>
                <w:szCs w:val="20"/>
                <w:color w:val="auto"/>
              </w:rPr>
            </w:pPr>
            <w:r>
              <w:rPr>
                <w:rFonts w:ascii="Arial" w:cs="Arial" w:eastAsia="Arial" w:hAnsi="Arial"/>
                <w:sz w:val="14"/>
                <w:szCs w:val="14"/>
                <w:color w:val="auto"/>
              </w:rPr>
              <w:t>$</w:t>
            </w:r>
          </w:p>
        </w:tc>
        <w:tc>
          <w:tcPr>
            <w:tcW w:w="500" w:type="dxa"/>
            <w:vAlign w:val="bottom"/>
            <w:vMerge w:val="restart"/>
          </w:tcPr>
          <w:p>
            <w:pPr>
              <w:jc w:val="right"/>
              <w:spacing w:after="0"/>
              <w:rPr>
                <w:sz w:val="20"/>
                <w:szCs w:val="20"/>
                <w:color w:val="auto"/>
              </w:rPr>
            </w:pPr>
            <w:r>
              <w:rPr>
                <w:rFonts w:ascii="Arial" w:cs="Arial" w:eastAsia="Arial" w:hAnsi="Arial"/>
                <w:sz w:val="14"/>
                <w:szCs w:val="14"/>
                <w:color w:val="auto"/>
              </w:rPr>
              <w:t>5,275</w:t>
            </w: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vMerge w:val="restart"/>
          </w:tcPr>
          <w:p>
            <w:pPr>
              <w:jc w:val="right"/>
              <w:spacing w:after="0"/>
              <w:rPr>
                <w:sz w:val="20"/>
                <w:szCs w:val="20"/>
                <w:color w:val="auto"/>
              </w:rPr>
            </w:pPr>
            <w:r>
              <w:rPr>
                <w:rFonts w:ascii="Arial" w:cs="Arial" w:eastAsia="Arial" w:hAnsi="Arial"/>
                <w:sz w:val="14"/>
                <w:szCs w:val="14"/>
                <w:color w:val="auto"/>
              </w:rPr>
              <w:t>$</w:t>
            </w:r>
          </w:p>
        </w:tc>
        <w:tc>
          <w:tcPr>
            <w:tcW w:w="680" w:type="dxa"/>
            <w:vAlign w:val="bottom"/>
            <w:gridSpan w:val="2"/>
            <w:vMerge w:val="restart"/>
          </w:tcPr>
          <w:p>
            <w:pPr>
              <w:jc w:val="right"/>
              <w:spacing w:after="0"/>
              <w:rPr>
                <w:sz w:val="20"/>
                <w:szCs w:val="20"/>
                <w:color w:val="auto"/>
              </w:rPr>
            </w:pPr>
            <w:r>
              <w:rPr>
                <w:rFonts w:ascii="Arial" w:cs="Arial" w:eastAsia="Arial" w:hAnsi="Arial"/>
                <w:sz w:val="14"/>
                <w:szCs w:val="14"/>
                <w:color w:val="auto"/>
              </w:rPr>
              <w:t>30,716</w:t>
            </w:r>
          </w:p>
        </w:tc>
        <w:tc>
          <w:tcPr>
            <w:tcW w:w="60" w:type="dxa"/>
            <w:vAlign w:val="bottom"/>
          </w:tcPr>
          <w:p>
            <w:pPr>
              <w:spacing w:after="0"/>
              <w:rPr>
                <w:sz w:val="9"/>
                <w:szCs w:val="9"/>
                <w:color w:val="auto"/>
              </w:rPr>
            </w:pPr>
          </w:p>
        </w:tc>
        <w:tc>
          <w:tcPr>
            <w:tcW w:w="100" w:type="dxa"/>
            <w:vAlign w:val="bottom"/>
            <w:gridSpan w:val="2"/>
            <w:vMerge w:val="restart"/>
          </w:tcPr>
          <w:p>
            <w:pPr>
              <w:jc w:val="right"/>
              <w:spacing w:after="0"/>
              <w:rPr>
                <w:sz w:val="20"/>
                <w:szCs w:val="20"/>
                <w:color w:val="auto"/>
              </w:rPr>
            </w:pPr>
            <w:r>
              <w:rPr>
                <w:rFonts w:ascii="Arial" w:cs="Arial" w:eastAsia="Arial" w:hAnsi="Arial"/>
                <w:sz w:val="14"/>
                <w:szCs w:val="14"/>
                <w:color w:val="auto"/>
              </w:rPr>
              <w:t>$</w:t>
            </w:r>
          </w:p>
        </w:tc>
        <w:tc>
          <w:tcPr>
            <w:tcW w:w="840" w:type="dxa"/>
            <w:vAlign w:val="bottom"/>
            <w:gridSpan w:val="4"/>
            <w:vMerge w:val="restart"/>
          </w:tcPr>
          <w:p>
            <w:pPr>
              <w:jc w:val="right"/>
              <w:spacing w:after="0"/>
              <w:rPr>
                <w:sz w:val="20"/>
                <w:szCs w:val="20"/>
                <w:color w:val="auto"/>
              </w:rPr>
            </w:pPr>
            <w:r>
              <w:rPr>
                <w:rFonts w:ascii="Arial" w:cs="Arial" w:eastAsia="Arial" w:hAnsi="Arial"/>
                <w:sz w:val="14"/>
                <w:szCs w:val="14"/>
                <w:color w:val="auto"/>
              </w:rPr>
              <w:t>(8,846)</w:t>
            </w:r>
          </w:p>
        </w:tc>
        <w:tc>
          <w:tcPr>
            <w:tcW w:w="120" w:type="dxa"/>
            <w:vAlign w:val="bottom"/>
            <w:vMerge w:val="restart"/>
          </w:tcPr>
          <w:p>
            <w:pPr>
              <w:jc w:val="right"/>
              <w:ind w:right="3"/>
              <w:spacing w:after="0"/>
              <w:rPr>
                <w:sz w:val="20"/>
                <w:szCs w:val="20"/>
                <w:color w:val="auto"/>
              </w:rPr>
            </w:pPr>
            <w:r>
              <w:rPr>
                <w:rFonts w:ascii="Arial" w:cs="Arial" w:eastAsia="Arial" w:hAnsi="Arial"/>
                <w:sz w:val="10"/>
                <w:szCs w:val="10"/>
                <w:color w:val="auto"/>
                <w:w w:val="71"/>
              </w:rPr>
              <w:t>$</w:t>
            </w:r>
          </w:p>
        </w:tc>
        <w:tc>
          <w:tcPr>
            <w:tcW w:w="660" w:type="dxa"/>
            <w:vAlign w:val="bottom"/>
            <w:vMerge w:val="restart"/>
          </w:tcPr>
          <w:p>
            <w:pPr>
              <w:jc w:val="right"/>
              <w:spacing w:after="0"/>
              <w:rPr>
                <w:sz w:val="20"/>
                <w:szCs w:val="20"/>
                <w:color w:val="auto"/>
              </w:rPr>
            </w:pPr>
            <w:r>
              <w:rPr>
                <w:rFonts w:ascii="Arial" w:cs="Arial" w:eastAsia="Arial" w:hAnsi="Arial"/>
                <w:sz w:val="14"/>
                <w:szCs w:val="14"/>
                <w:color w:val="auto"/>
              </w:rPr>
              <w:t>360,412</w:t>
            </w: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1660" w:type="dxa"/>
            <w:vAlign w:val="bottom"/>
          </w:tcPr>
          <w:p>
            <w:pPr>
              <w:ind w:left="180"/>
              <w:spacing w:after="0" w:line="154" w:lineRule="exact"/>
              <w:rPr>
                <w:sz w:val="20"/>
                <w:szCs w:val="20"/>
                <w:color w:val="auto"/>
              </w:rPr>
            </w:pPr>
            <w:r>
              <w:rPr>
                <w:rFonts w:ascii="Arial" w:cs="Arial" w:eastAsia="Arial" w:hAnsi="Arial"/>
                <w:sz w:val="14"/>
                <w:szCs w:val="14"/>
                <w:color w:val="auto"/>
              </w:rPr>
              <w:t>29, 2006</w:t>
            </w:r>
          </w:p>
        </w:tc>
        <w:tc>
          <w:tcPr>
            <w:tcW w:w="920" w:type="dxa"/>
            <w:vAlign w:val="bottom"/>
            <w:gridSpan w:val="4"/>
            <w:vMerge w:val="continue"/>
          </w:tcPr>
          <w:p>
            <w:pPr>
              <w:spacing w:after="0"/>
              <w:rPr>
                <w:sz w:val="13"/>
                <w:szCs w:val="13"/>
                <w:color w:val="auto"/>
              </w:rPr>
            </w:pPr>
          </w:p>
        </w:tc>
        <w:tc>
          <w:tcPr>
            <w:tcW w:w="680" w:type="dxa"/>
            <w:vAlign w:val="bottom"/>
            <w:vMerge w:val="continue"/>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80" w:type="dxa"/>
            <w:vAlign w:val="bottom"/>
            <w:gridSpan w:val="3"/>
            <w:vMerge w:val="continue"/>
          </w:tcPr>
          <w:p>
            <w:pPr>
              <w:spacing w:after="0"/>
              <w:rPr>
                <w:sz w:val="13"/>
                <w:szCs w:val="13"/>
                <w:color w:val="auto"/>
              </w:rPr>
            </w:pPr>
          </w:p>
        </w:tc>
        <w:tc>
          <w:tcPr>
            <w:tcW w:w="720" w:type="dxa"/>
            <w:vAlign w:val="bottom"/>
            <w:gridSpan w:val="2"/>
            <w:vMerge w:val="continue"/>
          </w:tcPr>
          <w:p>
            <w:pPr>
              <w:spacing w:after="0"/>
              <w:rPr>
                <w:sz w:val="13"/>
                <w:szCs w:val="13"/>
                <w:color w:val="auto"/>
              </w:rPr>
            </w:pPr>
          </w:p>
        </w:tc>
        <w:tc>
          <w:tcPr>
            <w:tcW w:w="80" w:type="dxa"/>
            <w:vAlign w:val="bottom"/>
          </w:tcPr>
          <w:p>
            <w:pPr>
              <w:spacing w:after="0"/>
              <w:rPr>
                <w:sz w:val="13"/>
                <w:szCs w:val="13"/>
                <w:color w:val="auto"/>
              </w:rPr>
            </w:pPr>
          </w:p>
        </w:tc>
        <w:tc>
          <w:tcPr>
            <w:tcW w:w="260" w:type="dxa"/>
            <w:vAlign w:val="bottom"/>
            <w:gridSpan w:val="2"/>
            <w:vMerge w:val="continue"/>
          </w:tcPr>
          <w:p>
            <w:pPr>
              <w:spacing w:after="0"/>
              <w:rPr>
                <w:sz w:val="13"/>
                <w:szCs w:val="13"/>
                <w:color w:val="auto"/>
              </w:rPr>
            </w:pPr>
          </w:p>
        </w:tc>
        <w:tc>
          <w:tcPr>
            <w:tcW w:w="50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vMerge w:val="continue"/>
          </w:tcPr>
          <w:p>
            <w:pPr>
              <w:spacing w:after="0"/>
              <w:rPr>
                <w:sz w:val="13"/>
                <w:szCs w:val="13"/>
                <w:color w:val="auto"/>
              </w:rPr>
            </w:pPr>
          </w:p>
        </w:tc>
        <w:tc>
          <w:tcPr>
            <w:tcW w:w="680" w:type="dxa"/>
            <w:vAlign w:val="bottom"/>
            <w:gridSpan w:val="2"/>
            <w:vMerge w:val="continue"/>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gridSpan w:val="2"/>
            <w:vMerge w:val="continue"/>
          </w:tcPr>
          <w:p>
            <w:pPr>
              <w:spacing w:after="0"/>
              <w:rPr>
                <w:sz w:val="13"/>
                <w:szCs w:val="13"/>
                <w:color w:val="auto"/>
              </w:rPr>
            </w:pPr>
          </w:p>
        </w:tc>
        <w:tc>
          <w:tcPr>
            <w:tcW w:w="840" w:type="dxa"/>
            <w:vAlign w:val="bottom"/>
            <w:gridSpan w:val="4"/>
            <w:vMerge w:val="continue"/>
          </w:tcPr>
          <w:p>
            <w:pPr>
              <w:spacing w:after="0"/>
              <w:rPr>
                <w:sz w:val="13"/>
                <w:szCs w:val="13"/>
                <w:color w:val="auto"/>
              </w:rPr>
            </w:pPr>
          </w:p>
        </w:tc>
        <w:tc>
          <w:tcPr>
            <w:tcW w:w="120" w:type="dxa"/>
            <w:vAlign w:val="bottom"/>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6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20" w:hanging="312"/>
        <w:spacing w:after="0"/>
        <w:tabs>
          <w:tab w:leader="none" w:pos="3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Comprised $1,062,000 for fiscal 2000, $139,000 for fiscal 1999, $41,000 for fiscal 1998, $12,000 for fiscal 1997 and $1,000 for fiscal 1996.</w:t>
      </w:r>
    </w:p>
    <w:p>
      <w:pPr>
        <w:spacing w:after="0" w:line="225" w:lineRule="exact"/>
        <w:rPr>
          <w:sz w:val="20"/>
          <w:szCs w:val="20"/>
          <w:color w:val="auto"/>
        </w:rPr>
      </w:pPr>
    </w:p>
    <w:p>
      <w:pPr>
        <w:ind w:right="400" w:firstLine="324"/>
        <w:spacing w:after="0" w:line="277" w:lineRule="auto"/>
        <w:rPr>
          <w:sz w:val="20"/>
          <w:szCs w:val="20"/>
          <w:color w:val="auto"/>
        </w:rPr>
      </w:pPr>
      <w:r>
        <w:rPr>
          <w:rFonts w:ascii="Arial" w:cs="Arial" w:eastAsia="Arial" w:hAnsi="Arial"/>
          <w:sz w:val="18"/>
          <w:szCs w:val="18"/>
          <w:color w:val="auto"/>
        </w:rPr>
        <w:t>The restatement adjustments increased previously reported basic net income per share by $0.48 and $0.28 for fiscal 2006 and 2005, respectively and diluted net income per share by $0.40 and $0.26 for fiscal 2006 and fiscal 2005, respectively.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Cashflows Impact of Equity Award Review</w:t>
      </w:r>
    </w:p>
    <w:p>
      <w:pPr>
        <w:spacing w:after="0" w:line="225" w:lineRule="exact"/>
        <w:rPr>
          <w:sz w:val="20"/>
          <w:szCs w:val="20"/>
          <w:color w:val="auto"/>
        </w:rPr>
      </w:pPr>
    </w:p>
    <w:p>
      <w:pPr>
        <w:jc w:val="both"/>
        <w:ind w:right="160" w:firstLine="324"/>
        <w:spacing w:after="0" w:line="286" w:lineRule="auto"/>
        <w:rPr>
          <w:sz w:val="20"/>
          <w:szCs w:val="20"/>
          <w:color w:val="auto"/>
        </w:rPr>
      </w:pPr>
      <w:r>
        <w:rPr>
          <w:rFonts w:ascii="Arial" w:cs="Arial" w:eastAsia="Arial" w:hAnsi="Arial"/>
          <w:sz w:val="17"/>
          <w:szCs w:val="17"/>
          <w:color w:val="auto"/>
        </w:rPr>
        <w:t>The additional payable for payroll taxes associated with these stock option grants of approximately $10.6 million, additional Section 409A expenses for the adverse tax consequences of the re-measured options exercised during calendar year 2006 of approximately $24.2 million, and Section 162(m) liabilities of $26.5 million for cumulative period from fiscal 2001 through 2007, represents future cash outflow totaling $61.3 million.</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Statement of Operations for the first quarter of fiscal 2007 and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7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960" w:type="dxa"/>
            <w:vAlign w:val="bottom"/>
            <w:tcBorders>
              <w:bottom w:val="single" w:sz="8" w:color="auto"/>
            </w:tcBorders>
            <w:gridSpan w:val="4"/>
          </w:tcPr>
          <w:p>
            <w:pPr>
              <w:jc w:val="right"/>
              <w:ind w:right="475"/>
              <w:spacing w:after="0"/>
              <w:rPr>
                <w:sz w:val="20"/>
                <w:szCs w:val="20"/>
                <w:color w:val="auto"/>
              </w:rPr>
            </w:pPr>
            <w:r>
              <w:rPr>
                <w:rFonts w:ascii="Arial" w:cs="Arial" w:eastAsia="Arial" w:hAnsi="Arial"/>
                <w:sz w:val="14"/>
                <w:szCs w:val="14"/>
                <w:b w:val="1"/>
                <w:bCs w:val="1"/>
                <w:color w:val="auto"/>
              </w:rPr>
              <w:t>Quarter Ended April 29, 2006</w:t>
            </w:r>
          </w:p>
        </w:tc>
        <w:tc>
          <w:tcPr>
            <w:tcW w:w="140" w:type="dxa"/>
            <w:vAlign w:val="bottom"/>
          </w:tcPr>
          <w:p>
            <w:pPr>
              <w:spacing w:after="0"/>
              <w:rPr>
                <w:sz w:val="14"/>
                <w:szCs w:val="14"/>
                <w:color w:val="auto"/>
              </w:rPr>
            </w:pPr>
          </w:p>
        </w:tc>
        <w:tc>
          <w:tcPr>
            <w:tcW w:w="2980" w:type="dxa"/>
            <w:vAlign w:val="bottom"/>
            <w:tcBorders>
              <w:bottom w:val="single" w:sz="8" w:color="auto"/>
            </w:tcBorders>
            <w:gridSpan w:val="4"/>
          </w:tcPr>
          <w:p>
            <w:pPr>
              <w:jc w:val="right"/>
              <w:ind w:right="495"/>
              <w:spacing w:after="0"/>
              <w:rPr>
                <w:sz w:val="20"/>
                <w:szCs w:val="20"/>
                <w:color w:val="auto"/>
              </w:rPr>
            </w:pPr>
            <w:r>
              <w:rPr>
                <w:rFonts w:ascii="Arial" w:cs="Arial" w:eastAsia="Arial" w:hAnsi="Arial"/>
                <w:sz w:val="14"/>
                <w:szCs w:val="14"/>
                <w:b w:val="1"/>
                <w:bCs w:val="1"/>
                <w:color w:val="auto"/>
              </w:rPr>
              <w:t>Quarter Ended April 30, 2005</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740" w:type="dxa"/>
            <w:vAlign w:val="bottom"/>
          </w:tcPr>
          <w:p>
            <w:pPr>
              <w:spacing w:after="0"/>
              <w:rPr>
                <w:sz w:val="8"/>
                <w:szCs w:val="8"/>
                <w:color w:val="auto"/>
              </w:rPr>
            </w:pPr>
          </w:p>
        </w:tc>
        <w:tc>
          <w:tcPr>
            <w:tcW w:w="540" w:type="dxa"/>
            <w:vAlign w:val="bottom"/>
          </w:tcPr>
          <w:p>
            <w:pPr>
              <w:spacing w:after="0"/>
              <w:rPr>
                <w:sz w:val="8"/>
                <w:szCs w:val="8"/>
                <w:color w:val="auto"/>
              </w:rPr>
            </w:pPr>
          </w:p>
        </w:tc>
        <w:tc>
          <w:tcPr>
            <w:tcW w:w="90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As</w:t>
            </w:r>
          </w:p>
        </w:tc>
        <w:tc>
          <w:tcPr>
            <w:tcW w:w="3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0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89"/>
              </w:rPr>
              <w:t>As</w:t>
            </w:r>
          </w:p>
        </w:tc>
        <w:tc>
          <w:tcPr>
            <w:tcW w:w="900" w:type="dxa"/>
            <w:vAlign w:val="bottom"/>
          </w:tcPr>
          <w:p>
            <w:pPr>
              <w:jc w:val="center"/>
              <w:ind w:right="20"/>
              <w:spacing w:after="0" w:line="102" w:lineRule="exact"/>
              <w:rPr>
                <w:sz w:val="20"/>
                <w:szCs w:val="20"/>
                <w:color w:val="auto"/>
              </w:rPr>
            </w:pPr>
            <w:r>
              <w:rPr>
                <w:rFonts w:ascii="Arial" w:cs="Arial" w:eastAsia="Arial" w:hAnsi="Arial"/>
                <w:sz w:val="11"/>
                <w:szCs w:val="11"/>
                <w:b w:val="1"/>
                <w:bCs w:val="1"/>
                <w:color w:val="auto"/>
              </w:rPr>
              <w:t>As</w:t>
            </w:r>
          </w:p>
        </w:tc>
        <w:tc>
          <w:tcPr>
            <w:tcW w:w="40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0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2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90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Previously</w:t>
            </w:r>
          </w:p>
        </w:tc>
        <w:tc>
          <w:tcPr>
            <w:tcW w:w="116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Adjustments</w:t>
            </w:r>
          </w:p>
        </w:tc>
        <w:tc>
          <w:tcPr>
            <w:tcW w:w="1040" w:type="dxa"/>
            <w:vAlign w:val="bottom"/>
            <w:gridSpan w:val="2"/>
            <w:vMerge w:val="continue"/>
          </w:tcPr>
          <w:p>
            <w:pPr>
              <w:spacing w:after="0"/>
              <w:rPr>
                <w:sz w:val="11"/>
                <w:szCs w:val="11"/>
                <w:color w:val="auto"/>
              </w:rPr>
            </w:pPr>
          </w:p>
        </w:tc>
        <w:tc>
          <w:tcPr>
            <w:tcW w:w="90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3"/>
              </w:rPr>
              <w:t>Previously</w:t>
            </w:r>
          </w:p>
        </w:tc>
        <w:tc>
          <w:tcPr>
            <w:tcW w:w="114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Adjustments</w:t>
            </w:r>
          </w:p>
        </w:tc>
        <w:tc>
          <w:tcPr>
            <w:tcW w:w="10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7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00" w:type="dxa"/>
            <w:vAlign w:val="bottom"/>
          </w:tcPr>
          <w:p>
            <w:pPr>
              <w:jc w:val="center"/>
              <w:ind w:right="12"/>
              <w:spacing w:after="0"/>
              <w:rPr>
                <w:sz w:val="20"/>
                <w:szCs w:val="20"/>
                <w:color w:val="auto"/>
              </w:rPr>
            </w:pPr>
            <w:r>
              <w:rPr>
                <w:rFonts w:ascii="Arial" w:cs="Arial" w:eastAsia="Arial" w:hAnsi="Arial"/>
                <w:sz w:val="14"/>
                <w:szCs w:val="14"/>
                <w:b w:val="1"/>
                <w:bCs w:val="1"/>
                <w:color w:val="auto"/>
                <w:w w:val="94"/>
              </w:rPr>
              <w:t>Reported</w:t>
            </w:r>
          </w:p>
        </w:tc>
        <w:tc>
          <w:tcPr>
            <w:tcW w:w="1160" w:type="dxa"/>
            <w:vAlign w:val="bottom"/>
            <w:gridSpan w:val="2"/>
            <w:vMerge w:val="continue"/>
          </w:tcPr>
          <w:p>
            <w:pPr>
              <w:spacing w:after="0"/>
              <w:rPr>
                <w:sz w:val="14"/>
                <w:szCs w:val="14"/>
                <w:color w:val="auto"/>
              </w:rPr>
            </w:pPr>
          </w:p>
        </w:tc>
        <w:tc>
          <w:tcPr>
            <w:tcW w:w="10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1"/>
              </w:rPr>
              <w:t>Restated</w:t>
            </w: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94"/>
              </w:rPr>
              <w:t>Reported</w:t>
            </w:r>
          </w:p>
        </w:tc>
        <w:tc>
          <w:tcPr>
            <w:tcW w:w="1140" w:type="dxa"/>
            <w:vAlign w:val="bottom"/>
            <w:gridSpan w:val="2"/>
            <w:vMerge w:val="continue"/>
          </w:tcPr>
          <w:p>
            <w:pPr>
              <w:spacing w:after="0"/>
              <w:rPr>
                <w:sz w:val="14"/>
                <w:szCs w:val="14"/>
                <w:color w:val="auto"/>
              </w:rPr>
            </w:pPr>
          </w:p>
        </w:tc>
        <w:tc>
          <w:tcPr>
            <w:tcW w:w="1000" w:type="dxa"/>
            <w:vAlign w:val="bottom"/>
            <w:gridSpan w:val="2"/>
          </w:tcPr>
          <w:p>
            <w:pPr>
              <w:jc w:val="center"/>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29"/>
        </w:trPr>
        <w:tc>
          <w:tcPr>
            <w:tcW w:w="27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340" w:type="dxa"/>
            <w:vAlign w:val="bottom"/>
            <w:tcBorders>
              <w:top w:val="single" w:sz="8" w:color="auto"/>
            </w:tcBorders>
          </w:tcPr>
          <w:p>
            <w:pPr>
              <w:spacing w:after="0"/>
              <w:rPr>
                <w:sz w:val="11"/>
                <w:szCs w:val="11"/>
                <w:color w:val="auto"/>
              </w:rPr>
            </w:pPr>
          </w:p>
        </w:tc>
        <w:tc>
          <w:tcPr>
            <w:tcW w:w="3160" w:type="dxa"/>
            <w:vAlign w:val="bottom"/>
            <w:tcBorders>
              <w:top w:val="single" w:sz="8" w:color="auto"/>
            </w:tcBorders>
            <w:gridSpan w:val="5"/>
          </w:tcPr>
          <w:p>
            <w:pPr>
              <w:ind w:left="540"/>
              <w:spacing w:after="0" w:line="129" w:lineRule="exact"/>
              <w:rPr>
                <w:sz w:val="20"/>
                <w:szCs w:val="20"/>
                <w:color w:val="auto"/>
              </w:rPr>
            </w:pPr>
            <w:r>
              <w:rPr>
                <w:rFonts w:ascii="Arial" w:cs="Arial" w:eastAsia="Arial" w:hAnsi="Arial"/>
                <w:sz w:val="14"/>
                <w:szCs w:val="14"/>
                <w:b w:val="1"/>
                <w:bCs w:val="1"/>
                <w:color w:val="auto"/>
                <w:w w:val="93"/>
              </w:rPr>
              <w:t>(In thousands, except per share amounts)</w:t>
            </w:r>
          </w:p>
        </w:tc>
        <w:tc>
          <w:tcPr>
            <w:tcW w:w="74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4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  521,196</w:t>
            </w:r>
          </w:p>
        </w:tc>
        <w:tc>
          <w:tcPr>
            <w:tcW w:w="340" w:type="dxa"/>
            <w:vAlign w:val="bottom"/>
            <w:shd w:val="clear" w:color="auto" w:fill="CCEEFF"/>
          </w:tcPr>
          <w:p>
            <w:pPr>
              <w:ind w:left="8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173"/>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521,196</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364,770</w:t>
            </w:r>
          </w:p>
        </w:tc>
        <w:tc>
          <w:tcPr>
            <w:tcW w:w="400" w:type="dxa"/>
            <w:vAlign w:val="bottom"/>
            <w:shd w:val="clear" w:color="auto" w:fill="CCEEFF"/>
          </w:tcPr>
          <w:p>
            <w:pPr>
              <w:ind w:left="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364,770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5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44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240,664</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(431)A</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240,233</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175,251</w:t>
            </w:r>
          </w:p>
        </w:tc>
        <w:tc>
          <w:tcPr>
            <w:tcW w:w="40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534C</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175,785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4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1440" w:type="dxa"/>
            <w:vAlign w:val="bottom"/>
            <w:gridSpan w:val="2"/>
          </w:tcPr>
          <w:p>
            <w:pPr>
              <w:jc w:val="right"/>
              <w:ind w:right="12"/>
              <w:spacing w:after="0"/>
              <w:rPr>
                <w:sz w:val="20"/>
                <w:szCs w:val="20"/>
                <w:color w:val="auto"/>
              </w:rPr>
            </w:pPr>
            <w:r>
              <w:rPr>
                <w:rFonts w:ascii="Arial" w:cs="Arial" w:eastAsia="Arial" w:hAnsi="Arial"/>
                <w:sz w:val="18"/>
                <w:szCs w:val="18"/>
                <w:color w:val="auto"/>
              </w:rPr>
              <w:t>124,831</w:t>
            </w:r>
          </w:p>
        </w:tc>
        <w:tc>
          <w:tcPr>
            <w:tcW w:w="340" w:type="dxa"/>
            <w:vAlign w:val="bottom"/>
          </w:tcPr>
          <w:p>
            <w:pPr>
              <w:spacing w:after="0"/>
              <w:rPr>
                <w:sz w:val="18"/>
                <w:szCs w:val="18"/>
                <w:color w:val="auto"/>
              </w:rPr>
            </w:pPr>
          </w:p>
        </w:tc>
        <w:tc>
          <w:tcPr>
            <w:tcW w:w="820" w:type="dxa"/>
            <w:vAlign w:val="bottom"/>
          </w:tcPr>
          <w:p>
            <w:pPr>
              <w:jc w:val="right"/>
              <w:ind w:right="33"/>
              <w:spacing w:after="0"/>
              <w:rPr>
                <w:sz w:val="20"/>
                <w:szCs w:val="20"/>
                <w:color w:val="auto"/>
              </w:rPr>
            </w:pPr>
            <w:r>
              <w:rPr>
                <w:rFonts w:ascii="Arial" w:cs="Arial" w:eastAsia="Arial" w:hAnsi="Arial"/>
                <w:sz w:val="18"/>
                <w:szCs w:val="18"/>
                <w:color w:val="auto"/>
              </w:rPr>
              <w:t>4,397A</w:t>
            </w:r>
          </w:p>
        </w:tc>
        <w:tc>
          <w:tcPr>
            <w:tcW w:w="900" w:type="dxa"/>
            <w:vAlign w:val="bottom"/>
          </w:tcPr>
          <w:p>
            <w:pPr>
              <w:jc w:val="right"/>
              <w:spacing w:after="0"/>
              <w:rPr>
                <w:sz w:val="20"/>
                <w:szCs w:val="20"/>
                <w:color w:val="auto"/>
              </w:rPr>
            </w:pPr>
            <w:r>
              <w:rPr>
                <w:rFonts w:ascii="Arial" w:cs="Arial" w:eastAsia="Arial" w:hAnsi="Arial"/>
                <w:sz w:val="18"/>
                <w:szCs w:val="18"/>
                <w:color w:val="auto"/>
              </w:rPr>
              <w:t>129,228</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72,409</w:t>
            </w:r>
          </w:p>
        </w:tc>
        <w:tc>
          <w:tcPr>
            <w:tcW w:w="400" w:type="dxa"/>
            <w:vAlign w:val="bottom"/>
          </w:tcPr>
          <w:p>
            <w:pPr>
              <w:spacing w:after="0"/>
              <w:rPr>
                <w:sz w:val="18"/>
                <w:szCs w:val="18"/>
                <w:color w:val="auto"/>
              </w:rPr>
            </w:pPr>
          </w:p>
        </w:tc>
        <w:tc>
          <w:tcPr>
            <w:tcW w:w="740" w:type="dxa"/>
            <w:vAlign w:val="bottom"/>
          </w:tcPr>
          <w:p>
            <w:pPr>
              <w:jc w:val="right"/>
              <w:ind w:right="10"/>
              <w:spacing w:after="0"/>
              <w:rPr>
                <w:sz w:val="20"/>
                <w:szCs w:val="20"/>
                <w:color w:val="auto"/>
              </w:rPr>
            </w:pPr>
            <w:r>
              <w:rPr>
                <w:rFonts w:ascii="Arial" w:cs="Arial" w:eastAsia="Arial" w:hAnsi="Arial"/>
                <w:sz w:val="18"/>
                <w:szCs w:val="18"/>
                <w:color w:val="auto"/>
              </w:rPr>
              <w:t>5,541C</w:t>
            </w:r>
          </w:p>
        </w:tc>
        <w:tc>
          <w:tcPr>
            <w:tcW w:w="940" w:type="dxa"/>
            <w:vAlign w:val="bottom"/>
          </w:tcPr>
          <w:p>
            <w:pPr>
              <w:jc w:val="right"/>
              <w:spacing w:after="0"/>
              <w:rPr>
                <w:sz w:val="20"/>
                <w:szCs w:val="20"/>
                <w:color w:val="auto"/>
              </w:rPr>
            </w:pPr>
            <w:r>
              <w:rPr>
                <w:rFonts w:ascii="Arial" w:cs="Arial" w:eastAsia="Arial" w:hAnsi="Arial"/>
                <w:sz w:val="18"/>
                <w:szCs w:val="18"/>
                <w:color w:val="auto"/>
              </w:rPr>
              <w:t>77,950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44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38,133</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33"/>
              <w:spacing w:after="0"/>
              <w:rPr>
                <w:sz w:val="20"/>
                <w:szCs w:val="20"/>
                <w:color w:val="auto"/>
              </w:rPr>
            </w:pPr>
            <w:r>
              <w:rPr>
                <w:rFonts w:ascii="Arial" w:cs="Arial" w:eastAsia="Arial" w:hAnsi="Arial"/>
                <w:sz w:val="18"/>
                <w:szCs w:val="18"/>
                <w:color w:val="auto"/>
              </w:rPr>
              <w:t>729A</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38,862</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21,203</w:t>
            </w:r>
          </w:p>
        </w:tc>
        <w:tc>
          <w:tcPr>
            <w:tcW w:w="40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819C</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22,022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74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440" w:type="dxa"/>
            <w:vAlign w:val="bottom"/>
            <w:gridSpan w:val="2"/>
          </w:tcPr>
          <w:p>
            <w:pPr>
              <w:jc w:val="right"/>
              <w:ind w:right="12"/>
              <w:spacing w:after="0"/>
              <w:rPr>
                <w:sz w:val="20"/>
                <w:szCs w:val="20"/>
                <w:color w:val="auto"/>
              </w:rPr>
            </w:pPr>
            <w:r>
              <w:rPr>
                <w:rFonts w:ascii="Arial" w:cs="Arial" w:eastAsia="Arial" w:hAnsi="Arial"/>
                <w:sz w:val="18"/>
                <w:szCs w:val="18"/>
                <w:color w:val="auto"/>
              </w:rPr>
              <w:t>16,858</w:t>
            </w:r>
          </w:p>
        </w:tc>
        <w:tc>
          <w:tcPr>
            <w:tcW w:w="340" w:type="dxa"/>
            <w:vAlign w:val="bottom"/>
          </w:tcPr>
          <w:p>
            <w:pPr>
              <w:spacing w:after="0"/>
              <w:rPr>
                <w:sz w:val="20"/>
                <w:szCs w:val="20"/>
                <w:color w:val="auto"/>
              </w:rPr>
            </w:pPr>
          </w:p>
        </w:tc>
        <w:tc>
          <w:tcPr>
            <w:tcW w:w="820" w:type="dxa"/>
            <w:vAlign w:val="bottom"/>
          </w:tcPr>
          <w:p>
            <w:pPr>
              <w:jc w:val="right"/>
              <w:ind w:right="33"/>
              <w:spacing w:after="0"/>
              <w:rPr>
                <w:sz w:val="20"/>
                <w:szCs w:val="20"/>
                <w:color w:val="auto"/>
              </w:rPr>
            </w:pPr>
            <w:r>
              <w:rPr>
                <w:rFonts w:ascii="Arial" w:cs="Arial" w:eastAsia="Arial" w:hAnsi="Arial"/>
                <w:sz w:val="18"/>
                <w:szCs w:val="18"/>
                <w:color w:val="auto"/>
              </w:rPr>
              <w:t>1,700A</w:t>
            </w:r>
          </w:p>
        </w:tc>
        <w:tc>
          <w:tcPr>
            <w:tcW w:w="900" w:type="dxa"/>
            <w:vAlign w:val="bottom"/>
          </w:tcPr>
          <w:p>
            <w:pPr>
              <w:jc w:val="right"/>
              <w:spacing w:after="0"/>
              <w:rPr>
                <w:sz w:val="20"/>
                <w:szCs w:val="20"/>
                <w:color w:val="auto"/>
              </w:rPr>
            </w:pPr>
            <w:r>
              <w:rPr>
                <w:rFonts w:ascii="Arial" w:cs="Arial" w:eastAsia="Arial" w:hAnsi="Arial"/>
                <w:sz w:val="18"/>
                <w:szCs w:val="18"/>
                <w:color w:val="auto"/>
              </w:rPr>
              <w:t>18,558</w:t>
            </w:r>
          </w:p>
        </w:tc>
        <w:tc>
          <w:tcPr>
            <w:tcW w:w="14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6,877</w:t>
            </w:r>
          </w:p>
        </w:tc>
        <w:tc>
          <w:tcPr>
            <w:tcW w:w="400" w:type="dxa"/>
            <w:vAlign w:val="bottom"/>
          </w:tcPr>
          <w:p>
            <w:pPr>
              <w:spacing w:after="0"/>
              <w:rPr>
                <w:sz w:val="20"/>
                <w:szCs w:val="20"/>
                <w:color w:val="auto"/>
              </w:rPr>
            </w:pPr>
          </w:p>
        </w:tc>
        <w:tc>
          <w:tcPr>
            <w:tcW w:w="740" w:type="dxa"/>
            <w:vAlign w:val="bottom"/>
          </w:tcPr>
          <w:p>
            <w:pPr>
              <w:jc w:val="right"/>
              <w:ind w:right="10"/>
              <w:spacing w:after="0"/>
              <w:rPr>
                <w:sz w:val="20"/>
                <w:szCs w:val="20"/>
                <w:color w:val="auto"/>
              </w:rPr>
            </w:pPr>
            <w:r>
              <w:rPr>
                <w:rFonts w:ascii="Arial" w:cs="Arial" w:eastAsia="Arial" w:hAnsi="Arial"/>
                <w:sz w:val="18"/>
                <w:szCs w:val="18"/>
                <w:color w:val="auto"/>
              </w:rPr>
              <w:t>2,691C</w:t>
            </w:r>
          </w:p>
        </w:tc>
        <w:tc>
          <w:tcPr>
            <w:tcW w:w="940" w:type="dxa"/>
            <w:vAlign w:val="bottom"/>
          </w:tcPr>
          <w:p>
            <w:pPr>
              <w:jc w:val="right"/>
              <w:spacing w:after="0"/>
              <w:rPr>
                <w:sz w:val="20"/>
                <w:szCs w:val="20"/>
                <w:color w:val="auto"/>
              </w:rPr>
            </w:pPr>
            <w:r>
              <w:rPr>
                <w:rFonts w:ascii="Arial" w:cs="Arial" w:eastAsia="Arial" w:hAnsi="Arial"/>
                <w:sz w:val="18"/>
                <w:szCs w:val="18"/>
                <w:color w:val="auto"/>
              </w:rPr>
              <w:t>9,568</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129" w:gutter="0" w:footer="0" w:header="0"/>
        </w:sectPr>
      </w:pPr>
    </w:p>
    <w:bookmarkStart w:id="10" w:name="page11"/>
    <w:bookmarkEnd w:id="10"/>
    <w:p>
      <w:pPr>
        <w:spacing w:after="0" w:line="60"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2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and write-off of goodwill</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and acquired intangible assets and</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1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1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1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32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9"/>
              </w:rPr>
              <w:t>Total operating costs and expenses</w:t>
            </w:r>
          </w:p>
        </w:tc>
        <w:tc>
          <w:tcPr>
            <w:tcW w:w="8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437,837</w:t>
            </w:r>
          </w:p>
        </w:tc>
        <w:tc>
          <w:tcPr>
            <w:tcW w:w="14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6,395</w:t>
            </w:r>
          </w:p>
        </w:tc>
        <w:tc>
          <w:tcPr>
            <w:tcW w:w="34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444,232</w:t>
            </w:r>
          </w:p>
        </w:tc>
        <w:tc>
          <w:tcPr>
            <w:tcW w:w="14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295,499</w:t>
            </w:r>
          </w:p>
        </w:tc>
        <w:tc>
          <w:tcPr>
            <w:tcW w:w="16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9,585</w:t>
            </w:r>
          </w:p>
        </w:tc>
        <w:tc>
          <w:tcPr>
            <w:tcW w:w="2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305,084</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83,359</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(6,395)</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76,964</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69,271</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59,686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0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7,616</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7,616</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3,612</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3,612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2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90,975</w:t>
            </w:r>
          </w:p>
        </w:tc>
        <w:tc>
          <w:tcPr>
            <w:tcW w:w="1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(6,395)</w:t>
            </w:r>
          </w:p>
        </w:tc>
        <w:tc>
          <w:tcPr>
            <w:tcW w:w="3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84,580</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72,883</w:t>
            </w:r>
          </w:p>
        </w:tc>
        <w:tc>
          <w:tcPr>
            <w:tcW w:w="1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(9,585)</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63,298</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0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15,678</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185B</w:t>
            </w: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15,863</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9,351</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9,351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320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w w:val="93"/>
              </w:rPr>
              <w:t>Income (loss) before change in accounting</w:t>
            </w:r>
          </w:p>
        </w:tc>
        <w:tc>
          <w:tcPr>
            <w:tcW w:w="8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auto"/>
            </w:tcBorders>
            <w:shd w:val="clear" w:color="auto" w:fill="CCEEFF"/>
          </w:tcPr>
          <w:p>
            <w:pPr>
              <w:spacing w:after="0"/>
              <w:rPr>
                <w:sz w:val="15"/>
                <w:szCs w:val="15"/>
                <w:color w:val="auto"/>
              </w:rPr>
            </w:pPr>
          </w:p>
        </w:tc>
        <w:tc>
          <w:tcPr>
            <w:tcW w:w="600" w:type="dxa"/>
            <w:vAlign w:val="bottom"/>
            <w:tcBorders>
              <w:top w:val="single" w:sz="8" w:color="auto"/>
            </w:tcBorders>
            <w:shd w:val="clear" w:color="auto" w:fill="CCEEFF"/>
          </w:tcPr>
          <w:p>
            <w:pPr>
              <w:spacing w:after="0"/>
              <w:rPr>
                <w:sz w:val="15"/>
                <w:szCs w:val="15"/>
                <w:color w:val="auto"/>
              </w:rPr>
            </w:pPr>
          </w:p>
        </w:tc>
        <w:tc>
          <w:tcPr>
            <w:tcW w:w="34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68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2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principle</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75,297</w:t>
            </w:r>
          </w:p>
        </w:tc>
        <w:tc>
          <w:tcPr>
            <w:tcW w:w="1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(6,580)</w:t>
            </w:r>
          </w:p>
        </w:tc>
        <w:tc>
          <w:tcPr>
            <w:tcW w:w="14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68,717</w:t>
            </w:r>
          </w:p>
        </w:tc>
        <w:tc>
          <w:tcPr>
            <w:tcW w:w="1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63,532</w:t>
            </w:r>
          </w:p>
        </w:tc>
        <w:tc>
          <w:tcPr>
            <w:tcW w:w="1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(9,585)</w:t>
            </w:r>
          </w:p>
        </w:tc>
        <w:tc>
          <w:tcPr>
            <w:tcW w:w="1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53,947</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200" w:type="dxa"/>
            <w:vAlign w:val="bottom"/>
          </w:tcPr>
          <w:p>
            <w:pPr>
              <w:spacing w:after="0" w:line="201" w:lineRule="exact"/>
              <w:rPr>
                <w:sz w:val="20"/>
                <w:szCs w:val="20"/>
                <w:color w:val="auto"/>
              </w:rPr>
            </w:pPr>
            <w:r>
              <w:rPr>
                <w:rFonts w:ascii="Arial" w:cs="Arial" w:eastAsia="Arial" w:hAnsi="Arial"/>
                <w:sz w:val="18"/>
                <w:szCs w:val="18"/>
                <w:color w:val="auto"/>
                <w:w w:val="95"/>
              </w:rPr>
              <w:t>Cumulative effect of change in accounting</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200" w:type="dxa"/>
            <w:vAlign w:val="bottom"/>
          </w:tcPr>
          <w:p>
            <w:pPr>
              <w:ind w:left="180"/>
              <w:spacing w:after="0"/>
              <w:rPr>
                <w:sz w:val="20"/>
                <w:szCs w:val="20"/>
                <w:color w:val="auto"/>
              </w:rPr>
            </w:pPr>
            <w:r>
              <w:rPr>
                <w:rFonts w:ascii="Arial" w:cs="Arial" w:eastAsia="Arial" w:hAnsi="Arial"/>
                <w:sz w:val="18"/>
                <w:szCs w:val="18"/>
                <w:color w:val="auto"/>
              </w:rPr>
              <w:t>principle, net of tax effect</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8,846D</w:t>
            </w:r>
          </w:p>
        </w:tc>
        <w:tc>
          <w:tcPr>
            <w:tcW w:w="1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8,846</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32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75,297</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2,266</w:t>
            </w: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77,563</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63,532</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(9,585</w:t>
            </w:r>
          </w:p>
        </w:tc>
        <w:tc>
          <w:tcPr>
            <w:tcW w:w="200" w:type="dxa"/>
            <w:vAlign w:val="bottom"/>
            <w:tcBorders>
              <w:top w:val="single" w:sz="8" w:color="CCEEFF"/>
              <w:bottom w:val="single" w:sz="8" w:color="CCEEFF"/>
            </w:tcBorders>
            <w:shd w:val="clear" w:color="auto" w:fill="CCEEFF"/>
          </w:tcPr>
          <w:p>
            <w:pPr>
              <w:jc w:val="right"/>
              <w:ind w:right="6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53,947</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200" w:type="dxa"/>
            <w:vAlign w:val="bottom"/>
            <w:vMerge w:val="restart"/>
          </w:tcPr>
          <w:p>
            <w:pPr>
              <w:spacing w:after="0"/>
              <w:rPr>
                <w:sz w:val="20"/>
                <w:szCs w:val="20"/>
                <w:color w:val="auto"/>
              </w:rPr>
            </w:pPr>
            <w:r>
              <w:rPr>
                <w:rFonts w:ascii="Arial" w:cs="Arial" w:eastAsia="Arial" w:hAnsi="Arial"/>
                <w:sz w:val="18"/>
                <w:szCs w:val="18"/>
                <w:color w:val="auto"/>
              </w:rPr>
              <w:t>Basic income (loss) per share:</w:t>
            </w: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32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2"/>
        </w:trPr>
        <w:tc>
          <w:tcPr>
            <w:tcW w:w="32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Income before change in accounting</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2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principle</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0.26</w:t>
            </w:r>
          </w:p>
        </w:tc>
        <w:tc>
          <w:tcPr>
            <w:tcW w:w="36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340" w:type="dxa"/>
            <w:vAlign w:val="bottom"/>
            <w:shd w:val="clear" w:color="auto" w:fill="CCEEFF"/>
          </w:tcPr>
          <w:p>
            <w:pPr>
              <w:spacing w:after="0"/>
              <w:rPr>
                <w:sz w:val="20"/>
                <w:szCs w:val="20"/>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40" w:type="dxa"/>
            <w:vAlign w:val="bottom"/>
            <w:shd w:val="clear" w:color="auto" w:fill="CCEEFF"/>
          </w:tcPr>
          <w:p>
            <w:pPr>
              <w:spacing w:after="0"/>
              <w:rPr>
                <w:sz w:val="20"/>
                <w:szCs w:val="20"/>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380" w:type="dxa"/>
            <w:vAlign w:val="bottom"/>
            <w:gridSpan w:val="2"/>
            <w:shd w:val="clear" w:color="auto" w:fill="CCEEFF"/>
          </w:tcPr>
          <w:p>
            <w:pPr>
              <w:jc w:val="right"/>
              <w:ind w:right="65"/>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(0.04)</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200" w:type="dxa"/>
            <w:vAlign w:val="bottom"/>
          </w:tcPr>
          <w:p>
            <w:pPr>
              <w:spacing w:after="0" w:line="201" w:lineRule="exact"/>
              <w:rPr>
                <w:sz w:val="20"/>
                <w:szCs w:val="20"/>
                <w:color w:val="auto"/>
              </w:rPr>
            </w:pPr>
            <w:r>
              <w:rPr>
                <w:rFonts w:ascii="Arial" w:cs="Arial" w:eastAsia="Arial" w:hAnsi="Arial"/>
                <w:sz w:val="18"/>
                <w:szCs w:val="18"/>
                <w:color w:val="auto"/>
                <w:w w:val="95"/>
              </w:rPr>
              <w:t>Cumulative effect of change in accounting</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200" w:type="dxa"/>
            <w:vAlign w:val="bottom"/>
          </w:tcPr>
          <w:p>
            <w:pPr>
              <w:ind w:left="180"/>
              <w:spacing w:after="0"/>
              <w:rPr>
                <w:sz w:val="20"/>
                <w:szCs w:val="20"/>
                <w:color w:val="auto"/>
              </w:rPr>
            </w:pPr>
            <w:r>
              <w:rPr>
                <w:rFonts w:ascii="Arial" w:cs="Arial" w:eastAsia="Arial" w:hAnsi="Arial"/>
                <w:sz w:val="18"/>
                <w:szCs w:val="18"/>
                <w:color w:val="auto"/>
              </w:rPr>
              <w:t>principle</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0.03</w:t>
            </w:r>
          </w:p>
        </w:tc>
        <w:tc>
          <w:tcPr>
            <w:tcW w:w="3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0.03</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32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0.26</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00" w:type="dxa"/>
            <w:vAlign w:val="bottom"/>
            <w:tcBorders>
              <w:top w:val="single" w:sz="8" w:color="CCEEFF"/>
              <w:bottom w:val="single" w:sz="8" w:color="CCEEFF"/>
            </w:tcBorders>
            <w:shd w:val="clear" w:color="auto" w:fill="CCEEFF"/>
          </w:tcPr>
          <w:p>
            <w:pPr>
              <w:spacing w:after="0"/>
              <w:rPr>
                <w:sz w:val="18"/>
                <w:szCs w:val="18"/>
                <w:color w:val="auto"/>
              </w:rPr>
            </w:pP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200" w:type="dxa"/>
            <w:vAlign w:val="bottom"/>
            <w:vMerge w:val="restart"/>
          </w:tcPr>
          <w:p>
            <w:pPr>
              <w:spacing w:after="0"/>
              <w:rPr>
                <w:sz w:val="20"/>
                <w:szCs w:val="20"/>
                <w:color w:val="auto"/>
              </w:rPr>
            </w:pPr>
            <w:r>
              <w:rPr>
                <w:rFonts w:ascii="Arial" w:cs="Arial" w:eastAsia="Arial" w:hAnsi="Arial"/>
                <w:sz w:val="18"/>
                <w:szCs w:val="18"/>
                <w:color w:val="auto"/>
                <w:w w:val="90"/>
              </w:rPr>
              <w:t>Shares used in basic per share computation</w:t>
            </w: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3200" w:type="dxa"/>
            <w:vAlign w:val="bottom"/>
            <w:vMerge w:val="continue"/>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80" w:type="dxa"/>
            <w:vAlign w:val="bottom"/>
          </w:tcPr>
          <w:p>
            <w:pPr>
              <w:jc w:val="right"/>
              <w:spacing w:after="0" w:line="196" w:lineRule="exact"/>
              <w:rPr>
                <w:sz w:val="20"/>
                <w:szCs w:val="20"/>
                <w:color w:val="auto"/>
              </w:rPr>
            </w:pPr>
            <w:r>
              <w:rPr>
                <w:rFonts w:ascii="Arial" w:cs="Arial" w:eastAsia="Arial" w:hAnsi="Arial"/>
                <w:sz w:val="18"/>
                <w:szCs w:val="18"/>
                <w:color w:val="auto"/>
                <w:w w:val="98"/>
              </w:rPr>
              <w:t>291,851</w:t>
            </w: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0" w:type="dxa"/>
            <w:vAlign w:val="bottom"/>
          </w:tcPr>
          <w:p>
            <w:pPr>
              <w:jc w:val="right"/>
              <w:spacing w:after="0" w:line="196" w:lineRule="exact"/>
              <w:rPr>
                <w:sz w:val="20"/>
                <w:szCs w:val="20"/>
                <w:color w:val="auto"/>
              </w:rPr>
            </w:pPr>
            <w:r>
              <w:rPr>
                <w:rFonts w:ascii="Arial" w:cs="Arial" w:eastAsia="Arial" w:hAnsi="Arial"/>
                <w:sz w:val="18"/>
                <w:szCs w:val="18"/>
                <w:color w:val="auto"/>
                <w:w w:val="98"/>
              </w:rPr>
              <w:t>291,851</w:t>
            </w: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w w:val="98"/>
              </w:rPr>
              <w:t>278,793</w:t>
            </w: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jc w:val="right"/>
              <w:spacing w:after="0" w:line="196" w:lineRule="exact"/>
              <w:rPr>
                <w:sz w:val="20"/>
                <w:szCs w:val="20"/>
                <w:color w:val="auto"/>
              </w:rPr>
            </w:pPr>
            <w:r>
              <w:rPr>
                <w:rFonts w:ascii="Arial" w:cs="Arial" w:eastAsia="Arial" w:hAnsi="Arial"/>
                <w:sz w:val="18"/>
                <w:szCs w:val="18"/>
                <w:color w:val="auto"/>
                <w:w w:val="98"/>
              </w:rPr>
              <w:t>278,793</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Diluted income (loss) per share:</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200" w:type="dxa"/>
            <w:vAlign w:val="bottom"/>
          </w:tcPr>
          <w:p>
            <w:pPr>
              <w:spacing w:after="0" w:line="201" w:lineRule="exact"/>
              <w:rPr>
                <w:sz w:val="20"/>
                <w:szCs w:val="20"/>
                <w:color w:val="auto"/>
              </w:rPr>
            </w:pPr>
            <w:r>
              <w:rPr>
                <w:rFonts w:ascii="Arial" w:cs="Arial" w:eastAsia="Arial" w:hAnsi="Arial"/>
                <w:sz w:val="18"/>
                <w:szCs w:val="18"/>
                <w:color w:val="auto"/>
              </w:rPr>
              <w:t>Income before change in accounting</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200" w:type="dxa"/>
            <w:vAlign w:val="bottom"/>
          </w:tcPr>
          <w:p>
            <w:pPr>
              <w:ind w:left="180"/>
              <w:spacing w:after="0"/>
              <w:rPr>
                <w:sz w:val="20"/>
                <w:szCs w:val="20"/>
                <w:color w:val="auto"/>
              </w:rPr>
            </w:pPr>
            <w:r>
              <w:rPr>
                <w:rFonts w:ascii="Arial" w:cs="Arial" w:eastAsia="Arial" w:hAnsi="Arial"/>
                <w:sz w:val="18"/>
                <w:szCs w:val="18"/>
                <w:color w:val="auto"/>
              </w:rPr>
              <w:t>principle</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0.23</w:t>
            </w:r>
          </w:p>
        </w:tc>
        <w:tc>
          <w:tcPr>
            <w:tcW w:w="36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80"/>
              <w:spacing w:after="0"/>
              <w:rPr>
                <w:sz w:val="20"/>
                <w:szCs w:val="20"/>
                <w:color w:val="auto"/>
              </w:rPr>
            </w:pPr>
            <w:r>
              <w:rPr>
                <w:rFonts w:ascii="Arial" w:cs="Arial" w:eastAsia="Arial" w:hAnsi="Arial"/>
                <w:sz w:val="18"/>
                <w:szCs w:val="18"/>
                <w:color w:val="auto"/>
              </w:rPr>
              <w:t>(0.02)</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0.21</w:t>
            </w:r>
          </w:p>
        </w:tc>
        <w:tc>
          <w:tcPr>
            <w:tcW w:w="140" w:type="dxa"/>
            <w:vAlign w:val="bottom"/>
          </w:tcPr>
          <w:p>
            <w:pPr>
              <w:spacing w:after="0"/>
              <w:rPr>
                <w:sz w:val="20"/>
                <w:szCs w:val="20"/>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0.20</w:t>
            </w:r>
          </w:p>
        </w:tc>
        <w:tc>
          <w:tcPr>
            <w:tcW w:w="380" w:type="dxa"/>
            <w:vAlign w:val="bottom"/>
            <w:gridSpan w:val="2"/>
          </w:tcPr>
          <w:p>
            <w:pPr>
              <w:jc w:val="right"/>
              <w:ind w:right="65"/>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(0.03)</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0.17</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2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5"/>
              </w:rPr>
              <w:t>Cumulative effect of change in accounting</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2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principle</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3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1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0"/>
        </w:trPr>
        <w:tc>
          <w:tcPr>
            <w:tcW w:w="32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Diluted net income per share</w:t>
            </w:r>
          </w:p>
        </w:tc>
        <w:tc>
          <w:tcPr>
            <w:tcW w:w="8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0.23</w:t>
            </w:r>
          </w:p>
        </w:tc>
        <w:tc>
          <w:tcPr>
            <w:tcW w:w="140" w:type="dxa"/>
            <w:vAlign w:val="bottom"/>
            <w:tcBorders>
              <w:bottom w:val="single" w:sz="8" w:color="CCEEFF"/>
            </w:tcBorders>
          </w:tcPr>
          <w:p>
            <w:pPr>
              <w:spacing w:after="0"/>
              <w:rPr>
                <w:sz w:val="21"/>
                <w:szCs w:val="21"/>
                <w:color w:val="auto"/>
              </w:rPr>
            </w:pPr>
          </w:p>
        </w:tc>
        <w:tc>
          <w:tcPr>
            <w:tcW w:w="220" w:type="dxa"/>
            <w:vAlign w:val="bottom"/>
            <w:tcBorders>
              <w:bottom w:val="single" w:sz="8" w:color="CCEEFF"/>
            </w:tcBorders>
          </w:tcPr>
          <w:p>
            <w:pPr>
              <w:spacing w:after="0"/>
              <w:rPr>
                <w:sz w:val="21"/>
                <w:szCs w:val="21"/>
                <w:color w:val="auto"/>
              </w:rPr>
            </w:pPr>
          </w:p>
        </w:tc>
        <w:tc>
          <w:tcPr>
            <w:tcW w:w="600" w:type="dxa"/>
            <w:vAlign w:val="bottom"/>
            <w:tcBorders>
              <w:bottom w:val="single" w:sz="8" w:color="CCEEFF"/>
            </w:tcBorders>
          </w:tcPr>
          <w:p>
            <w:pPr>
              <w:spacing w:after="0"/>
              <w:rPr>
                <w:sz w:val="21"/>
                <w:szCs w:val="21"/>
                <w:color w:val="auto"/>
              </w:rPr>
            </w:pPr>
          </w:p>
        </w:tc>
        <w:tc>
          <w:tcPr>
            <w:tcW w:w="34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0.24</w:t>
            </w:r>
          </w:p>
        </w:tc>
        <w:tc>
          <w:tcPr>
            <w:tcW w:w="14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160" w:type="dxa"/>
            <w:vAlign w:val="bottom"/>
            <w:tcBorders>
              <w:bottom w:val="single" w:sz="8" w:color="CCEEFF"/>
            </w:tcBorders>
          </w:tcPr>
          <w:p>
            <w:pPr>
              <w:spacing w:after="0"/>
              <w:rPr>
                <w:sz w:val="21"/>
                <w:szCs w:val="21"/>
                <w:color w:val="auto"/>
              </w:rPr>
            </w:pPr>
          </w:p>
        </w:tc>
        <w:tc>
          <w:tcPr>
            <w:tcW w:w="220" w:type="dxa"/>
            <w:vAlign w:val="bottom"/>
            <w:tcBorders>
              <w:bottom w:val="single" w:sz="8" w:color="CCEEFF"/>
            </w:tcBorders>
          </w:tcPr>
          <w:p>
            <w:pPr>
              <w:spacing w:after="0"/>
              <w:rPr>
                <w:sz w:val="21"/>
                <w:szCs w:val="21"/>
                <w:color w:val="auto"/>
              </w:rPr>
            </w:pPr>
          </w:p>
        </w:tc>
        <w:tc>
          <w:tcPr>
            <w:tcW w:w="620" w:type="dxa"/>
            <w:vAlign w:val="bottom"/>
            <w:tcBorders>
              <w:bottom w:val="single" w:sz="8" w:color="CCEEFF"/>
            </w:tcBorders>
          </w:tcPr>
          <w:p>
            <w:pPr>
              <w:spacing w:after="0"/>
              <w:rPr>
                <w:sz w:val="21"/>
                <w:szCs w:val="21"/>
                <w:color w:val="auto"/>
              </w:rPr>
            </w:pPr>
          </w:p>
        </w:tc>
        <w:tc>
          <w:tcPr>
            <w:tcW w:w="20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0.17</w:t>
            </w:r>
          </w:p>
        </w:tc>
        <w:tc>
          <w:tcPr>
            <w:tcW w:w="6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55"/>
        </w:trPr>
        <w:tc>
          <w:tcPr>
            <w:tcW w:w="3200" w:type="dxa"/>
            <w:vAlign w:val="bottom"/>
            <w:shd w:val="clear" w:color="auto" w:fill="CCEEFF"/>
          </w:tcPr>
          <w:p>
            <w:pPr>
              <w:spacing w:after="0" w:line="156" w:lineRule="exact"/>
              <w:rPr>
                <w:sz w:val="20"/>
                <w:szCs w:val="20"/>
                <w:color w:val="auto"/>
              </w:rPr>
            </w:pPr>
            <w:r>
              <w:rPr>
                <w:rFonts w:ascii="Arial" w:cs="Arial" w:eastAsia="Arial" w:hAnsi="Arial"/>
                <w:sz w:val="18"/>
                <w:szCs w:val="18"/>
                <w:color w:val="auto"/>
              </w:rPr>
              <w:t>Shares used in diluted per share</w:t>
            </w:r>
          </w:p>
        </w:tc>
        <w:tc>
          <w:tcPr>
            <w:tcW w:w="8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60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66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80" w:type="dxa"/>
            <w:vAlign w:val="bottom"/>
            <w:shd w:val="clear" w:color="auto" w:fill="CCEEFF"/>
          </w:tcPr>
          <w:p>
            <w:pPr>
              <w:spacing w:after="0"/>
              <w:rPr>
                <w:sz w:val="13"/>
                <w:szCs w:val="13"/>
                <w:color w:val="auto"/>
              </w:rPr>
            </w:pPr>
          </w:p>
        </w:tc>
        <w:tc>
          <w:tcPr>
            <w:tcW w:w="660" w:type="dxa"/>
            <w:vAlign w:val="bottom"/>
            <w:shd w:val="clear" w:color="auto" w:fill="CCEEFF"/>
          </w:tcPr>
          <w:p>
            <w:pPr>
              <w:spacing w:after="0"/>
              <w:rPr>
                <w:sz w:val="13"/>
                <w:szCs w:val="13"/>
                <w:color w:val="auto"/>
              </w:rPr>
            </w:pP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32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computation</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320,415</w:t>
            </w:r>
          </w:p>
        </w:tc>
        <w:tc>
          <w:tcPr>
            <w:tcW w:w="1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0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319,758</w:t>
            </w:r>
          </w:p>
        </w:tc>
        <w:tc>
          <w:tcPr>
            <w:tcW w:w="1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310,736</w:t>
            </w:r>
          </w:p>
        </w:tc>
        <w:tc>
          <w:tcPr>
            <w:tcW w:w="1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310,695</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40" w:right="580" w:hanging="332"/>
        <w:spacing w:after="0" w:line="258" w:lineRule="auto"/>
        <w:tabs>
          <w:tab w:leader="none" w:pos="326" w:val="left"/>
        </w:tabs>
        <w:numPr>
          <w:ilvl w:val="0"/>
          <w:numId w:val="12"/>
        </w:numPr>
        <w:rPr>
          <w:rFonts w:ascii="Arial" w:cs="Arial" w:eastAsia="Arial" w:hAnsi="Arial"/>
          <w:sz w:val="18"/>
          <w:szCs w:val="18"/>
          <w:color w:val="auto"/>
        </w:rPr>
      </w:pPr>
      <w:r>
        <w:rPr>
          <w:rFonts w:ascii="Arial" w:cs="Arial" w:eastAsia="Arial" w:hAnsi="Arial"/>
          <w:sz w:val="18"/>
          <w:szCs w:val="18"/>
          <w:color w:val="auto"/>
        </w:rPr>
        <w:t>Adjustments for stock-based compensation expense under SFAS 123R for the impact of remeasured grants and the effect of revisions to fair value assumptions, and additional payroll tax expenses.</w:t>
      </w:r>
    </w:p>
    <w:p>
      <w:pPr>
        <w:spacing w:after="0" w:line="1" w:lineRule="exact"/>
        <w:rPr>
          <w:rFonts w:ascii="Arial" w:cs="Arial" w:eastAsia="Arial" w:hAnsi="Arial"/>
          <w:sz w:val="18"/>
          <w:szCs w:val="18"/>
          <w:color w:val="auto"/>
        </w:rPr>
      </w:pPr>
    </w:p>
    <w:p>
      <w:pPr>
        <w:ind w:left="340" w:hanging="332"/>
        <w:spacing w:after="0"/>
        <w:tabs>
          <w:tab w:leader="none" w:pos="3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Accural of penalty and interest associated with Section 162(m), net of adjustments to provision for income taxes arising from stock option exercises.</w:t>
      </w:r>
    </w:p>
    <w:p>
      <w:pPr>
        <w:spacing w:after="0" w:line="32" w:lineRule="exact"/>
        <w:rPr>
          <w:rFonts w:ascii="Arial" w:cs="Arial" w:eastAsia="Arial" w:hAnsi="Arial"/>
          <w:sz w:val="16"/>
          <w:szCs w:val="16"/>
          <w:color w:val="auto"/>
        </w:rPr>
      </w:pPr>
    </w:p>
    <w:p>
      <w:pPr>
        <w:ind w:left="340" w:right="100" w:hanging="332"/>
        <w:spacing w:after="0" w:line="250" w:lineRule="auto"/>
        <w:tabs>
          <w:tab w:leader="none" w:pos="343" w:val="left"/>
        </w:tabs>
        <w:numPr>
          <w:ilvl w:val="0"/>
          <w:numId w:val="12"/>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 and reclassification of previously reported stock-based compensation expenses to the respective functional cost and expense line items.</w:t>
      </w:r>
    </w:p>
    <w:p>
      <w:pPr>
        <w:ind w:left="340" w:hanging="332"/>
        <w:spacing w:after="0"/>
        <w:tabs>
          <w:tab w:leader="none" w:pos="3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Adjustments for the cumulative effect of change in accounting principle related to estimating forfeitures in the adoption of SFAS 123R.</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Balance Sheets as of April 29, 2006 and January 28,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rPr>
              <w:t>April 29, 2006</w:t>
            </w:r>
          </w:p>
        </w:tc>
        <w:tc>
          <w:tcPr>
            <w:tcW w:w="1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3"/>
          </w:tcPr>
          <w:p>
            <w:pPr>
              <w:jc w:val="right"/>
              <w:ind w:right="200"/>
              <w:spacing w:after="0"/>
              <w:rPr>
                <w:sz w:val="20"/>
                <w:szCs w:val="20"/>
                <w:color w:val="auto"/>
              </w:rPr>
            </w:pPr>
            <w:r>
              <w:rPr>
                <w:rFonts w:ascii="Arial" w:cs="Arial" w:eastAsia="Arial" w:hAnsi="Arial"/>
                <w:sz w:val="14"/>
                <w:szCs w:val="14"/>
                <w:b w:val="1"/>
                <w:bCs w:val="1"/>
                <w:color w:val="auto"/>
                <w:w w:val="96"/>
              </w:rPr>
              <w:t>January 28, 2006</w:t>
            </w:r>
          </w:p>
        </w:tc>
        <w:tc>
          <w:tcPr>
            <w:tcW w:w="1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4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0" w:type="dxa"/>
            <w:vAlign w:val="bottom"/>
            <w:gridSpan w:val="2"/>
          </w:tcPr>
          <w:p>
            <w:pPr>
              <w:jc w:val="center"/>
              <w:ind w:right="44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160" w:type="dxa"/>
            <w:vAlign w:val="bottom"/>
            <w:gridSpan w:val="2"/>
            <w:vMerge w:val="restart"/>
          </w:tcPr>
          <w:p>
            <w:pPr>
              <w:jc w:val="center"/>
              <w:ind w:right="440"/>
              <w:spacing w:after="0"/>
              <w:rPr>
                <w:sz w:val="20"/>
                <w:szCs w:val="20"/>
                <w:color w:val="auto"/>
              </w:rPr>
            </w:pPr>
            <w:r>
              <w:rPr>
                <w:rFonts w:ascii="Arial" w:cs="Arial" w:eastAsia="Arial" w:hAnsi="Arial"/>
                <w:sz w:val="14"/>
                <w:szCs w:val="14"/>
                <w:b w:val="1"/>
                <w:bCs w:val="1"/>
                <w:color w:val="auto"/>
                <w:w w:val="89"/>
              </w:rPr>
              <w:t>As</w:t>
            </w:r>
          </w:p>
        </w:tc>
        <w:tc>
          <w:tcPr>
            <w:tcW w:w="140" w:type="dxa"/>
            <w:vAlign w:val="bottom"/>
          </w:tcPr>
          <w:p>
            <w:pPr>
              <w:spacing w:after="0"/>
              <w:rPr>
                <w:sz w:val="8"/>
                <w:szCs w:val="8"/>
                <w:color w:val="auto"/>
              </w:rPr>
            </w:pPr>
          </w:p>
        </w:tc>
        <w:tc>
          <w:tcPr>
            <w:tcW w:w="1160" w:type="dxa"/>
            <w:vAlign w:val="bottom"/>
            <w:gridSpan w:val="2"/>
          </w:tcPr>
          <w:p>
            <w:pPr>
              <w:jc w:val="center"/>
              <w:ind w:right="44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96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4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jc w:val="center"/>
              <w:ind w:right="44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0" w:type="dxa"/>
            <w:vAlign w:val="bottom"/>
          </w:tcPr>
          <w:p>
            <w:pPr>
              <w:spacing w:after="0"/>
              <w:rPr>
                <w:sz w:val="11"/>
                <w:szCs w:val="11"/>
                <w:color w:val="auto"/>
              </w:rPr>
            </w:pPr>
          </w:p>
        </w:tc>
        <w:tc>
          <w:tcPr>
            <w:tcW w:w="116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Adjustments</w:t>
            </w:r>
          </w:p>
        </w:tc>
        <w:tc>
          <w:tcPr>
            <w:tcW w:w="1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60" w:type="dxa"/>
            <w:vAlign w:val="bottom"/>
            <w:gridSpan w:val="2"/>
            <w:vMerge w:val="continue"/>
          </w:tcPr>
          <w:p>
            <w:pPr>
              <w:spacing w:after="0"/>
              <w:rPr>
                <w:sz w:val="11"/>
                <w:szCs w:val="11"/>
                <w:color w:val="auto"/>
              </w:rPr>
            </w:pPr>
          </w:p>
        </w:tc>
        <w:tc>
          <w:tcPr>
            <w:tcW w:w="140" w:type="dxa"/>
            <w:vAlign w:val="bottom"/>
          </w:tcPr>
          <w:p>
            <w:pPr>
              <w:spacing w:after="0"/>
              <w:rPr>
                <w:sz w:val="11"/>
                <w:szCs w:val="11"/>
                <w:color w:val="auto"/>
              </w:rPr>
            </w:pPr>
          </w:p>
        </w:tc>
        <w:tc>
          <w:tcPr>
            <w:tcW w:w="1160" w:type="dxa"/>
            <w:vAlign w:val="bottom"/>
            <w:gridSpan w:val="2"/>
          </w:tcPr>
          <w:p>
            <w:pPr>
              <w:jc w:val="center"/>
              <w:ind w:right="44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0" w:type="dxa"/>
            <w:vAlign w:val="bottom"/>
          </w:tcPr>
          <w:p>
            <w:pPr>
              <w:spacing w:after="0"/>
              <w:rPr>
                <w:sz w:val="11"/>
                <w:szCs w:val="11"/>
                <w:color w:val="auto"/>
              </w:rPr>
            </w:pPr>
          </w:p>
        </w:tc>
        <w:tc>
          <w:tcPr>
            <w:tcW w:w="1200" w:type="dxa"/>
            <w:vAlign w:val="bottom"/>
            <w:gridSpan w:val="2"/>
            <w:vMerge w:val="restart"/>
          </w:tcPr>
          <w:p>
            <w:pPr>
              <w:jc w:val="right"/>
              <w:ind w:right="400"/>
              <w:spacing w:after="0"/>
              <w:rPr>
                <w:sz w:val="20"/>
                <w:szCs w:val="20"/>
                <w:color w:val="auto"/>
              </w:rPr>
            </w:pPr>
            <w:r>
              <w:rPr>
                <w:rFonts w:ascii="Arial" w:cs="Arial" w:eastAsia="Arial" w:hAnsi="Arial"/>
                <w:sz w:val="14"/>
                <w:szCs w:val="14"/>
                <w:b w:val="1"/>
                <w:bCs w:val="1"/>
                <w:color w:val="auto"/>
                <w:w w:val="91"/>
              </w:rPr>
              <w:t>Adjustments</w:t>
            </w: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16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1"/>
              </w:rPr>
              <w:t>Restated</w:t>
            </w:r>
          </w:p>
        </w:tc>
        <w:tc>
          <w:tcPr>
            <w:tcW w:w="140" w:type="dxa"/>
            <w:vAlign w:val="bottom"/>
          </w:tcPr>
          <w:p>
            <w:pPr>
              <w:spacing w:after="0"/>
              <w:rPr>
                <w:sz w:val="14"/>
                <w:szCs w:val="14"/>
                <w:color w:val="auto"/>
              </w:rPr>
            </w:pPr>
          </w:p>
        </w:tc>
        <w:tc>
          <w:tcPr>
            <w:tcW w:w="11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44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2800" w:type="dxa"/>
            <w:vAlign w:val="bottom"/>
            <w:tcBorders>
              <w:top w:val="single" w:sz="8" w:color="auto"/>
            </w:tcBorders>
            <w:gridSpan w:val="7"/>
          </w:tcPr>
          <w:p>
            <w:pPr>
              <w:ind w:left="60"/>
              <w:spacing w:after="0" w:line="129" w:lineRule="exact"/>
              <w:rPr>
                <w:sz w:val="20"/>
                <w:szCs w:val="20"/>
                <w:color w:val="auto"/>
              </w:rPr>
            </w:pPr>
            <w:r>
              <w:rPr>
                <w:rFonts w:ascii="Arial" w:cs="Arial" w:eastAsia="Arial" w:hAnsi="Arial"/>
                <w:sz w:val="14"/>
                <w:szCs w:val="14"/>
                <w:b w:val="1"/>
                <w:bCs w:val="1"/>
                <w:color w:val="auto"/>
                <w:w w:val="97"/>
              </w:rPr>
              <w:t>(In thousands, except per share amounts)</w:t>
            </w:r>
          </w:p>
        </w:tc>
        <w:tc>
          <w:tcPr>
            <w:tcW w:w="1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spacing w:after="0"/>
              <w:rPr>
                <w:sz w:val="20"/>
                <w:szCs w:val="20"/>
                <w:color w:val="auto"/>
              </w:rPr>
            </w:pPr>
            <w:r>
              <w:rPr>
                <w:rFonts w:ascii="Arial" w:cs="Arial" w:eastAsia="Arial" w:hAnsi="Arial"/>
                <w:sz w:val="18"/>
                <w:szCs w:val="18"/>
                <w:color w:val="auto"/>
              </w:rPr>
              <w:t>Current assets:</w:t>
            </w:r>
          </w:p>
        </w:tc>
        <w:tc>
          <w:tcPr>
            <w:tcW w:w="1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529,389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529,389</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ind w:left="160"/>
              <w:spacing w:after="0"/>
              <w:rPr>
                <w:sz w:val="20"/>
                <w:szCs w:val="20"/>
                <w:color w:val="auto"/>
              </w:rPr>
            </w:pPr>
            <w:r>
              <w:rPr>
                <w:rFonts w:ascii="Arial" w:cs="Arial" w:eastAsia="Arial" w:hAnsi="Arial"/>
                <w:sz w:val="18"/>
                <w:szCs w:val="18"/>
                <w:color w:val="auto"/>
              </w:rPr>
              <w:t>Short-term investments</w:t>
            </w: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392,021</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392,021</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572,591</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572,591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 net of allowance</w:t>
            </w: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293,536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293,536</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204,839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715D</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205,554</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211,374</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211,374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44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rPr>
              <w:t>Prepaid expenses and other current</w:t>
            </w: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4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assets</w:t>
            </w:r>
          </w:p>
        </w:tc>
        <w:tc>
          <w:tcPr>
            <w:tcW w:w="160" w:type="dxa"/>
            <w:vAlign w:val="bottom"/>
            <w:shd w:val="clear" w:color="auto" w:fill="CCEEFF"/>
          </w:tcPr>
          <w:p>
            <w:pPr>
              <w:spacing w:after="0"/>
              <w:rPr>
                <w:sz w:val="20"/>
                <w:szCs w:val="20"/>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116,854</w:t>
            </w: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116,854</w:t>
            </w:r>
          </w:p>
        </w:tc>
        <w:tc>
          <w:tcPr>
            <w:tcW w:w="2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ind w:left="160"/>
              <w:spacing w:after="0"/>
              <w:rPr>
                <w:sz w:val="20"/>
                <w:szCs w:val="20"/>
                <w:color w:val="auto"/>
              </w:rPr>
            </w:pPr>
            <w:r>
              <w:rPr>
                <w:rFonts w:ascii="Arial" w:cs="Arial" w:eastAsia="Arial" w:hAnsi="Arial"/>
                <w:sz w:val="18"/>
                <w:szCs w:val="18"/>
                <w:color w:val="auto"/>
              </w:rPr>
              <w:t>Deferred income taxes</w:t>
            </w: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18,007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(14,062)B</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3,945</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18,007</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(14,062)B</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3,945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44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16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1,554,646</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(13,347)</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1,541,299</w:t>
            </w: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1,499,874</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(14,062)</w:t>
            </w: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279,398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279,398</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260,921</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260,921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125,379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125,379</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111,973</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111,973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94,544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5,279B</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99,823</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82,312</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5,279B</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34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3,612,176</w:t>
            </w:r>
          </w:p>
        </w:tc>
        <w:tc>
          <w:tcPr>
            <w:tcW w:w="28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(8,068)</w:t>
            </w:r>
          </w:p>
        </w:tc>
        <w:tc>
          <w:tcPr>
            <w:tcW w:w="220" w:type="dxa"/>
            <w:vAlign w:val="bottom"/>
            <w:tcBorders>
              <w:bottom w:val="single" w:sz="8" w:color="CCEEFF"/>
            </w:tcBorders>
          </w:tcPr>
          <w:p>
            <w:pPr>
              <w:spacing w:after="0"/>
              <w:rPr>
                <w:sz w:val="21"/>
                <w:szCs w:val="21"/>
                <w:color w:val="auto"/>
              </w:rPr>
            </w:pPr>
          </w:p>
        </w:tc>
        <w:tc>
          <w:tcPr>
            <w:tcW w:w="18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3,604,108</w:t>
            </w:r>
          </w:p>
        </w:tc>
        <w:tc>
          <w:tcPr>
            <w:tcW w:w="28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3,513,289</w:t>
            </w:r>
          </w:p>
        </w:tc>
        <w:tc>
          <w:tcPr>
            <w:tcW w:w="26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(8,783)</w:t>
            </w:r>
          </w:p>
        </w:tc>
        <w:tc>
          <w:tcPr>
            <w:tcW w:w="28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3,504,506</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34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98"/>
        </w:trPr>
        <w:tc>
          <w:tcPr>
            <w:tcW w:w="20" w:type="dxa"/>
            <w:vAlign w:val="bottom"/>
            <w:vMerge w:val="continue"/>
          </w:tcPr>
          <w:p>
            <w:pPr>
              <w:spacing w:after="0"/>
              <w:rPr>
                <w:sz w:val="17"/>
                <w:szCs w:val="17"/>
                <w:color w:val="auto"/>
              </w:rPr>
            </w:pPr>
          </w:p>
        </w:tc>
        <w:tc>
          <w:tcPr>
            <w:tcW w:w="3440" w:type="dxa"/>
            <w:vAlign w:val="bottom"/>
          </w:tcPr>
          <w:p>
            <w:pPr>
              <w:spacing w:after="0" w:line="198" w:lineRule="exact"/>
              <w:rPr>
                <w:sz w:val="20"/>
                <w:szCs w:val="20"/>
                <w:color w:val="auto"/>
              </w:rPr>
            </w:pPr>
            <w:r>
              <w:rPr>
                <w:rFonts w:ascii="Arial" w:cs="Arial" w:eastAsia="Arial" w:hAnsi="Arial"/>
                <w:sz w:val="18"/>
                <w:szCs w:val="18"/>
                <w:b w:val="1"/>
                <w:bCs w:val="1"/>
                <w:color w:val="auto"/>
              </w:rPr>
              <w:t>LIABILITIES AND SHAREHOLDERS’</w:t>
            </w: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3460" w:type="dxa"/>
            <w:vAlign w:val="bottom"/>
            <w:gridSpan w:val="2"/>
          </w:tcPr>
          <w:p>
            <w:pPr>
              <w:spacing w:after="0"/>
              <w:rPr>
                <w:sz w:val="20"/>
                <w:szCs w:val="20"/>
                <w:color w:val="auto"/>
              </w:rPr>
            </w:pPr>
            <w:r>
              <w:rPr>
                <w:rFonts w:ascii="Arial" w:cs="Arial" w:eastAsia="Arial" w:hAnsi="Arial"/>
                <w:sz w:val="18"/>
                <w:szCs w:val="18"/>
                <w:b w:val="1"/>
                <w:bCs w:val="1"/>
                <w:color w:val="auto"/>
              </w:rPr>
              <w:t>EQUITY</w:t>
            </w:r>
          </w:p>
        </w:tc>
        <w:tc>
          <w:tcPr>
            <w:tcW w:w="1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150,738</w:t>
            </w: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150,738</w:t>
            </w:r>
          </w:p>
        </w:tc>
        <w:tc>
          <w:tcPr>
            <w:tcW w:w="28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196,606</w:t>
            </w:r>
          </w:p>
        </w:tc>
        <w:tc>
          <w:tcPr>
            <w:tcW w:w="2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196,606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44,482</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44,482</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ind w:left="160"/>
              <w:spacing w:after="0"/>
              <w:rPr>
                <w:sz w:val="20"/>
                <w:szCs w:val="20"/>
                <w:color w:val="auto"/>
              </w:rPr>
            </w:pPr>
            <w:r>
              <w:rPr>
                <w:rFonts w:ascii="Arial" w:cs="Arial" w:eastAsia="Arial" w:hAnsi="Arial"/>
                <w:sz w:val="18"/>
                <w:szCs w:val="18"/>
                <w:color w:val="auto"/>
              </w:rPr>
              <w:t>Accrued employee compensation</w:t>
            </w: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41,158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9,798C</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50,956</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51,549</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7,628C</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59,177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24,551B</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27,847</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21,042B</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28,640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28,640</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29,773</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29,773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44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rPr>
              <w:t>Current portion of capital lease</w:t>
            </w: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4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obligations</w:t>
            </w:r>
          </w:p>
        </w:tc>
        <w:tc>
          <w:tcPr>
            <w:tcW w:w="160" w:type="dxa"/>
            <w:vAlign w:val="bottom"/>
            <w:shd w:val="clear" w:color="auto" w:fill="CCEEFF"/>
          </w:tcPr>
          <w:p>
            <w:pPr>
              <w:spacing w:after="0"/>
              <w:rPr>
                <w:sz w:val="20"/>
                <w:szCs w:val="20"/>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17,032</w:t>
            </w: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17,032</w:t>
            </w:r>
          </w:p>
        </w:tc>
        <w:tc>
          <w:tcPr>
            <w:tcW w:w="2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44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160" w:type="dxa"/>
            <w:vAlign w:val="bottom"/>
            <w:tcBorders>
              <w:top w:val="single" w:sz="8" w:color="auto"/>
            </w:tcBorders>
          </w:tcPr>
          <w:p>
            <w:pPr>
              <w:spacing w:after="0"/>
              <w:rPr>
                <w:sz w:val="19"/>
                <w:szCs w:val="19"/>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285,346</w:t>
            </w:r>
          </w:p>
        </w:tc>
        <w:tc>
          <w:tcPr>
            <w:tcW w:w="2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34,349</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319,695</w:t>
            </w:r>
          </w:p>
        </w:tc>
        <w:tc>
          <w:tcPr>
            <w:tcW w:w="28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332,748</w:t>
            </w:r>
          </w:p>
        </w:tc>
        <w:tc>
          <w:tcPr>
            <w:tcW w:w="2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28,670</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361,418</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ectPr>
          <w:pgSz w:w="11900" w:h="16898" w:orient="portrait"/>
          <w:cols w:equalWidth="0" w:num="1">
            <w:col w:w="11420"/>
          </w:cols>
          <w:pgMar w:left="240" w:top="134" w:right="239" w:bottom="0" w:gutter="0" w:footer="0" w:header="0"/>
        </w:sectPr>
      </w:pPr>
    </w:p>
    <w:bookmarkStart w:id="11" w:name="page12"/>
    <w:bookmarkEnd w:id="1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 net of current</w:t>
            </w:r>
          </w:p>
        </w:tc>
        <w:tc>
          <w:tcPr>
            <w:tcW w:w="10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portion</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22,561</w:t>
            </w:r>
          </w:p>
        </w:tc>
        <w:tc>
          <w:tcPr>
            <w:tcW w:w="28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22,561</w:t>
            </w:r>
          </w:p>
        </w:tc>
        <w:tc>
          <w:tcPr>
            <w:tcW w:w="280" w:type="dxa"/>
            <w:vAlign w:val="bottom"/>
            <w:shd w:val="clear" w:color="auto" w:fill="CCEEFF"/>
          </w:tcPr>
          <w:p>
            <w:pPr>
              <w:spacing w:after="0"/>
              <w:rPr>
                <w:sz w:val="20"/>
                <w:szCs w:val="20"/>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460" w:type="dxa"/>
            <w:vAlign w:val="bottom"/>
          </w:tcPr>
          <w:p>
            <w:pPr>
              <w:ind w:left="180"/>
              <w:spacing w:after="0"/>
              <w:rPr>
                <w:sz w:val="20"/>
                <w:szCs w:val="20"/>
                <w:color w:val="auto"/>
              </w:rPr>
            </w:pPr>
            <w:r>
              <w:rPr>
                <w:rFonts w:ascii="Arial" w:cs="Arial" w:eastAsia="Arial" w:hAnsi="Arial"/>
                <w:sz w:val="18"/>
                <w:szCs w:val="18"/>
                <w:color w:val="auto"/>
              </w:rPr>
              <w:t>Non-current income taxes payable</w:t>
            </w:r>
          </w:p>
        </w:tc>
        <w:tc>
          <w:tcPr>
            <w:tcW w:w="1080" w:type="dxa"/>
            <w:vAlign w:val="bottom"/>
          </w:tcPr>
          <w:p>
            <w:pPr>
              <w:jc w:val="right"/>
              <w:spacing w:after="0"/>
              <w:rPr>
                <w:sz w:val="20"/>
                <w:szCs w:val="20"/>
                <w:color w:val="auto"/>
              </w:rPr>
            </w:pPr>
            <w:r>
              <w:rPr>
                <w:rFonts w:ascii="Arial" w:cs="Arial" w:eastAsia="Arial" w:hAnsi="Arial"/>
                <w:sz w:val="18"/>
                <w:szCs w:val="18"/>
                <w:color w:val="auto"/>
              </w:rPr>
              <w:t>100,097</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(1,906)B</w:t>
            </w:r>
          </w:p>
        </w:tc>
        <w:tc>
          <w:tcPr>
            <w:tcW w:w="1040" w:type="dxa"/>
            <w:vAlign w:val="bottom"/>
          </w:tcPr>
          <w:p>
            <w:pPr>
              <w:jc w:val="right"/>
              <w:spacing w:after="0"/>
              <w:rPr>
                <w:sz w:val="20"/>
                <w:szCs w:val="20"/>
                <w:color w:val="auto"/>
              </w:rPr>
            </w:pPr>
            <w:r>
              <w:rPr>
                <w:rFonts w:ascii="Arial" w:cs="Arial" w:eastAsia="Arial" w:hAnsi="Arial"/>
                <w:sz w:val="18"/>
                <w:szCs w:val="18"/>
                <w:color w:val="auto"/>
              </w:rPr>
              <w:t>98,191</w:t>
            </w:r>
          </w:p>
        </w:tc>
        <w:tc>
          <w:tcPr>
            <w:tcW w:w="2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85,126</w:t>
            </w: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8"/>
                <w:szCs w:val="18"/>
                <w:color w:val="auto"/>
              </w:rPr>
              <w:t>1,419B</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86,545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Other long-term liabilities</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26,835</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26,835</w:t>
            </w:r>
          </w:p>
        </w:tc>
        <w:tc>
          <w:tcPr>
            <w:tcW w:w="2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4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liabilities</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434,839</w:t>
            </w:r>
          </w:p>
        </w:tc>
        <w:tc>
          <w:tcPr>
            <w:tcW w:w="28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32,443</w:t>
            </w:r>
          </w:p>
        </w:tc>
        <w:tc>
          <w:tcPr>
            <w:tcW w:w="400" w:type="dxa"/>
            <w:vAlign w:val="bottom"/>
            <w:tcBorders>
              <w:bottom w:val="single" w:sz="8" w:color="CCEEFF"/>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467,282</w:t>
            </w:r>
          </w:p>
        </w:tc>
        <w:tc>
          <w:tcPr>
            <w:tcW w:w="280" w:type="dxa"/>
            <w:vAlign w:val="bottom"/>
            <w:tcBorders>
              <w:bottom w:val="single" w:sz="8" w:color="CCEEFF"/>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467,192</w:t>
            </w:r>
          </w:p>
        </w:tc>
        <w:tc>
          <w:tcPr>
            <w:tcW w:w="26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30,089</w:t>
            </w:r>
          </w:p>
        </w:tc>
        <w:tc>
          <w:tcPr>
            <w:tcW w:w="30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497,281</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34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Shareholders’ equity:</w:t>
            </w:r>
          </w:p>
        </w:tc>
        <w:tc>
          <w:tcPr>
            <w:tcW w:w="10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3460" w:type="dxa"/>
            <w:vAlign w:val="bottom"/>
          </w:tcPr>
          <w:p>
            <w:pPr>
              <w:ind w:left="180"/>
              <w:spacing w:after="0" w:line="201" w:lineRule="exact"/>
              <w:rPr>
                <w:sz w:val="20"/>
                <w:szCs w:val="20"/>
                <w:color w:val="auto"/>
              </w:rPr>
            </w:pPr>
            <w:r>
              <w:rPr>
                <w:rFonts w:ascii="Arial" w:cs="Arial" w:eastAsia="Arial" w:hAnsi="Arial"/>
                <w:sz w:val="18"/>
                <w:szCs w:val="18"/>
                <w:color w:val="auto"/>
              </w:rPr>
              <w:t>Preferred stock, $0.002 par value; 8,000</w:t>
            </w:r>
          </w:p>
        </w:tc>
        <w:tc>
          <w:tcPr>
            <w:tcW w:w="10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460" w:type="dxa"/>
            <w:vAlign w:val="bottom"/>
          </w:tcPr>
          <w:p>
            <w:pPr>
              <w:ind w:left="360"/>
              <w:spacing w:after="0"/>
              <w:rPr>
                <w:sz w:val="20"/>
                <w:szCs w:val="20"/>
                <w:color w:val="auto"/>
              </w:rPr>
            </w:pPr>
            <w:r>
              <w:rPr>
                <w:rFonts w:ascii="Arial" w:cs="Arial" w:eastAsia="Arial" w:hAnsi="Arial"/>
                <w:sz w:val="18"/>
                <w:szCs w:val="18"/>
                <w:color w:val="auto"/>
              </w:rPr>
              <w:t>shares authorized; no shares issued</w:t>
            </w:r>
          </w:p>
        </w:tc>
        <w:tc>
          <w:tcPr>
            <w:tcW w:w="10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460" w:type="dxa"/>
            <w:vAlign w:val="bottom"/>
          </w:tcPr>
          <w:p>
            <w:pPr>
              <w:ind w:left="360"/>
              <w:spacing w:after="0"/>
              <w:rPr>
                <w:sz w:val="20"/>
                <w:szCs w:val="20"/>
                <w:color w:val="auto"/>
              </w:rPr>
            </w:pPr>
            <w:r>
              <w:rPr>
                <w:rFonts w:ascii="Arial" w:cs="Arial" w:eastAsia="Arial" w:hAnsi="Arial"/>
                <w:sz w:val="18"/>
                <w:szCs w:val="18"/>
                <w:color w:val="auto"/>
              </w:rPr>
              <w:t>and outstanding</w:t>
            </w:r>
          </w:p>
        </w:tc>
        <w:tc>
          <w:tcPr>
            <w:tcW w:w="13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1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346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Common stock, $0.002 par value;</w:t>
            </w:r>
          </w:p>
        </w:tc>
        <w:tc>
          <w:tcPr>
            <w:tcW w:w="10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492,000 shares authorized; 292,381</w:t>
            </w:r>
          </w:p>
        </w:tc>
        <w:tc>
          <w:tcPr>
            <w:tcW w:w="10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shares issued and outstanding</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w:t>
            </w:r>
          </w:p>
        </w:tc>
        <w:tc>
          <w:tcPr>
            <w:tcW w:w="28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w:t>
            </w:r>
          </w:p>
        </w:tc>
        <w:tc>
          <w:tcPr>
            <w:tcW w:w="280" w:type="dxa"/>
            <w:vAlign w:val="bottom"/>
            <w:shd w:val="clear" w:color="auto" w:fill="CCEEFF"/>
          </w:tcPr>
          <w:p>
            <w:pPr>
              <w:spacing w:after="0"/>
              <w:rPr>
                <w:sz w:val="20"/>
                <w:szCs w:val="20"/>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583</w:t>
            </w: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583</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460" w:type="dxa"/>
            <w:vAlign w:val="bottom"/>
          </w:tcPr>
          <w:p>
            <w:pPr>
              <w:ind w:left="180"/>
              <w:spacing w:after="0"/>
              <w:rPr>
                <w:sz w:val="20"/>
                <w:szCs w:val="20"/>
                <w:color w:val="auto"/>
              </w:rPr>
            </w:pPr>
            <w:r>
              <w:rPr>
                <w:rFonts w:ascii="Arial" w:cs="Arial" w:eastAsia="Arial" w:hAnsi="Arial"/>
                <w:sz w:val="18"/>
                <w:szCs w:val="18"/>
                <w:color w:val="auto"/>
              </w:rPr>
              <w:t>Additional paid-in capital</w:t>
            </w:r>
          </w:p>
        </w:tc>
        <w:tc>
          <w:tcPr>
            <w:tcW w:w="1080" w:type="dxa"/>
            <w:vAlign w:val="bottom"/>
          </w:tcPr>
          <w:p>
            <w:pPr>
              <w:jc w:val="right"/>
              <w:spacing w:after="0"/>
              <w:rPr>
                <w:sz w:val="20"/>
                <w:szCs w:val="20"/>
                <w:color w:val="auto"/>
              </w:rPr>
            </w:pPr>
            <w:r>
              <w:rPr>
                <w:rFonts w:ascii="Arial" w:cs="Arial" w:eastAsia="Arial" w:hAnsi="Arial"/>
                <w:sz w:val="18"/>
                <w:szCs w:val="18"/>
                <w:color w:val="auto"/>
              </w:rPr>
              <w:t>3,304,563</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319,901A</w:t>
            </w:r>
          </w:p>
        </w:tc>
        <w:tc>
          <w:tcPr>
            <w:tcW w:w="1040" w:type="dxa"/>
            <w:vAlign w:val="bottom"/>
          </w:tcPr>
          <w:p>
            <w:pPr>
              <w:jc w:val="right"/>
              <w:spacing w:after="0"/>
              <w:rPr>
                <w:sz w:val="20"/>
                <w:szCs w:val="20"/>
                <w:color w:val="auto"/>
              </w:rPr>
            </w:pPr>
            <w:r>
              <w:rPr>
                <w:rFonts w:ascii="Arial" w:cs="Arial" w:eastAsia="Arial" w:hAnsi="Arial"/>
                <w:sz w:val="18"/>
                <w:szCs w:val="18"/>
                <w:color w:val="auto"/>
              </w:rPr>
              <w:t>3,624,464</w:t>
            </w:r>
          </w:p>
        </w:tc>
        <w:tc>
          <w:tcPr>
            <w:tcW w:w="2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3,250,169</w:t>
            </w: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8"/>
                <w:szCs w:val="18"/>
                <w:color w:val="auto"/>
              </w:rPr>
              <w:t>384,652A</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3,634,821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stock-based compensation</w:t>
            </w:r>
          </w:p>
        </w:tc>
        <w:tc>
          <w:tcPr>
            <w:tcW w:w="13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(1,141)</w:t>
            </w:r>
          </w:p>
        </w:tc>
        <w:tc>
          <w:tcPr>
            <w:tcW w:w="2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(60,846)A</w:t>
            </w:r>
          </w:p>
        </w:tc>
        <w:tc>
          <w:tcPr>
            <w:tcW w:w="12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(61,987)</w:t>
            </w:r>
          </w:p>
        </w:tc>
        <w:tc>
          <w:tcPr>
            <w:tcW w:w="0" w:type="dxa"/>
            <w:vAlign w:val="bottom"/>
          </w:tcPr>
          <w:p>
            <w:pPr>
              <w:spacing w:after="0"/>
              <w:rPr>
                <w:sz w:val="1"/>
                <w:szCs w:val="1"/>
                <w:color w:val="auto"/>
              </w:rPr>
            </w:pPr>
          </w:p>
        </w:tc>
      </w:tr>
      <w:tr>
        <w:trPr>
          <w:trHeight w:val="216"/>
        </w:trPr>
        <w:tc>
          <w:tcPr>
            <w:tcW w:w="3460" w:type="dxa"/>
            <w:vAlign w:val="bottom"/>
          </w:tcPr>
          <w:p>
            <w:pPr>
              <w:ind w:left="180"/>
              <w:spacing w:after="0"/>
              <w:rPr>
                <w:sz w:val="20"/>
                <w:szCs w:val="20"/>
                <w:color w:val="auto"/>
              </w:rPr>
            </w:pPr>
            <w:r>
              <w:rPr>
                <w:rFonts w:ascii="Arial" w:cs="Arial" w:eastAsia="Arial" w:hAnsi="Arial"/>
                <w:sz w:val="18"/>
                <w:szCs w:val="18"/>
                <w:color w:val="auto"/>
              </w:rPr>
              <w:t>Accumulated other comprehensive loss</w:t>
            </w: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(1,353)</w:t>
            </w:r>
          </w:p>
        </w:tc>
        <w:tc>
          <w:tcPr>
            <w:tcW w:w="24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(1,353)</w:t>
            </w: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(1,759)</w:t>
            </w:r>
          </w:p>
        </w:tc>
        <w:tc>
          <w:tcPr>
            <w:tcW w:w="22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220" w:type="dxa"/>
            <w:vAlign w:val="bottom"/>
            <w:gridSpan w:val="3"/>
          </w:tcPr>
          <w:p>
            <w:pPr>
              <w:jc w:val="right"/>
              <w:ind w:right="20"/>
              <w:spacing w:after="0"/>
              <w:rPr>
                <w:sz w:val="20"/>
                <w:szCs w:val="20"/>
                <w:color w:val="auto"/>
              </w:rPr>
            </w:pPr>
            <w:r>
              <w:rPr>
                <w:rFonts w:ascii="Arial" w:cs="Arial" w:eastAsia="Arial" w:hAnsi="Arial"/>
                <w:sz w:val="18"/>
                <w:szCs w:val="18"/>
                <w:color w:val="auto"/>
              </w:rPr>
              <w:t>(1,759)</w:t>
            </w:r>
          </w:p>
        </w:tc>
        <w:tc>
          <w:tcPr>
            <w:tcW w:w="0" w:type="dxa"/>
            <w:vAlign w:val="bottom"/>
          </w:tcPr>
          <w:p>
            <w:pPr>
              <w:spacing w:after="0"/>
              <w:rPr>
                <w:sz w:val="1"/>
                <w:szCs w:val="1"/>
                <w:color w:val="auto"/>
              </w:rPr>
            </w:pPr>
          </w:p>
        </w:tc>
      </w:tr>
      <w:tr>
        <w:trPr>
          <w:trHeight w:val="216"/>
        </w:trPr>
        <w:tc>
          <w:tcPr>
            <w:tcW w:w="3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deficit</w:t>
            </w:r>
          </w:p>
        </w:tc>
        <w:tc>
          <w:tcPr>
            <w:tcW w:w="13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(126,458)</w:t>
            </w:r>
          </w:p>
        </w:tc>
        <w:tc>
          <w:tcPr>
            <w:tcW w:w="2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(360,412)E</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(486,870)</w:t>
            </w: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(201,755)</w:t>
            </w:r>
          </w:p>
        </w:tc>
        <w:tc>
          <w:tcPr>
            <w:tcW w:w="2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(362,678)E</w:t>
            </w:r>
          </w:p>
        </w:tc>
        <w:tc>
          <w:tcPr>
            <w:tcW w:w="12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(564,433)</w:t>
            </w:r>
          </w:p>
        </w:tc>
        <w:tc>
          <w:tcPr>
            <w:tcW w:w="0" w:type="dxa"/>
            <w:vAlign w:val="bottom"/>
          </w:tcPr>
          <w:p>
            <w:pPr>
              <w:spacing w:after="0"/>
              <w:rPr>
                <w:sz w:val="1"/>
                <w:szCs w:val="1"/>
                <w:color w:val="auto"/>
              </w:rPr>
            </w:pPr>
          </w:p>
        </w:tc>
      </w:tr>
      <w:tr>
        <w:trPr>
          <w:trHeight w:val="210"/>
        </w:trPr>
        <w:tc>
          <w:tcPr>
            <w:tcW w:w="34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shareholders’ equity</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3,177,337</w:t>
            </w:r>
          </w:p>
        </w:tc>
        <w:tc>
          <w:tcPr>
            <w:tcW w:w="28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(40,511)</w:t>
            </w:r>
          </w:p>
        </w:tc>
        <w:tc>
          <w:tcPr>
            <w:tcW w:w="400" w:type="dxa"/>
            <w:vAlign w:val="bottom"/>
            <w:tcBorders>
              <w:bottom w:val="single" w:sz="8" w:color="CCEEFF"/>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3,136,826</w:t>
            </w:r>
          </w:p>
        </w:tc>
        <w:tc>
          <w:tcPr>
            <w:tcW w:w="280" w:type="dxa"/>
            <w:vAlign w:val="bottom"/>
            <w:tcBorders>
              <w:bottom w:val="single" w:sz="8" w:color="CCEEFF"/>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3,046,097</w:t>
            </w:r>
          </w:p>
        </w:tc>
        <w:tc>
          <w:tcPr>
            <w:tcW w:w="26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(38,872)</w:t>
            </w:r>
          </w:p>
        </w:tc>
        <w:tc>
          <w:tcPr>
            <w:tcW w:w="30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3,007,225</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3460" w:type="dxa"/>
            <w:vAlign w:val="bottom"/>
            <w:shd w:val="clear" w:color="auto" w:fill="CCEEFF"/>
          </w:tcPr>
          <w:p>
            <w:pPr>
              <w:ind w:left="360"/>
              <w:spacing w:after="0" w:line="182" w:lineRule="exact"/>
              <w:rPr>
                <w:sz w:val="20"/>
                <w:szCs w:val="20"/>
                <w:color w:val="auto"/>
              </w:rPr>
            </w:pPr>
            <w:r>
              <w:rPr>
                <w:rFonts w:ascii="Arial" w:cs="Arial" w:eastAsia="Arial" w:hAnsi="Arial"/>
                <w:sz w:val="18"/>
                <w:szCs w:val="18"/>
                <w:color w:val="auto"/>
              </w:rPr>
              <w:t>Total liabilities and shareholders’</w:t>
            </w:r>
          </w:p>
        </w:tc>
        <w:tc>
          <w:tcPr>
            <w:tcW w:w="10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8"/>
              </w:rPr>
              <w:t>$   3,612,176</w:t>
            </w:r>
          </w:p>
        </w:tc>
        <w:tc>
          <w:tcPr>
            <w:tcW w:w="280" w:type="dxa"/>
            <w:vAlign w:val="bottom"/>
            <w:shd w:val="clear" w:color="auto" w:fill="CCEEFF"/>
          </w:tcPr>
          <w:p>
            <w:pPr>
              <w:spacing w:after="0"/>
              <w:rPr>
                <w:sz w:val="15"/>
                <w:szCs w:val="15"/>
                <w:color w:val="auto"/>
              </w:rPr>
            </w:pPr>
          </w:p>
        </w:tc>
        <w:tc>
          <w:tcPr>
            <w:tcW w:w="240" w:type="dxa"/>
            <w:vAlign w:val="bottom"/>
            <w:vMerge w:val="restart"/>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200" w:type="dxa"/>
            <w:vAlign w:val="bottom"/>
            <w:gridSpan w:val="2"/>
            <w:vMerge w:val="restart"/>
            <w:shd w:val="clear" w:color="auto" w:fill="CCEEFF"/>
          </w:tcPr>
          <w:p>
            <w:pPr>
              <w:jc w:val="right"/>
              <w:ind w:right="340"/>
              <w:spacing w:after="0"/>
              <w:rPr>
                <w:sz w:val="20"/>
                <w:szCs w:val="20"/>
                <w:color w:val="auto"/>
              </w:rPr>
            </w:pPr>
            <w:r>
              <w:rPr>
                <w:rFonts w:ascii="Arial" w:cs="Arial" w:eastAsia="Arial" w:hAnsi="Arial"/>
                <w:sz w:val="18"/>
                <w:szCs w:val="18"/>
                <w:color w:val="auto"/>
              </w:rPr>
              <w:t>(8,068)</w:t>
            </w: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5"/>
              </w:rPr>
              <w:t>$   3,604,108</w:t>
            </w:r>
          </w:p>
        </w:tc>
        <w:tc>
          <w:tcPr>
            <w:tcW w:w="280" w:type="dxa"/>
            <w:vAlign w:val="bottom"/>
            <w:shd w:val="clear" w:color="auto" w:fill="CCEEFF"/>
          </w:tcPr>
          <w:p>
            <w:pPr>
              <w:spacing w:after="0"/>
              <w:rPr>
                <w:sz w:val="15"/>
                <w:szCs w:val="15"/>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5"/>
              </w:rPr>
              <w:t>$   3,513,289</w:t>
            </w:r>
          </w:p>
        </w:tc>
        <w:tc>
          <w:tcPr>
            <w:tcW w:w="260" w:type="dxa"/>
            <w:vAlign w:val="bottom"/>
            <w:shd w:val="clear" w:color="auto" w:fill="CCEEFF"/>
          </w:tcPr>
          <w:p>
            <w:pPr>
              <w:spacing w:after="0"/>
              <w:rPr>
                <w:sz w:val="15"/>
                <w:szCs w:val="15"/>
                <w:color w:val="auto"/>
              </w:rPr>
            </w:pP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00" w:type="dxa"/>
            <w:vAlign w:val="bottom"/>
            <w:gridSpan w:val="2"/>
            <w:vMerge w:val="restart"/>
            <w:shd w:val="clear" w:color="auto" w:fill="CCEEFF"/>
          </w:tcPr>
          <w:p>
            <w:pPr>
              <w:jc w:val="right"/>
              <w:ind w:right="240"/>
              <w:spacing w:after="0"/>
              <w:rPr>
                <w:sz w:val="20"/>
                <w:szCs w:val="20"/>
                <w:color w:val="auto"/>
              </w:rPr>
            </w:pPr>
            <w:r>
              <w:rPr>
                <w:rFonts w:ascii="Arial" w:cs="Arial" w:eastAsia="Arial" w:hAnsi="Arial"/>
                <w:sz w:val="18"/>
                <w:szCs w:val="18"/>
                <w:color w:val="auto"/>
              </w:rPr>
              <w:t>(8,783)</w:t>
            </w:r>
          </w:p>
        </w:tc>
        <w:tc>
          <w:tcPr>
            <w:tcW w:w="114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   3,504,506</w:t>
            </w:r>
          </w:p>
        </w:tc>
        <w:tc>
          <w:tcPr>
            <w:tcW w:w="8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34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equity</w:t>
            </w:r>
          </w:p>
        </w:tc>
        <w:tc>
          <w:tcPr>
            <w:tcW w:w="1080" w:type="dxa"/>
            <w:vAlign w:val="bottom"/>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vMerge w:val="continue"/>
            <w:shd w:val="clear" w:color="auto" w:fill="CCEEFF"/>
          </w:tcPr>
          <w:p>
            <w:pPr>
              <w:spacing w:after="0"/>
              <w:rPr>
                <w:sz w:val="18"/>
                <w:szCs w:val="18"/>
                <w:color w:val="auto"/>
              </w:rPr>
            </w:pPr>
          </w:p>
        </w:tc>
        <w:tc>
          <w:tcPr>
            <w:tcW w:w="1200" w:type="dxa"/>
            <w:vAlign w:val="bottom"/>
            <w:gridSpan w:val="2"/>
            <w:vMerge w:val="continue"/>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1100" w:type="dxa"/>
            <w:vAlign w:val="bottom"/>
            <w:gridSpan w:val="2"/>
            <w:vMerge w:val="continue"/>
            <w:shd w:val="clear" w:color="auto" w:fill="CCEEFF"/>
          </w:tcPr>
          <w:p>
            <w:pPr>
              <w:spacing w:after="0"/>
              <w:rPr>
                <w:sz w:val="18"/>
                <w:szCs w:val="18"/>
                <w:color w:val="auto"/>
              </w:rPr>
            </w:pPr>
          </w:p>
        </w:tc>
        <w:tc>
          <w:tcPr>
            <w:tcW w:w="1140" w:type="dxa"/>
            <w:vAlign w:val="bottom"/>
            <w:gridSpan w:val="2"/>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46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60" w:right="180" w:hanging="352"/>
        <w:spacing w:after="0" w:line="258" w:lineRule="auto"/>
        <w:tabs>
          <w:tab w:leader="none" w:pos="337" w:val="left"/>
        </w:tabs>
        <w:numPr>
          <w:ilvl w:val="0"/>
          <w:numId w:val="13"/>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 net of tax benefit from employee stock transactions and cumulative effect of change in accounting principle related to estimating preferrences in the adoption of SFAS 125R.</w:t>
      </w:r>
    </w:p>
    <w:p>
      <w:pPr>
        <w:spacing w:after="0" w:line="1" w:lineRule="exact"/>
        <w:rPr>
          <w:rFonts w:ascii="Arial" w:cs="Arial" w:eastAsia="Arial" w:hAnsi="Arial"/>
          <w:sz w:val="18"/>
          <w:szCs w:val="18"/>
          <w:color w:val="auto"/>
        </w:rPr>
      </w:pPr>
    </w:p>
    <w:p>
      <w:pPr>
        <w:ind w:left="360" w:hanging="352"/>
        <w:spacing w:after="0"/>
        <w:tabs>
          <w:tab w:leader="none" w:pos="3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Adjustments to deferred tax assets arising from the stock-based compensation charge and annual of penalty and other assisted Section 162(m).</w:t>
      </w:r>
    </w:p>
    <w:p>
      <w:pPr>
        <w:spacing w:after="0" w:line="20" w:lineRule="exact"/>
        <w:rPr>
          <w:rFonts w:ascii="Arial" w:cs="Arial" w:eastAsia="Arial" w:hAnsi="Arial"/>
          <w:sz w:val="17"/>
          <w:szCs w:val="17"/>
          <w:color w:val="auto"/>
        </w:rPr>
      </w:pPr>
    </w:p>
    <w:p>
      <w:pPr>
        <w:ind w:left="360" w:hanging="352"/>
        <w:spacing w:after="0"/>
        <w:tabs>
          <w:tab w:leader="none" w:pos="3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Adjustments for additional payroll taxes.</w:t>
      </w:r>
    </w:p>
    <w:p>
      <w:pPr>
        <w:spacing w:after="0" w:line="9" w:lineRule="exact"/>
        <w:rPr>
          <w:rFonts w:ascii="Arial" w:cs="Arial" w:eastAsia="Arial" w:hAnsi="Arial"/>
          <w:sz w:val="18"/>
          <w:szCs w:val="18"/>
          <w:color w:val="auto"/>
        </w:rPr>
      </w:pPr>
    </w:p>
    <w:p>
      <w:pPr>
        <w:ind w:left="360" w:hanging="352"/>
        <w:spacing w:after="0"/>
        <w:tabs>
          <w:tab w:leader="none" w:pos="3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Adjustments to inventory arising from amount of stock-based compensation capitalized to inventory.</w:t>
      </w:r>
    </w:p>
    <w:p>
      <w:pPr>
        <w:spacing w:after="0" w:line="9" w:lineRule="exact"/>
        <w:rPr>
          <w:rFonts w:ascii="Arial" w:cs="Arial" w:eastAsia="Arial" w:hAnsi="Arial"/>
          <w:sz w:val="18"/>
          <w:szCs w:val="18"/>
          <w:color w:val="auto"/>
        </w:rPr>
      </w:pPr>
    </w:p>
    <w:p>
      <w:pPr>
        <w:ind w:left="360" w:right="260" w:hanging="352"/>
        <w:spacing w:after="0" w:line="261" w:lineRule="auto"/>
        <w:tabs>
          <w:tab w:leader="none" w:pos="358" w:val="left"/>
        </w:tabs>
        <w:numPr>
          <w:ilvl w:val="0"/>
          <w:numId w:val="13"/>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payroll tax, deferred income tax benefit and cumulative effect of change in accounting principle.</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Statements of Cash Flows for first quarter of fiscal 2007 and fiscal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840" w:type="dxa"/>
            <w:vAlign w:val="bottom"/>
            <w:tcBorders>
              <w:bottom w:val="single" w:sz="8" w:color="auto"/>
            </w:tcBorders>
            <w:gridSpan w:val="7"/>
          </w:tcPr>
          <w:p>
            <w:pPr>
              <w:jc w:val="right"/>
              <w:ind w:right="248"/>
              <w:spacing w:after="0"/>
              <w:rPr>
                <w:sz w:val="20"/>
                <w:szCs w:val="20"/>
                <w:color w:val="auto"/>
              </w:rPr>
            </w:pPr>
            <w:r>
              <w:rPr>
                <w:rFonts w:ascii="Arial" w:cs="Arial" w:eastAsia="Arial" w:hAnsi="Arial"/>
                <w:sz w:val="14"/>
                <w:szCs w:val="14"/>
                <w:b w:val="1"/>
                <w:bCs w:val="1"/>
                <w:color w:val="auto"/>
              </w:rPr>
              <w:t>Three Months Ended April 29, 2006</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80" w:type="dxa"/>
            <w:vAlign w:val="bottom"/>
            <w:tcBorders>
              <w:bottom w:val="single" w:sz="8" w:color="auto"/>
            </w:tcBorders>
            <w:gridSpan w:val="7"/>
          </w:tcPr>
          <w:p>
            <w:pPr>
              <w:jc w:val="right"/>
              <w:ind w:right="256"/>
              <w:spacing w:after="0"/>
              <w:rPr>
                <w:sz w:val="20"/>
                <w:szCs w:val="20"/>
                <w:color w:val="auto"/>
              </w:rPr>
            </w:pPr>
            <w:r>
              <w:rPr>
                <w:rFonts w:ascii="Arial" w:cs="Arial" w:eastAsia="Arial" w:hAnsi="Arial"/>
                <w:sz w:val="14"/>
                <w:szCs w:val="14"/>
                <w:b w:val="1"/>
                <w:bCs w:val="1"/>
                <w:color w:val="auto"/>
              </w:rPr>
              <w:t>Three Months Ended April 30, 2005</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180" w:type="dxa"/>
            <w:vAlign w:val="bottom"/>
          </w:tcPr>
          <w:p>
            <w:pPr>
              <w:spacing w:after="0"/>
              <w:rPr>
                <w:sz w:val="8"/>
                <w:szCs w:val="8"/>
                <w:color w:val="auto"/>
              </w:rPr>
            </w:pPr>
          </w:p>
        </w:tc>
        <w:tc>
          <w:tcPr>
            <w:tcW w:w="160" w:type="dxa"/>
            <w:vAlign w:val="bottom"/>
          </w:tcPr>
          <w:p>
            <w:pPr>
              <w:spacing w:after="0"/>
              <w:rPr>
                <w:sz w:val="8"/>
                <w:szCs w:val="8"/>
                <w:color w:val="auto"/>
              </w:rPr>
            </w:pPr>
          </w:p>
        </w:tc>
        <w:tc>
          <w:tcPr>
            <w:tcW w:w="940" w:type="dxa"/>
            <w:vAlign w:val="bottom"/>
            <w:gridSpan w:val="2"/>
          </w:tcPr>
          <w:p>
            <w:pPr>
              <w:jc w:val="center"/>
              <w:ind w:right="220"/>
              <w:spacing w:after="0" w:line="102" w:lineRule="exact"/>
              <w:rPr>
                <w:sz w:val="20"/>
                <w:szCs w:val="20"/>
                <w:color w:val="auto"/>
              </w:rPr>
            </w:pPr>
            <w:r>
              <w:rPr>
                <w:rFonts w:ascii="Arial" w:cs="Arial" w:eastAsia="Arial" w:hAnsi="Arial"/>
                <w:sz w:val="11"/>
                <w:szCs w:val="11"/>
                <w:b w:val="1"/>
                <w:bCs w:val="1"/>
                <w:color w:val="auto"/>
              </w:rPr>
              <w:t>As</w:t>
            </w: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0" w:type="dxa"/>
            <w:vAlign w:val="bottom"/>
          </w:tcPr>
          <w:p>
            <w:pPr>
              <w:spacing w:after="0"/>
              <w:rPr>
                <w:sz w:val="8"/>
                <w:szCs w:val="8"/>
                <w:color w:val="auto"/>
              </w:rPr>
            </w:pPr>
          </w:p>
        </w:tc>
        <w:tc>
          <w:tcPr>
            <w:tcW w:w="860" w:type="dxa"/>
            <w:vAlign w:val="bottom"/>
            <w:gridSpan w:val="2"/>
            <w:vMerge w:val="restart"/>
          </w:tcPr>
          <w:p>
            <w:pPr>
              <w:jc w:val="right"/>
              <w:ind w:right="440"/>
              <w:spacing w:after="0"/>
              <w:rPr>
                <w:sz w:val="20"/>
                <w:szCs w:val="20"/>
                <w:color w:val="auto"/>
              </w:rPr>
            </w:pPr>
            <w:r>
              <w:rPr>
                <w:rFonts w:ascii="Arial" w:cs="Arial" w:eastAsia="Arial" w:hAnsi="Arial"/>
                <w:sz w:val="14"/>
                <w:szCs w:val="14"/>
                <w:b w:val="1"/>
                <w:bCs w:val="1"/>
                <w:color w:val="auto"/>
              </w:rPr>
              <w:t>As</w:t>
            </w:r>
          </w:p>
        </w:tc>
        <w:tc>
          <w:tcPr>
            <w:tcW w:w="80" w:type="dxa"/>
            <w:vAlign w:val="bottom"/>
          </w:tcPr>
          <w:p>
            <w:pPr>
              <w:spacing w:after="0"/>
              <w:rPr>
                <w:sz w:val="8"/>
                <w:szCs w:val="8"/>
                <w:color w:val="auto"/>
              </w:rPr>
            </w:pPr>
          </w:p>
        </w:tc>
        <w:tc>
          <w:tcPr>
            <w:tcW w:w="940" w:type="dxa"/>
            <w:vAlign w:val="bottom"/>
            <w:gridSpan w:val="2"/>
          </w:tcPr>
          <w:p>
            <w:pPr>
              <w:jc w:val="center"/>
              <w:ind w:right="260"/>
              <w:spacing w:after="0" w:line="102" w:lineRule="exact"/>
              <w:rPr>
                <w:sz w:val="20"/>
                <w:szCs w:val="20"/>
                <w:color w:val="auto"/>
              </w:rPr>
            </w:pPr>
            <w:r>
              <w:rPr>
                <w:rFonts w:ascii="Arial" w:cs="Arial" w:eastAsia="Arial" w:hAnsi="Arial"/>
                <w:sz w:val="11"/>
                <w:szCs w:val="11"/>
                <w:b w:val="1"/>
                <w:bCs w:val="1"/>
                <w:color w:val="auto"/>
              </w:rPr>
              <w:t>As</w:t>
            </w:r>
          </w:p>
        </w:tc>
        <w:tc>
          <w:tcPr>
            <w:tcW w:w="2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40" w:type="dxa"/>
            <w:vAlign w:val="bottom"/>
            <w:gridSpan w:val="2"/>
            <w:vMerge w:val="restart"/>
          </w:tcPr>
          <w:p>
            <w:pPr>
              <w:jc w:val="right"/>
              <w:ind w:right="380"/>
              <w:spacing w:after="0"/>
              <w:rPr>
                <w:sz w:val="20"/>
                <w:szCs w:val="20"/>
                <w:color w:val="auto"/>
              </w:rPr>
            </w:pPr>
            <w:r>
              <w:rPr>
                <w:rFonts w:ascii="Arial" w:cs="Arial" w:eastAsia="Arial" w:hAnsi="Arial"/>
                <w:sz w:val="14"/>
                <w:szCs w:val="14"/>
                <w:b w:val="1"/>
                <w:bCs w:val="1"/>
                <w:color w:val="auto"/>
              </w:rPr>
              <w:t>As</w:t>
            </w:r>
          </w:p>
        </w:tc>
        <w:tc>
          <w:tcPr>
            <w:tcW w:w="0" w:type="dxa"/>
            <w:vAlign w:val="bottom"/>
          </w:tcPr>
          <w:p>
            <w:pPr>
              <w:spacing w:after="0"/>
              <w:rPr>
                <w:sz w:val="1"/>
                <w:szCs w:val="1"/>
                <w:color w:val="auto"/>
              </w:rPr>
            </w:pPr>
          </w:p>
        </w:tc>
      </w:tr>
      <w:tr>
        <w:trPr>
          <w:trHeight w:val="135"/>
        </w:trPr>
        <w:tc>
          <w:tcPr>
            <w:tcW w:w="31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4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Adjustments</w:t>
            </w:r>
          </w:p>
        </w:tc>
        <w:tc>
          <w:tcPr>
            <w:tcW w:w="100" w:type="dxa"/>
            <w:vAlign w:val="bottom"/>
          </w:tcPr>
          <w:p>
            <w:pPr>
              <w:spacing w:after="0"/>
              <w:rPr>
                <w:sz w:val="11"/>
                <w:szCs w:val="11"/>
                <w:color w:val="auto"/>
              </w:rPr>
            </w:pPr>
          </w:p>
        </w:tc>
        <w:tc>
          <w:tcPr>
            <w:tcW w:w="86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94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80" w:type="dxa"/>
            <w:vAlign w:val="bottom"/>
            <w:gridSpan w:val="3"/>
            <w:vMerge w:val="restart"/>
          </w:tcPr>
          <w:p>
            <w:pPr>
              <w:jc w:val="right"/>
              <w:ind w:right="260"/>
              <w:spacing w:after="0"/>
              <w:rPr>
                <w:sz w:val="20"/>
                <w:szCs w:val="20"/>
                <w:color w:val="auto"/>
              </w:rPr>
            </w:pPr>
            <w:r>
              <w:rPr>
                <w:rFonts w:ascii="Arial" w:cs="Arial" w:eastAsia="Arial" w:hAnsi="Arial"/>
                <w:sz w:val="14"/>
                <w:szCs w:val="14"/>
                <w:b w:val="1"/>
                <w:bCs w:val="1"/>
                <w:color w:val="auto"/>
                <w:w w:val="94"/>
              </w:rPr>
              <w:t>Adjustments</w:t>
            </w:r>
          </w:p>
        </w:tc>
        <w:tc>
          <w:tcPr>
            <w:tcW w:w="10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Reported</w:t>
            </w:r>
          </w:p>
        </w:tc>
        <w:tc>
          <w:tcPr>
            <w:tcW w:w="108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Restated</w:t>
            </w:r>
          </w:p>
        </w:tc>
        <w:tc>
          <w:tcPr>
            <w:tcW w:w="80" w:type="dxa"/>
            <w:vAlign w:val="bottom"/>
          </w:tcPr>
          <w:p>
            <w:pPr>
              <w:spacing w:after="0"/>
              <w:rPr>
                <w:sz w:val="14"/>
                <w:szCs w:val="14"/>
                <w:color w:val="auto"/>
              </w:rPr>
            </w:pPr>
          </w:p>
        </w:tc>
        <w:tc>
          <w:tcPr>
            <w:tcW w:w="9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Reported</w:t>
            </w:r>
          </w:p>
        </w:tc>
        <w:tc>
          <w:tcPr>
            <w:tcW w:w="108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Restated</w:t>
            </w:r>
          </w:p>
        </w:tc>
        <w:tc>
          <w:tcPr>
            <w:tcW w:w="0" w:type="dxa"/>
            <w:vAlign w:val="bottom"/>
          </w:tcPr>
          <w:p>
            <w:pPr>
              <w:spacing w:after="0"/>
              <w:rPr>
                <w:sz w:val="1"/>
                <w:szCs w:val="1"/>
                <w:color w:val="auto"/>
              </w:rPr>
            </w:pPr>
          </w:p>
        </w:tc>
      </w:tr>
      <w:tr>
        <w:trPr>
          <w:trHeight w:val="129"/>
        </w:trPr>
        <w:tc>
          <w:tcPr>
            <w:tcW w:w="31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880" w:type="dxa"/>
            <w:vAlign w:val="bottom"/>
            <w:tcBorders>
              <w:top w:val="single" w:sz="8" w:color="auto"/>
            </w:tcBorders>
            <w:gridSpan w:val="5"/>
          </w:tcPr>
          <w:p>
            <w:pPr>
              <w:jc w:val="right"/>
              <w:ind w:right="600"/>
              <w:spacing w:after="0" w:line="129" w:lineRule="exact"/>
              <w:rPr>
                <w:sz w:val="20"/>
                <w:szCs w:val="20"/>
                <w:color w:val="auto"/>
              </w:rPr>
            </w:pPr>
            <w:r>
              <w:rPr>
                <w:rFonts w:ascii="Arial" w:cs="Arial" w:eastAsia="Arial" w:hAnsi="Arial"/>
                <w:sz w:val="14"/>
                <w:szCs w:val="14"/>
                <w:b w:val="1"/>
                <w:bCs w:val="1"/>
                <w:color w:val="auto"/>
              </w:rPr>
              <w:t>(In thousands)</w:t>
            </w:r>
          </w:p>
        </w:tc>
        <w:tc>
          <w:tcPr>
            <w:tcW w:w="24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6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80" w:type="dxa"/>
            <w:vAlign w:val="bottom"/>
          </w:tcPr>
          <w:p>
            <w:pPr>
              <w:ind w:left="180"/>
              <w:spacing w:after="0"/>
              <w:rPr>
                <w:sz w:val="20"/>
                <w:szCs w:val="20"/>
                <w:color w:val="auto"/>
              </w:rPr>
            </w:pPr>
            <w:r>
              <w:rPr>
                <w:rFonts w:ascii="Arial" w:cs="Arial" w:eastAsia="Arial" w:hAnsi="Arial"/>
                <w:sz w:val="18"/>
                <w:szCs w:val="18"/>
                <w:color w:val="auto"/>
              </w:rPr>
              <w:t>Net income</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  75,297</w:t>
            </w:r>
          </w:p>
        </w:tc>
        <w:tc>
          <w:tcPr>
            <w:tcW w:w="200" w:type="dxa"/>
            <w:vAlign w:val="bottom"/>
          </w:tcPr>
          <w:p>
            <w:pPr>
              <w:spacing w:after="0"/>
              <w:rPr>
                <w:sz w:val="18"/>
                <w:szCs w:val="18"/>
                <w:color w:val="auto"/>
              </w:rPr>
            </w:pPr>
          </w:p>
        </w:tc>
        <w:tc>
          <w:tcPr>
            <w:tcW w:w="2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2,266</w:t>
            </w:r>
          </w:p>
        </w:tc>
        <w:tc>
          <w:tcPr>
            <w:tcW w:w="24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  77,563</w:t>
            </w:r>
          </w:p>
        </w:tc>
        <w:tc>
          <w:tcPr>
            <w:tcW w:w="14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  63,532</w:t>
            </w:r>
          </w:p>
        </w:tc>
        <w:tc>
          <w:tcPr>
            <w:tcW w:w="220" w:type="dxa"/>
            <w:vAlign w:val="bottom"/>
          </w:tcPr>
          <w:p>
            <w:pPr>
              <w:spacing w:after="0"/>
              <w:rPr>
                <w:sz w:val="18"/>
                <w:szCs w:val="18"/>
                <w:color w:val="auto"/>
              </w:rPr>
            </w:pPr>
          </w:p>
        </w:tc>
        <w:tc>
          <w:tcPr>
            <w:tcW w:w="240" w:type="dxa"/>
            <w:vAlign w:val="bottom"/>
          </w:tcPr>
          <w:p>
            <w:pPr>
              <w:jc w:val="right"/>
              <w:ind w:right="59"/>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(9,585)</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  53,947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18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w w:val="96"/>
              </w:rPr>
              <w:t>Adjustments to reconcile net income to</w:t>
            </w:r>
          </w:p>
        </w:tc>
        <w:tc>
          <w:tcPr>
            <w:tcW w:w="1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cash provided by operating</w:t>
            </w:r>
          </w:p>
        </w:tc>
        <w:tc>
          <w:tcPr>
            <w:tcW w:w="16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activities:</w:t>
            </w:r>
          </w:p>
        </w:tc>
        <w:tc>
          <w:tcPr>
            <w:tcW w:w="16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6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6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180" w:type="dxa"/>
            <w:vAlign w:val="bottom"/>
          </w:tcPr>
          <w:p>
            <w:pPr>
              <w:ind w:left="180"/>
              <w:spacing w:after="0" w:line="201" w:lineRule="exact"/>
              <w:rPr>
                <w:sz w:val="20"/>
                <w:szCs w:val="20"/>
                <w:color w:val="auto"/>
              </w:rPr>
            </w:pPr>
            <w:r>
              <w:rPr>
                <w:rFonts w:ascii="Arial" w:cs="Arial" w:eastAsia="Arial" w:hAnsi="Arial"/>
                <w:sz w:val="18"/>
                <w:szCs w:val="18"/>
                <w:color w:val="auto"/>
              </w:rPr>
              <w:t>Cumulative effect of change in</w:t>
            </w:r>
          </w:p>
        </w:tc>
        <w:tc>
          <w:tcPr>
            <w:tcW w:w="1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180" w:type="dxa"/>
            <w:vAlign w:val="bottom"/>
          </w:tcPr>
          <w:p>
            <w:pPr>
              <w:ind w:left="360"/>
              <w:spacing w:after="0"/>
              <w:rPr>
                <w:sz w:val="20"/>
                <w:szCs w:val="20"/>
                <w:color w:val="auto"/>
              </w:rPr>
            </w:pPr>
            <w:r>
              <w:rPr>
                <w:rFonts w:ascii="Arial" w:cs="Arial" w:eastAsia="Arial" w:hAnsi="Arial"/>
                <w:sz w:val="18"/>
                <w:szCs w:val="18"/>
                <w:color w:val="auto"/>
              </w:rPr>
              <w:t>accounting principle</w:t>
            </w:r>
          </w:p>
        </w:tc>
        <w:tc>
          <w:tcPr>
            <w:tcW w:w="160" w:type="dxa"/>
            <w:vAlign w:val="bottom"/>
          </w:tcPr>
          <w:p>
            <w:pPr>
              <w:spacing w:after="0"/>
              <w:rPr>
                <w:sz w:val="20"/>
                <w:szCs w:val="20"/>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(8,846)</w:t>
            </w:r>
          </w:p>
        </w:tc>
        <w:tc>
          <w:tcPr>
            <w:tcW w:w="960" w:type="dxa"/>
            <w:vAlign w:val="bottom"/>
            <w:gridSpan w:val="3"/>
          </w:tcPr>
          <w:p>
            <w:pPr>
              <w:jc w:val="right"/>
              <w:ind w:right="80"/>
              <w:spacing w:after="0"/>
              <w:rPr>
                <w:sz w:val="20"/>
                <w:szCs w:val="20"/>
                <w:color w:val="auto"/>
              </w:rPr>
            </w:pPr>
            <w:r>
              <w:rPr>
                <w:rFonts w:ascii="Arial" w:cs="Arial" w:eastAsia="Arial" w:hAnsi="Arial"/>
                <w:sz w:val="18"/>
                <w:szCs w:val="18"/>
                <w:color w:val="auto"/>
              </w:rPr>
              <w:t>(8,846)</w:t>
            </w:r>
          </w:p>
        </w:tc>
        <w:tc>
          <w:tcPr>
            <w:tcW w:w="80" w:type="dxa"/>
            <w:vAlign w:val="bottom"/>
          </w:tcPr>
          <w:p>
            <w:pPr>
              <w:spacing w:after="0"/>
              <w:rPr>
                <w:sz w:val="20"/>
                <w:szCs w:val="20"/>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ind w:left="540"/>
              <w:spacing w:after="0"/>
              <w:rPr>
                <w:sz w:val="20"/>
                <w:szCs w:val="20"/>
                <w:color w:val="auto"/>
              </w:rPr>
            </w:pPr>
            <w:r>
              <w:rPr>
                <w:rFonts w:ascii="Arial" w:cs="Arial" w:eastAsia="Arial" w:hAnsi="Arial"/>
                <w:sz w:val="18"/>
                <w:szCs w:val="18"/>
                <w:color w:val="auto"/>
              </w:rPr>
              <w:t>Depreciation and amortization</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15,615</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15,615</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13,431</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13,431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80" w:type="dxa"/>
            <w:vAlign w:val="bottom"/>
          </w:tcPr>
          <w:p>
            <w:pPr>
              <w:ind w:left="540"/>
              <w:spacing w:after="0"/>
              <w:rPr>
                <w:sz w:val="20"/>
                <w:szCs w:val="20"/>
                <w:color w:val="auto"/>
              </w:rPr>
            </w:pPr>
            <w:r>
              <w:rPr>
                <w:rFonts w:ascii="Arial" w:cs="Arial" w:eastAsia="Arial" w:hAnsi="Arial"/>
                <w:sz w:val="18"/>
                <w:szCs w:val="18"/>
                <w:color w:val="auto"/>
              </w:rPr>
              <w:t>Stock-based compensation</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44,536</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4,225A</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48,761</w:t>
            </w:r>
          </w:p>
        </w:tc>
        <w:tc>
          <w:tcPr>
            <w:tcW w:w="14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871</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8,719A</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9,590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180" w:type="dxa"/>
            <w:vAlign w:val="bottom"/>
            <w:shd w:val="clear" w:color="auto" w:fill="CCEEFF"/>
          </w:tcPr>
          <w:p>
            <w:pPr>
              <w:ind w:left="540"/>
              <w:spacing w:after="0" w:line="201" w:lineRule="exact"/>
              <w:rPr>
                <w:sz w:val="20"/>
                <w:szCs w:val="20"/>
                <w:color w:val="auto"/>
              </w:rPr>
            </w:pPr>
            <w:r>
              <w:rPr>
                <w:rFonts w:ascii="Arial" w:cs="Arial" w:eastAsia="Arial" w:hAnsi="Arial"/>
                <w:sz w:val="18"/>
                <w:szCs w:val="18"/>
                <w:color w:val="auto"/>
              </w:rPr>
              <w:t>Amortization of acquired</w:t>
            </w:r>
          </w:p>
        </w:tc>
        <w:tc>
          <w:tcPr>
            <w:tcW w:w="1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1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intangible assets</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14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2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180" w:type="dxa"/>
            <w:vAlign w:val="bottom"/>
          </w:tcPr>
          <w:p>
            <w:pPr>
              <w:ind w:left="540"/>
              <w:spacing w:after="0" w:line="201" w:lineRule="exact"/>
              <w:rPr>
                <w:sz w:val="20"/>
                <w:szCs w:val="20"/>
                <w:color w:val="auto"/>
              </w:rPr>
            </w:pPr>
            <w:r>
              <w:rPr>
                <w:rFonts w:ascii="Arial" w:cs="Arial" w:eastAsia="Arial" w:hAnsi="Arial"/>
                <w:sz w:val="18"/>
                <w:szCs w:val="18"/>
                <w:color w:val="auto"/>
              </w:rPr>
              <w:t>Excess tax benefits from stock-</w:t>
            </w:r>
          </w:p>
        </w:tc>
        <w:tc>
          <w:tcPr>
            <w:tcW w:w="1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180" w:type="dxa"/>
            <w:vAlign w:val="bottom"/>
          </w:tcPr>
          <w:p>
            <w:pPr>
              <w:ind w:left="720"/>
              <w:spacing w:after="0"/>
              <w:rPr>
                <w:sz w:val="20"/>
                <w:szCs w:val="20"/>
                <w:color w:val="auto"/>
              </w:rPr>
            </w:pPr>
            <w:r>
              <w:rPr>
                <w:rFonts w:ascii="Arial" w:cs="Arial" w:eastAsia="Arial" w:hAnsi="Arial"/>
                <w:sz w:val="18"/>
                <w:szCs w:val="18"/>
                <w:color w:val="auto"/>
              </w:rPr>
              <w:t>based compensation</w:t>
            </w:r>
          </w:p>
        </w:tc>
        <w:tc>
          <w:tcPr>
            <w:tcW w:w="1100" w:type="dxa"/>
            <w:vAlign w:val="bottom"/>
            <w:gridSpan w:val="3"/>
          </w:tcPr>
          <w:p>
            <w:pPr>
              <w:jc w:val="right"/>
              <w:ind w:right="140"/>
              <w:spacing w:after="0"/>
              <w:rPr>
                <w:sz w:val="20"/>
                <w:szCs w:val="20"/>
                <w:color w:val="auto"/>
              </w:rPr>
            </w:pPr>
            <w:r>
              <w:rPr>
                <w:rFonts w:ascii="Arial" w:cs="Arial" w:eastAsia="Arial" w:hAnsi="Arial"/>
                <w:sz w:val="18"/>
                <w:szCs w:val="18"/>
                <w:color w:val="auto"/>
              </w:rPr>
              <w:t>(697)</w:t>
            </w: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80"/>
              <w:spacing w:after="0"/>
              <w:rPr>
                <w:sz w:val="20"/>
                <w:szCs w:val="20"/>
                <w:color w:val="auto"/>
              </w:rPr>
            </w:pPr>
            <w:r>
              <w:rPr>
                <w:rFonts w:ascii="Arial" w:cs="Arial" w:eastAsia="Arial" w:hAnsi="Arial"/>
                <w:sz w:val="18"/>
                <w:szCs w:val="18"/>
                <w:color w:val="auto"/>
              </w:rPr>
              <w:t>(697)</w:t>
            </w:r>
          </w:p>
        </w:tc>
        <w:tc>
          <w:tcPr>
            <w:tcW w:w="80" w:type="dxa"/>
            <w:vAlign w:val="bottom"/>
          </w:tcPr>
          <w:p>
            <w:pPr>
              <w:spacing w:after="0"/>
              <w:rPr>
                <w:sz w:val="20"/>
                <w:szCs w:val="20"/>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3180" w:type="dxa"/>
            <w:vAlign w:val="bottom"/>
            <w:shd w:val="clear" w:color="auto" w:fill="CCEEFF"/>
          </w:tcPr>
          <w:p>
            <w:pPr>
              <w:ind w:left="540"/>
              <w:spacing w:after="0" w:line="201" w:lineRule="exact"/>
              <w:rPr>
                <w:sz w:val="20"/>
                <w:szCs w:val="20"/>
                <w:color w:val="auto"/>
              </w:rPr>
            </w:pPr>
            <w:r>
              <w:rPr>
                <w:rFonts w:ascii="Arial" w:cs="Arial" w:eastAsia="Arial" w:hAnsi="Arial"/>
                <w:sz w:val="18"/>
                <w:szCs w:val="18"/>
                <w:color w:val="auto"/>
              </w:rPr>
              <w:t>Changes in assets and liabilities,</w:t>
            </w:r>
          </w:p>
        </w:tc>
        <w:tc>
          <w:tcPr>
            <w:tcW w:w="1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1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net of acquisition:</w:t>
            </w:r>
          </w:p>
        </w:tc>
        <w:tc>
          <w:tcPr>
            <w:tcW w:w="16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6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6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180" w:type="dxa"/>
            <w:vAlign w:val="bottom"/>
          </w:tcPr>
          <w:p>
            <w:pPr>
              <w:ind w:left="720"/>
              <w:spacing w:after="0"/>
              <w:rPr>
                <w:sz w:val="20"/>
                <w:szCs w:val="20"/>
                <w:color w:val="auto"/>
              </w:rPr>
            </w:pPr>
            <w:r>
              <w:rPr>
                <w:rFonts w:ascii="Arial" w:cs="Arial" w:eastAsia="Arial" w:hAnsi="Arial"/>
                <w:sz w:val="18"/>
                <w:szCs w:val="18"/>
                <w:color w:val="auto"/>
              </w:rPr>
              <w:t>Accounts receivable</w:t>
            </w:r>
          </w:p>
        </w:tc>
        <w:tc>
          <w:tcPr>
            <w:tcW w:w="1100" w:type="dxa"/>
            <w:vAlign w:val="bottom"/>
            <w:gridSpan w:val="3"/>
          </w:tcPr>
          <w:p>
            <w:pPr>
              <w:jc w:val="right"/>
              <w:ind w:right="140"/>
              <w:spacing w:after="0"/>
              <w:rPr>
                <w:sz w:val="20"/>
                <w:szCs w:val="20"/>
                <w:color w:val="auto"/>
              </w:rPr>
            </w:pPr>
            <w:r>
              <w:rPr>
                <w:rFonts w:ascii="Arial" w:cs="Arial" w:eastAsia="Arial" w:hAnsi="Arial"/>
                <w:sz w:val="18"/>
                <w:szCs w:val="18"/>
                <w:color w:val="auto"/>
              </w:rPr>
              <w:t>(48,372)</w:t>
            </w: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80"/>
              <w:spacing w:after="0"/>
              <w:rPr>
                <w:sz w:val="20"/>
                <w:szCs w:val="20"/>
                <w:color w:val="auto"/>
              </w:rPr>
            </w:pPr>
            <w:r>
              <w:rPr>
                <w:rFonts w:ascii="Arial" w:cs="Arial" w:eastAsia="Arial" w:hAnsi="Arial"/>
                <w:sz w:val="18"/>
                <w:szCs w:val="18"/>
                <w:color w:val="auto"/>
              </w:rPr>
              <w:t>(48,372)</w:t>
            </w:r>
          </w:p>
        </w:tc>
        <w:tc>
          <w:tcPr>
            <w:tcW w:w="1020" w:type="dxa"/>
            <w:vAlign w:val="bottom"/>
            <w:gridSpan w:val="3"/>
          </w:tcPr>
          <w:p>
            <w:pPr>
              <w:jc w:val="right"/>
              <w:ind w:right="160"/>
              <w:spacing w:after="0"/>
              <w:rPr>
                <w:sz w:val="20"/>
                <w:szCs w:val="20"/>
                <w:color w:val="auto"/>
              </w:rPr>
            </w:pPr>
            <w:r>
              <w:rPr>
                <w:rFonts w:ascii="Arial" w:cs="Arial" w:eastAsia="Arial" w:hAnsi="Arial"/>
                <w:sz w:val="18"/>
                <w:szCs w:val="18"/>
                <w:color w:val="auto"/>
              </w:rPr>
              <w:t>(4,189)</w:t>
            </w: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3"/>
          </w:tcPr>
          <w:p>
            <w:pPr>
              <w:jc w:val="right"/>
              <w:ind w:right="20"/>
              <w:spacing w:after="0"/>
              <w:rPr>
                <w:sz w:val="20"/>
                <w:szCs w:val="20"/>
                <w:color w:val="auto"/>
              </w:rPr>
            </w:pPr>
            <w:r>
              <w:rPr>
                <w:rFonts w:ascii="Arial" w:cs="Arial" w:eastAsia="Arial" w:hAnsi="Arial"/>
                <w:sz w:val="18"/>
                <w:szCs w:val="18"/>
                <w:color w:val="auto"/>
              </w:rPr>
              <w:t>(4,189)</w:t>
            </w: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Inventories</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8,729</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8,729</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15,664</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15,664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180" w:type="dxa"/>
            <w:vAlign w:val="bottom"/>
          </w:tcPr>
          <w:p>
            <w:pPr>
              <w:ind w:left="720"/>
              <w:spacing w:after="0" w:line="201" w:lineRule="exact"/>
              <w:rPr>
                <w:sz w:val="20"/>
                <w:szCs w:val="20"/>
                <w:color w:val="auto"/>
              </w:rPr>
            </w:pPr>
            <w:r>
              <w:rPr>
                <w:rFonts w:ascii="Arial" w:cs="Arial" w:eastAsia="Arial" w:hAnsi="Arial"/>
                <w:sz w:val="18"/>
                <w:szCs w:val="18"/>
                <w:color w:val="auto"/>
              </w:rPr>
              <w:t>Prepaid expenses and other</w:t>
            </w:r>
          </w:p>
        </w:tc>
        <w:tc>
          <w:tcPr>
            <w:tcW w:w="1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180" w:type="dxa"/>
            <w:vAlign w:val="bottom"/>
          </w:tcPr>
          <w:p>
            <w:pPr>
              <w:ind w:left="900"/>
              <w:spacing w:after="0"/>
              <w:rPr>
                <w:sz w:val="20"/>
                <w:szCs w:val="20"/>
                <w:color w:val="auto"/>
              </w:rPr>
            </w:pPr>
            <w:r>
              <w:rPr>
                <w:rFonts w:ascii="Arial" w:cs="Arial" w:eastAsia="Arial" w:hAnsi="Arial"/>
                <w:sz w:val="18"/>
                <w:szCs w:val="18"/>
                <w:color w:val="auto"/>
              </w:rPr>
              <w:t>assets</w:t>
            </w:r>
          </w:p>
        </w:tc>
        <w:tc>
          <w:tcPr>
            <w:tcW w:w="1100" w:type="dxa"/>
            <w:vAlign w:val="bottom"/>
            <w:gridSpan w:val="3"/>
          </w:tcPr>
          <w:p>
            <w:pPr>
              <w:jc w:val="right"/>
              <w:ind w:right="140"/>
              <w:spacing w:after="0"/>
              <w:rPr>
                <w:sz w:val="20"/>
                <w:szCs w:val="20"/>
                <w:color w:val="auto"/>
              </w:rPr>
            </w:pPr>
            <w:r>
              <w:rPr>
                <w:rFonts w:ascii="Arial" w:cs="Arial" w:eastAsia="Arial" w:hAnsi="Arial"/>
                <w:sz w:val="18"/>
                <w:szCs w:val="18"/>
                <w:color w:val="auto"/>
              </w:rPr>
              <w:t>(25,799)</w:t>
            </w: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80"/>
              <w:spacing w:after="0"/>
              <w:rPr>
                <w:sz w:val="20"/>
                <w:szCs w:val="20"/>
                <w:color w:val="auto"/>
              </w:rPr>
            </w:pPr>
            <w:r>
              <w:rPr>
                <w:rFonts w:ascii="Arial" w:cs="Arial" w:eastAsia="Arial" w:hAnsi="Arial"/>
                <w:sz w:val="18"/>
                <w:szCs w:val="18"/>
                <w:color w:val="auto"/>
              </w:rPr>
              <w:t>(25,799)</w:t>
            </w:r>
          </w:p>
        </w:tc>
        <w:tc>
          <w:tcPr>
            <w:tcW w:w="1020" w:type="dxa"/>
            <w:vAlign w:val="bottom"/>
            <w:gridSpan w:val="3"/>
          </w:tcPr>
          <w:p>
            <w:pPr>
              <w:jc w:val="right"/>
              <w:ind w:right="160"/>
              <w:spacing w:after="0"/>
              <w:rPr>
                <w:sz w:val="20"/>
                <w:szCs w:val="20"/>
                <w:color w:val="auto"/>
              </w:rPr>
            </w:pPr>
            <w:r>
              <w:rPr>
                <w:rFonts w:ascii="Arial" w:cs="Arial" w:eastAsia="Arial" w:hAnsi="Arial"/>
                <w:sz w:val="18"/>
                <w:szCs w:val="18"/>
                <w:color w:val="auto"/>
              </w:rPr>
              <w:t>(43,800)</w:t>
            </w: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3"/>
          </w:tcPr>
          <w:p>
            <w:pPr>
              <w:jc w:val="right"/>
              <w:ind w:right="20"/>
              <w:spacing w:after="0"/>
              <w:rPr>
                <w:sz w:val="20"/>
                <w:szCs w:val="20"/>
                <w:color w:val="auto"/>
              </w:rPr>
            </w:pPr>
            <w:r>
              <w:rPr>
                <w:rFonts w:ascii="Arial" w:cs="Arial" w:eastAsia="Arial" w:hAnsi="Arial"/>
                <w:sz w:val="18"/>
                <w:szCs w:val="18"/>
                <w:color w:val="auto"/>
              </w:rPr>
              <w:t>(43,800)</w:t>
            </w: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Accounts payable</w:t>
            </w:r>
          </w:p>
        </w:tc>
        <w:tc>
          <w:tcPr>
            <w:tcW w:w="11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(45,868)</w:t>
            </w: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(45,868)</w:t>
            </w:r>
          </w:p>
        </w:tc>
        <w:tc>
          <w:tcPr>
            <w:tcW w:w="10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(7,428)</w:t>
            </w: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(7,428)</w:t>
            </w:r>
          </w:p>
        </w:tc>
        <w:tc>
          <w:tcPr>
            <w:tcW w:w="0" w:type="dxa"/>
            <w:vAlign w:val="bottom"/>
          </w:tcPr>
          <w:p>
            <w:pPr>
              <w:spacing w:after="0"/>
              <w:rPr>
                <w:sz w:val="1"/>
                <w:szCs w:val="1"/>
                <w:color w:val="auto"/>
              </w:rPr>
            </w:pPr>
          </w:p>
        </w:tc>
      </w:tr>
      <w:tr>
        <w:trPr>
          <w:trHeight w:val="216"/>
        </w:trPr>
        <w:tc>
          <w:tcPr>
            <w:tcW w:w="3180" w:type="dxa"/>
            <w:vAlign w:val="bottom"/>
          </w:tcPr>
          <w:p>
            <w:pPr>
              <w:ind w:left="720"/>
              <w:spacing w:after="0"/>
              <w:rPr>
                <w:sz w:val="20"/>
                <w:szCs w:val="20"/>
                <w:color w:val="auto"/>
              </w:rPr>
            </w:pPr>
            <w:r>
              <w:rPr>
                <w:rFonts w:ascii="Arial" w:cs="Arial" w:eastAsia="Arial" w:hAnsi="Arial"/>
                <w:sz w:val="18"/>
                <w:szCs w:val="18"/>
                <w:color w:val="auto"/>
              </w:rPr>
              <w:t>Accrued liabilities and other</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2,500</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2,500</w:t>
            </w:r>
          </w:p>
        </w:tc>
        <w:tc>
          <w:tcPr>
            <w:tcW w:w="14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763</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763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180" w:type="dxa"/>
            <w:vAlign w:val="bottom"/>
            <w:shd w:val="clear" w:color="auto" w:fill="CCEEFF"/>
          </w:tcPr>
          <w:p>
            <w:pPr>
              <w:ind w:left="720"/>
              <w:spacing w:after="0" w:line="201" w:lineRule="exact"/>
              <w:rPr>
                <w:sz w:val="20"/>
                <w:szCs w:val="20"/>
                <w:color w:val="auto"/>
              </w:rPr>
            </w:pPr>
            <w:r>
              <w:rPr>
                <w:rFonts w:ascii="Arial" w:cs="Arial" w:eastAsia="Arial" w:hAnsi="Arial"/>
                <w:sz w:val="18"/>
                <w:szCs w:val="18"/>
                <w:color w:val="auto"/>
              </w:rPr>
              <w:t>Accrued employee</w:t>
            </w:r>
          </w:p>
        </w:tc>
        <w:tc>
          <w:tcPr>
            <w:tcW w:w="1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180" w:type="dxa"/>
            <w:vAlign w:val="bottom"/>
            <w:shd w:val="clear" w:color="auto" w:fill="CCEEFF"/>
          </w:tcPr>
          <w:p>
            <w:pPr>
              <w:ind w:left="900"/>
              <w:spacing w:after="0"/>
              <w:rPr>
                <w:sz w:val="20"/>
                <w:szCs w:val="20"/>
                <w:color w:val="auto"/>
              </w:rPr>
            </w:pPr>
            <w:r>
              <w:rPr>
                <w:rFonts w:ascii="Arial" w:cs="Arial" w:eastAsia="Arial" w:hAnsi="Arial"/>
                <w:sz w:val="18"/>
                <w:szCs w:val="18"/>
                <w:color w:val="auto"/>
              </w:rPr>
              <w:t>compensation</w:t>
            </w:r>
          </w:p>
        </w:tc>
        <w:tc>
          <w:tcPr>
            <w:tcW w:w="11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(10,391)</w:t>
            </w:r>
          </w:p>
        </w:tc>
        <w:tc>
          <w:tcPr>
            <w:tcW w:w="24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2,170B</w:t>
            </w:r>
          </w:p>
        </w:tc>
        <w:tc>
          <w:tcPr>
            <w:tcW w:w="9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(8,221)</w:t>
            </w:r>
          </w:p>
        </w:tc>
        <w:tc>
          <w:tcPr>
            <w:tcW w:w="10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(360)</w:t>
            </w:r>
          </w:p>
        </w:tc>
        <w:tc>
          <w:tcPr>
            <w:tcW w:w="24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866B</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506</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180" w:type="dxa"/>
            <w:vAlign w:val="bottom"/>
          </w:tcPr>
          <w:p>
            <w:pPr>
              <w:ind w:left="720"/>
              <w:spacing w:after="0"/>
              <w:rPr>
                <w:sz w:val="20"/>
                <w:szCs w:val="20"/>
                <w:color w:val="auto"/>
              </w:rPr>
            </w:pPr>
            <w:r>
              <w:rPr>
                <w:rFonts w:ascii="Arial" w:cs="Arial" w:eastAsia="Arial" w:hAnsi="Arial"/>
                <w:sz w:val="18"/>
                <w:szCs w:val="18"/>
                <w:color w:val="auto"/>
              </w:rPr>
              <w:t>Income taxes payable</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14,915</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185C</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15,100</w:t>
            </w:r>
          </w:p>
        </w:tc>
        <w:tc>
          <w:tcPr>
            <w:tcW w:w="14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8,086</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8,086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Deferred income</w:t>
            </w:r>
          </w:p>
        </w:tc>
        <w:tc>
          <w:tcPr>
            <w:tcW w:w="11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(1,133)</w:t>
            </w: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(1,133)</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2,575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2,575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3180" w:type="dxa"/>
            <w:vAlign w:val="bottom"/>
          </w:tcPr>
          <w:p>
            <w:pPr>
              <w:ind w:left="540"/>
              <w:spacing w:after="0" w:line="182" w:lineRule="exact"/>
              <w:rPr>
                <w:sz w:val="20"/>
                <w:szCs w:val="20"/>
                <w:color w:val="auto"/>
              </w:rPr>
            </w:pPr>
            <w:r>
              <w:rPr>
                <w:rFonts w:ascii="Arial" w:cs="Arial" w:eastAsia="Arial" w:hAnsi="Arial"/>
                <w:sz w:val="18"/>
                <w:szCs w:val="18"/>
                <w:color w:val="auto"/>
              </w:rPr>
              <w:t>Net cash provided by operating</w:t>
            </w:r>
          </w:p>
        </w:tc>
        <w:tc>
          <w:tcPr>
            <w:tcW w:w="160" w:type="dxa"/>
            <w:vAlign w:val="bottom"/>
          </w:tcPr>
          <w:p>
            <w:pPr>
              <w:spacing w:after="0"/>
              <w:rPr>
                <w:sz w:val="15"/>
                <w:szCs w:val="15"/>
                <w:color w:val="auto"/>
              </w:rPr>
            </w:pPr>
          </w:p>
        </w:tc>
        <w:tc>
          <w:tcPr>
            <w:tcW w:w="740" w:type="dxa"/>
            <w:vAlign w:val="bottom"/>
            <w:tcBorders>
              <w:top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240" w:type="dxa"/>
            <w:vAlign w:val="bottom"/>
            <w:tcBorders>
              <w:top w:val="single" w:sz="8" w:color="auto"/>
            </w:tcBorders>
          </w:tcPr>
          <w:p>
            <w:pPr>
              <w:spacing w:after="0"/>
              <w:rPr>
                <w:sz w:val="15"/>
                <w:szCs w:val="15"/>
                <w:color w:val="auto"/>
              </w:rPr>
            </w:pPr>
          </w:p>
        </w:tc>
        <w:tc>
          <w:tcPr>
            <w:tcW w:w="60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180" w:type="dxa"/>
            <w:vAlign w:val="bottom"/>
          </w:tcPr>
          <w:p>
            <w:pPr>
              <w:ind w:left="720"/>
              <w:spacing w:after="0"/>
              <w:rPr>
                <w:sz w:val="20"/>
                <w:szCs w:val="20"/>
                <w:color w:val="auto"/>
              </w:rPr>
            </w:pPr>
            <w:r>
              <w:rPr>
                <w:rFonts w:ascii="Arial" w:cs="Arial" w:eastAsia="Arial" w:hAnsi="Arial"/>
                <w:sz w:val="18"/>
                <w:szCs w:val="18"/>
                <w:color w:val="auto"/>
              </w:rPr>
              <w:t>activities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46,683</w:t>
            </w: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46,683</w:t>
            </w:r>
          </w:p>
        </w:tc>
        <w:tc>
          <w:tcPr>
            <w:tcW w:w="140" w:type="dxa"/>
            <w:vAlign w:val="bottom"/>
          </w:tcPr>
          <w:p>
            <w:pPr>
              <w:spacing w:after="0"/>
              <w:rPr>
                <w:sz w:val="20"/>
                <w:szCs w:val="20"/>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68,904</w:t>
            </w: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68,904</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96"/>
        </w:trPr>
        <w:tc>
          <w:tcPr>
            <w:tcW w:w="31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6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180" w:type="dxa"/>
            <w:vAlign w:val="bottom"/>
          </w:tcPr>
          <w:p>
            <w:pPr>
              <w:ind w:left="180"/>
              <w:spacing w:after="0"/>
              <w:rPr>
                <w:sz w:val="20"/>
                <w:szCs w:val="20"/>
                <w:color w:val="auto"/>
              </w:rPr>
            </w:pPr>
            <w:r>
              <w:rPr>
                <w:rFonts w:ascii="Arial" w:cs="Arial" w:eastAsia="Arial" w:hAnsi="Arial"/>
                <w:sz w:val="18"/>
                <w:szCs w:val="18"/>
                <w:color w:val="auto"/>
              </w:rPr>
              <w:t>Cash paid for acquisition</w:t>
            </w:r>
          </w:p>
        </w:tc>
        <w:tc>
          <w:tcPr>
            <w:tcW w:w="1100" w:type="dxa"/>
            <w:vAlign w:val="bottom"/>
            <w:gridSpan w:val="3"/>
          </w:tcPr>
          <w:p>
            <w:pPr>
              <w:jc w:val="right"/>
              <w:ind w:right="140"/>
              <w:spacing w:after="0"/>
              <w:rPr>
                <w:sz w:val="20"/>
                <w:szCs w:val="20"/>
                <w:color w:val="auto"/>
              </w:rPr>
            </w:pPr>
            <w:r>
              <w:rPr>
                <w:rFonts w:ascii="Arial" w:cs="Arial" w:eastAsia="Arial" w:hAnsi="Arial"/>
                <w:sz w:val="18"/>
                <w:szCs w:val="18"/>
                <w:color w:val="auto"/>
              </w:rPr>
              <w:t>(24,008)</w:t>
            </w: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80"/>
              <w:spacing w:after="0"/>
              <w:rPr>
                <w:sz w:val="20"/>
                <w:szCs w:val="20"/>
                <w:color w:val="auto"/>
              </w:rPr>
            </w:pPr>
            <w:r>
              <w:rPr>
                <w:rFonts w:ascii="Arial" w:cs="Arial" w:eastAsia="Arial" w:hAnsi="Arial"/>
                <w:sz w:val="18"/>
                <w:szCs w:val="18"/>
                <w:color w:val="auto"/>
              </w:rPr>
              <w:t>(24,008)</w:t>
            </w:r>
          </w:p>
        </w:tc>
        <w:tc>
          <w:tcPr>
            <w:tcW w:w="8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short-term investments</w:t>
            </w:r>
          </w:p>
        </w:tc>
        <w:tc>
          <w:tcPr>
            <w:tcW w:w="11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(57,405)</w:t>
            </w: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(57,405)</w:t>
            </w:r>
          </w:p>
        </w:tc>
        <w:tc>
          <w:tcPr>
            <w:tcW w:w="10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(99,018)</w:t>
            </w: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(99,018)</w:t>
            </w:r>
          </w:p>
        </w:tc>
        <w:tc>
          <w:tcPr>
            <w:tcW w:w="0" w:type="dxa"/>
            <w:vAlign w:val="bottom"/>
          </w:tcPr>
          <w:p>
            <w:pPr>
              <w:spacing w:after="0"/>
              <w:rPr>
                <w:sz w:val="1"/>
                <w:szCs w:val="1"/>
                <w:color w:val="auto"/>
              </w:rPr>
            </w:pPr>
          </w:p>
        </w:tc>
      </w:tr>
      <w:tr>
        <w:trPr>
          <w:trHeight w:val="202"/>
        </w:trPr>
        <w:tc>
          <w:tcPr>
            <w:tcW w:w="3180" w:type="dxa"/>
            <w:vAlign w:val="bottom"/>
          </w:tcPr>
          <w:p>
            <w:pPr>
              <w:ind w:left="180"/>
              <w:spacing w:after="0" w:line="201" w:lineRule="exact"/>
              <w:rPr>
                <w:sz w:val="20"/>
                <w:szCs w:val="20"/>
                <w:color w:val="auto"/>
              </w:rPr>
            </w:pPr>
            <w:r>
              <w:rPr>
                <w:rFonts w:ascii="Arial" w:cs="Arial" w:eastAsia="Arial" w:hAnsi="Arial"/>
                <w:sz w:val="18"/>
                <w:szCs w:val="18"/>
                <w:color w:val="auto"/>
              </w:rPr>
              <w:t>Sales and maturities of short-term</w:t>
            </w:r>
          </w:p>
        </w:tc>
        <w:tc>
          <w:tcPr>
            <w:tcW w:w="1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180" w:type="dxa"/>
            <w:vAlign w:val="bottom"/>
          </w:tcPr>
          <w:p>
            <w:pPr>
              <w:ind w:left="180"/>
              <w:spacing w:after="0"/>
              <w:rPr>
                <w:sz w:val="20"/>
                <w:szCs w:val="20"/>
                <w:color w:val="auto"/>
              </w:rPr>
            </w:pPr>
            <w:r>
              <w:rPr>
                <w:rFonts w:ascii="Arial" w:cs="Arial" w:eastAsia="Arial" w:hAnsi="Arial"/>
                <w:sz w:val="18"/>
                <w:szCs w:val="18"/>
                <w:color w:val="auto"/>
              </w:rPr>
              <w:t>investments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238,124</w:t>
            </w: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238,124</w:t>
            </w:r>
          </w:p>
        </w:tc>
        <w:tc>
          <w:tcPr>
            <w:tcW w:w="140" w:type="dxa"/>
            <w:vAlign w:val="bottom"/>
          </w:tcPr>
          <w:p>
            <w:pPr>
              <w:spacing w:after="0"/>
              <w:rPr>
                <w:sz w:val="20"/>
                <w:szCs w:val="20"/>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48,051</w:t>
            </w: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48,051</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Acquisition costs</w:t>
            </w:r>
          </w:p>
        </w:tc>
        <w:tc>
          <w:tcPr>
            <w:tcW w:w="11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(461)</w:t>
            </w: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(461)</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180" w:type="dxa"/>
            <w:vAlign w:val="bottom"/>
          </w:tcPr>
          <w:p>
            <w:pPr>
              <w:ind w:left="180"/>
              <w:spacing w:after="0"/>
              <w:rPr>
                <w:sz w:val="20"/>
                <w:szCs w:val="20"/>
                <w:color w:val="auto"/>
              </w:rPr>
            </w:pPr>
            <w:r>
              <w:rPr>
                <w:rFonts w:ascii="Arial" w:cs="Arial" w:eastAsia="Arial" w:hAnsi="Arial"/>
                <w:sz w:val="18"/>
                <w:szCs w:val="18"/>
                <w:color w:val="auto"/>
                <w:w w:val="99"/>
              </w:rPr>
              <w:t>Purchases of property and equipment</w:t>
            </w:r>
          </w:p>
        </w:tc>
        <w:tc>
          <w:tcPr>
            <w:tcW w:w="16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(28,948)</w:t>
            </w: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80"/>
              <w:spacing w:after="0"/>
              <w:rPr>
                <w:sz w:val="20"/>
                <w:szCs w:val="20"/>
                <w:color w:val="auto"/>
              </w:rPr>
            </w:pPr>
            <w:r>
              <w:rPr>
                <w:rFonts w:ascii="Arial" w:cs="Arial" w:eastAsia="Arial" w:hAnsi="Arial"/>
                <w:sz w:val="18"/>
                <w:szCs w:val="18"/>
                <w:color w:val="auto"/>
              </w:rPr>
              <w:t>(28,948)</w:t>
            </w:r>
          </w:p>
        </w:tc>
        <w:tc>
          <w:tcPr>
            <w:tcW w:w="1020" w:type="dxa"/>
            <w:vAlign w:val="bottom"/>
            <w:gridSpan w:val="3"/>
          </w:tcPr>
          <w:p>
            <w:pPr>
              <w:jc w:val="right"/>
              <w:ind w:right="160"/>
              <w:spacing w:after="0"/>
              <w:rPr>
                <w:sz w:val="20"/>
                <w:szCs w:val="20"/>
                <w:color w:val="auto"/>
              </w:rPr>
            </w:pPr>
            <w:r>
              <w:rPr>
                <w:rFonts w:ascii="Arial" w:cs="Arial" w:eastAsia="Arial" w:hAnsi="Arial"/>
                <w:sz w:val="18"/>
                <w:szCs w:val="18"/>
                <w:color w:val="auto"/>
              </w:rPr>
              <w:t>(18,395)</w:t>
            </w:r>
          </w:p>
        </w:tc>
        <w:tc>
          <w:tcPr>
            <w:tcW w:w="2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940" w:type="dxa"/>
            <w:vAlign w:val="bottom"/>
            <w:gridSpan w:val="3"/>
          </w:tcPr>
          <w:p>
            <w:pPr>
              <w:jc w:val="right"/>
              <w:ind w:right="20"/>
              <w:spacing w:after="0"/>
              <w:rPr>
                <w:sz w:val="20"/>
                <w:szCs w:val="20"/>
                <w:color w:val="auto"/>
              </w:rPr>
            </w:pPr>
            <w:r>
              <w:rPr>
                <w:rFonts w:ascii="Arial" w:cs="Arial" w:eastAsia="Arial" w:hAnsi="Arial"/>
                <w:sz w:val="18"/>
                <w:szCs w:val="18"/>
                <w:color w:val="auto"/>
              </w:rPr>
              <w:t>(18,395)</w:t>
            </w:r>
          </w:p>
        </w:tc>
        <w:tc>
          <w:tcPr>
            <w:tcW w:w="0" w:type="dxa"/>
            <w:vAlign w:val="bottom"/>
          </w:tcPr>
          <w:p>
            <w:pPr>
              <w:spacing w:after="0"/>
              <w:rPr>
                <w:sz w:val="1"/>
                <w:szCs w:val="1"/>
                <w:color w:val="auto"/>
              </w:rPr>
            </w:pPr>
          </w:p>
        </w:tc>
      </w:tr>
      <w:tr>
        <w:trPr>
          <w:trHeight w:val="20"/>
        </w:trPr>
        <w:tc>
          <w:tcPr>
            <w:tcW w:w="3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134" w:right="239" w:bottom="0" w:gutter="0" w:footer="0" w:header="0"/>
        </w:sectPr>
      </w:pPr>
    </w:p>
    <w:bookmarkStart w:id="12" w:name="page13"/>
    <w:bookmarkEnd w:id="1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2"/>
        </w:trPr>
        <w:tc>
          <w:tcPr>
            <w:tcW w:w="3220" w:type="dxa"/>
            <w:vAlign w:val="bottom"/>
            <w:tcBorders>
              <w:top w:val="single" w:sz="8" w:color="CCEEFF"/>
            </w:tcBorders>
            <w:shd w:val="clear" w:color="auto" w:fill="CCEEFF"/>
          </w:tcPr>
          <w:p>
            <w:pPr>
              <w:ind w:left="360"/>
              <w:spacing w:after="0" w:line="201" w:lineRule="exact"/>
              <w:rPr>
                <w:sz w:val="20"/>
                <w:szCs w:val="20"/>
                <w:color w:val="auto"/>
              </w:rPr>
            </w:pPr>
            <w:r>
              <w:rPr>
                <w:rFonts w:ascii="Arial" w:cs="Arial" w:eastAsia="Arial" w:hAnsi="Arial"/>
                <w:sz w:val="18"/>
                <w:szCs w:val="18"/>
                <w:color w:val="auto"/>
              </w:rPr>
              <w:t>Net cash provided by (used in)</w:t>
            </w:r>
          </w:p>
        </w:tc>
        <w:tc>
          <w:tcPr>
            <w:tcW w:w="1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r>
      <w:tr>
        <w:trPr>
          <w:trHeight w:val="230"/>
        </w:trPr>
        <w:tc>
          <w:tcPr>
            <w:tcW w:w="3220" w:type="dxa"/>
            <w:vAlign w:val="bottom"/>
            <w:shd w:val="clear" w:color="auto" w:fill="CCEEFF"/>
          </w:tcPr>
          <w:p>
            <w:pPr>
              <w:ind w:left="540"/>
              <w:spacing w:after="0"/>
              <w:rPr>
                <w:sz w:val="20"/>
                <w:szCs w:val="20"/>
                <w:color w:val="auto"/>
              </w:rPr>
            </w:pPr>
            <w:r>
              <w:rPr>
                <w:rFonts w:ascii="Arial" w:cs="Arial" w:eastAsia="Arial" w:hAnsi="Arial"/>
                <w:sz w:val="18"/>
                <w:szCs w:val="18"/>
                <w:color w:val="auto"/>
              </w:rPr>
              <w:t>investing activities</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127,302</w:t>
            </w:r>
          </w:p>
        </w:tc>
        <w:tc>
          <w:tcPr>
            <w:tcW w:w="2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460" w:type="dxa"/>
            <w:vAlign w:val="bottom"/>
            <w:shd w:val="clear" w:color="auto" w:fill="CCEEFF"/>
          </w:tcPr>
          <w:p>
            <w:pPr>
              <w:ind w:left="280"/>
              <w:spacing w:after="0"/>
              <w:rPr>
                <w:sz w:val="20"/>
                <w:szCs w:val="20"/>
                <w:color w:val="auto"/>
              </w:rPr>
            </w:pPr>
            <w:r>
              <w:rPr>
                <w:rFonts w:ascii="Arial" w:cs="Arial" w:eastAsia="Arial" w:hAnsi="Arial"/>
                <w:sz w:val="18"/>
                <w:szCs w:val="18"/>
                <w:color w:val="auto"/>
                <w:w w:val="88"/>
              </w:rPr>
              <w:t>—</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127,302</w:t>
            </w:r>
          </w:p>
        </w:tc>
        <w:tc>
          <w:tcPr>
            <w:tcW w:w="140" w:type="dxa"/>
            <w:vAlign w:val="bottom"/>
            <w:shd w:val="clear" w:color="auto" w:fill="CCEEFF"/>
          </w:tcPr>
          <w:p>
            <w:pPr>
              <w:spacing w:after="0"/>
              <w:rPr>
                <w:sz w:val="20"/>
                <w:szCs w:val="20"/>
                <w:color w:val="auto"/>
              </w:rPr>
            </w:pPr>
          </w:p>
        </w:tc>
        <w:tc>
          <w:tcPr>
            <w:tcW w:w="10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(69,362)</w:t>
            </w:r>
          </w:p>
        </w:tc>
        <w:tc>
          <w:tcPr>
            <w:tcW w:w="380" w:type="dxa"/>
            <w:vAlign w:val="bottom"/>
            <w:shd w:val="clear" w:color="auto" w:fill="CCEEFF"/>
          </w:tcPr>
          <w:p>
            <w:pPr>
              <w:spacing w:after="0"/>
              <w:rPr>
                <w:sz w:val="20"/>
                <w:szCs w:val="20"/>
                <w:color w:val="auto"/>
              </w:rPr>
            </w:pPr>
          </w:p>
        </w:tc>
        <w:tc>
          <w:tcPr>
            <w:tcW w:w="480" w:type="dxa"/>
            <w:vAlign w:val="bottom"/>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11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(69,362)</w:t>
            </w:r>
          </w:p>
        </w:tc>
      </w:tr>
      <w:tr>
        <w:trPr>
          <w:trHeight w:val="196"/>
        </w:trPr>
        <w:tc>
          <w:tcPr>
            <w:tcW w:w="322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20" w:type="dxa"/>
            <w:vAlign w:val="bottom"/>
          </w:tcPr>
          <w:p>
            <w:pPr>
              <w:spacing w:after="0"/>
              <w:rPr>
                <w:sz w:val="17"/>
                <w:szCs w:val="17"/>
                <w:color w:val="auto"/>
              </w:rPr>
            </w:pPr>
          </w:p>
        </w:tc>
        <w:tc>
          <w:tcPr>
            <w:tcW w:w="740" w:type="dxa"/>
            <w:vAlign w:val="bottom"/>
            <w:tcBorders>
              <w:top w:val="single" w:sz="8" w:color="auto"/>
            </w:tcBorders>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Borders>
              <w:top w:val="single" w:sz="8" w:color="auto"/>
            </w:tcBorders>
          </w:tcPr>
          <w:p>
            <w:pPr>
              <w:spacing w:after="0"/>
              <w:rPr>
                <w:sz w:val="17"/>
                <w:szCs w:val="17"/>
                <w:color w:val="auto"/>
              </w:rPr>
            </w:pPr>
          </w:p>
        </w:tc>
        <w:tc>
          <w:tcPr>
            <w:tcW w:w="460" w:type="dxa"/>
            <w:vAlign w:val="bottom"/>
            <w:tcBorders>
              <w:top w:val="single" w:sz="8" w:color="auto"/>
            </w:tcBorders>
          </w:tcPr>
          <w:p>
            <w:pPr>
              <w:spacing w:after="0"/>
              <w:rPr>
                <w:sz w:val="17"/>
                <w:szCs w:val="17"/>
                <w:color w:val="auto"/>
              </w:rPr>
            </w:pPr>
          </w:p>
        </w:tc>
        <w:tc>
          <w:tcPr>
            <w:tcW w:w="340" w:type="dxa"/>
            <w:vAlign w:val="bottom"/>
          </w:tcPr>
          <w:p>
            <w:pPr>
              <w:spacing w:after="0"/>
              <w:rPr>
                <w:sz w:val="17"/>
                <w:szCs w:val="17"/>
                <w:color w:val="auto"/>
              </w:rPr>
            </w:pPr>
          </w:p>
        </w:tc>
        <w:tc>
          <w:tcPr>
            <w:tcW w:w="720" w:type="dxa"/>
            <w:vAlign w:val="bottom"/>
            <w:tcBorders>
              <w:top w:val="single" w:sz="8" w:color="auto"/>
            </w:tcBorders>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Borders>
              <w:top w:val="single" w:sz="8" w:color="auto"/>
            </w:tcBorders>
          </w:tcPr>
          <w:p>
            <w:pPr>
              <w:spacing w:after="0"/>
              <w:rPr>
                <w:sz w:val="17"/>
                <w:szCs w:val="17"/>
                <w:color w:val="auto"/>
              </w:rPr>
            </w:pPr>
          </w:p>
        </w:tc>
        <w:tc>
          <w:tcPr>
            <w:tcW w:w="220" w:type="dxa"/>
            <w:vAlign w:val="bottom"/>
          </w:tcPr>
          <w:p>
            <w:pPr>
              <w:spacing w:after="0"/>
              <w:rPr>
                <w:sz w:val="17"/>
                <w:szCs w:val="17"/>
                <w:color w:val="auto"/>
              </w:rPr>
            </w:pPr>
          </w:p>
        </w:tc>
        <w:tc>
          <w:tcPr>
            <w:tcW w:w="380" w:type="dxa"/>
            <w:vAlign w:val="bottom"/>
            <w:tcBorders>
              <w:top w:val="single" w:sz="8" w:color="auto"/>
            </w:tcBorders>
          </w:tcPr>
          <w:p>
            <w:pPr>
              <w:spacing w:after="0"/>
              <w:rPr>
                <w:sz w:val="17"/>
                <w:szCs w:val="17"/>
                <w:color w:val="auto"/>
              </w:rPr>
            </w:pPr>
          </w:p>
        </w:tc>
        <w:tc>
          <w:tcPr>
            <w:tcW w:w="48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760" w:type="dxa"/>
            <w:vAlign w:val="bottom"/>
            <w:tcBorders>
              <w:top w:val="single" w:sz="8" w:color="auto"/>
            </w:tcBorders>
          </w:tcPr>
          <w:p>
            <w:pPr>
              <w:spacing w:after="0"/>
              <w:rPr>
                <w:sz w:val="17"/>
                <w:szCs w:val="17"/>
                <w:color w:val="auto"/>
              </w:rPr>
            </w:pPr>
          </w:p>
        </w:tc>
        <w:tc>
          <w:tcPr>
            <w:tcW w:w="80" w:type="dxa"/>
            <w:vAlign w:val="bottom"/>
          </w:tcPr>
          <w:p>
            <w:pPr>
              <w:spacing w:after="0"/>
              <w:rPr>
                <w:sz w:val="17"/>
                <w:szCs w:val="17"/>
                <w:color w:val="auto"/>
              </w:rPr>
            </w:pPr>
          </w:p>
        </w:tc>
      </w:tr>
      <w:tr>
        <w:trPr>
          <w:trHeight w:val="202"/>
        </w:trPr>
        <w:tc>
          <w:tcPr>
            <w:tcW w:w="322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w w:val="95"/>
              </w:rPr>
              <w:t>Proceeds from the issuance of common</w:t>
            </w: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30"/>
        </w:trPr>
        <w:tc>
          <w:tcPr>
            <w:tcW w:w="3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stock</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10,904</w:t>
            </w:r>
          </w:p>
        </w:tc>
        <w:tc>
          <w:tcPr>
            <w:tcW w:w="2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460" w:type="dxa"/>
            <w:vAlign w:val="bottom"/>
            <w:shd w:val="clear" w:color="auto" w:fill="CCEEFF"/>
          </w:tcPr>
          <w:p>
            <w:pPr>
              <w:ind w:left="280"/>
              <w:spacing w:after="0"/>
              <w:rPr>
                <w:sz w:val="20"/>
                <w:szCs w:val="20"/>
                <w:color w:val="auto"/>
              </w:rPr>
            </w:pPr>
            <w:r>
              <w:rPr>
                <w:rFonts w:ascii="Arial" w:cs="Arial" w:eastAsia="Arial" w:hAnsi="Arial"/>
                <w:sz w:val="18"/>
                <w:szCs w:val="18"/>
                <w:color w:val="auto"/>
                <w:w w:val="88"/>
              </w:rPr>
              <w:t>—</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10,904</w:t>
            </w:r>
          </w:p>
        </w:tc>
        <w:tc>
          <w:tcPr>
            <w:tcW w:w="14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20,119</w:t>
            </w:r>
          </w:p>
        </w:tc>
        <w:tc>
          <w:tcPr>
            <w:tcW w:w="2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480" w:type="dxa"/>
            <w:vAlign w:val="bottom"/>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20,119</w:t>
            </w:r>
          </w:p>
        </w:tc>
        <w:tc>
          <w:tcPr>
            <w:tcW w:w="80" w:type="dxa"/>
            <w:vAlign w:val="bottom"/>
            <w:shd w:val="clear" w:color="auto" w:fill="CCEEFF"/>
          </w:tcPr>
          <w:p>
            <w:pPr>
              <w:spacing w:after="0"/>
              <w:rPr>
                <w:sz w:val="20"/>
                <w:szCs w:val="20"/>
                <w:color w:val="auto"/>
              </w:rPr>
            </w:pPr>
          </w:p>
        </w:tc>
      </w:tr>
      <w:tr>
        <w:trPr>
          <w:trHeight w:val="202"/>
        </w:trPr>
        <w:tc>
          <w:tcPr>
            <w:tcW w:w="3220" w:type="dxa"/>
            <w:vAlign w:val="bottom"/>
          </w:tcPr>
          <w:p>
            <w:pPr>
              <w:ind w:left="180"/>
              <w:spacing w:after="0" w:line="201" w:lineRule="exact"/>
              <w:rPr>
                <w:sz w:val="20"/>
                <w:szCs w:val="20"/>
                <w:color w:val="auto"/>
              </w:rPr>
            </w:pPr>
            <w:r>
              <w:rPr>
                <w:rFonts w:ascii="Arial" w:cs="Arial" w:eastAsia="Arial" w:hAnsi="Arial"/>
                <w:sz w:val="18"/>
                <w:szCs w:val="18"/>
                <w:color w:val="auto"/>
              </w:rPr>
              <w:t>Principal payments on capital lease</w:t>
            </w: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30"/>
        </w:trPr>
        <w:tc>
          <w:tcPr>
            <w:tcW w:w="3220" w:type="dxa"/>
            <w:vAlign w:val="bottom"/>
          </w:tcPr>
          <w:p>
            <w:pPr>
              <w:ind w:left="360"/>
              <w:spacing w:after="0"/>
              <w:rPr>
                <w:sz w:val="20"/>
                <w:szCs w:val="20"/>
                <w:color w:val="auto"/>
              </w:rPr>
            </w:pPr>
            <w:r>
              <w:rPr>
                <w:rFonts w:ascii="Arial" w:cs="Arial" w:eastAsia="Arial" w:hAnsi="Arial"/>
                <w:sz w:val="18"/>
                <w:szCs w:val="18"/>
                <w:color w:val="auto"/>
              </w:rPr>
              <w:t>obligations</w:t>
            </w:r>
          </w:p>
        </w:tc>
        <w:tc>
          <w:tcPr>
            <w:tcW w:w="1060" w:type="dxa"/>
            <w:vAlign w:val="bottom"/>
            <w:gridSpan w:val="3"/>
          </w:tcPr>
          <w:p>
            <w:pPr>
              <w:jc w:val="right"/>
              <w:ind w:right="140"/>
              <w:spacing w:after="0"/>
              <w:rPr>
                <w:sz w:val="20"/>
                <w:szCs w:val="20"/>
                <w:color w:val="auto"/>
              </w:rPr>
            </w:pPr>
            <w:r>
              <w:rPr>
                <w:rFonts w:ascii="Arial" w:cs="Arial" w:eastAsia="Arial" w:hAnsi="Arial"/>
                <w:sz w:val="18"/>
                <w:szCs w:val="18"/>
                <w:color w:val="auto"/>
              </w:rPr>
              <w:t>(4,628)</w:t>
            </w:r>
          </w:p>
        </w:tc>
        <w:tc>
          <w:tcPr>
            <w:tcW w:w="380" w:type="dxa"/>
            <w:vAlign w:val="bottom"/>
          </w:tcPr>
          <w:p>
            <w:pPr>
              <w:spacing w:after="0"/>
              <w:rPr>
                <w:sz w:val="20"/>
                <w:szCs w:val="20"/>
                <w:color w:val="auto"/>
              </w:rPr>
            </w:pPr>
          </w:p>
        </w:tc>
        <w:tc>
          <w:tcPr>
            <w:tcW w:w="460" w:type="dxa"/>
            <w:vAlign w:val="bottom"/>
          </w:tcPr>
          <w:p>
            <w:pPr>
              <w:ind w:left="280"/>
              <w:spacing w:after="0"/>
              <w:rPr>
                <w:sz w:val="20"/>
                <w:szCs w:val="20"/>
                <w:color w:val="auto"/>
              </w:rPr>
            </w:pPr>
            <w:r>
              <w:rPr>
                <w:rFonts w:ascii="Arial" w:cs="Arial" w:eastAsia="Arial" w:hAnsi="Arial"/>
                <w:sz w:val="18"/>
                <w:szCs w:val="18"/>
                <w:color w:val="auto"/>
                <w:w w:val="88"/>
              </w:rPr>
              <w:t>—</w:t>
            </w:r>
          </w:p>
        </w:tc>
        <w:tc>
          <w:tcPr>
            <w:tcW w:w="1200" w:type="dxa"/>
            <w:vAlign w:val="bottom"/>
            <w:gridSpan w:val="3"/>
          </w:tcPr>
          <w:p>
            <w:pPr>
              <w:jc w:val="right"/>
              <w:ind w:right="80"/>
              <w:spacing w:after="0"/>
              <w:rPr>
                <w:sz w:val="20"/>
                <w:szCs w:val="20"/>
                <w:color w:val="auto"/>
              </w:rPr>
            </w:pPr>
            <w:r>
              <w:rPr>
                <w:rFonts w:ascii="Arial" w:cs="Arial" w:eastAsia="Arial" w:hAnsi="Arial"/>
                <w:sz w:val="18"/>
                <w:szCs w:val="18"/>
                <w:color w:val="auto"/>
              </w:rPr>
              <w:t>(4,628)</w:t>
            </w:r>
          </w:p>
        </w:tc>
        <w:tc>
          <w:tcPr>
            <w:tcW w:w="1020" w:type="dxa"/>
            <w:vAlign w:val="bottom"/>
            <w:gridSpan w:val="3"/>
          </w:tcPr>
          <w:p>
            <w:pPr>
              <w:jc w:val="right"/>
              <w:ind w:right="160"/>
              <w:spacing w:after="0"/>
              <w:rPr>
                <w:sz w:val="20"/>
                <w:szCs w:val="20"/>
                <w:color w:val="auto"/>
              </w:rPr>
            </w:pPr>
            <w:r>
              <w:rPr>
                <w:rFonts w:ascii="Arial" w:cs="Arial" w:eastAsia="Arial" w:hAnsi="Arial"/>
                <w:sz w:val="18"/>
                <w:szCs w:val="18"/>
                <w:color w:val="auto"/>
              </w:rPr>
              <w:t>(3,156)</w:t>
            </w:r>
          </w:p>
        </w:tc>
        <w:tc>
          <w:tcPr>
            <w:tcW w:w="380" w:type="dxa"/>
            <w:vAlign w:val="bottom"/>
          </w:tcPr>
          <w:p>
            <w:pPr>
              <w:spacing w:after="0"/>
              <w:rPr>
                <w:sz w:val="20"/>
                <w:szCs w:val="20"/>
                <w:color w:val="auto"/>
              </w:rPr>
            </w:pPr>
          </w:p>
        </w:tc>
        <w:tc>
          <w:tcPr>
            <w:tcW w:w="480" w:type="dxa"/>
            <w:vAlign w:val="bottom"/>
          </w:tcPr>
          <w:p>
            <w:pPr>
              <w:ind w:left="280"/>
              <w:spacing w:after="0"/>
              <w:rPr>
                <w:sz w:val="20"/>
                <w:szCs w:val="20"/>
                <w:color w:val="auto"/>
              </w:rPr>
            </w:pPr>
            <w:r>
              <w:rPr>
                <w:rFonts w:ascii="Arial" w:cs="Arial" w:eastAsia="Arial" w:hAnsi="Arial"/>
                <w:sz w:val="18"/>
                <w:szCs w:val="18"/>
                <w:color w:val="auto"/>
                <w:w w:val="99"/>
              </w:rPr>
              <w:t>—</w:t>
            </w:r>
          </w:p>
        </w:tc>
        <w:tc>
          <w:tcPr>
            <w:tcW w:w="1160" w:type="dxa"/>
            <w:vAlign w:val="bottom"/>
            <w:gridSpan w:val="3"/>
          </w:tcPr>
          <w:p>
            <w:pPr>
              <w:jc w:val="right"/>
              <w:ind w:right="20"/>
              <w:spacing w:after="0"/>
              <w:rPr>
                <w:sz w:val="20"/>
                <w:szCs w:val="20"/>
                <w:color w:val="auto"/>
              </w:rPr>
            </w:pPr>
            <w:r>
              <w:rPr>
                <w:rFonts w:ascii="Arial" w:cs="Arial" w:eastAsia="Arial" w:hAnsi="Arial"/>
                <w:sz w:val="18"/>
                <w:szCs w:val="18"/>
                <w:color w:val="auto"/>
              </w:rPr>
              <w:t>(3,156)</w:t>
            </w:r>
          </w:p>
        </w:tc>
      </w:tr>
      <w:tr>
        <w:trPr>
          <w:trHeight w:val="202"/>
        </w:trPr>
        <w:tc>
          <w:tcPr>
            <w:tcW w:w="322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Excess tax benefits from stock-based</w:t>
            </w: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30"/>
        </w:trPr>
        <w:tc>
          <w:tcPr>
            <w:tcW w:w="3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compensation</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697</w:t>
            </w:r>
          </w:p>
        </w:tc>
        <w:tc>
          <w:tcPr>
            <w:tcW w:w="2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460" w:type="dxa"/>
            <w:vAlign w:val="bottom"/>
            <w:shd w:val="clear" w:color="auto" w:fill="CCEEFF"/>
          </w:tcPr>
          <w:p>
            <w:pPr>
              <w:ind w:left="280"/>
              <w:spacing w:after="0"/>
              <w:rPr>
                <w:sz w:val="20"/>
                <w:szCs w:val="20"/>
                <w:color w:val="auto"/>
              </w:rPr>
            </w:pPr>
            <w:r>
              <w:rPr>
                <w:rFonts w:ascii="Arial" w:cs="Arial" w:eastAsia="Arial" w:hAnsi="Arial"/>
                <w:sz w:val="18"/>
                <w:szCs w:val="18"/>
                <w:color w:val="auto"/>
                <w:w w:val="88"/>
              </w:rPr>
              <w:t>—</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697</w:t>
            </w:r>
          </w:p>
        </w:tc>
        <w:tc>
          <w:tcPr>
            <w:tcW w:w="1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20"/>
                <w:szCs w:val="20"/>
                <w:color w:val="auto"/>
              </w:rPr>
            </w:pPr>
          </w:p>
        </w:tc>
        <w:tc>
          <w:tcPr>
            <w:tcW w:w="480" w:type="dxa"/>
            <w:vAlign w:val="bottom"/>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32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182"/>
        </w:trPr>
        <w:tc>
          <w:tcPr>
            <w:tcW w:w="3220" w:type="dxa"/>
            <w:vAlign w:val="bottom"/>
          </w:tcPr>
          <w:p>
            <w:pPr>
              <w:ind w:left="360"/>
              <w:spacing w:after="0" w:line="182" w:lineRule="exact"/>
              <w:rPr>
                <w:sz w:val="20"/>
                <w:szCs w:val="20"/>
                <w:color w:val="auto"/>
              </w:rPr>
            </w:pPr>
            <w:r>
              <w:rPr>
                <w:rFonts w:ascii="Arial" w:cs="Arial" w:eastAsia="Arial" w:hAnsi="Arial"/>
                <w:sz w:val="18"/>
                <w:szCs w:val="18"/>
                <w:color w:val="auto"/>
              </w:rPr>
              <w:t>Net cash provided by financing</w:t>
            </w:r>
          </w:p>
        </w:tc>
        <w:tc>
          <w:tcPr>
            <w:tcW w:w="120" w:type="dxa"/>
            <w:vAlign w:val="bottom"/>
          </w:tcPr>
          <w:p>
            <w:pPr>
              <w:spacing w:after="0"/>
              <w:rPr>
                <w:sz w:val="15"/>
                <w:szCs w:val="15"/>
                <w:color w:val="auto"/>
              </w:rPr>
            </w:pPr>
          </w:p>
        </w:tc>
        <w:tc>
          <w:tcPr>
            <w:tcW w:w="740" w:type="dxa"/>
            <w:vAlign w:val="bottom"/>
            <w:tcBorders>
              <w:top w:val="single" w:sz="8" w:color="auto"/>
            </w:tcBorders>
          </w:tcPr>
          <w:p>
            <w:pPr>
              <w:spacing w:after="0"/>
              <w:rPr>
                <w:sz w:val="15"/>
                <w:szCs w:val="15"/>
                <w:color w:val="auto"/>
              </w:rPr>
            </w:pPr>
          </w:p>
        </w:tc>
        <w:tc>
          <w:tcPr>
            <w:tcW w:w="200" w:type="dxa"/>
            <w:vAlign w:val="bottom"/>
          </w:tcPr>
          <w:p>
            <w:pPr>
              <w:spacing w:after="0"/>
              <w:rPr>
                <w:sz w:val="15"/>
                <w:szCs w:val="15"/>
                <w:color w:val="auto"/>
              </w:rPr>
            </w:pPr>
          </w:p>
        </w:tc>
        <w:tc>
          <w:tcPr>
            <w:tcW w:w="380" w:type="dxa"/>
            <w:vAlign w:val="bottom"/>
            <w:tcBorders>
              <w:top w:val="single" w:sz="8" w:color="auto"/>
            </w:tcBorders>
          </w:tcPr>
          <w:p>
            <w:pPr>
              <w:spacing w:after="0"/>
              <w:rPr>
                <w:sz w:val="15"/>
                <w:szCs w:val="15"/>
                <w:color w:val="auto"/>
              </w:rPr>
            </w:pPr>
          </w:p>
        </w:tc>
        <w:tc>
          <w:tcPr>
            <w:tcW w:w="460" w:type="dxa"/>
            <w:vAlign w:val="bottom"/>
            <w:tcBorders>
              <w:top w:val="single" w:sz="8" w:color="auto"/>
            </w:tcBorders>
          </w:tcPr>
          <w:p>
            <w:pPr>
              <w:spacing w:after="0"/>
              <w:rPr>
                <w:sz w:val="15"/>
                <w:szCs w:val="15"/>
                <w:color w:val="auto"/>
              </w:rPr>
            </w:pPr>
          </w:p>
        </w:tc>
        <w:tc>
          <w:tcPr>
            <w:tcW w:w="340" w:type="dxa"/>
            <w:vAlign w:val="bottom"/>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220" w:type="dxa"/>
            <w:vAlign w:val="bottom"/>
          </w:tcPr>
          <w:p>
            <w:pPr>
              <w:spacing w:after="0"/>
              <w:rPr>
                <w:sz w:val="15"/>
                <w:szCs w:val="15"/>
                <w:color w:val="auto"/>
              </w:rPr>
            </w:pPr>
          </w:p>
        </w:tc>
        <w:tc>
          <w:tcPr>
            <w:tcW w:w="380" w:type="dxa"/>
            <w:vAlign w:val="bottom"/>
            <w:tcBorders>
              <w:top w:val="single" w:sz="8" w:color="auto"/>
            </w:tcBorders>
          </w:tcPr>
          <w:p>
            <w:pPr>
              <w:spacing w:after="0"/>
              <w:rPr>
                <w:sz w:val="15"/>
                <w:szCs w:val="15"/>
                <w:color w:val="auto"/>
              </w:rPr>
            </w:pPr>
          </w:p>
        </w:tc>
        <w:tc>
          <w:tcPr>
            <w:tcW w:w="480" w:type="dxa"/>
            <w:vAlign w:val="bottom"/>
            <w:tcBorders>
              <w:top w:val="single" w:sz="8" w:color="auto"/>
            </w:tcBorders>
          </w:tcPr>
          <w:p>
            <w:pPr>
              <w:spacing w:after="0"/>
              <w:rPr>
                <w:sz w:val="15"/>
                <w:szCs w:val="15"/>
                <w:color w:val="auto"/>
              </w:rPr>
            </w:pPr>
          </w:p>
        </w:tc>
        <w:tc>
          <w:tcPr>
            <w:tcW w:w="320" w:type="dxa"/>
            <w:vAlign w:val="bottom"/>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r>
      <w:tr>
        <w:trPr>
          <w:trHeight w:val="230"/>
        </w:trPr>
        <w:tc>
          <w:tcPr>
            <w:tcW w:w="3220" w:type="dxa"/>
            <w:vAlign w:val="bottom"/>
          </w:tcPr>
          <w:p>
            <w:pPr>
              <w:ind w:left="540"/>
              <w:spacing w:after="0"/>
              <w:rPr>
                <w:sz w:val="20"/>
                <w:szCs w:val="20"/>
                <w:color w:val="auto"/>
              </w:rPr>
            </w:pPr>
            <w:r>
              <w:rPr>
                <w:rFonts w:ascii="Arial" w:cs="Arial" w:eastAsia="Arial" w:hAnsi="Arial"/>
                <w:sz w:val="18"/>
                <w:szCs w:val="18"/>
                <w:color w:val="auto"/>
              </w:rPr>
              <w:t>activities</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6,973</w:t>
            </w: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460" w:type="dxa"/>
            <w:vAlign w:val="bottom"/>
          </w:tcPr>
          <w:p>
            <w:pPr>
              <w:ind w:left="280"/>
              <w:spacing w:after="0"/>
              <w:rPr>
                <w:sz w:val="20"/>
                <w:szCs w:val="20"/>
                <w:color w:val="auto"/>
              </w:rPr>
            </w:pPr>
            <w:r>
              <w:rPr>
                <w:rFonts w:ascii="Arial" w:cs="Arial" w:eastAsia="Arial" w:hAnsi="Arial"/>
                <w:sz w:val="18"/>
                <w:szCs w:val="18"/>
                <w:color w:val="auto"/>
                <w:w w:val="88"/>
              </w:rPr>
              <w:t>—</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6,973</w:t>
            </w:r>
          </w:p>
        </w:tc>
        <w:tc>
          <w:tcPr>
            <w:tcW w:w="140" w:type="dxa"/>
            <w:vAlign w:val="bottom"/>
          </w:tcPr>
          <w:p>
            <w:pPr>
              <w:spacing w:after="0"/>
              <w:rPr>
                <w:sz w:val="20"/>
                <w:szCs w:val="20"/>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16,963</w:t>
            </w:r>
          </w:p>
        </w:tc>
        <w:tc>
          <w:tcPr>
            <w:tcW w:w="2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480" w:type="dxa"/>
            <w:vAlign w:val="bottom"/>
          </w:tcPr>
          <w:p>
            <w:pPr>
              <w:ind w:left="280"/>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16,963</w:t>
            </w:r>
          </w:p>
        </w:tc>
        <w:tc>
          <w:tcPr>
            <w:tcW w:w="80" w:type="dxa"/>
            <w:vAlign w:val="bottom"/>
          </w:tcPr>
          <w:p>
            <w:pPr>
              <w:spacing w:after="0"/>
              <w:rPr>
                <w:sz w:val="20"/>
                <w:szCs w:val="20"/>
                <w:color w:val="auto"/>
              </w:rPr>
            </w:pPr>
          </w:p>
        </w:tc>
      </w:tr>
      <w:tr>
        <w:trPr>
          <w:trHeight w:val="182"/>
        </w:trPr>
        <w:tc>
          <w:tcPr>
            <w:tcW w:w="322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w w:val="96"/>
              </w:rPr>
              <w:t>Net increase (decrease) in cash and cash</w:t>
            </w:r>
          </w:p>
        </w:tc>
        <w:tc>
          <w:tcPr>
            <w:tcW w:w="120" w:type="dxa"/>
            <w:vAlign w:val="bottom"/>
            <w:tcBorders>
              <w:top w:val="single" w:sz="8" w:color="CCEEFF"/>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CCEEFF"/>
            </w:tcBorders>
            <w:shd w:val="clear" w:color="auto" w:fill="CCEEFF"/>
          </w:tcPr>
          <w:p>
            <w:pPr>
              <w:spacing w:after="0"/>
              <w:rPr>
                <w:sz w:val="15"/>
                <w:szCs w:val="15"/>
                <w:color w:val="auto"/>
              </w:rPr>
            </w:pPr>
          </w:p>
        </w:tc>
        <w:tc>
          <w:tcPr>
            <w:tcW w:w="380" w:type="dxa"/>
            <w:vAlign w:val="bottom"/>
            <w:tcBorders>
              <w:top w:val="single" w:sz="8" w:color="auto"/>
            </w:tcBorders>
            <w:shd w:val="clear" w:color="auto" w:fill="CCEEFF"/>
          </w:tcPr>
          <w:p>
            <w:pPr>
              <w:spacing w:after="0"/>
              <w:rPr>
                <w:sz w:val="15"/>
                <w:szCs w:val="15"/>
                <w:color w:val="auto"/>
              </w:rPr>
            </w:pPr>
          </w:p>
        </w:tc>
        <w:tc>
          <w:tcPr>
            <w:tcW w:w="460" w:type="dxa"/>
            <w:vAlign w:val="bottom"/>
            <w:tcBorders>
              <w:top w:val="single" w:sz="8" w:color="auto"/>
            </w:tcBorders>
            <w:shd w:val="clear" w:color="auto" w:fill="CCEEFF"/>
          </w:tcPr>
          <w:p>
            <w:pPr>
              <w:spacing w:after="0"/>
              <w:rPr>
                <w:sz w:val="15"/>
                <w:szCs w:val="15"/>
                <w:color w:val="auto"/>
              </w:rPr>
            </w:pPr>
          </w:p>
        </w:tc>
        <w:tc>
          <w:tcPr>
            <w:tcW w:w="340" w:type="dxa"/>
            <w:vAlign w:val="bottom"/>
            <w:tcBorders>
              <w:top w:val="single" w:sz="8" w:color="CCEEFF"/>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380" w:type="dxa"/>
            <w:vAlign w:val="bottom"/>
            <w:tcBorders>
              <w:top w:val="single" w:sz="8" w:color="auto"/>
            </w:tcBorders>
            <w:shd w:val="clear" w:color="auto" w:fill="CCEEFF"/>
          </w:tcPr>
          <w:p>
            <w:pPr>
              <w:spacing w:after="0"/>
              <w:rPr>
                <w:sz w:val="15"/>
                <w:szCs w:val="15"/>
                <w:color w:val="auto"/>
              </w:rPr>
            </w:pPr>
          </w:p>
        </w:tc>
        <w:tc>
          <w:tcPr>
            <w:tcW w:w="480" w:type="dxa"/>
            <w:vAlign w:val="bottom"/>
            <w:tcBorders>
              <w:top w:val="single" w:sz="8" w:color="auto"/>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r>
      <w:tr>
        <w:trPr>
          <w:trHeight w:val="230"/>
        </w:trPr>
        <w:tc>
          <w:tcPr>
            <w:tcW w:w="32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equivalents</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180,958</w:t>
            </w:r>
          </w:p>
        </w:tc>
        <w:tc>
          <w:tcPr>
            <w:tcW w:w="2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460" w:type="dxa"/>
            <w:vAlign w:val="bottom"/>
            <w:shd w:val="clear" w:color="auto" w:fill="CCEEFF"/>
          </w:tcPr>
          <w:p>
            <w:pPr>
              <w:ind w:left="280"/>
              <w:spacing w:after="0"/>
              <w:rPr>
                <w:sz w:val="20"/>
                <w:szCs w:val="20"/>
                <w:color w:val="auto"/>
              </w:rPr>
            </w:pPr>
            <w:r>
              <w:rPr>
                <w:rFonts w:ascii="Arial" w:cs="Arial" w:eastAsia="Arial" w:hAnsi="Arial"/>
                <w:sz w:val="18"/>
                <w:szCs w:val="18"/>
                <w:color w:val="auto"/>
                <w:w w:val="88"/>
              </w:rPr>
              <w:t>—</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180,958</w:t>
            </w:r>
          </w:p>
        </w:tc>
        <w:tc>
          <w:tcPr>
            <w:tcW w:w="14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16,505</w:t>
            </w:r>
          </w:p>
        </w:tc>
        <w:tc>
          <w:tcPr>
            <w:tcW w:w="2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480" w:type="dxa"/>
            <w:vAlign w:val="bottom"/>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16,505</w:t>
            </w:r>
          </w:p>
        </w:tc>
        <w:tc>
          <w:tcPr>
            <w:tcW w:w="80" w:type="dxa"/>
            <w:vAlign w:val="bottom"/>
            <w:shd w:val="clear" w:color="auto" w:fill="CCEEFF"/>
          </w:tcPr>
          <w:p>
            <w:pPr>
              <w:spacing w:after="0"/>
              <w:rPr>
                <w:sz w:val="20"/>
                <w:szCs w:val="20"/>
                <w:color w:val="auto"/>
              </w:rPr>
            </w:pPr>
          </w:p>
        </w:tc>
      </w:tr>
      <w:tr>
        <w:trPr>
          <w:trHeight w:val="202"/>
        </w:trPr>
        <w:tc>
          <w:tcPr>
            <w:tcW w:w="3220" w:type="dxa"/>
            <w:vAlign w:val="bottom"/>
          </w:tcPr>
          <w:p>
            <w:pPr>
              <w:spacing w:after="0" w:line="201" w:lineRule="exact"/>
              <w:rPr>
                <w:sz w:val="20"/>
                <w:szCs w:val="20"/>
                <w:color w:val="auto"/>
              </w:rPr>
            </w:pPr>
            <w:r>
              <w:rPr>
                <w:rFonts w:ascii="Arial" w:cs="Arial" w:eastAsia="Arial" w:hAnsi="Arial"/>
                <w:sz w:val="18"/>
                <w:szCs w:val="18"/>
                <w:color w:val="auto"/>
                <w:w w:val="94"/>
              </w:rPr>
              <w:t>Cash and cash equivalents at beginning of</w:t>
            </w: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r>
      <w:tr>
        <w:trPr>
          <w:trHeight w:val="230"/>
        </w:trPr>
        <w:tc>
          <w:tcPr>
            <w:tcW w:w="3220" w:type="dxa"/>
            <w:vAlign w:val="bottom"/>
          </w:tcPr>
          <w:p>
            <w:pPr>
              <w:ind w:left="180"/>
              <w:spacing w:after="0"/>
              <w:rPr>
                <w:sz w:val="20"/>
                <w:szCs w:val="20"/>
                <w:color w:val="auto"/>
              </w:rPr>
            </w:pPr>
            <w:r>
              <w:rPr>
                <w:rFonts w:ascii="Arial" w:cs="Arial" w:eastAsia="Arial" w:hAnsi="Arial"/>
                <w:sz w:val="18"/>
                <w:szCs w:val="18"/>
                <w:color w:val="auto"/>
              </w:rPr>
              <w:t>period</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348,431</w:t>
            </w: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460" w:type="dxa"/>
            <w:vAlign w:val="bottom"/>
          </w:tcPr>
          <w:p>
            <w:pPr>
              <w:ind w:left="280"/>
              <w:spacing w:after="0"/>
              <w:rPr>
                <w:sz w:val="20"/>
                <w:szCs w:val="20"/>
                <w:color w:val="auto"/>
              </w:rPr>
            </w:pPr>
            <w:r>
              <w:rPr>
                <w:rFonts w:ascii="Arial" w:cs="Arial" w:eastAsia="Arial" w:hAnsi="Arial"/>
                <w:sz w:val="18"/>
                <w:szCs w:val="18"/>
                <w:color w:val="auto"/>
                <w:w w:val="88"/>
              </w:rPr>
              <w:t>—</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348,431</w:t>
            </w:r>
          </w:p>
        </w:tc>
        <w:tc>
          <w:tcPr>
            <w:tcW w:w="140" w:type="dxa"/>
            <w:vAlign w:val="bottom"/>
          </w:tcPr>
          <w:p>
            <w:pPr>
              <w:spacing w:after="0"/>
              <w:rPr>
                <w:sz w:val="20"/>
                <w:szCs w:val="20"/>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166,471</w:t>
            </w:r>
          </w:p>
        </w:tc>
        <w:tc>
          <w:tcPr>
            <w:tcW w:w="2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480" w:type="dxa"/>
            <w:vAlign w:val="bottom"/>
          </w:tcPr>
          <w:p>
            <w:pPr>
              <w:ind w:left="280"/>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166,471</w:t>
            </w:r>
          </w:p>
        </w:tc>
        <w:tc>
          <w:tcPr>
            <w:tcW w:w="80" w:type="dxa"/>
            <w:vAlign w:val="bottom"/>
          </w:tcPr>
          <w:p>
            <w:pPr>
              <w:spacing w:after="0"/>
              <w:rPr>
                <w:sz w:val="20"/>
                <w:szCs w:val="20"/>
                <w:color w:val="auto"/>
              </w:rPr>
            </w:pPr>
          </w:p>
        </w:tc>
      </w:tr>
      <w:tr>
        <w:trPr>
          <w:trHeight w:val="210"/>
        </w:trPr>
        <w:tc>
          <w:tcPr>
            <w:tcW w:w="32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w w:val="92"/>
              </w:rPr>
              <w:t>Cash and cash equivalents at end of period</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$ 529,389</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380" w:type="dxa"/>
            <w:vAlign w:val="bottom"/>
            <w:tcBorders>
              <w:top w:val="single" w:sz="8" w:color="auto"/>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460" w:type="dxa"/>
            <w:vAlign w:val="bottom"/>
            <w:tcBorders>
              <w:top w:val="single" w:sz="8" w:color="auto"/>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w w:val="88"/>
              </w:rPr>
              <w:t>—</w:t>
            </w: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$ 529,389</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$ 182,976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380" w:type="dxa"/>
            <w:vAlign w:val="bottom"/>
            <w:tcBorders>
              <w:top w:val="single" w:sz="8" w:color="auto"/>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$ 182,976</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3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40" w:hanging="332"/>
        <w:spacing w:after="0"/>
        <w:tabs>
          <w:tab w:leader="none" w:pos="3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w:t>
      </w:r>
    </w:p>
    <w:p>
      <w:pPr>
        <w:spacing w:after="0" w:line="23" w:lineRule="exact"/>
        <w:rPr>
          <w:rFonts w:ascii="Arial" w:cs="Arial" w:eastAsia="Arial" w:hAnsi="Arial"/>
          <w:sz w:val="18"/>
          <w:szCs w:val="18"/>
          <w:color w:val="auto"/>
        </w:rPr>
      </w:pPr>
    </w:p>
    <w:p>
      <w:pPr>
        <w:ind w:left="360" w:hanging="352"/>
        <w:spacing w:after="0"/>
        <w:tabs>
          <w:tab w:leader="none" w:pos="3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Adjustments for additional payroll tax.</w:t>
      </w:r>
    </w:p>
    <w:p>
      <w:pPr>
        <w:spacing w:after="0" w:line="9" w:lineRule="exact"/>
        <w:rPr>
          <w:rFonts w:ascii="Arial" w:cs="Arial" w:eastAsia="Arial" w:hAnsi="Arial"/>
          <w:sz w:val="18"/>
          <w:szCs w:val="18"/>
          <w:color w:val="auto"/>
        </w:rPr>
      </w:pPr>
    </w:p>
    <w:p>
      <w:pPr>
        <w:ind w:left="360" w:hanging="352"/>
        <w:spacing w:after="0"/>
        <w:tabs>
          <w:tab w:leader="none" w:pos="3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Adjustments for income taxes payable.</w:t>
      </w:r>
    </w:p>
    <w:p>
      <w:pPr>
        <w:spacing w:after="0" w:line="200" w:lineRule="exact"/>
        <w:rPr>
          <w:sz w:val="20"/>
          <w:szCs w:val="20"/>
          <w:color w:val="auto"/>
        </w:rPr>
      </w:pPr>
    </w:p>
    <w:p>
      <w:pPr>
        <w:spacing w:after="0" w:line="2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200" w:firstLine="304"/>
        <w:spacing w:after="0" w:line="279"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enterprises, consumer electronics and emerging markets.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5"/>
          <w:szCs w:val="15"/>
          <w:color w:val="auto"/>
        </w:rPr>
        <w:t>Fiscal years 2007 and 2006 comprised</w:t>
      </w:r>
    </w:p>
    <w:p>
      <w:pPr>
        <w:spacing w:after="0"/>
        <w:rPr>
          <w:sz w:val="20"/>
          <w:szCs w:val="20"/>
          <w:color w:val="auto"/>
        </w:rPr>
      </w:pPr>
      <w:r>
        <w:rPr>
          <w:rFonts w:ascii="Arial" w:cs="Arial" w:eastAsia="Arial" w:hAnsi="Arial"/>
          <w:sz w:val="18"/>
          <w:szCs w:val="18"/>
          <w:color w:val="auto"/>
        </w:rPr>
        <w:t>52-weeks.</w:t>
      </w:r>
    </w:p>
    <w:p>
      <w:pPr>
        <w:spacing w:after="0" w:line="211" w:lineRule="exact"/>
        <w:rPr>
          <w:sz w:val="20"/>
          <w:szCs w:val="20"/>
          <w:color w:val="auto"/>
        </w:rPr>
      </w:pPr>
    </w:p>
    <w:p>
      <w:pPr>
        <w:ind w:right="220" w:firstLine="243"/>
        <w:spacing w:after="0" w:line="297" w:lineRule="auto"/>
        <w:rPr>
          <w:sz w:val="20"/>
          <w:szCs w:val="20"/>
          <w:color w:val="auto"/>
        </w:rPr>
      </w:pPr>
      <w:r>
        <w:rPr>
          <w:rFonts w:ascii="Arial" w:cs="Arial" w:eastAsia="Arial" w:hAnsi="Arial"/>
          <w:sz w:val="16"/>
          <w:szCs w:val="16"/>
          <w:color w:val="auto"/>
        </w:rPr>
        <w:t>On February 21, 2006, the Board of Directors approved a 2 for 1 stock split of the Company’s common stock, to be effected pursuant to the issuance of additional shares as a stock dividend. The stock split was subject to shareholder approval of an increase in the Company’s authorized share capital at the Company’s 2006 Annual General Meeting. On June 9, 2006, shareholders at the Company’s 2006 Annual General Meeting approved an increase in the authorized share capital by 500 million shares of common stock. Stock certificates representing one additional share for each share held were delivered on July 24, 2006 (payment date) to all shareholders of record at the close of business on July 10, 2006 (record date).</w:t>
      </w:r>
    </w:p>
    <w:p>
      <w:pPr>
        <w:spacing w:after="0" w:line="158" w:lineRule="exact"/>
        <w:rPr>
          <w:sz w:val="20"/>
          <w:szCs w:val="20"/>
          <w:color w:val="auto"/>
        </w:rPr>
      </w:pPr>
    </w:p>
    <w:p>
      <w:pPr>
        <w:ind w:right="80" w:firstLine="259"/>
        <w:spacing w:after="0" w:line="271" w:lineRule="auto"/>
        <w:rPr>
          <w:sz w:val="20"/>
          <w:szCs w:val="20"/>
          <w:color w:val="auto"/>
        </w:rPr>
      </w:pPr>
      <w:r>
        <w:rPr>
          <w:rFonts w:ascii="Arial" w:cs="Arial" w:eastAsia="Arial" w:hAnsi="Arial"/>
          <w:sz w:val="17"/>
          <w:szCs w:val="17"/>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except for the effects of the restatement as discussed in Note 1, necessary to fairly state the Company’s financial position as of April 29, 2006, the results of its operations for the three months ended April 29, 2006 and April 30, 2005, respectively and its cash flows for the three months ended April 29, 2006 and April 30, 2005, respectively. These condensed consolidated financial statements and related notes are unaudited and should be read in conjunction with the Company’s audited financial statements and related notes included in the Company’s Annual Report on Form 10-K for the year ended January 27, 2007, filed concurrently with this Form 10-Q. The results of operations for the three months ended April 29, 2006 are not necessarily indicative of the results that may be expected for any other interim period or for the full fiscal year.</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firstLine="259"/>
        <w:spacing w:after="0" w:line="271" w:lineRule="auto"/>
        <w:rPr>
          <w:sz w:val="20"/>
          <w:szCs w:val="20"/>
          <w:color w:val="auto"/>
        </w:rPr>
      </w:pPr>
      <w:r>
        <w:rPr>
          <w:rFonts w:ascii="Arial" w:cs="Arial" w:eastAsia="Arial" w:hAnsi="Arial"/>
          <w:sz w:val="17"/>
          <w:szCs w:val="17"/>
          <w:color w:val="auto"/>
        </w:rPr>
        <w:t>The preparation of unaudited interim condensed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uncollectible receivables,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may differ from these estimates.</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440" w:firstLine="363"/>
        <w:spacing w:after="0" w:line="264" w:lineRule="auto"/>
        <w:rPr>
          <w:sz w:val="20"/>
          <w:szCs w:val="20"/>
          <w:color w:val="auto"/>
        </w:rPr>
      </w:pPr>
      <w:r>
        <w:rPr>
          <w:rFonts w:ascii="Arial" w:cs="Arial" w:eastAsia="Arial" w:hAnsi="Arial"/>
          <w:sz w:val="18"/>
          <w:szCs w:val="18"/>
          <w:color w:val="auto"/>
        </w:rPr>
        <w:t>The unaudited interim condensed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ectPr>
          <w:pgSz w:w="11900" w:h="16838" w:orient="portrait"/>
          <w:cols w:equalWidth="0" w:num="1">
            <w:col w:w="11380"/>
          </w:cols>
          <w:pgMar w:left="240" w:top="120" w:right="279" w:bottom="0" w:gutter="0" w:footer="0" w:header="0"/>
        </w:sectPr>
      </w:pPr>
    </w:p>
    <w:bookmarkStart w:id="13" w:name="page14"/>
    <w:bookmarkEnd w:id="13"/>
    <w:p>
      <w:pPr>
        <w:ind w:right="200" w:firstLine="363"/>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pacing w:after="0" w:line="181" w:lineRule="exact"/>
        <w:rPr>
          <w:sz w:val="20"/>
          <w:szCs w:val="20"/>
          <w:color w:val="auto"/>
        </w:rPr>
      </w:pPr>
    </w:p>
    <w:p>
      <w:pPr>
        <w:ind w:right="180" w:firstLine="363"/>
        <w:spacing w:after="0" w:line="291"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the original requested delivery date, in which case revenue is not recognized until there is written confirmation from the customer accepting early shipment, delivery has occurred, the fee is fixed or determinable, and collection is</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spacing w:after="0" w:line="286" w:lineRule="auto"/>
        <w:rPr>
          <w:sz w:val="20"/>
          <w:szCs w:val="20"/>
          <w:color w:val="auto"/>
        </w:rPr>
      </w:pPr>
      <w:r>
        <w:rPr>
          <w:rFonts w:ascii="Arial" w:cs="Arial" w:eastAsia="Arial" w:hAnsi="Arial"/>
          <w:sz w:val="17"/>
          <w:szCs w:val="17"/>
          <w:color w:val="auto"/>
        </w:rPr>
        <w:t>reasonably assured.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66" w:lineRule="exact"/>
        <w:rPr>
          <w:sz w:val="20"/>
          <w:szCs w:val="20"/>
          <w:color w:val="auto"/>
        </w:rPr>
      </w:pPr>
    </w:p>
    <w:p>
      <w:pPr>
        <w:jc w:val="both"/>
        <w:ind w:right="600" w:firstLine="363"/>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ind w:right="80" w:firstLine="363"/>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81" w:lineRule="exact"/>
        <w:rPr>
          <w:sz w:val="20"/>
          <w:szCs w:val="20"/>
          <w:color w:val="auto"/>
        </w:rPr>
      </w:pPr>
    </w:p>
    <w:p>
      <w:pPr>
        <w:ind w:right="220" w:firstLine="363"/>
        <w:spacing w:after="0" w:line="276" w:lineRule="auto"/>
        <w:rPr>
          <w:sz w:val="20"/>
          <w:szCs w:val="20"/>
          <w:color w:val="auto"/>
        </w:rPr>
      </w:pPr>
      <w:r>
        <w:rPr>
          <w:rFonts w:ascii="Arial" w:cs="Arial" w:eastAsia="Arial" w:hAnsi="Arial"/>
          <w:sz w:val="17"/>
          <w:szCs w:val="17"/>
          <w:color w:val="auto"/>
        </w:rPr>
        <w:t>The provisions of EITF Issue No. 00-21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73" w:lineRule="exact"/>
        <w:rPr>
          <w:sz w:val="20"/>
          <w:szCs w:val="20"/>
          <w:color w:val="auto"/>
        </w:rPr>
      </w:pPr>
    </w:p>
    <w:p>
      <w:pPr>
        <w:ind w:right="120" w:firstLine="363"/>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88" w:lineRule="exact"/>
        <w:rPr>
          <w:sz w:val="20"/>
          <w:szCs w:val="20"/>
          <w:color w:val="auto"/>
        </w:rPr>
      </w:pPr>
    </w:p>
    <w:p>
      <w:pPr>
        <w:ind w:right="220" w:firstLine="363"/>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and other</w:t>
      </w:r>
    </w:p>
    <w:p>
      <w:pPr>
        <w:spacing w:after="0" w:line="229" w:lineRule="exact"/>
        <w:rPr>
          <w:sz w:val="20"/>
          <w:szCs w:val="20"/>
          <w:color w:val="auto"/>
        </w:rPr>
      </w:pPr>
    </w:p>
    <w:p>
      <w:pPr>
        <w:ind w:right="160" w:firstLine="363"/>
        <w:spacing w:after="0" w:line="259" w:lineRule="auto"/>
        <w:rPr>
          <w:sz w:val="20"/>
          <w:szCs w:val="20"/>
          <w:color w:val="auto"/>
        </w:rPr>
      </w:pPr>
      <w:r>
        <w:rPr>
          <w:rFonts w:ascii="Arial" w:cs="Arial" w:eastAsia="Arial" w:hAnsi="Arial"/>
          <w:sz w:val="18"/>
          <w:szCs w:val="18"/>
          <w:color w:val="auto"/>
        </w:rPr>
        <w:t>Research and development and other costs consist primarily of $126.9 million and $76.8 million of research and development costs for the three month periods ended April 29, 2006 and April 30, 2005, respectively, excluding costs related to patent investigation and filings for the three month periods ended April 29, 2006 and April 30, 2005 which were $2.3 million and $1.1 million respectively. Research and development and other costs are expensed as incurred.</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500" w:firstLine="259"/>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29" w:lineRule="exact"/>
        <w:rPr>
          <w:sz w:val="20"/>
          <w:szCs w:val="20"/>
          <w:color w:val="auto"/>
        </w:rPr>
      </w:pPr>
    </w:p>
    <w:p>
      <w:pPr>
        <w:ind w:right="140" w:firstLine="259"/>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firstLine="360"/>
        <w:spacing w:after="0" w:line="290" w:lineRule="auto"/>
        <w:rPr>
          <w:sz w:val="20"/>
          <w:szCs w:val="20"/>
          <w:color w:val="auto"/>
        </w:rPr>
      </w:pPr>
      <w:r>
        <w:rPr>
          <w:rFonts w:ascii="Arial" w:cs="Arial" w:eastAsia="Arial" w:hAnsi="Arial"/>
          <w:sz w:val="16"/>
          <w:szCs w:val="16"/>
          <w:color w:val="auto"/>
        </w:rPr>
        <w:t>Effective from January 29, 2006, the Company adopted FASB Statement of Financial Accounting Standards No. 123 (revised 2004), “Share 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The Company has applied the provisions of SAB 107 in its adoption of SFAS 123R.</w:t>
      </w:r>
    </w:p>
    <w:p>
      <w:pPr>
        <w:sectPr>
          <w:pgSz w:w="11900" w:h="16838" w:orient="portrait"/>
          <w:cols w:equalWidth="0" w:num="1">
            <w:col w:w="11420"/>
          </w:cols>
          <w:pgMar w:left="240" w:top="125" w:right="239" w:bottom="14" w:gutter="0" w:footer="0" w:header="0"/>
        </w:sectPr>
      </w:pPr>
    </w:p>
    <w:bookmarkStart w:id="14" w:name="page15"/>
    <w:bookmarkEnd w:id="14"/>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360"/>
        <w:spacing w:after="0" w:line="277" w:lineRule="auto"/>
        <w:rPr>
          <w:sz w:val="20"/>
          <w:szCs w:val="20"/>
          <w:color w:val="auto"/>
        </w:rPr>
      </w:pPr>
      <w:r>
        <w:rPr>
          <w:rFonts w:ascii="Arial" w:cs="Arial" w:eastAsia="Arial" w:hAnsi="Arial"/>
          <w:sz w:val="18"/>
          <w:szCs w:val="18"/>
          <w:color w:val="auto"/>
        </w:rPr>
        <w:t>Prior to January 29, 2006, the Company accounted for its stock based compensation plans using the intrinsic value method under the provisions of APB 25 and related guidance, under the accelerated method of amortization.</w:t>
      </w:r>
    </w:p>
    <w:p>
      <w:pPr>
        <w:spacing w:after="0" w:line="170" w:lineRule="exact"/>
        <w:rPr>
          <w:sz w:val="20"/>
          <w:szCs w:val="20"/>
          <w:color w:val="auto"/>
        </w:rPr>
      </w:pPr>
    </w:p>
    <w:p>
      <w:pPr>
        <w:ind w:right="120" w:firstLine="360"/>
        <w:spacing w:after="0" w:line="259"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vest term.</w:t>
      </w:r>
    </w:p>
    <w:p>
      <w:pPr>
        <w:spacing w:after="0" w:line="187"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Cumulative Effect of Change in Accounting Principle</w:t>
      </w:r>
    </w:p>
    <w:p>
      <w:pPr>
        <w:spacing w:after="0" w:line="225" w:lineRule="exact"/>
        <w:rPr>
          <w:sz w:val="20"/>
          <w:szCs w:val="20"/>
          <w:color w:val="auto"/>
        </w:rPr>
      </w:pPr>
    </w:p>
    <w:p>
      <w:pPr>
        <w:jc w:val="both"/>
        <w:ind w:right="120" w:firstLine="243"/>
        <w:spacing w:after="0" w:line="264" w:lineRule="auto"/>
        <w:rPr>
          <w:sz w:val="20"/>
          <w:szCs w:val="20"/>
          <w:color w:val="auto"/>
        </w:rPr>
      </w:pPr>
      <w:r>
        <w:rPr>
          <w:rFonts w:ascii="Arial" w:cs="Arial" w:eastAsia="Arial" w:hAnsi="Arial"/>
          <w:sz w:val="18"/>
          <w:szCs w:val="18"/>
          <w:color w:val="auto"/>
        </w:rPr>
        <w:t>The adoption of SFAS 123R resulted in a cumulative benefit from change in auditing principle of $8.8 million net of tax as of the year ended January 27, 2007, as restated, reflecting the net cumulative impact of estimated forfeitures that were previously not included in the determination of historic stock-based compensation expense in periods prior to January 28, 2006.</w:t>
      </w:r>
    </w:p>
    <w:p>
      <w:pPr>
        <w:spacing w:after="0" w:line="181" w:lineRule="exact"/>
        <w:rPr>
          <w:sz w:val="20"/>
          <w:szCs w:val="20"/>
          <w:color w:val="auto"/>
        </w:rPr>
      </w:pPr>
    </w:p>
    <w:p>
      <w:pPr>
        <w:ind w:right="20" w:firstLine="243"/>
        <w:spacing w:after="0" w:line="293" w:lineRule="auto"/>
        <w:rPr>
          <w:sz w:val="20"/>
          <w:szCs w:val="20"/>
          <w:color w:val="auto"/>
        </w:rPr>
      </w:pPr>
      <w:r>
        <w:rPr>
          <w:rFonts w:ascii="Arial" w:cs="Arial" w:eastAsia="Arial" w:hAnsi="Arial"/>
          <w:sz w:val="16"/>
          <w:szCs w:val="16"/>
          <w:color w:val="auto"/>
        </w:rPr>
        <w:t>As a result of the adoption of SFAS 123R, stock-based compensation increased from $9.6 million in the first quarter of fiscal 2006 to $48.8 million in the first quarter of fiscal 2007. Stock-based compensation of $0.7 million was capitalized in inventory as of April 29, 2006. There was no stock-based compensation cost included in inventory as of January 28, 2006. In accordance with the modified prospective method, the consolidated financial statements for prior periods have not been restated to reflect, and do not include, the impact of SFAS 123R. Prior to the adoption of SFAS 123R, the Company presented deferred compensation as a separate component of shareholders’ equity. In accordance with the provisions of SFAS 123R, on January 29, 2006, unamortized deferred compensation totaling $62.0 million on that date was eliminated with a corresponding reduction in additional paid-in capital.</w:t>
      </w:r>
    </w:p>
    <w:p>
      <w:pPr>
        <w:spacing w:after="0" w:line="165" w:lineRule="exact"/>
        <w:rPr>
          <w:sz w:val="20"/>
          <w:szCs w:val="20"/>
          <w:color w:val="auto"/>
        </w:rPr>
      </w:pPr>
    </w:p>
    <w:p>
      <w:pPr>
        <w:ind w:right="40" w:firstLine="243"/>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We have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Supplemental Financial Information</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Available-for-sale investments (in thousands)</w:t>
      </w:r>
    </w:p>
    <w:p>
      <w:pPr>
        <w:spacing w:after="0" w:line="207"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4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gridSpan w:val="8"/>
          </w:tcPr>
          <w:p>
            <w:pPr>
              <w:ind w:left="280"/>
              <w:spacing w:after="0"/>
              <w:rPr>
                <w:sz w:val="20"/>
                <w:szCs w:val="20"/>
                <w:color w:val="auto"/>
              </w:rPr>
            </w:pPr>
            <w:r>
              <w:rPr>
                <w:rFonts w:ascii="Arial" w:cs="Arial" w:eastAsia="Arial" w:hAnsi="Arial"/>
                <w:sz w:val="14"/>
                <w:szCs w:val="14"/>
                <w:b w:val="1"/>
                <w:bCs w:val="1"/>
                <w:color w:val="auto"/>
              </w:rPr>
              <w:t>April 29, 2006</w:t>
            </w: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4240" w:type="dxa"/>
            <w:vAlign w:val="bottom"/>
          </w:tcPr>
          <w:p>
            <w:pPr>
              <w:spacing w:after="0"/>
              <w:rPr>
                <w:sz w:val="8"/>
                <w:szCs w:val="8"/>
                <w:color w:val="auto"/>
              </w:rPr>
            </w:pPr>
          </w:p>
        </w:tc>
        <w:tc>
          <w:tcPr>
            <w:tcW w:w="20" w:type="dxa"/>
            <w:vAlign w:val="bottom"/>
          </w:tcPr>
          <w:p>
            <w:pPr>
              <w:spacing w:after="0"/>
              <w:rPr>
                <w:sz w:val="8"/>
                <w:szCs w:val="8"/>
                <w:color w:val="auto"/>
              </w:rPr>
            </w:pPr>
          </w:p>
        </w:tc>
        <w:tc>
          <w:tcPr>
            <w:tcW w:w="900" w:type="dxa"/>
            <w:vAlign w:val="bottom"/>
            <w:gridSpan w:val="4"/>
            <w:vMerge w:val="restart"/>
          </w:tcPr>
          <w:p>
            <w:pPr>
              <w:jc w:val="center"/>
              <w:ind w:right="220"/>
              <w:spacing w:after="0"/>
              <w:rPr>
                <w:sz w:val="20"/>
                <w:szCs w:val="20"/>
                <w:color w:val="auto"/>
              </w:rPr>
            </w:pPr>
            <w:r>
              <w:rPr>
                <w:rFonts w:ascii="Arial" w:cs="Arial" w:eastAsia="Arial" w:hAnsi="Arial"/>
                <w:sz w:val="14"/>
                <w:szCs w:val="14"/>
                <w:b w:val="1"/>
                <w:bCs w:val="1"/>
                <w:color w:val="auto"/>
                <w:w w:val="93"/>
              </w:rPr>
              <w:t>Amortized</w:t>
            </w: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gridSpan w:val="2"/>
          </w:tcPr>
          <w:p>
            <w:pPr>
              <w:jc w:val="center"/>
              <w:ind w:right="120"/>
              <w:spacing w:after="0" w:line="102" w:lineRule="exact"/>
              <w:rPr>
                <w:sz w:val="20"/>
                <w:szCs w:val="20"/>
                <w:color w:val="auto"/>
              </w:rPr>
            </w:pPr>
            <w:r>
              <w:rPr>
                <w:rFonts w:ascii="Arial" w:cs="Arial" w:eastAsia="Arial" w:hAnsi="Arial"/>
                <w:sz w:val="11"/>
                <w:szCs w:val="11"/>
                <w:b w:val="1"/>
                <w:bCs w:val="1"/>
                <w:color w:val="auto"/>
              </w:rPr>
              <w:t>Gross</w:t>
            </w: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0" w:type="dxa"/>
            <w:vAlign w:val="bottom"/>
            <w:gridSpan w:val="3"/>
          </w:tcPr>
          <w:p>
            <w:pPr>
              <w:jc w:val="center"/>
              <w:ind w:right="280"/>
              <w:spacing w:after="0" w:line="102" w:lineRule="exact"/>
              <w:rPr>
                <w:sz w:val="20"/>
                <w:szCs w:val="20"/>
                <w:color w:val="auto"/>
              </w:rPr>
            </w:pPr>
            <w:r>
              <w:rPr>
                <w:rFonts w:ascii="Arial" w:cs="Arial" w:eastAsia="Arial" w:hAnsi="Arial"/>
                <w:sz w:val="11"/>
                <w:szCs w:val="11"/>
                <w:b w:val="1"/>
                <w:bCs w:val="1"/>
                <w:color w:val="auto"/>
              </w:rPr>
              <w:t>Gross</w:t>
            </w:r>
          </w:p>
        </w:tc>
        <w:tc>
          <w:tcPr>
            <w:tcW w:w="20" w:type="dxa"/>
            <w:vAlign w:val="bottom"/>
          </w:tcPr>
          <w:p>
            <w:pPr>
              <w:spacing w:after="0"/>
              <w:rPr>
                <w:sz w:val="8"/>
                <w:szCs w:val="8"/>
                <w:color w:val="auto"/>
              </w:rPr>
            </w:pPr>
          </w:p>
        </w:tc>
        <w:tc>
          <w:tcPr>
            <w:tcW w:w="800" w:type="dxa"/>
            <w:vAlign w:val="bottom"/>
            <w:gridSpan w:val="3"/>
            <w:vMerge w:val="restart"/>
          </w:tcPr>
          <w:p>
            <w:pPr>
              <w:jc w:val="center"/>
              <w:ind w:right="60"/>
              <w:spacing w:after="0"/>
              <w:rPr>
                <w:sz w:val="20"/>
                <w:szCs w:val="20"/>
                <w:color w:val="auto"/>
              </w:rPr>
            </w:pPr>
            <w:r>
              <w:rPr>
                <w:rFonts w:ascii="Arial" w:cs="Arial" w:eastAsia="Arial" w:hAnsi="Arial"/>
                <w:sz w:val="14"/>
                <w:szCs w:val="14"/>
                <w:b w:val="1"/>
                <w:bCs w:val="1"/>
                <w:color w:val="auto"/>
                <w:w w:val="92"/>
              </w:rPr>
              <w:t>Estimated</w:t>
            </w: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4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4"/>
            <w:vMerge w:val="continue"/>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gridSpan w:val="3"/>
          </w:tcPr>
          <w:p>
            <w:pPr>
              <w:jc w:val="center"/>
              <w:ind w:right="20"/>
              <w:spacing w:after="0" w:line="135" w:lineRule="exact"/>
              <w:rPr>
                <w:sz w:val="20"/>
                <w:szCs w:val="20"/>
                <w:color w:val="auto"/>
              </w:rPr>
            </w:pPr>
            <w:r>
              <w:rPr>
                <w:rFonts w:ascii="Arial" w:cs="Arial" w:eastAsia="Arial" w:hAnsi="Arial"/>
                <w:sz w:val="14"/>
                <w:szCs w:val="14"/>
                <w:b w:val="1"/>
                <w:bCs w:val="1"/>
                <w:color w:val="auto"/>
                <w:w w:val="93"/>
              </w:rPr>
              <w:t>Unrealized</w:t>
            </w: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4"/>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Unrealized</w:t>
            </w:r>
          </w:p>
        </w:tc>
        <w:tc>
          <w:tcPr>
            <w:tcW w:w="20" w:type="dxa"/>
            <w:vAlign w:val="bottom"/>
          </w:tcPr>
          <w:p>
            <w:pPr>
              <w:spacing w:after="0"/>
              <w:rPr>
                <w:sz w:val="11"/>
                <w:szCs w:val="11"/>
                <w:color w:val="auto"/>
              </w:rPr>
            </w:pPr>
          </w:p>
        </w:tc>
        <w:tc>
          <w:tcPr>
            <w:tcW w:w="800" w:type="dxa"/>
            <w:vAlign w:val="bottom"/>
            <w:gridSpan w:val="3"/>
            <w:vMerge w:val="continue"/>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2"/>
              </w:rPr>
              <w:t>Gains</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2"/>
              </w:rPr>
              <w:t>Losses</w:t>
            </w:r>
          </w:p>
        </w:tc>
        <w:tc>
          <w:tcPr>
            <w:tcW w:w="20" w:type="dxa"/>
            <w:vAlign w:val="bottom"/>
          </w:tcPr>
          <w:p>
            <w:pPr>
              <w:spacing w:after="0"/>
              <w:rPr>
                <w:sz w:val="14"/>
                <w:szCs w:val="14"/>
                <w:color w:val="auto"/>
              </w:rPr>
            </w:pPr>
          </w:p>
        </w:tc>
        <w:tc>
          <w:tcPr>
            <w:tcW w:w="80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8"/>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28,375</w:t>
            </w:r>
          </w:p>
        </w:tc>
        <w:tc>
          <w:tcPr>
            <w:tcW w:w="2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gridSpan w:val="2"/>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(494)</w:t>
            </w:r>
          </w:p>
        </w:tc>
        <w:tc>
          <w:tcPr>
            <w:tcW w:w="1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27,881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4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w w:val="92"/>
              </w:rPr>
              <w:t>263,086</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w w:val="92"/>
              </w:rPr>
              <w:t>263,086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42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80" w:type="dxa"/>
            <w:vAlign w:val="bottom"/>
            <w:tcBorders>
              <w:right w:val="single" w:sz="8" w:color="CCEEFF"/>
            </w:tcBorders>
            <w:shd w:val="clear" w:color="auto" w:fill="CCEEFF"/>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4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securities</w:t>
            </w:r>
          </w:p>
        </w:tc>
        <w:tc>
          <w:tcPr>
            <w:tcW w:w="2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102,555</w:t>
            </w:r>
          </w:p>
        </w:tc>
        <w:tc>
          <w:tcPr>
            <w:tcW w:w="20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(1,501)</w:t>
            </w:r>
          </w:p>
        </w:tc>
        <w:tc>
          <w:tcPr>
            <w:tcW w:w="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8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2"/>
              </w:rPr>
              <w:t>101,054</w:t>
            </w: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4240" w:type="dxa"/>
            <w:vAlign w:val="bottom"/>
          </w:tcPr>
          <w:p>
            <w:pPr>
              <w:spacing w:after="0"/>
              <w:rPr>
                <w:sz w:val="20"/>
                <w:szCs w:val="20"/>
                <w:color w:val="auto"/>
              </w:rPr>
            </w:pPr>
            <w:r>
              <w:rPr>
                <w:rFonts w:ascii="Arial" w:cs="Arial" w:eastAsia="Arial" w:hAnsi="Arial"/>
                <w:sz w:val="18"/>
                <w:szCs w:val="18"/>
                <w:color w:val="auto"/>
              </w:rPr>
              <w:t>Short-term investments</w:t>
            </w:r>
          </w:p>
        </w:tc>
        <w:tc>
          <w:tcPr>
            <w:tcW w:w="20" w:type="dxa"/>
            <w:vAlign w:val="bottom"/>
          </w:tcPr>
          <w:p>
            <w:pPr>
              <w:spacing w:after="0"/>
              <w:rPr>
                <w:sz w:val="19"/>
                <w:szCs w:val="19"/>
                <w:color w:val="auto"/>
              </w:rPr>
            </w:pPr>
          </w:p>
        </w:tc>
        <w:tc>
          <w:tcPr>
            <w:tcW w:w="70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84"/>
              </w:rPr>
              <w:t>$ 394,016</w:t>
            </w: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gridSpan w:val="2"/>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(1,995</w:t>
            </w:r>
          </w:p>
        </w:tc>
        <w:tc>
          <w:tcPr>
            <w:tcW w:w="180" w:type="dxa"/>
            <w:vAlign w:val="bottom"/>
          </w:tcPr>
          <w:p>
            <w:pPr>
              <w:jc w:val="right"/>
              <w:ind w:right="100"/>
              <w:spacing w:after="0"/>
              <w:rPr>
                <w:sz w:val="20"/>
                <w:szCs w:val="20"/>
                <w:color w:val="auto"/>
              </w:rPr>
            </w:pPr>
            <w:r>
              <w:rPr>
                <w:rFonts w:ascii="Arial" w:cs="Arial" w:eastAsia="Arial" w:hAnsi="Arial"/>
                <w:sz w:val="8"/>
                <w:szCs w:val="8"/>
                <w:color w:val="auto"/>
                <w:w w:val="73"/>
              </w:rPr>
              <w:t>)</w:t>
            </w:r>
          </w:p>
        </w:tc>
        <w:tc>
          <w:tcPr>
            <w:tcW w:w="20" w:type="dxa"/>
            <w:vAlign w:val="bottom"/>
          </w:tcPr>
          <w:p>
            <w:pPr>
              <w:spacing w:after="0"/>
              <w:rPr>
                <w:sz w:val="19"/>
                <w:szCs w:val="19"/>
                <w:color w:val="auto"/>
              </w:rPr>
            </w:pPr>
          </w:p>
        </w:tc>
        <w:tc>
          <w:tcPr>
            <w:tcW w:w="800" w:type="dxa"/>
            <w:vAlign w:val="bottom"/>
            <w:tcBorders>
              <w:top w:val="single" w:sz="8" w:color="auto"/>
              <w:bottom w:val="single" w:sz="8" w:color="auto"/>
            </w:tcBorders>
            <w:gridSpan w:val="3"/>
          </w:tcPr>
          <w:p>
            <w:pPr>
              <w:jc w:val="right"/>
              <w:ind w:right="60"/>
              <w:spacing w:after="0"/>
              <w:rPr>
                <w:sz w:val="20"/>
                <w:szCs w:val="20"/>
                <w:color w:val="auto"/>
              </w:rPr>
            </w:pPr>
            <w:r>
              <w:rPr>
                <w:rFonts w:ascii="Arial" w:cs="Arial" w:eastAsia="Arial" w:hAnsi="Arial"/>
                <w:sz w:val="18"/>
                <w:szCs w:val="18"/>
                <w:color w:val="auto"/>
                <w:w w:val="89"/>
              </w:rPr>
              <w:t>$ 392,021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00" w:type="dxa"/>
            <w:vAlign w:val="bottom"/>
            <w:tcBorders>
              <w:bottom w:val="single" w:sz="8" w:color="auto"/>
            </w:tcBorders>
            <w:gridSpan w:val="2"/>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424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8"/>
          </w:tcPr>
          <w:p>
            <w:pPr>
              <w:ind w:left="180"/>
              <w:spacing w:after="0"/>
              <w:rPr>
                <w:sz w:val="20"/>
                <w:szCs w:val="20"/>
                <w:color w:val="auto"/>
              </w:rPr>
            </w:pPr>
            <w:r>
              <w:rPr>
                <w:rFonts w:ascii="Arial" w:cs="Arial" w:eastAsia="Arial" w:hAnsi="Arial"/>
                <w:sz w:val="14"/>
                <w:szCs w:val="14"/>
                <w:b w:val="1"/>
                <w:bCs w:val="1"/>
                <w:color w:val="auto"/>
              </w:rPr>
              <w:t>January 28, 2006</w:t>
            </w:r>
          </w:p>
        </w:tc>
        <w:tc>
          <w:tcPr>
            <w:tcW w:w="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4240" w:type="dxa"/>
            <w:vAlign w:val="bottom"/>
          </w:tcPr>
          <w:p>
            <w:pPr>
              <w:spacing w:after="0"/>
              <w:rPr>
                <w:sz w:val="8"/>
                <w:szCs w:val="8"/>
                <w:color w:val="auto"/>
              </w:rPr>
            </w:pPr>
          </w:p>
        </w:tc>
        <w:tc>
          <w:tcPr>
            <w:tcW w:w="20" w:type="dxa"/>
            <w:vAlign w:val="bottom"/>
          </w:tcPr>
          <w:p>
            <w:pPr>
              <w:spacing w:after="0"/>
              <w:rPr>
                <w:sz w:val="8"/>
                <w:szCs w:val="8"/>
                <w:color w:val="auto"/>
              </w:rPr>
            </w:pPr>
          </w:p>
        </w:tc>
        <w:tc>
          <w:tcPr>
            <w:tcW w:w="900" w:type="dxa"/>
            <w:vAlign w:val="bottom"/>
            <w:gridSpan w:val="4"/>
            <w:vMerge w:val="restart"/>
          </w:tcPr>
          <w:p>
            <w:pPr>
              <w:jc w:val="center"/>
              <w:ind w:right="240"/>
              <w:spacing w:after="0"/>
              <w:rPr>
                <w:sz w:val="20"/>
                <w:szCs w:val="20"/>
                <w:color w:val="auto"/>
              </w:rPr>
            </w:pPr>
            <w:r>
              <w:rPr>
                <w:rFonts w:ascii="Arial" w:cs="Arial" w:eastAsia="Arial" w:hAnsi="Arial"/>
                <w:sz w:val="14"/>
                <w:szCs w:val="14"/>
                <w:b w:val="1"/>
                <w:bCs w:val="1"/>
                <w:color w:val="auto"/>
                <w:w w:val="96"/>
              </w:rPr>
              <w:t>Amortized</w:t>
            </w: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gridSpan w:val="2"/>
          </w:tcPr>
          <w:p>
            <w:pPr>
              <w:jc w:val="center"/>
              <w:ind w:right="160"/>
              <w:spacing w:after="0" w:line="102" w:lineRule="exact"/>
              <w:rPr>
                <w:sz w:val="20"/>
                <w:szCs w:val="20"/>
                <w:color w:val="auto"/>
              </w:rPr>
            </w:pPr>
            <w:r>
              <w:rPr>
                <w:rFonts w:ascii="Arial" w:cs="Arial" w:eastAsia="Arial" w:hAnsi="Arial"/>
                <w:sz w:val="11"/>
                <w:szCs w:val="11"/>
                <w:b w:val="1"/>
                <w:bCs w:val="1"/>
                <w:color w:val="auto"/>
              </w:rPr>
              <w:t>Gross</w:t>
            </w: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0" w:type="dxa"/>
            <w:vAlign w:val="bottom"/>
            <w:gridSpan w:val="3"/>
          </w:tcPr>
          <w:p>
            <w:pPr>
              <w:jc w:val="center"/>
              <w:ind w:right="300"/>
              <w:spacing w:after="0" w:line="102" w:lineRule="exact"/>
              <w:rPr>
                <w:sz w:val="20"/>
                <w:szCs w:val="20"/>
                <w:color w:val="auto"/>
              </w:rPr>
            </w:pPr>
            <w:r>
              <w:rPr>
                <w:rFonts w:ascii="Arial" w:cs="Arial" w:eastAsia="Arial" w:hAnsi="Arial"/>
                <w:sz w:val="11"/>
                <w:szCs w:val="11"/>
                <w:b w:val="1"/>
                <w:bCs w:val="1"/>
                <w:color w:val="auto"/>
              </w:rPr>
              <w:t>Gross</w:t>
            </w:r>
          </w:p>
        </w:tc>
        <w:tc>
          <w:tcPr>
            <w:tcW w:w="20" w:type="dxa"/>
            <w:vAlign w:val="bottom"/>
          </w:tcPr>
          <w:p>
            <w:pPr>
              <w:spacing w:after="0"/>
              <w:rPr>
                <w:sz w:val="8"/>
                <w:szCs w:val="8"/>
                <w:color w:val="auto"/>
              </w:rPr>
            </w:pPr>
          </w:p>
        </w:tc>
        <w:tc>
          <w:tcPr>
            <w:tcW w:w="80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2"/>
              </w:rPr>
              <w:t>Estimated</w:t>
            </w: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42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4"/>
            <w:vMerge w:val="continue"/>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gridSpan w:val="3"/>
          </w:tcPr>
          <w:p>
            <w:pPr>
              <w:jc w:val="center"/>
              <w:ind w:right="40"/>
              <w:spacing w:after="0" w:line="135" w:lineRule="exact"/>
              <w:rPr>
                <w:sz w:val="20"/>
                <w:szCs w:val="20"/>
                <w:color w:val="auto"/>
              </w:rPr>
            </w:pPr>
            <w:r>
              <w:rPr>
                <w:rFonts w:ascii="Arial" w:cs="Arial" w:eastAsia="Arial" w:hAnsi="Arial"/>
                <w:sz w:val="14"/>
                <w:szCs w:val="14"/>
                <w:b w:val="1"/>
                <w:bCs w:val="1"/>
                <w:color w:val="auto"/>
                <w:w w:val="95"/>
              </w:rPr>
              <w:t>Unrealized</w:t>
            </w: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gridSpan w:val="4"/>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Unrealized</w:t>
            </w:r>
          </w:p>
        </w:tc>
        <w:tc>
          <w:tcPr>
            <w:tcW w:w="20" w:type="dxa"/>
            <w:vAlign w:val="bottom"/>
          </w:tcPr>
          <w:p>
            <w:pPr>
              <w:spacing w:after="0"/>
              <w:rPr>
                <w:sz w:val="11"/>
                <w:szCs w:val="11"/>
                <w:color w:val="auto"/>
              </w:rPr>
            </w:pPr>
          </w:p>
        </w:tc>
        <w:tc>
          <w:tcPr>
            <w:tcW w:w="800" w:type="dxa"/>
            <w:vAlign w:val="bottom"/>
            <w:gridSpan w:val="3"/>
            <w:vMerge w:val="continue"/>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Gains</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82"/>
              </w:rPr>
              <w:t>Losses</w:t>
            </w:r>
          </w:p>
        </w:tc>
        <w:tc>
          <w:tcPr>
            <w:tcW w:w="20" w:type="dxa"/>
            <w:vAlign w:val="bottom"/>
          </w:tcPr>
          <w:p>
            <w:pPr>
              <w:spacing w:after="0"/>
              <w:rPr>
                <w:sz w:val="14"/>
                <w:szCs w:val="14"/>
                <w:color w:val="auto"/>
              </w:rPr>
            </w:pPr>
          </w:p>
        </w:tc>
        <w:tc>
          <w:tcPr>
            <w:tcW w:w="80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5"/>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33,662</w:t>
            </w: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ind w:left="400"/>
              <w:spacing w:after="0"/>
              <w:rPr>
                <w:sz w:val="20"/>
                <w:szCs w:val="20"/>
                <w:color w:val="auto"/>
              </w:rPr>
            </w:pPr>
            <w:r>
              <w:rPr>
                <w:rFonts w:ascii="Arial" w:cs="Arial" w:eastAsia="Arial" w:hAnsi="Arial"/>
                <w:sz w:val="18"/>
                <w:szCs w:val="18"/>
                <w:color w:val="auto"/>
                <w:w w:val="88"/>
              </w:rPr>
              <w:t>—</w:t>
            </w: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200" w:type="dxa"/>
            <w:vAlign w:val="bottom"/>
            <w:tcBorders>
              <w:top w:val="single" w:sz="8" w:color="CCEEFF"/>
            </w:tcBorders>
            <w:gridSpan w:val="2"/>
            <w:shd w:val="clear" w:color="auto" w:fill="CCEEFF"/>
          </w:tcPr>
          <w:p>
            <w:pPr>
              <w:spacing w:after="0"/>
              <w:rPr>
                <w:sz w:val="18"/>
                <w:szCs w:val="18"/>
                <w:color w:val="auto"/>
              </w:rPr>
            </w:pPr>
          </w:p>
        </w:tc>
        <w:tc>
          <w:tcPr>
            <w:tcW w:w="1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33,111</w:t>
            </w:r>
          </w:p>
        </w:tc>
        <w:tc>
          <w:tcPr>
            <w:tcW w:w="80" w:type="dxa"/>
            <w:vAlign w:val="bottom"/>
            <w:tcBorders>
              <w:top w:val="single" w:sz="8" w:color="CCEEFF"/>
              <w:right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4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438,615</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gridSpan w:val="2"/>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438,615</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42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80" w:type="dxa"/>
            <w:vAlign w:val="bottom"/>
            <w:tcBorders>
              <w:right w:val="single" w:sz="8" w:color="CCEEFF"/>
            </w:tcBorders>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4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securities</w:t>
            </w:r>
          </w:p>
        </w:tc>
        <w:tc>
          <w:tcPr>
            <w:tcW w:w="2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107,414</w:t>
            </w:r>
          </w:p>
        </w:tc>
        <w:tc>
          <w:tcPr>
            <w:tcW w:w="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(1,592)</w:t>
            </w:r>
          </w:p>
        </w:tc>
        <w:tc>
          <w:tcPr>
            <w:tcW w:w="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105,822</w:t>
            </w:r>
          </w:p>
        </w:tc>
        <w:tc>
          <w:tcPr>
            <w:tcW w:w="80" w:type="dxa"/>
            <w:vAlign w:val="bottom"/>
            <w:tcBorders>
              <w:right w:val="single" w:sz="8" w:color="CCEEFF"/>
            </w:tcBorders>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4240" w:type="dxa"/>
            <w:vAlign w:val="bottom"/>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579,691</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ind w:left="40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(2,143)</w:t>
            </w:r>
          </w:p>
        </w:tc>
        <w:tc>
          <w:tcPr>
            <w:tcW w:w="200" w:type="dxa"/>
            <w:vAlign w:val="bottom"/>
            <w:gridSpan w:val="2"/>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577,548</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Less amounts classified as cash equivalents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(4,957)</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(4,957)</w:t>
            </w: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240" w:type="dxa"/>
            <w:vAlign w:val="bottom"/>
          </w:tcPr>
          <w:p>
            <w:pPr>
              <w:spacing w:after="0"/>
              <w:rPr>
                <w:sz w:val="20"/>
                <w:szCs w:val="20"/>
                <w:color w:val="auto"/>
              </w:rPr>
            </w:pPr>
            <w:r>
              <w:rPr>
                <w:rFonts w:ascii="Arial" w:cs="Arial" w:eastAsia="Arial" w:hAnsi="Arial"/>
                <w:sz w:val="18"/>
                <w:szCs w:val="18"/>
                <w:color w:val="auto"/>
              </w:rPr>
              <w:t>Short-term investments</w:t>
            </w:r>
          </w:p>
        </w:tc>
        <w:tc>
          <w:tcPr>
            <w:tcW w:w="70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84"/>
              </w:rPr>
              <w:t>$ 574,734</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tcPr>
          <w:p>
            <w:pPr>
              <w:ind w:left="40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(2,143</w:t>
            </w:r>
          </w:p>
        </w:tc>
        <w:tc>
          <w:tcPr>
            <w:tcW w:w="200" w:type="dxa"/>
            <w:vAlign w:val="bottom"/>
            <w:gridSpan w:val="2"/>
          </w:tcPr>
          <w:p>
            <w:pPr>
              <w:jc w:val="right"/>
              <w:ind w:right="100"/>
              <w:spacing w:after="0"/>
              <w:rPr>
                <w:sz w:val="20"/>
                <w:szCs w:val="20"/>
                <w:color w:val="auto"/>
              </w:rPr>
            </w:pPr>
            <w:r>
              <w:rPr>
                <w:rFonts w:ascii="Arial" w:cs="Arial" w:eastAsia="Arial" w:hAnsi="Arial"/>
                <w:sz w:val="16"/>
                <w:szCs w:val="16"/>
                <w:color w:val="auto"/>
                <w:w w:val="74"/>
              </w:rPr>
              <w:t>)</w:t>
            </w:r>
          </w:p>
        </w:tc>
        <w:tc>
          <w:tcPr>
            <w:tcW w:w="7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89"/>
              </w:rPr>
              <w:t>$ 572,591</w:t>
            </w: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24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00" w:firstLine="259"/>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81" w:lineRule="exact"/>
        <w:rPr>
          <w:sz w:val="20"/>
          <w:szCs w:val="20"/>
          <w:color w:val="auto"/>
        </w:rPr>
      </w:pPr>
    </w:p>
    <w:p>
      <w:pPr>
        <w:ind w:right="180" w:firstLine="259"/>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April 29, 2006 are presented in the following table (in thousands):</w:t>
      </w:r>
    </w:p>
    <w:p>
      <w:pPr>
        <w:spacing w:after="0" w:line="132" w:lineRule="exact"/>
        <w:rPr>
          <w:sz w:val="20"/>
          <w:szCs w:val="20"/>
          <w:color w:val="auto"/>
        </w:rPr>
      </w:pPr>
    </w:p>
    <w:tbl>
      <w:tblPr>
        <w:tblLayout w:type="fixed"/>
        <w:tblInd w:w="2160" w:type="dxa"/>
        <w:tblCellMar>
          <w:top w:w="0" w:type="dxa"/>
          <w:left w:w="0" w:type="dxa"/>
          <w:bottom w:w="0" w:type="dxa"/>
          <w:right w:w="0" w:type="dxa"/>
        </w:tblCellMar>
      </w:tblPr>
      <w:tr>
        <w:trPr>
          <w:trHeight w:val="161"/>
        </w:trPr>
        <w:tc>
          <w:tcPr>
            <w:tcW w:w="34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94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96"/>
              </w:rPr>
              <w:t>Amortized</w:t>
            </w:r>
          </w:p>
        </w:tc>
        <w:tc>
          <w:tcPr>
            <w:tcW w:w="780" w:type="dxa"/>
            <w:vAlign w:val="bottom"/>
            <w:gridSpan w:val="3"/>
          </w:tcPr>
          <w:p>
            <w:pPr>
              <w:ind w:left="40"/>
              <w:spacing w:after="0"/>
              <w:rPr>
                <w:sz w:val="20"/>
                <w:szCs w:val="20"/>
                <w:color w:val="auto"/>
              </w:rPr>
            </w:pPr>
            <w:r>
              <w:rPr>
                <w:rFonts w:ascii="Arial" w:cs="Arial" w:eastAsia="Arial" w:hAnsi="Arial"/>
                <w:sz w:val="14"/>
                <w:szCs w:val="14"/>
                <w:b w:val="1"/>
                <w:bCs w:val="1"/>
                <w:color w:val="auto"/>
              </w:rPr>
              <w:t>Estimated</w:t>
            </w:r>
          </w:p>
        </w:tc>
      </w:tr>
      <w:tr>
        <w:trPr>
          <w:trHeight w:val="162"/>
        </w:trPr>
        <w:tc>
          <w:tcPr>
            <w:tcW w:w="34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9"/>
              </w:rPr>
              <w:t>Cost</w:t>
            </w:r>
          </w:p>
        </w:tc>
        <w:tc>
          <w:tcPr>
            <w:tcW w:w="780" w:type="dxa"/>
            <w:vAlign w:val="bottom"/>
            <w:gridSpan w:val="3"/>
          </w:tcPr>
          <w:p>
            <w:pPr>
              <w:ind w:left="4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34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68,014</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67,493</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346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62,916</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61,442</w:t>
            </w:r>
          </w:p>
        </w:tc>
        <w:tc>
          <w:tcPr>
            <w:tcW w:w="60" w:type="dxa"/>
            <w:vAlign w:val="bottom"/>
          </w:tcPr>
          <w:p>
            <w:pPr>
              <w:spacing w:after="0"/>
              <w:rPr>
                <w:sz w:val="18"/>
                <w:szCs w:val="18"/>
                <w:color w:val="auto"/>
              </w:rPr>
            </w:pPr>
          </w:p>
        </w:tc>
      </w:tr>
      <w:tr>
        <w:trPr>
          <w:trHeight w:val="216"/>
        </w:trPr>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263,086</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263,086</w:t>
            </w:r>
          </w:p>
        </w:tc>
        <w:tc>
          <w:tcPr>
            <w:tcW w:w="60" w:type="dxa"/>
            <w:vAlign w:val="bottom"/>
            <w:shd w:val="clear" w:color="auto" w:fill="CCEEFF"/>
          </w:tcPr>
          <w:p>
            <w:pPr>
              <w:spacing w:after="0"/>
              <w:rPr>
                <w:sz w:val="18"/>
                <w:szCs w:val="18"/>
                <w:color w:val="auto"/>
              </w:rPr>
            </w:pPr>
          </w:p>
        </w:tc>
      </w:tr>
      <w:tr>
        <w:trPr>
          <w:trHeight w:val="210"/>
        </w:trPr>
        <w:tc>
          <w:tcPr>
            <w:tcW w:w="34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394,016</w:t>
            </w:r>
          </w:p>
        </w:tc>
        <w:tc>
          <w:tcPr>
            <w:tcW w:w="2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392,021</w:t>
            </w:r>
          </w:p>
        </w:tc>
        <w:tc>
          <w:tcPr>
            <w:tcW w:w="60" w:type="dxa"/>
            <w:vAlign w:val="bottom"/>
          </w:tcPr>
          <w:p>
            <w:pPr>
              <w:spacing w:after="0"/>
              <w:rPr>
                <w:sz w:val="18"/>
                <w:szCs w:val="18"/>
                <w:color w:val="auto"/>
              </w:rPr>
            </w:pPr>
          </w:p>
        </w:tc>
      </w:tr>
      <w:tr>
        <w:trPr>
          <w:trHeight w:val="20"/>
        </w:trPr>
        <w:tc>
          <w:tcPr>
            <w:tcW w:w="346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243"/>
        <w:spacing w:after="0" w:line="277" w:lineRule="auto"/>
        <w:rPr>
          <w:sz w:val="20"/>
          <w:szCs w:val="20"/>
          <w:color w:val="auto"/>
        </w:rPr>
      </w:pPr>
      <w:r>
        <w:rPr>
          <w:rFonts w:ascii="Arial" w:cs="Arial" w:eastAsia="Arial" w:hAnsi="Arial"/>
          <w:sz w:val="18"/>
          <w:szCs w:val="18"/>
          <w:color w:val="auto"/>
        </w:rPr>
        <w:t>Included in the Company’s available-for-sale investments are fixed income securities. As market yields increase, those securities with a lower yield-at-cost show a mark-to-market unrealized loss. All unrealized losses are primarily due to changes in interest rates</w:t>
      </w:r>
    </w:p>
    <w:p>
      <w:pPr>
        <w:sectPr>
          <w:pgSz w:w="11900" w:h="16838" w:orient="portrait"/>
          <w:cols w:equalWidth="0" w:num="1">
            <w:col w:w="11400"/>
          </w:cols>
          <w:pgMar w:left="240" w:top="125" w:right="259" w:bottom="0" w:gutter="0" w:footer="0" w:header="0"/>
        </w:sectPr>
      </w:pP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21</w:t>
      </w:r>
    </w:p>
    <w:p>
      <w:pPr>
        <w:sectPr>
          <w:pgSz w:w="11900" w:h="16838" w:orient="portrait"/>
          <w:cols w:equalWidth="0" w:num="1">
            <w:col w:w="11400"/>
          </w:cols>
          <w:pgMar w:left="240" w:top="125" w:right="259" w:bottom="0" w:gutter="0" w:footer="0" w:header="0"/>
          <w:type w:val="continuous"/>
        </w:sectPr>
      </w:pPr>
    </w:p>
    <w:bookmarkStart w:id="15" w:name="page16"/>
    <w:bookmarkEnd w:id="15"/>
    <w:p>
      <w:pPr>
        <w:ind w:right="12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t>and bond yields. Investments are reviewed periodically to identify possible other-than-temporary impairment. When evaluating the investments, the Company 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11"/>
          </w:tcPr>
          <w:p>
            <w:pPr>
              <w:jc w:val="center"/>
              <w:spacing w:after="0"/>
              <w:rPr>
                <w:sz w:val="20"/>
                <w:szCs w:val="20"/>
                <w:color w:val="auto"/>
              </w:rPr>
            </w:pPr>
            <w:r>
              <w:rPr>
                <w:rFonts w:ascii="Arial" w:cs="Arial" w:eastAsia="Arial" w:hAnsi="Arial"/>
                <w:sz w:val="14"/>
                <w:szCs w:val="14"/>
                <w:b w:val="1"/>
                <w:bCs w:val="1"/>
                <w:color w:val="auto"/>
                <w:w w:val="95"/>
              </w:rPr>
              <w:t>April 29, 2006</w:t>
            </w:r>
          </w:p>
        </w:tc>
        <w:tc>
          <w:tcPr>
            <w:tcW w:w="5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540" w:type="dxa"/>
            <w:vAlign w:val="bottom"/>
            <w:gridSpan w:val="7"/>
          </w:tcPr>
          <w:p>
            <w:pPr>
              <w:jc w:val="center"/>
              <w:ind w:left="200"/>
              <w:spacing w:after="0" w:line="129" w:lineRule="exact"/>
              <w:rPr>
                <w:sz w:val="20"/>
                <w:szCs w:val="20"/>
                <w:color w:val="auto"/>
              </w:rPr>
            </w:pPr>
            <w:r>
              <w:rPr>
                <w:rFonts w:ascii="Arial" w:cs="Arial" w:eastAsia="Arial" w:hAnsi="Arial"/>
                <w:sz w:val="14"/>
                <w:szCs w:val="14"/>
                <w:b w:val="1"/>
                <w:bCs w:val="1"/>
                <w:color w:val="auto"/>
                <w:w w:val="90"/>
              </w:rPr>
              <w:t>Less than 12 months</w:t>
            </w: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0" w:type="dxa"/>
            <w:vAlign w:val="bottom"/>
            <w:gridSpan w:val="16"/>
          </w:tcPr>
          <w:p>
            <w:pPr>
              <w:jc w:val="center"/>
              <w:ind w:right="480"/>
              <w:spacing w:after="0" w:line="129" w:lineRule="exact"/>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60" w:type="dxa"/>
            <w:vAlign w:val="bottom"/>
            <w:gridSpan w:val="3"/>
          </w:tcPr>
          <w:p>
            <w:pPr>
              <w:jc w:val="right"/>
              <w:ind w:right="5"/>
              <w:spacing w:after="0" w:line="129" w:lineRule="exact"/>
              <w:rPr>
                <w:sz w:val="20"/>
                <w:szCs w:val="20"/>
                <w:color w:val="auto"/>
              </w:rPr>
            </w:pPr>
            <w:r>
              <w:rPr>
                <w:rFonts w:ascii="Arial" w:cs="Arial" w:eastAsia="Arial" w:hAnsi="Arial"/>
                <w:sz w:val="14"/>
                <w:szCs w:val="14"/>
                <w:b w:val="1"/>
                <w:bCs w:val="1"/>
                <w:color w:val="auto"/>
              </w:rPr>
              <w:t>Total</w:t>
            </w: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7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80" w:type="dxa"/>
            <w:vAlign w:val="bottom"/>
            <w:tcBorders>
              <w:top w:val="single" w:sz="8" w:color="auto"/>
            </w:tcBorders>
            <w:gridSpan w:val="3"/>
          </w:tcPr>
          <w:p>
            <w:pPr>
              <w:jc w:val="center"/>
              <w:ind w:right="160"/>
              <w:spacing w:after="0" w:line="102" w:lineRule="exact"/>
              <w:rPr>
                <w:sz w:val="20"/>
                <w:szCs w:val="20"/>
                <w:color w:val="auto"/>
              </w:rPr>
            </w:pPr>
            <w:r>
              <w:rPr>
                <w:rFonts w:ascii="Arial" w:cs="Arial" w:eastAsia="Arial" w:hAnsi="Arial"/>
                <w:sz w:val="11"/>
                <w:szCs w:val="11"/>
                <w:b w:val="1"/>
                <w:bCs w:val="1"/>
                <w:color w:val="auto"/>
              </w:rPr>
              <w:t>Fair</w:t>
            </w:r>
          </w:p>
        </w:tc>
        <w:tc>
          <w:tcPr>
            <w:tcW w:w="40" w:type="dxa"/>
            <w:vAlign w:val="bottom"/>
            <w:tcBorders>
              <w:top w:val="single" w:sz="8" w:color="auto"/>
            </w:tcBorders>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780" w:type="dxa"/>
            <w:vAlign w:val="bottom"/>
            <w:tcBorders>
              <w:top w:val="single" w:sz="8" w:color="auto"/>
            </w:tcBorders>
            <w:gridSpan w:val="3"/>
          </w:tcPr>
          <w:p>
            <w:pPr>
              <w:jc w:val="center"/>
              <w:ind w:left="5"/>
              <w:spacing w:after="0" w:line="102" w:lineRule="exact"/>
              <w:rPr>
                <w:sz w:val="20"/>
                <w:szCs w:val="20"/>
                <w:color w:val="auto"/>
              </w:rPr>
            </w:pPr>
            <w:r>
              <w:rPr>
                <w:rFonts w:ascii="Arial" w:cs="Arial" w:eastAsia="Arial" w:hAnsi="Arial"/>
                <w:sz w:val="11"/>
                <w:szCs w:val="11"/>
                <w:b w:val="1"/>
                <w:bCs w:val="1"/>
                <w:color w:val="auto"/>
              </w:rPr>
              <w:t>Unrealized</w:t>
            </w:r>
          </w:p>
        </w:tc>
        <w:tc>
          <w:tcPr>
            <w:tcW w:w="40" w:type="dxa"/>
            <w:vAlign w:val="bottom"/>
            <w:tcBorders>
              <w:top w:val="single" w:sz="8" w:color="auto"/>
            </w:tcBorders>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520" w:type="dxa"/>
            <w:vAlign w:val="bottom"/>
            <w:tcBorders>
              <w:top w:val="single" w:sz="8" w:color="auto"/>
            </w:tcBorders>
            <w:gridSpan w:val="7"/>
          </w:tcPr>
          <w:p>
            <w:pPr>
              <w:jc w:val="center"/>
              <w:spacing w:after="0" w:line="102" w:lineRule="exact"/>
              <w:rPr>
                <w:sz w:val="20"/>
                <w:szCs w:val="20"/>
                <w:color w:val="auto"/>
              </w:rPr>
            </w:pPr>
            <w:r>
              <w:rPr>
                <w:rFonts w:ascii="Arial" w:cs="Arial" w:eastAsia="Arial" w:hAnsi="Arial"/>
                <w:sz w:val="11"/>
                <w:szCs w:val="11"/>
                <w:b w:val="1"/>
                <w:bCs w:val="1"/>
                <w:color w:val="auto"/>
              </w:rPr>
              <w:t>Fair</w:t>
            </w:r>
          </w:p>
        </w:tc>
        <w:tc>
          <w:tcPr>
            <w:tcW w:w="18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26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840" w:type="dxa"/>
            <w:vAlign w:val="bottom"/>
            <w:tcBorders>
              <w:top w:val="single" w:sz="8" w:color="auto"/>
            </w:tcBorders>
            <w:gridSpan w:val="5"/>
          </w:tcPr>
          <w:p>
            <w:pPr>
              <w:jc w:val="center"/>
              <w:spacing w:after="0" w:line="102" w:lineRule="exact"/>
              <w:rPr>
                <w:sz w:val="20"/>
                <w:szCs w:val="20"/>
                <w:color w:val="auto"/>
              </w:rPr>
            </w:pPr>
            <w:r>
              <w:rPr>
                <w:rFonts w:ascii="Arial" w:cs="Arial" w:eastAsia="Arial" w:hAnsi="Arial"/>
                <w:sz w:val="11"/>
                <w:szCs w:val="11"/>
                <w:b w:val="1"/>
                <w:bCs w:val="1"/>
                <w:color w:val="auto"/>
              </w:rPr>
              <w:t>Unrealized</w:t>
            </w: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980" w:type="dxa"/>
            <w:vAlign w:val="bottom"/>
            <w:tcBorders>
              <w:top w:val="single" w:sz="8" w:color="auto"/>
            </w:tcBorders>
            <w:gridSpan w:val="2"/>
          </w:tcPr>
          <w:p>
            <w:pPr>
              <w:jc w:val="center"/>
              <w:ind w:right="460"/>
              <w:spacing w:after="0" w:line="102" w:lineRule="exact"/>
              <w:rPr>
                <w:sz w:val="20"/>
                <w:szCs w:val="20"/>
                <w:color w:val="auto"/>
              </w:rPr>
            </w:pPr>
            <w:r>
              <w:rPr>
                <w:rFonts w:ascii="Arial" w:cs="Arial" w:eastAsia="Arial" w:hAnsi="Arial"/>
                <w:sz w:val="11"/>
                <w:szCs w:val="11"/>
                <w:b w:val="1"/>
                <w:bCs w:val="1"/>
                <w:color w:val="auto"/>
              </w:rPr>
              <w:t>Fair</w:t>
            </w:r>
          </w:p>
        </w:tc>
        <w:tc>
          <w:tcPr>
            <w:tcW w:w="8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jc w:val="center"/>
              <w:ind w:right="2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0"/>
              </w:rPr>
              <w:t>Value</w:t>
            </w:r>
          </w:p>
        </w:tc>
        <w:tc>
          <w:tcPr>
            <w:tcW w:w="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gridSpan w:val="7"/>
          </w:tcPr>
          <w:p>
            <w:pPr>
              <w:jc w:val="center"/>
              <w:spacing w:after="0"/>
              <w:rPr>
                <w:sz w:val="20"/>
                <w:szCs w:val="20"/>
                <w:color w:val="auto"/>
              </w:rPr>
            </w:pPr>
            <w:r>
              <w:rPr>
                <w:rFonts w:ascii="Arial" w:cs="Arial" w:eastAsia="Arial" w:hAnsi="Arial"/>
                <w:sz w:val="14"/>
                <w:szCs w:val="14"/>
                <w:b w:val="1"/>
                <w:bCs w:val="1"/>
                <w:color w:val="auto"/>
                <w:w w:val="96"/>
              </w:rPr>
              <w:t>Value</w:t>
            </w: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5"/>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6"/>
              </w:rPr>
              <w:t>Value</w:t>
            </w:r>
          </w:p>
        </w:tc>
        <w:tc>
          <w:tcPr>
            <w:tcW w:w="8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900" w:type="dxa"/>
            <w:vAlign w:val="bottom"/>
            <w:tcBorders>
              <w:top w:val="single" w:sz="8" w:color="CCEEFF"/>
            </w:tcBorders>
            <w:gridSpan w:val="3"/>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7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gridSpan w:val="2"/>
            <w:shd w:val="clear" w:color="auto" w:fill="CCEEFF"/>
          </w:tcPr>
          <w:p>
            <w:pPr>
              <w:ind w:left="580"/>
              <w:spacing w:after="0"/>
              <w:rPr>
                <w:sz w:val="20"/>
                <w:szCs w:val="20"/>
                <w:color w:val="auto"/>
              </w:rPr>
            </w:pPr>
            <w:r>
              <w:rPr>
                <w:rFonts w:ascii="Arial" w:cs="Arial" w:eastAsia="Arial" w:hAnsi="Arial"/>
                <w:sz w:val="18"/>
                <w:szCs w:val="18"/>
                <w:color w:val="auto"/>
                <w:w w:val="88"/>
              </w:rPr>
              <w:t>—</w:t>
            </w:r>
          </w:p>
        </w:tc>
        <w:tc>
          <w:tcPr>
            <w:tcW w:w="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gridSpan w:val="2"/>
            <w:shd w:val="clear" w:color="auto" w:fill="CCEEFF"/>
          </w:tcPr>
          <w:p>
            <w:pPr>
              <w:jc w:val="right"/>
              <w:ind w:right="325"/>
              <w:spacing w:after="0"/>
              <w:rPr>
                <w:sz w:val="20"/>
                <w:szCs w:val="20"/>
                <w:color w:val="auto"/>
              </w:rPr>
            </w:pPr>
            <w:r>
              <w:rPr>
                <w:rFonts w:ascii="Arial" w:cs="Arial" w:eastAsia="Arial" w:hAnsi="Arial"/>
                <w:sz w:val="18"/>
                <w:szCs w:val="18"/>
                <w:color w:val="auto"/>
                <w:w w:val="79"/>
              </w:rPr>
              <w:t>$</w:t>
            </w:r>
          </w:p>
        </w:tc>
        <w:tc>
          <w:tcPr>
            <w:tcW w:w="14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auto"/>
            </w:tcBorders>
            <w:gridSpan w:val="3"/>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2"/>
            <w:shd w:val="clear" w:color="auto" w:fill="CCEEFF"/>
          </w:tcPr>
          <w:p>
            <w:pPr>
              <w:jc w:val="right"/>
              <w:ind w:right="5"/>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gridSpan w:val="8"/>
            <w:shd w:val="clear" w:color="auto" w:fill="CCEEFF"/>
          </w:tcPr>
          <w:p>
            <w:pPr>
              <w:jc w:val="right"/>
              <w:spacing w:after="0"/>
              <w:rPr>
                <w:sz w:val="20"/>
                <w:szCs w:val="20"/>
                <w:color w:val="auto"/>
              </w:rPr>
            </w:pPr>
            <w:r>
              <w:rPr>
                <w:rFonts w:ascii="Arial" w:cs="Arial" w:eastAsia="Arial" w:hAnsi="Arial"/>
                <w:sz w:val="18"/>
                <w:szCs w:val="18"/>
                <w:color w:val="auto"/>
              </w:rPr>
              <w:t>27,881</w:t>
            </w:r>
          </w:p>
        </w:tc>
        <w:tc>
          <w:tcPr>
            <w:tcW w:w="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 w:type="dxa"/>
            <w:vAlign w:val="bottom"/>
            <w:tcBorders>
              <w:top w:val="single" w:sz="8" w:color="auto"/>
              <w:left w:val="single" w:sz="8" w:color="CCEEFF"/>
            </w:tcBorders>
            <w:shd w:val="clear" w:color="auto" w:fill="CCEEFF"/>
          </w:tcPr>
          <w:p>
            <w:pPr>
              <w:spacing w:after="0"/>
              <w:rPr>
                <w:sz w:val="18"/>
                <w:szCs w:val="18"/>
                <w:color w:val="auto"/>
              </w:rPr>
            </w:pPr>
          </w:p>
        </w:tc>
        <w:tc>
          <w:tcPr>
            <w:tcW w:w="80" w:type="dxa"/>
            <w:vAlign w:val="bottom"/>
            <w:tcBorders>
              <w:top w:val="single" w:sz="8" w:color="auto"/>
              <w:right w:val="single" w:sz="8" w:color="CCEEFF"/>
            </w:tcBorders>
            <w:shd w:val="clear" w:color="auto" w:fill="CCEEFF"/>
          </w:tcPr>
          <w:p>
            <w:pPr>
              <w:spacing w:after="0"/>
              <w:rPr>
                <w:sz w:val="18"/>
                <w:szCs w:val="18"/>
                <w:color w:val="auto"/>
              </w:rPr>
            </w:pPr>
          </w:p>
        </w:tc>
        <w:tc>
          <w:tcPr>
            <w:tcW w:w="60" w:type="dxa"/>
            <w:vAlign w:val="bottom"/>
            <w:tcBorders>
              <w:top w:val="single" w:sz="8" w:color="auto"/>
              <w:left w:val="single" w:sz="8" w:color="CCEEFF"/>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(494)</w:t>
            </w:r>
          </w:p>
        </w:tc>
        <w:tc>
          <w:tcPr>
            <w:tcW w:w="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27,881</w:t>
            </w:r>
          </w:p>
        </w:tc>
        <w:tc>
          <w:tcPr>
            <w:tcW w:w="2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(494)</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gridSpan w:val="10"/>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780" w:type="dxa"/>
            <w:vAlign w:val="bottom"/>
            <w:gridSpan w:val="3"/>
          </w:tcPr>
          <w:p>
            <w:pPr>
              <w:ind w:left="580"/>
              <w:spacing w:after="0"/>
              <w:rPr>
                <w:sz w:val="20"/>
                <w:szCs w:val="20"/>
                <w:color w:val="auto"/>
              </w:rPr>
            </w:pPr>
            <w:r>
              <w:rPr>
                <w:rFonts w:ascii="Arial" w:cs="Arial" w:eastAsia="Arial" w:hAnsi="Arial"/>
                <w:sz w:val="18"/>
                <w:szCs w:val="18"/>
                <w:color w:val="auto"/>
                <w:w w:val="99"/>
              </w:rPr>
              <w:t>—</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gridSpan w:val="5"/>
          </w:tcPr>
          <w:p>
            <w:pPr>
              <w:ind w:left="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gridSpan w:val="8"/>
          </w:tcPr>
          <w:p>
            <w:pPr>
              <w:jc w:val="right"/>
              <w:spacing w:after="0"/>
              <w:rPr>
                <w:sz w:val="20"/>
                <w:szCs w:val="20"/>
                <w:color w:val="auto"/>
              </w:rPr>
            </w:pPr>
            <w:r>
              <w:rPr>
                <w:rFonts w:ascii="Arial" w:cs="Arial" w:eastAsia="Arial" w:hAnsi="Arial"/>
                <w:sz w:val="18"/>
                <w:szCs w:val="18"/>
                <w:color w:val="auto"/>
              </w:rPr>
              <w:t>101,054</w:t>
            </w: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gridSpan w:val="3"/>
          </w:tcPr>
          <w:p>
            <w:pPr>
              <w:jc w:val="right"/>
              <w:ind w:right="20"/>
              <w:spacing w:after="0"/>
              <w:rPr>
                <w:sz w:val="20"/>
                <w:szCs w:val="20"/>
                <w:color w:val="auto"/>
              </w:rPr>
            </w:pPr>
            <w:r>
              <w:rPr>
                <w:rFonts w:ascii="Arial" w:cs="Arial" w:eastAsia="Arial" w:hAnsi="Arial"/>
                <w:sz w:val="18"/>
                <w:szCs w:val="18"/>
                <w:color w:val="auto"/>
                <w:w w:val="98"/>
              </w:rPr>
              <w:t>(1,501)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101,054</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(1,501)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900" w:type="dxa"/>
            <w:vAlign w:val="bottom"/>
            <w:tcBorders>
              <w:top w:val="single" w:sz="8" w:color="CCEEFF"/>
              <w:bottom w:val="single" w:sz="8" w:color="CCEEFF"/>
            </w:tcBorders>
            <w:gridSpan w:val="3"/>
            <w:shd w:val="clear" w:color="auto" w:fill="CCEEFF"/>
          </w:tcPr>
          <w:p>
            <w:pPr>
              <w:ind w:left="180"/>
              <w:spacing w:after="0"/>
              <w:rPr>
                <w:sz w:val="20"/>
                <w:szCs w:val="20"/>
                <w:color w:val="auto"/>
              </w:rPr>
            </w:pPr>
            <w:r>
              <w:rPr>
                <w:rFonts w:ascii="Arial" w:cs="Arial" w:eastAsia="Arial" w:hAnsi="Arial"/>
                <w:sz w:val="18"/>
                <w:szCs w:val="18"/>
                <w:color w:val="auto"/>
                <w:w w:val="93"/>
              </w:rPr>
              <w:t>Total temporarily impaired securities</w:t>
            </w:r>
          </w:p>
        </w:tc>
        <w:tc>
          <w:tcPr>
            <w:tcW w:w="7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72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right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gridSpan w:val="2"/>
            <w:shd w:val="clear" w:color="auto" w:fill="CCEEFF"/>
          </w:tcPr>
          <w:p>
            <w:pPr>
              <w:ind w:left="580"/>
              <w:spacing w:after="0"/>
              <w:rPr>
                <w:sz w:val="20"/>
                <w:szCs w:val="20"/>
                <w:color w:val="auto"/>
              </w:rPr>
            </w:pPr>
            <w:r>
              <w:rPr>
                <w:rFonts w:ascii="Arial" w:cs="Arial" w:eastAsia="Arial" w:hAnsi="Arial"/>
                <w:sz w:val="18"/>
                <w:szCs w:val="18"/>
                <w:color w:val="auto"/>
                <w:w w:val="88"/>
              </w:rPr>
              <w:t>—</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500" w:type="dxa"/>
            <w:vAlign w:val="bottom"/>
            <w:tcBorders>
              <w:top w:val="single" w:sz="8" w:color="auto"/>
              <w:bottom w:val="single" w:sz="8" w:color="auto"/>
            </w:tcBorders>
            <w:gridSpan w:val="2"/>
            <w:shd w:val="clear" w:color="auto" w:fill="CCEEFF"/>
          </w:tcPr>
          <w:p>
            <w:pPr>
              <w:jc w:val="right"/>
              <w:ind w:right="325"/>
              <w:spacing w:after="0"/>
              <w:rPr>
                <w:sz w:val="20"/>
                <w:szCs w:val="20"/>
                <w:color w:val="auto"/>
              </w:rPr>
            </w:pPr>
            <w:r>
              <w:rPr>
                <w:rFonts w:ascii="Arial" w:cs="Arial" w:eastAsia="Arial" w:hAnsi="Arial"/>
                <w:sz w:val="18"/>
                <w:szCs w:val="18"/>
                <w:color w:val="auto"/>
                <w:w w:val="79"/>
              </w:rPr>
              <w:t>$</w:t>
            </w: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260" w:type="dxa"/>
            <w:vAlign w:val="bottom"/>
            <w:tcBorders>
              <w:top w:val="single" w:sz="8" w:color="auto"/>
              <w:bottom w:val="single" w:sz="8" w:color="auto"/>
            </w:tcBorders>
            <w:gridSpan w:val="3"/>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gridSpan w:val="2"/>
            <w:shd w:val="clear" w:color="auto" w:fill="CCEEFF"/>
          </w:tcPr>
          <w:p>
            <w:pPr>
              <w:jc w:val="right"/>
              <w:ind w:right="5"/>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gridSpan w:val="8"/>
            <w:shd w:val="clear" w:color="auto" w:fill="CCEEFF"/>
          </w:tcPr>
          <w:p>
            <w:pPr>
              <w:jc w:val="right"/>
              <w:spacing w:after="0"/>
              <w:rPr>
                <w:sz w:val="20"/>
                <w:szCs w:val="20"/>
                <w:color w:val="auto"/>
              </w:rPr>
            </w:pPr>
            <w:r>
              <w:rPr>
                <w:rFonts w:ascii="Arial" w:cs="Arial" w:eastAsia="Arial" w:hAnsi="Arial"/>
                <w:sz w:val="18"/>
                <w:szCs w:val="18"/>
                <w:color w:val="auto"/>
              </w:rPr>
              <w:t>128,935</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 w:type="dxa"/>
            <w:vAlign w:val="bottom"/>
            <w:tcBorders>
              <w:top w:val="single" w:sz="8" w:color="auto"/>
              <w:left w:val="single" w:sz="8" w:color="CCEEFF"/>
              <w:bottom w:val="single" w:sz="8" w:color="auto"/>
            </w:tcBorders>
            <w:shd w:val="clear" w:color="auto" w:fill="CCEEFF"/>
          </w:tcPr>
          <w:p>
            <w:pPr>
              <w:spacing w:after="0"/>
              <w:rPr>
                <w:sz w:val="19"/>
                <w:szCs w:val="19"/>
                <w:color w:val="auto"/>
              </w:rPr>
            </w:pPr>
          </w:p>
        </w:tc>
        <w:tc>
          <w:tcPr>
            <w:tcW w:w="80" w:type="dxa"/>
            <w:vAlign w:val="bottom"/>
            <w:tcBorders>
              <w:top w:val="single" w:sz="8" w:color="auto"/>
              <w:bottom w:val="single" w:sz="8" w:color="auto"/>
              <w:right w:val="single" w:sz="8" w:color="CCEEFF"/>
            </w:tcBorders>
            <w:shd w:val="clear" w:color="auto" w:fill="CCEEFF"/>
          </w:tcPr>
          <w:p>
            <w:pPr>
              <w:spacing w:after="0"/>
              <w:rPr>
                <w:sz w:val="19"/>
                <w:szCs w:val="19"/>
                <w:color w:val="auto"/>
              </w:rPr>
            </w:pPr>
          </w:p>
        </w:tc>
        <w:tc>
          <w:tcPr>
            <w:tcW w:w="60" w:type="dxa"/>
            <w:vAlign w:val="bottom"/>
            <w:tcBorders>
              <w:top w:val="single" w:sz="8" w:color="auto"/>
              <w:left w:val="single" w:sz="8" w:color="CCEEFF"/>
              <w:bottom w:val="single" w:sz="8" w:color="auto"/>
            </w:tcBorders>
            <w:shd w:val="clear" w:color="auto" w:fill="CCEEFF"/>
          </w:tcPr>
          <w:p>
            <w:pPr>
              <w:spacing w:after="0"/>
              <w:rPr>
                <w:sz w:val="19"/>
                <w:szCs w:val="19"/>
                <w:color w:val="auto"/>
              </w:rPr>
            </w:pP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(1,995</w:t>
            </w:r>
          </w:p>
        </w:tc>
        <w:tc>
          <w:tcPr>
            <w:tcW w:w="160" w:type="dxa"/>
            <w:vAlign w:val="bottom"/>
            <w:tcBorders>
              <w:top w:val="single" w:sz="8" w:color="CCEEFF"/>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128,935</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(1,995</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gridSpan w:val="2"/>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7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gridSpan w:val="13"/>
          </w:tcPr>
          <w:p>
            <w:pPr>
              <w:jc w:val="center"/>
              <w:spacing w:after="0"/>
              <w:rPr>
                <w:sz w:val="20"/>
                <w:szCs w:val="20"/>
                <w:color w:val="auto"/>
              </w:rPr>
            </w:pPr>
            <w:r>
              <w:rPr>
                <w:rFonts w:ascii="Arial" w:cs="Arial" w:eastAsia="Arial" w:hAnsi="Arial"/>
                <w:sz w:val="14"/>
                <w:szCs w:val="14"/>
                <w:b w:val="1"/>
                <w:bCs w:val="1"/>
                <w:color w:val="auto"/>
                <w:w w:val="94"/>
              </w:rPr>
              <w:t>January 28, 2006</w:t>
            </w:r>
          </w:p>
        </w:tc>
        <w:tc>
          <w:tcPr>
            <w:tcW w:w="5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8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7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540" w:type="dxa"/>
            <w:vAlign w:val="bottom"/>
            <w:gridSpan w:val="7"/>
          </w:tcPr>
          <w:p>
            <w:pPr>
              <w:jc w:val="center"/>
              <w:ind w:left="160"/>
              <w:spacing w:after="0" w:line="129" w:lineRule="exact"/>
              <w:rPr>
                <w:sz w:val="20"/>
                <w:szCs w:val="20"/>
                <w:color w:val="auto"/>
              </w:rPr>
            </w:pPr>
            <w:r>
              <w:rPr>
                <w:rFonts w:ascii="Arial" w:cs="Arial" w:eastAsia="Arial" w:hAnsi="Arial"/>
                <w:sz w:val="14"/>
                <w:szCs w:val="14"/>
                <w:b w:val="1"/>
                <w:bCs w:val="1"/>
                <w:color w:val="auto"/>
                <w:w w:val="90"/>
              </w:rPr>
              <w:t>Less than 12 months</w:t>
            </w: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740" w:type="dxa"/>
            <w:vAlign w:val="bottom"/>
            <w:gridSpan w:val="15"/>
          </w:tcPr>
          <w:p>
            <w:pPr>
              <w:jc w:val="center"/>
              <w:ind w:right="500"/>
              <w:spacing w:after="0" w:line="129" w:lineRule="exact"/>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6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rPr>
              <w:t>Total</w:t>
            </w: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7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7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4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80" w:type="dxa"/>
            <w:vAlign w:val="bottom"/>
            <w:tcBorders>
              <w:top w:val="single" w:sz="8" w:color="auto"/>
            </w:tcBorders>
            <w:gridSpan w:val="3"/>
          </w:tcPr>
          <w:p>
            <w:pPr>
              <w:jc w:val="center"/>
              <w:ind w:right="180"/>
              <w:spacing w:after="0" w:line="102" w:lineRule="exact"/>
              <w:rPr>
                <w:sz w:val="20"/>
                <w:szCs w:val="20"/>
                <w:color w:val="auto"/>
              </w:rPr>
            </w:pPr>
            <w:r>
              <w:rPr>
                <w:rFonts w:ascii="Arial" w:cs="Arial" w:eastAsia="Arial" w:hAnsi="Arial"/>
                <w:sz w:val="11"/>
                <w:szCs w:val="11"/>
                <w:b w:val="1"/>
                <w:bCs w:val="1"/>
                <w:color w:val="auto"/>
              </w:rPr>
              <w:t>Fair</w:t>
            </w:r>
          </w:p>
        </w:tc>
        <w:tc>
          <w:tcPr>
            <w:tcW w:w="40" w:type="dxa"/>
            <w:vAlign w:val="bottom"/>
            <w:tcBorders>
              <w:top w:val="single" w:sz="8" w:color="auto"/>
            </w:tcBorders>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780" w:type="dxa"/>
            <w:vAlign w:val="bottom"/>
            <w:tcBorders>
              <w:top w:val="single" w:sz="8" w:color="auto"/>
            </w:tcBorders>
            <w:gridSpan w:val="3"/>
          </w:tcPr>
          <w:p>
            <w:pPr>
              <w:jc w:val="center"/>
              <w:ind w:left="25"/>
              <w:spacing w:after="0" w:line="102" w:lineRule="exact"/>
              <w:rPr>
                <w:sz w:val="20"/>
                <w:szCs w:val="20"/>
                <w:color w:val="auto"/>
              </w:rPr>
            </w:pPr>
            <w:r>
              <w:rPr>
                <w:rFonts w:ascii="Arial" w:cs="Arial" w:eastAsia="Arial" w:hAnsi="Arial"/>
                <w:sz w:val="11"/>
                <w:szCs w:val="11"/>
                <w:b w:val="1"/>
                <w:bCs w:val="1"/>
                <w:color w:val="auto"/>
              </w:rPr>
              <w:t>Unrealized</w:t>
            </w:r>
          </w:p>
        </w:tc>
        <w:tc>
          <w:tcPr>
            <w:tcW w:w="40" w:type="dxa"/>
            <w:vAlign w:val="bottom"/>
            <w:tcBorders>
              <w:top w:val="single" w:sz="8" w:color="auto"/>
            </w:tcBorders>
          </w:tcPr>
          <w:p>
            <w:pPr>
              <w:spacing w:after="0"/>
              <w:rPr>
                <w:sz w:val="8"/>
                <w:szCs w:val="8"/>
                <w:color w:val="auto"/>
              </w:rPr>
            </w:pPr>
          </w:p>
        </w:tc>
        <w:tc>
          <w:tcPr>
            <w:tcW w:w="6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520" w:type="dxa"/>
            <w:vAlign w:val="bottom"/>
            <w:tcBorders>
              <w:top w:val="single" w:sz="8" w:color="auto"/>
            </w:tcBorders>
            <w:gridSpan w:val="7"/>
          </w:tcPr>
          <w:p>
            <w:pPr>
              <w:jc w:val="center"/>
              <w:spacing w:after="0" w:line="102" w:lineRule="exact"/>
              <w:rPr>
                <w:sz w:val="20"/>
                <w:szCs w:val="20"/>
                <w:color w:val="auto"/>
              </w:rPr>
            </w:pPr>
            <w:r>
              <w:rPr>
                <w:rFonts w:ascii="Arial" w:cs="Arial" w:eastAsia="Arial" w:hAnsi="Arial"/>
                <w:sz w:val="11"/>
                <w:szCs w:val="11"/>
                <w:b w:val="1"/>
                <w:bCs w:val="1"/>
                <w:color w:val="auto"/>
              </w:rPr>
              <w:t>Fair</w:t>
            </w:r>
          </w:p>
        </w:tc>
        <w:tc>
          <w:tcPr>
            <w:tcW w:w="18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26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860" w:type="dxa"/>
            <w:vAlign w:val="bottom"/>
            <w:tcBorders>
              <w:top w:val="single" w:sz="8" w:color="auto"/>
            </w:tcBorders>
            <w:gridSpan w:val="6"/>
          </w:tcPr>
          <w:p>
            <w:pPr>
              <w:jc w:val="center"/>
              <w:spacing w:after="0" w:line="102" w:lineRule="exact"/>
              <w:rPr>
                <w:sz w:val="20"/>
                <w:szCs w:val="20"/>
                <w:color w:val="auto"/>
              </w:rPr>
            </w:pPr>
            <w:r>
              <w:rPr>
                <w:rFonts w:ascii="Arial" w:cs="Arial" w:eastAsia="Arial" w:hAnsi="Arial"/>
                <w:sz w:val="11"/>
                <w:szCs w:val="11"/>
                <w:b w:val="1"/>
                <w:bCs w:val="1"/>
                <w:color w:val="auto"/>
              </w:rPr>
              <w:t>Unrealized</w:t>
            </w: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980" w:type="dxa"/>
            <w:vAlign w:val="bottom"/>
            <w:tcBorders>
              <w:top w:val="single" w:sz="8" w:color="auto"/>
            </w:tcBorders>
            <w:gridSpan w:val="2"/>
          </w:tcPr>
          <w:p>
            <w:pPr>
              <w:jc w:val="center"/>
              <w:ind w:right="440"/>
              <w:spacing w:after="0" w:line="102" w:lineRule="exact"/>
              <w:rPr>
                <w:sz w:val="20"/>
                <w:szCs w:val="20"/>
                <w:color w:val="auto"/>
              </w:rPr>
            </w:pPr>
            <w:r>
              <w:rPr>
                <w:rFonts w:ascii="Arial" w:cs="Arial" w:eastAsia="Arial" w:hAnsi="Arial"/>
                <w:sz w:val="11"/>
                <w:szCs w:val="11"/>
                <w:b w:val="1"/>
                <w:bCs w:val="1"/>
                <w:color w:val="auto"/>
              </w:rPr>
              <w:t>Fair</w:t>
            </w:r>
          </w:p>
        </w:tc>
        <w:tc>
          <w:tcPr>
            <w:tcW w:w="8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jc w:val="center"/>
              <w:ind w:right="2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6"/>
              </w:rPr>
              <w:t>Value</w:t>
            </w:r>
          </w:p>
        </w:tc>
        <w:tc>
          <w:tcPr>
            <w:tcW w:w="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80" w:type="dxa"/>
            <w:vAlign w:val="bottom"/>
            <w:gridSpan w:val="3"/>
          </w:tcPr>
          <w:p>
            <w:pPr>
              <w:jc w:val="center"/>
              <w:ind w:left="25"/>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gridSpan w:val="7"/>
          </w:tcPr>
          <w:p>
            <w:pPr>
              <w:jc w:val="center"/>
              <w:spacing w:after="0"/>
              <w:rPr>
                <w:sz w:val="20"/>
                <w:szCs w:val="20"/>
                <w:color w:val="auto"/>
              </w:rPr>
            </w:pPr>
            <w:r>
              <w:rPr>
                <w:rFonts w:ascii="Arial" w:cs="Arial" w:eastAsia="Arial" w:hAnsi="Arial"/>
                <w:sz w:val="14"/>
                <w:szCs w:val="14"/>
                <w:b w:val="1"/>
                <w:bCs w:val="1"/>
                <w:color w:val="auto"/>
                <w:w w:val="90"/>
              </w:rPr>
              <w:t>Value</w:t>
            </w: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w w:val="74"/>
              </w:rPr>
              <w:t>Losses</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0"/>
              </w:rPr>
              <w:t>Value</w:t>
            </w:r>
          </w:p>
        </w:tc>
        <w:tc>
          <w:tcPr>
            <w:tcW w:w="8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900" w:type="dxa"/>
            <w:vAlign w:val="bottom"/>
            <w:tcBorders>
              <w:top w:val="single" w:sz="8" w:color="CCEEFF"/>
            </w:tcBorders>
            <w:gridSpan w:val="3"/>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7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right w:val="single" w:sz="8" w:color="CCEEFF"/>
            </w:tcBorders>
            <w:gridSpan w:val="2"/>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gridSpan w:val="2"/>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jc w:val="right"/>
              <w:ind w:right="305"/>
              <w:spacing w:after="0"/>
              <w:rPr>
                <w:sz w:val="20"/>
                <w:szCs w:val="20"/>
                <w:color w:val="auto"/>
              </w:rPr>
            </w:pPr>
            <w:r>
              <w:rPr>
                <w:rFonts w:ascii="Arial" w:cs="Arial" w:eastAsia="Arial" w:hAnsi="Arial"/>
                <w:sz w:val="18"/>
                <w:szCs w:val="18"/>
                <w:color w:val="auto"/>
                <w:w w:val="79"/>
              </w:rPr>
              <w:t>$</w:t>
            </w:r>
          </w:p>
        </w:tc>
        <w:tc>
          <w:tcPr>
            <w:tcW w:w="14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gridSpan w:val="2"/>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gridSpan w:val="8"/>
            <w:shd w:val="clear" w:color="auto" w:fill="CCEEFF"/>
          </w:tcPr>
          <w:p>
            <w:pPr>
              <w:jc w:val="right"/>
              <w:spacing w:after="0"/>
              <w:rPr>
                <w:sz w:val="20"/>
                <w:szCs w:val="20"/>
                <w:color w:val="auto"/>
              </w:rPr>
            </w:pPr>
            <w:r>
              <w:rPr>
                <w:rFonts w:ascii="Arial" w:cs="Arial" w:eastAsia="Arial" w:hAnsi="Arial"/>
                <w:sz w:val="18"/>
                <w:szCs w:val="18"/>
                <w:color w:val="auto"/>
              </w:rPr>
              <w:t>28,154</w:t>
            </w:r>
          </w:p>
        </w:tc>
        <w:tc>
          <w:tcPr>
            <w:tcW w:w="2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CCEEFF"/>
            </w:tcBorders>
            <w:gridSpan w:val="2"/>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 w:type="dxa"/>
            <w:vAlign w:val="bottom"/>
            <w:tcBorders>
              <w:top w:val="single" w:sz="8" w:color="auto"/>
              <w:left w:val="single" w:sz="8" w:color="CCEEFF"/>
            </w:tcBorders>
            <w:shd w:val="clear" w:color="auto" w:fill="CCEEFF"/>
          </w:tcPr>
          <w:p>
            <w:pPr>
              <w:spacing w:after="0"/>
              <w:rPr>
                <w:sz w:val="18"/>
                <w:szCs w:val="18"/>
                <w:color w:val="auto"/>
              </w:rPr>
            </w:pPr>
          </w:p>
        </w:tc>
        <w:tc>
          <w:tcPr>
            <w:tcW w:w="80" w:type="dxa"/>
            <w:vAlign w:val="bottom"/>
            <w:tcBorders>
              <w:top w:val="single" w:sz="8" w:color="auto"/>
              <w:right w:val="single" w:sz="8" w:color="CCEEFF"/>
            </w:tcBorders>
            <w:shd w:val="clear" w:color="auto" w:fill="CCEEFF"/>
          </w:tcPr>
          <w:p>
            <w:pPr>
              <w:spacing w:after="0"/>
              <w:rPr>
                <w:sz w:val="18"/>
                <w:szCs w:val="18"/>
                <w:color w:val="auto"/>
              </w:rPr>
            </w:pPr>
          </w:p>
        </w:tc>
        <w:tc>
          <w:tcPr>
            <w:tcW w:w="60" w:type="dxa"/>
            <w:vAlign w:val="bottom"/>
            <w:tcBorders>
              <w:top w:val="single" w:sz="8" w:color="auto"/>
              <w:left w:val="single" w:sz="8" w:color="CCEEFF"/>
            </w:tcBorders>
            <w:shd w:val="clear" w:color="auto" w:fill="CCEEFF"/>
          </w:tcPr>
          <w:p>
            <w:pPr>
              <w:spacing w:after="0"/>
              <w:rPr>
                <w:sz w:val="18"/>
                <w:szCs w:val="18"/>
                <w:color w:val="auto"/>
              </w:rPr>
            </w:pPr>
          </w:p>
        </w:tc>
        <w:tc>
          <w:tcPr>
            <w:tcW w:w="5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gridSpan w:val="2"/>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28,154</w:t>
            </w:r>
          </w:p>
        </w:tc>
        <w:tc>
          <w:tcPr>
            <w:tcW w:w="2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gridSpan w:val="10"/>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780" w:type="dxa"/>
            <w:vAlign w:val="bottom"/>
            <w:gridSpan w:val="3"/>
          </w:tcPr>
          <w:p>
            <w:pPr>
              <w:jc w:val="right"/>
              <w:ind w:right="20"/>
              <w:spacing w:after="0"/>
              <w:rPr>
                <w:sz w:val="20"/>
                <w:szCs w:val="20"/>
                <w:color w:val="auto"/>
              </w:rPr>
            </w:pPr>
            <w:r>
              <w:rPr>
                <w:rFonts w:ascii="Arial" w:cs="Arial" w:eastAsia="Arial" w:hAnsi="Arial"/>
                <w:sz w:val="18"/>
                <w:szCs w:val="18"/>
                <w:color w:val="auto"/>
              </w:rPr>
              <w:t>4,998</w:t>
            </w: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00" w:type="dxa"/>
            <w:vAlign w:val="bottom"/>
            <w:gridSpan w:val="6"/>
          </w:tcPr>
          <w:p>
            <w:pPr>
              <w:jc w:val="right"/>
              <w:spacing w:after="0"/>
              <w:rPr>
                <w:sz w:val="20"/>
                <w:szCs w:val="20"/>
                <w:color w:val="auto"/>
              </w:rPr>
            </w:pPr>
            <w:r>
              <w:rPr>
                <w:rFonts w:ascii="Arial" w:cs="Arial" w:eastAsia="Arial" w:hAnsi="Arial"/>
                <w:sz w:val="18"/>
                <w:szCs w:val="18"/>
                <w:color w:val="auto"/>
              </w:rPr>
              <w:t>(24)</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gridSpan w:val="8"/>
          </w:tcPr>
          <w:p>
            <w:pPr>
              <w:jc w:val="right"/>
              <w:spacing w:after="0"/>
              <w:rPr>
                <w:sz w:val="20"/>
                <w:szCs w:val="20"/>
                <w:color w:val="auto"/>
              </w:rPr>
            </w:pPr>
            <w:r>
              <w:rPr>
                <w:rFonts w:ascii="Arial" w:cs="Arial" w:eastAsia="Arial" w:hAnsi="Arial"/>
                <w:sz w:val="18"/>
                <w:szCs w:val="18"/>
                <w:color w:val="auto"/>
              </w:rPr>
              <w:t>100,824</w:t>
            </w: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gridSpan w:val="3"/>
          </w:tcPr>
          <w:p>
            <w:pPr>
              <w:jc w:val="right"/>
              <w:spacing w:after="0"/>
              <w:rPr>
                <w:sz w:val="20"/>
                <w:szCs w:val="20"/>
                <w:color w:val="auto"/>
              </w:rPr>
            </w:pPr>
            <w:r>
              <w:rPr>
                <w:rFonts w:ascii="Arial" w:cs="Arial" w:eastAsia="Arial" w:hAnsi="Arial"/>
                <w:sz w:val="18"/>
                <w:szCs w:val="18"/>
                <w:color w:val="auto"/>
              </w:rPr>
              <w:t>(1,568)</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105,822</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(1,592)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900" w:type="dxa"/>
            <w:vAlign w:val="bottom"/>
            <w:tcBorders>
              <w:top w:val="single" w:sz="8" w:color="CCEEFF"/>
              <w:bottom w:val="single" w:sz="8" w:color="CCEEFF"/>
            </w:tcBorders>
            <w:gridSpan w:val="3"/>
            <w:shd w:val="clear" w:color="auto" w:fill="CCEEFF"/>
          </w:tcPr>
          <w:p>
            <w:pPr>
              <w:ind w:left="180"/>
              <w:spacing w:after="0"/>
              <w:rPr>
                <w:sz w:val="20"/>
                <w:szCs w:val="20"/>
                <w:color w:val="auto"/>
              </w:rPr>
            </w:pPr>
            <w:r>
              <w:rPr>
                <w:rFonts w:ascii="Arial" w:cs="Arial" w:eastAsia="Arial" w:hAnsi="Arial"/>
                <w:sz w:val="18"/>
                <w:szCs w:val="18"/>
                <w:color w:val="auto"/>
                <w:w w:val="93"/>
              </w:rPr>
              <w:t>Total temporarily impaired securities</w:t>
            </w:r>
          </w:p>
        </w:tc>
        <w:tc>
          <w:tcPr>
            <w:tcW w:w="7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72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right w:val="single" w:sz="8" w:color="CCEEFF"/>
            </w:tcBorders>
            <w:gridSpan w:val="2"/>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4,998</w:t>
            </w: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CCEEFF"/>
              <w:bottom w:val="single" w:sz="8" w:color="CCEEFF"/>
            </w:tcBorders>
            <w:gridSpan w:val="2"/>
            <w:shd w:val="clear" w:color="auto" w:fill="CCEEFF"/>
          </w:tcPr>
          <w:p>
            <w:pPr>
              <w:spacing w:after="0"/>
              <w:rPr>
                <w:sz w:val="19"/>
                <w:szCs w:val="19"/>
                <w:color w:val="auto"/>
              </w:rPr>
            </w:pPr>
          </w:p>
        </w:tc>
        <w:tc>
          <w:tcPr>
            <w:tcW w:w="480" w:type="dxa"/>
            <w:vAlign w:val="bottom"/>
            <w:tcBorders>
              <w:top w:val="single" w:sz="8" w:color="auto"/>
              <w:bottom w:val="single" w:sz="8" w:color="auto"/>
            </w:tcBorders>
            <w:shd w:val="clear" w:color="auto" w:fill="CCEEFF"/>
          </w:tcPr>
          <w:p>
            <w:pPr>
              <w:jc w:val="right"/>
              <w:ind w:right="305"/>
              <w:spacing w:after="0"/>
              <w:rPr>
                <w:sz w:val="20"/>
                <w:szCs w:val="20"/>
                <w:color w:val="auto"/>
              </w:rPr>
            </w:pPr>
            <w:r>
              <w:rPr>
                <w:rFonts w:ascii="Arial" w:cs="Arial" w:eastAsia="Arial" w:hAnsi="Arial"/>
                <w:sz w:val="18"/>
                <w:szCs w:val="18"/>
                <w:color w:val="auto"/>
                <w:w w:val="79"/>
              </w:rPr>
              <w:t>$</w:t>
            </w:r>
          </w:p>
        </w:tc>
        <w:tc>
          <w:tcPr>
            <w:tcW w:w="420" w:type="dxa"/>
            <w:vAlign w:val="bottom"/>
            <w:tcBorders>
              <w:top w:val="single" w:sz="8" w:color="auto"/>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8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bottom w:val="single" w:sz="8" w:color="CCEEFF"/>
            </w:tcBorders>
            <w:gridSpan w:val="2"/>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gridSpan w:val="8"/>
            <w:shd w:val="clear" w:color="auto" w:fill="CCEEFF"/>
          </w:tcPr>
          <w:p>
            <w:pPr>
              <w:jc w:val="right"/>
              <w:spacing w:after="0"/>
              <w:rPr>
                <w:sz w:val="20"/>
                <w:szCs w:val="20"/>
                <w:color w:val="auto"/>
              </w:rPr>
            </w:pPr>
            <w:r>
              <w:rPr>
                <w:rFonts w:ascii="Arial" w:cs="Arial" w:eastAsia="Arial" w:hAnsi="Arial"/>
                <w:sz w:val="18"/>
                <w:szCs w:val="18"/>
                <w:color w:val="auto"/>
              </w:rPr>
              <w:t>128,978</w:t>
            </w:r>
          </w:p>
        </w:tc>
        <w:tc>
          <w:tcPr>
            <w:tcW w:w="20" w:type="dxa"/>
            <w:vAlign w:val="bottom"/>
            <w:tcBorders>
              <w:top w:val="single" w:sz="8" w:color="auto"/>
              <w:bottom w:val="single" w:sz="8" w:color="auto"/>
            </w:tcBorders>
            <w:shd w:val="clear" w:color="auto" w:fill="CCEEFF"/>
          </w:tcPr>
          <w:p>
            <w:pPr>
              <w:spacing w:after="0"/>
              <w:rPr>
                <w:sz w:val="19"/>
                <w:szCs w:val="19"/>
                <w:color w:val="auto"/>
              </w:rPr>
            </w:pPr>
          </w:p>
        </w:tc>
        <w:tc>
          <w:tcPr>
            <w:tcW w:w="280" w:type="dxa"/>
            <w:vAlign w:val="bottom"/>
            <w:tcBorders>
              <w:top w:val="single" w:sz="8" w:color="CCEEFF"/>
              <w:bottom w:val="single" w:sz="8" w:color="CCEEFF"/>
            </w:tcBorders>
            <w:gridSpan w:val="2"/>
            <w:shd w:val="clear" w:color="auto" w:fill="CCEEFF"/>
          </w:tcPr>
          <w:p>
            <w:pPr>
              <w:spacing w:after="0"/>
              <w:rPr>
                <w:sz w:val="19"/>
                <w:szCs w:val="19"/>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 w:type="dxa"/>
            <w:vAlign w:val="bottom"/>
            <w:tcBorders>
              <w:top w:val="single" w:sz="8" w:color="auto"/>
              <w:left w:val="single" w:sz="8" w:color="CCEEFF"/>
              <w:bottom w:val="single" w:sz="8" w:color="auto"/>
            </w:tcBorders>
            <w:shd w:val="clear" w:color="auto" w:fill="CCEEFF"/>
          </w:tcPr>
          <w:p>
            <w:pPr>
              <w:spacing w:after="0"/>
              <w:rPr>
                <w:sz w:val="19"/>
                <w:szCs w:val="19"/>
                <w:color w:val="auto"/>
              </w:rPr>
            </w:pPr>
          </w:p>
        </w:tc>
        <w:tc>
          <w:tcPr>
            <w:tcW w:w="80" w:type="dxa"/>
            <w:vAlign w:val="bottom"/>
            <w:tcBorders>
              <w:top w:val="single" w:sz="8" w:color="auto"/>
              <w:bottom w:val="single" w:sz="8" w:color="auto"/>
              <w:right w:val="single" w:sz="8" w:color="CCEEFF"/>
            </w:tcBorders>
            <w:shd w:val="clear" w:color="auto" w:fill="CCEEFF"/>
          </w:tcPr>
          <w:p>
            <w:pPr>
              <w:spacing w:after="0"/>
              <w:rPr>
                <w:sz w:val="19"/>
                <w:szCs w:val="19"/>
                <w:color w:val="auto"/>
              </w:rPr>
            </w:pPr>
          </w:p>
        </w:tc>
        <w:tc>
          <w:tcPr>
            <w:tcW w:w="60" w:type="dxa"/>
            <w:vAlign w:val="bottom"/>
            <w:tcBorders>
              <w:top w:val="single" w:sz="8" w:color="auto"/>
              <w:left w:val="single" w:sz="8" w:color="CCEEFF"/>
              <w:bottom w:val="single" w:sz="8" w:color="auto"/>
            </w:tcBorders>
            <w:shd w:val="clear" w:color="auto" w:fill="CCEEFF"/>
          </w:tcPr>
          <w:p>
            <w:pPr>
              <w:spacing w:after="0"/>
              <w:rPr>
                <w:sz w:val="19"/>
                <w:szCs w:val="19"/>
                <w:color w:val="auto"/>
              </w:rPr>
            </w:pPr>
          </w:p>
        </w:tc>
        <w:tc>
          <w:tcPr>
            <w:tcW w:w="5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7"/>
              </w:rPr>
              <w:t>(2,119</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CCEEFF"/>
              <w:bottom w:val="single" w:sz="8" w:color="CCEEFF"/>
            </w:tcBorders>
            <w:gridSpan w:val="2"/>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133,976</w:t>
            </w:r>
          </w:p>
        </w:tc>
        <w:tc>
          <w:tcPr>
            <w:tcW w:w="28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(2,143</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900" w:type="dxa"/>
            <w:vAlign w:val="bottom"/>
            <w:gridSpan w:val="3"/>
            <w:vMerge w:val="restart"/>
          </w:tcPr>
          <w:p>
            <w:pPr>
              <w:ind w:left="260"/>
              <w:spacing w:after="0"/>
              <w:rPr>
                <w:sz w:val="20"/>
                <w:szCs w:val="20"/>
                <w:color w:val="auto"/>
              </w:rPr>
            </w:pPr>
            <w:r>
              <w:rPr>
                <w:rFonts w:ascii="Arial" w:cs="Arial" w:eastAsia="Arial" w:hAnsi="Arial"/>
                <w:sz w:val="18"/>
                <w:szCs w:val="18"/>
                <w:b w:val="1"/>
                <w:bCs w:val="1"/>
                <w:color w:val="auto"/>
              </w:rPr>
              <w:t>Inventories (in thousands)</w:t>
            </w:r>
          </w:p>
        </w:tc>
        <w:tc>
          <w:tcPr>
            <w:tcW w:w="7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2900" w:type="dxa"/>
            <w:vAlign w:val="bottom"/>
            <w:gridSpan w:val="3"/>
            <w:vMerge w:val="continue"/>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00" w:type="dxa"/>
            <w:vAlign w:val="bottom"/>
            <w:gridSpan w:val="7"/>
          </w:tcPr>
          <w:p>
            <w:pPr>
              <w:ind w:left="20"/>
              <w:spacing w:after="0"/>
              <w:rPr>
                <w:sz w:val="20"/>
                <w:szCs w:val="20"/>
                <w:color w:val="auto"/>
              </w:rPr>
            </w:pPr>
            <w:r>
              <w:rPr>
                <w:rFonts w:ascii="Arial" w:cs="Arial" w:eastAsia="Arial" w:hAnsi="Arial"/>
                <w:sz w:val="14"/>
                <w:szCs w:val="14"/>
                <w:b w:val="1"/>
                <w:bCs w:val="1"/>
                <w:color w:val="auto"/>
              </w:rPr>
              <w:t>April 29,</w:t>
            </w: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gridSpan w:val="9"/>
          </w:tcPr>
          <w:p>
            <w:pPr>
              <w:jc w:val="center"/>
              <w:ind w:right="48"/>
              <w:spacing w:after="0"/>
              <w:rPr>
                <w:sz w:val="20"/>
                <w:szCs w:val="20"/>
                <w:color w:val="auto"/>
              </w:rPr>
            </w:pPr>
            <w:r>
              <w:rPr>
                <w:rFonts w:ascii="Arial" w:cs="Arial" w:eastAsia="Arial" w:hAnsi="Arial"/>
                <w:sz w:val="14"/>
                <w:szCs w:val="14"/>
                <w:b w:val="1"/>
                <w:bCs w:val="1"/>
                <w:color w:val="auto"/>
                <w:w w:val="95"/>
              </w:rPr>
              <w:t>January 28,</w:t>
            </w: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82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gridSpan w:val="3"/>
          </w:tcPr>
          <w:p>
            <w:pPr>
              <w:ind w:left="60"/>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gridSpan w:val="3"/>
          </w:tcPr>
          <w:p>
            <w:pPr>
              <w:jc w:val="center"/>
              <w:ind w:left="34"/>
              <w:spacing w:after="0"/>
              <w:rPr>
                <w:sz w:val="20"/>
                <w:szCs w:val="20"/>
                <w:color w:val="auto"/>
              </w:rPr>
            </w:pPr>
            <w:r>
              <w:rPr>
                <w:rFonts w:ascii="Arial" w:cs="Arial" w:eastAsia="Arial" w:hAnsi="Arial"/>
                <w:sz w:val="14"/>
                <w:szCs w:val="14"/>
                <w:b w:val="1"/>
                <w:bCs w:val="1"/>
                <w:color w:val="auto"/>
                <w:w w:val="96"/>
              </w:rPr>
              <w:t>2006</w:t>
            </w: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2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Work-in-process</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gridSpan w:val="8"/>
            <w:shd w:val="clear" w:color="auto" w:fill="CCEEFF"/>
          </w:tcPr>
          <w:p>
            <w:pPr>
              <w:jc w:val="right"/>
              <w:spacing w:after="0"/>
              <w:rPr>
                <w:sz w:val="20"/>
                <w:szCs w:val="20"/>
                <w:color w:val="auto"/>
              </w:rPr>
            </w:pPr>
            <w:r>
              <w:rPr>
                <w:rFonts w:ascii="Arial" w:cs="Arial" w:eastAsia="Arial" w:hAnsi="Arial"/>
                <w:sz w:val="18"/>
                <w:szCs w:val="18"/>
                <w:color w:val="auto"/>
                <w:w w:val="87"/>
              </w:rPr>
              <w:t>$ 102,641</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80" w:type="dxa"/>
            <w:vAlign w:val="bottom"/>
            <w:shd w:val="clear" w:color="auto" w:fill="CCEEFF"/>
          </w:tcPr>
          <w:p>
            <w:pPr>
              <w:spacing w:after="0"/>
              <w:rPr>
                <w:sz w:val="18"/>
                <w:szCs w:val="18"/>
                <w:color w:val="auto"/>
              </w:rPr>
            </w:pPr>
          </w:p>
        </w:tc>
        <w:tc>
          <w:tcPr>
            <w:tcW w:w="560" w:type="dxa"/>
            <w:vAlign w:val="bottom"/>
            <w:tcBorders>
              <w:right w:val="single" w:sz="8" w:color="CCEEFF"/>
            </w:tcBorders>
            <w:gridSpan w:val="6"/>
            <w:shd w:val="clear" w:color="auto" w:fill="CCEEFF"/>
          </w:tcPr>
          <w:p>
            <w:pPr>
              <w:jc w:val="right"/>
              <w:spacing w:after="0"/>
              <w:rPr>
                <w:sz w:val="20"/>
                <w:szCs w:val="20"/>
                <w:color w:val="auto"/>
              </w:rPr>
            </w:pPr>
            <w:r>
              <w:rPr>
                <w:rFonts w:ascii="Arial" w:cs="Arial" w:eastAsia="Arial" w:hAnsi="Arial"/>
                <w:sz w:val="18"/>
                <w:szCs w:val="18"/>
                <w:color w:val="auto"/>
                <w:w w:val="87"/>
              </w:rPr>
              <w:t>96,110</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tcPr>
          <w:p>
            <w:pPr>
              <w:spacing w:after="0"/>
              <w:rPr>
                <w:sz w:val="20"/>
                <w:szCs w:val="20"/>
                <w:color w:val="auto"/>
              </w:rPr>
            </w:pPr>
            <w:r>
              <w:rPr>
                <w:rFonts w:ascii="Arial" w:cs="Arial" w:eastAsia="Arial" w:hAnsi="Arial"/>
                <w:sz w:val="18"/>
                <w:szCs w:val="18"/>
                <w:color w:val="auto"/>
              </w:rPr>
              <w:t>Finished goods</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9"/>
          </w:tcPr>
          <w:p>
            <w:pPr>
              <w:jc w:val="right"/>
              <w:spacing w:after="0"/>
              <w:rPr>
                <w:sz w:val="20"/>
                <w:szCs w:val="20"/>
                <w:color w:val="auto"/>
              </w:rPr>
            </w:pPr>
            <w:r>
              <w:rPr>
                <w:rFonts w:ascii="Arial" w:cs="Arial" w:eastAsia="Arial" w:hAnsi="Arial"/>
                <w:sz w:val="18"/>
                <w:szCs w:val="18"/>
                <w:color w:val="auto"/>
              </w:rPr>
              <w:t>102,913</w:t>
            </w: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7"/>
          </w:tcPr>
          <w:p>
            <w:pPr>
              <w:jc w:val="right"/>
              <w:spacing w:after="0"/>
              <w:rPr>
                <w:sz w:val="20"/>
                <w:szCs w:val="20"/>
                <w:color w:val="auto"/>
              </w:rPr>
            </w:pPr>
            <w:r>
              <w:rPr>
                <w:rFonts w:ascii="Arial" w:cs="Arial" w:eastAsia="Arial" w:hAnsi="Arial"/>
                <w:sz w:val="18"/>
                <w:szCs w:val="18"/>
                <w:color w:val="auto"/>
              </w:rPr>
              <w:t>115,264</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60" w:type="dxa"/>
            <w:vAlign w:val="bottom"/>
            <w:tcBorders>
              <w:top w:val="single" w:sz="8" w:color="CCEEFF"/>
              <w:bottom w:val="single" w:sz="8" w:color="CCEEFF"/>
            </w:tcBorders>
            <w:shd w:val="clear" w:color="auto" w:fill="CCEEFF"/>
          </w:tcPr>
          <w:p>
            <w:pPr>
              <w:spacing w:after="0"/>
              <w:rPr>
                <w:sz w:val="18"/>
                <w:szCs w:val="18"/>
                <w:color w:val="auto"/>
              </w:rPr>
            </w:pPr>
          </w:p>
        </w:tc>
        <w:tc>
          <w:tcPr>
            <w:tcW w:w="1820" w:type="dxa"/>
            <w:vAlign w:val="bottom"/>
            <w:tcBorders>
              <w:top w:val="single" w:sz="8" w:color="CCEEFF"/>
              <w:bottom w:val="single" w:sz="8" w:color="CCEEFF"/>
            </w:tcBorders>
            <w:shd w:val="clear" w:color="auto" w:fill="CCEEFF"/>
          </w:tcPr>
          <w:p>
            <w:pPr>
              <w:spacing w:after="0"/>
              <w:rPr>
                <w:sz w:val="18"/>
                <w:szCs w:val="18"/>
                <w:color w:val="auto"/>
              </w:rPr>
            </w:pPr>
          </w:p>
        </w:tc>
        <w:tc>
          <w:tcPr>
            <w:tcW w:w="7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72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right w:val="single" w:sz="8" w:color="CCEEFF"/>
            </w:tcBorders>
            <w:shd w:val="clear" w:color="auto" w:fill="CCEEFF"/>
          </w:tcPr>
          <w:p>
            <w:pPr>
              <w:spacing w:after="0"/>
              <w:rPr>
                <w:sz w:val="18"/>
                <w:szCs w:val="18"/>
                <w:color w:val="auto"/>
              </w:rPr>
            </w:pPr>
          </w:p>
        </w:tc>
        <w:tc>
          <w:tcPr>
            <w:tcW w:w="68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4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gridSpan w:val="8"/>
            <w:shd w:val="clear" w:color="auto" w:fill="CCEEFF"/>
          </w:tcPr>
          <w:p>
            <w:pPr>
              <w:jc w:val="right"/>
              <w:spacing w:after="0"/>
              <w:rPr>
                <w:sz w:val="20"/>
                <w:szCs w:val="20"/>
                <w:color w:val="auto"/>
              </w:rPr>
            </w:pPr>
            <w:r>
              <w:rPr>
                <w:rFonts w:ascii="Arial" w:cs="Arial" w:eastAsia="Arial" w:hAnsi="Arial"/>
                <w:sz w:val="18"/>
                <w:szCs w:val="18"/>
                <w:color w:val="auto"/>
                <w:w w:val="87"/>
              </w:rPr>
              <w:t>$ 205,554</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rPr>
              <w:t>211,374</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gridSpan w:val="10"/>
            <w:vMerge w:val="restart"/>
          </w:tcPr>
          <w:p>
            <w:pPr>
              <w:ind w:left="260"/>
              <w:spacing w:after="0"/>
              <w:rPr>
                <w:sz w:val="20"/>
                <w:szCs w:val="20"/>
                <w:color w:val="auto"/>
              </w:rPr>
            </w:pPr>
            <w:r>
              <w:rPr>
                <w:rFonts w:ascii="Arial" w:cs="Arial" w:eastAsia="Arial" w:hAnsi="Arial"/>
                <w:sz w:val="18"/>
                <w:szCs w:val="18"/>
                <w:b w:val="1"/>
                <w:bCs w:val="1"/>
                <w:color w:val="auto"/>
                <w:w w:val="90"/>
              </w:rPr>
              <w:t>Prepaid expenses and other current assets (in thousands)</w:t>
            </w:r>
          </w:p>
        </w:tc>
        <w:tc>
          <w:tcPr>
            <w:tcW w:w="6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4820" w:type="dxa"/>
            <w:vAlign w:val="bottom"/>
            <w:gridSpan w:val="10"/>
            <w:vMerge w:val="continue"/>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5"/>
        </w:trPr>
        <w:tc>
          <w:tcPr>
            <w:tcW w:w="7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00" w:type="dxa"/>
            <w:vAlign w:val="bottom"/>
            <w:gridSpan w:val="7"/>
          </w:tcPr>
          <w:p>
            <w:pPr>
              <w:spacing w:after="0"/>
              <w:rPr>
                <w:sz w:val="20"/>
                <w:szCs w:val="20"/>
                <w:color w:val="auto"/>
              </w:rPr>
            </w:pPr>
            <w:r>
              <w:rPr>
                <w:rFonts w:ascii="Arial" w:cs="Arial" w:eastAsia="Arial" w:hAnsi="Arial"/>
                <w:sz w:val="14"/>
                <w:szCs w:val="14"/>
                <w:b w:val="1"/>
                <w:bCs w:val="1"/>
                <w:color w:val="auto"/>
              </w:rPr>
              <w:t>April 29,</w:t>
            </w: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gridSpan w:val="9"/>
          </w:tcPr>
          <w:p>
            <w:pPr>
              <w:jc w:val="center"/>
              <w:ind w:right="68"/>
              <w:spacing w:after="0"/>
              <w:rPr>
                <w:sz w:val="20"/>
                <w:szCs w:val="20"/>
                <w:color w:val="auto"/>
              </w:rPr>
            </w:pPr>
            <w:r>
              <w:rPr>
                <w:rFonts w:ascii="Arial" w:cs="Arial" w:eastAsia="Arial" w:hAnsi="Arial"/>
                <w:sz w:val="14"/>
                <w:szCs w:val="14"/>
                <w:b w:val="1"/>
                <w:bCs w:val="1"/>
                <w:color w:val="auto"/>
                <w:w w:val="93"/>
              </w:rPr>
              <w:t>January 28,</w:t>
            </w: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7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2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gridSpan w:val="3"/>
          </w:tcPr>
          <w:p>
            <w:pPr>
              <w:ind w:left="60"/>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2006</w:t>
            </w: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54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3"/>
              </w:rPr>
              <w:t>Prepayments for foundry capacity</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98"/>
              </w:rPr>
              <w:t>56,900</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40" w:type="dxa"/>
            <w:vAlign w:val="bottom"/>
            <w:tcBorders>
              <w:right w:val="single" w:sz="8" w:color="CCEEFF"/>
            </w:tcBorders>
            <w:gridSpan w:val="7"/>
            <w:shd w:val="clear" w:color="auto" w:fill="CCEEFF"/>
          </w:tcPr>
          <w:p>
            <w:pPr>
              <w:jc w:val="right"/>
              <w:ind w:right="8"/>
              <w:spacing w:after="0"/>
              <w:rPr>
                <w:sz w:val="20"/>
                <w:szCs w:val="20"/>
                <w:color w:val="auto"/>
              </w:rPr>
            </w:pPr>
            <w:r>
              <w:rPr>
                <w:rFonts w:ascii="Arial" w:cs="Arial" w:eastAsia="Arial" w:hAnsi="Arial"/>
                <w:sz w:val="18"/>
                <w:szCs w:val="18"/>
                <w:color w:val="auto"/>
              </w:rPr>
              <w:t>62,120</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tcPr>
          <w:p>
            <w:pPr>
              <w:spacing w:after="0"/>
              <w:rPr>
                <w:sz w:val="20"/>
                <w:szCs w:val="20"/>
                <w:color w:val="auto"/>
              </w:rPr>
            </w:pPr>
            <w:r>
              <w:rPr>
                <w:rFonts w:ascii="Arial" w:cs="Arial" w:eastAsia="Arial" w:hAnsi="Arial"/>
                <w:sz w:val="18"/>
                <w:szCs w:val="18"/>
                <w:color w:val="auto"/>
                <w:w w:val="92"/>
              </w:rPr>
              <w:t>Receivable from foundry</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5"/>
          </w:tcPr>
          <w:p>
            <w:pPr>
              <w:jc w:val="right"/>
              <w:spacing w:after="0"/>
              <w:rPr>
                <w:sz w:val="20"/>
                <w:szCs w:val="20"/>
                <w:color w:val="auto"/>
              </w:rPr>
            </w:pPr>
            <w:r>
              <w:rPr>
                <w:rFonts w:ascii="Arial" w:cs="Arial" w:eastAsia="Arial" w:hAnsi="Arial"/>
                <w:sz w:val="18"/>
                <w:szCs w:val="18"/>
                <w:color w:val="auto"/>
                <w:w w:val="98"/>
              </w:rPr>
              <w:t>26,339</w:t>
            </w: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7"/>
          </w:tcPr>
          <w:p>
            <w:pPr>
              <w:jc w:val="right"/>
              <w:ind w:right="8"/>
              <w:spacing w:after="0"/>
              <w:rPr>
                <w:sz w:val="20"/>
                <w:szCs w:val="20"/>
                <w:color w:val="auto"/>
              </w:rPr>
            </w:pPr>
            <w:r>
              <w:rPr>
                <w:rFonts w:ascii="Arial" w:cs="Arial" w:eastAsia="Arial" w:hAnsi="Arial"/>
                <w:sz w:val="18"/>
                <w:szCs w:val="18"/>
                <w:color w:val="auto"/>
              </w:rPr>
              <w:t>19,512</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98"/>
              </w:rPr>
              <w:t>33,615</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right w:val="single" w:sz="8" w:color="CCEEFF"/>
            </w:tcBorders>
            <w:gridSpan w:val="7"/>
            <w:shd w:val="clear" w:color="auto" w:fill="CCEEFF"/>
          </w:tcPr>
          <w:p>
            <w:pPr>
              <w:jc w:val="right"/>
              <w:ind w:right="8"/>
              <w:spacing w:after="0"/>
              <w:rPr>
                <w:sz w:val="20"/>
                <w:szCs w:val="20"/>
                <w:color w:val="auto"/>
              </w:rPr>
            </w:pPr>
            <w:r>
              <w:rPr>
                <w:rFonts w:ascii="Arial" w:cs="Arial" w:eastAsia="Arial" w:hAnsi="Arial"/>
                <w:sz w:val="18"/>
                <w:szCs w:val="18"/>
                <w:color w:val="auto"/>
              </w:rPr>
              <w:t>22,675</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tcBorders>
              <w:bottom w:val="single" w:sz="8" w:color="auto"/>
            </w:tcBorders>
            <w:gridSpan w:val="8"/>
          </w:tcPr>
          <w:p>
            <w:pPr>
              <w:jc w:val="right"/>
              <w:spacing w:after="0"/>
              <w:rPr>
                <w:sz w:val="20"/>
                <w:szCs w:val="20"/>
                <w:color w:val="auto"/>
              </w:rPr>
            </w:pPr>
            <w:r>
              <w:rPr>
                <w:rFonts w:ascii="Arial" w:cs="Arial" w:eastAsia="Arial" w:hAnsi="Arial"/>
                <w:sz w:val="18"/>
                <w:szCs w:val="18"/>
                <w:color w:val="auto"/>
                <w:w w:val="87"/>
              </w:rPr>
              <w:t>$ 116,854</w:t>
            </w: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gridSpan w:val="7"/>
          </w:tcPr>
          <w:p>
            <w:pPr>
              <w:jc w:val="right"/>
              <w:ind w:right="8"/>
              <w:spacing w:after="0"/>
              <w:rPr>
                <w:sz w:val="20"/>
                <w:szCs w:val="20"/>
                <w:color w:val="auto"/>
              </w:rPr>
            </w:pPr>
            <w:r>
              <w:rPr>
                <w:rFonts w:ascii="Arial" w:cs="Arial" w:eastAsia="Arial" w:hAnsi="Arial"/>
                <w:sz w:val="18"/>
                <w:szCs w:val="18"/>
                <w:color w:val="auto"/>
                <w:w w:val="98"/>
              </w:rPr>
              <w:t>104,307</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620" w:type="dxa"/>
            <w:vAlign w:val="bottom"/>
            <w:gridSpan w:val="4"/>
            <w:vMerge w:val="restart"/>
          </w:tcPr>
          <w:p>
            <w:pPr>
              <w:ind w:left="260"/>
              <w:spacing w:after="0"/>
              <w:rPr>
                <w:sz w:val="20"/>
                <w:szCs w:val="20"/>
                <w:color w:val="auto"/>
              </w:rPr>
            </w:pPr>
            <w:r>
              <w:rPr>
                <w:rFonts w:ascii="Arial" w:cs="Arial" w:eastAsia="Arial" w:hAnsi="Arial"/>
                <w:sz w:val="18"/>
                <w:szCs w:val="18"/>
                <w:b w:val="1"/>
                <w:bCs w:val="1"/>
                <w:color w:val="auto"/>
                <w:w w:val="99"/>
              </w:rPr>
              <w:t>Property and equipment (in thousands)</w:t>
            </w: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3620" w:type="dxa"/>
            <w:vAlign w:val="bottom"/>
            <w:gridSpan w:val="4"/>
            <w:vMerge w:val="continue"/>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20" w:type="dxa"/>
            <w:vAlign w:val="bottom"/>
            <w:gridSpan w:val="8"/>
          </w:tcPr>
          <w:p>
            <w:pPr>
              <w:jc w:val="right"/>
              <w:ind w:right="108"/>
              <w:spacing w:after="0"/>
              <w:rPr>
                <w:sz w:val="20"/>
                <w:szCs w:val="20"/>
                <w:color w:val="auto"/>
              </w:rPr>
            </w:pPr>
            <w:r>
              <w:rPr>
                <w:rFonts w:ascii="Arial" w:cs="Arial" w:eastAsia="Arial" w:hAnsi="Arial"/>
                <w:sz w:val="14"/>
                <w:szCs w:val="14"/>
                <w:b w:val="1"/>
                <w:bCs w:val="1"/>
                <w:color w:val="auto"/>
                <w:w w:val="94"/>
              </w:rPr>
              <w:t>April 29,</w:t>
            </w: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gridSpan w:val="9"/>
          </w:tcPr>
          <w:p>
            <w:pPr>
              <w:ind w:left="20"/>
              <w:spacing w:after="0"/>
              <w:rPr>
                <w:sz w:val="20"/>
                <w:szCs w:val="20"/>
                <w:color w:val="auto"/>
              </w:rPr>
            </w:pPr>
            <w:r>
              <w:rPr>
                <w:rFonts w:ascii="Arial" w:cs="Arial" w:eastAsia="Arial" w:hAnsi="Arial"/>
                <w:sz w:val="14"/>
                <w:szCs w:val="14"/>
                <w:b w:val="1"/>
                <w:bCs w:val="1"/>
                <w:color w:val="auto"/>
              </w:rPr>
              <w:t>January 28,</w:t>
            </w: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82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96"/>
              </w:rPr>
              <w:t>2006</w:t>
            </w:r>
          </w:p>
        </w:tc>
        <w:tc>
          <w:tcPr>
            <w:tcW w:w="18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2006</w:t>
            </w: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20" w:type="dxa"/>
            <w:vAlign w:val="bottom"/>
          </w:tcPr>
          <w:p>
            <w:pPr>
              <w:spacing w:after="0"/>
              <w:rPr>
                <w:sz w:val="17"/>
                <w:szCs w:val="17"/>
                <w:color w:val="auto"/>
              </w:rPr>
            </w:pPr>
          </w:p>
        </w:tc>
        <w:tc>
          <w:tcPr>
            <w:tcW w:w="21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tcBorders>
              <w:right w:val="single" w:sz="8" w:color="CCEEFF"/>
            </w:tcBorders>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tcBorders>
              <w:left w:val="single" w:sz="8" w:color="CCEEFF"/>
            </w:tcBorders>
            <w:shd w:val="clear" w:color="auto" w:fill="CCEEFF"/>
          </w:tcPr>
          <w:p>
            <w:pPr>
              <w:spacing w:after="0"/>
              <w:rPr>
                <w:sz w:val="17"/>
                <w:szCs w:val="17"/>
                <w:color w:val="auto"/>
              </w:rPr>
            </w:pPr>
          </w:p>
        </w:tc>
        <w:tc>
          <w:tcPr>
            <w:tcW w:w="80" w:type="dxa"/>
            <w:vAlign w:val="bottom"/>
            <w:tcBorders>
              <w:right w:val="single" w:sz="8" w:color="CCEEFF"/>
            </w:tcBorders>
            <w:shd w:val="clear" w:color="auto" w:fill="CCEEFF"/>
          </w:tcPr>
          <w:p>
            <w:pPr>
              <w:spacing w:after="0"/>
              <w:rPr>
                <w:sz w:val="17"/>
                <w:szCs w:val="17"/>
                <w:color w:val="auto"/>
              </w:rPr>
            </w:pPr>
          </w:p>
        </w:tc>
        <w:tc>
          <w:tcPr>
            <w:tcW w:w="60" w:type="dxa"/>
            <w:vAlign w:val="bottom"/>
            <w:tcBorders>
              <w:left w:val="single" w:sz="8" w:color="CCEEFF"/>
            </w:tcBorders>
          </w:tcPr>
          <w:p>
            <w:pPr>
              <w:spacing w:after="0"/>
              <w:rPr>
                <w:sz w:val="17"/>
                <w:szCs w:val="17"/>
                <w:color w:val="auto"/>
              </w:rPr>
            </w:pPr>
          </w:p>
        </w:tc>
        <w:tc>
          <w:tcPr>
            <w:tcW w:w="5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tcPr>
          <w:p>
            <w:pPr>
              <w:ind w:left="180"/>
              <w:spacing w:after="0"/>
              <w:rPr>
                <w:sz w:val="20"/>
                <w:szCs w:val="20"/>
                <w:color w:val="auto"/>
              </w:rPr>
            </w:pPr>
            <w:r>
              <w:rPr>
                <w:rFonts w:ascii="Arial" w:cs="Arial" w:eastAsia="Arial" w:hAnsi="Arial"/>
                <w:sz w:val="18"/>
                <w:szCs w:val="18"/>
                <w:color w:val="auto"/>
                <w:w w:val="95"/>
              </w:rPr>
              <w:t>Machinery and equipment</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gridSpan w:val="8"/>
          </w:tcPr>
          <w:p>
            <w:pPr>
              <w:jc w:val="right"/>
              <w:spacing w:after="0"/>
              <w:rPr>
                <w:sz w:val="20"/>
                <w:szCs w:val="20"/>
                <w:color w:val="auto"/>
              </w:rPr>
            </w:pPr>
            <w:r>
              <w:rPr>
                <w:rFonts w:ascii="Arial" w:cs="Arial" w:eastAsia="Arial" w:hAnsi="Arial"/>
                <w:sz w:val="18"/>
                <w:szCs w:val="18"/>
                <w:color w:val="auto"/>
                <w:w w:val="89"/>
              </w:rPr>
              <w:t>$ 155,722</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gridSpan w:val="4"/>
          </w:tcPr>
          <w:p>
            <w:pPr>
              <w:ind w:left="140"/>
              <w:spacing w:after="0"/>
              <w:rPr>
                <w:sz w:val="20"/>
                <w:szCs w:val="20"/>
                <w:color w:val="auto"/>
              </w:rPr>
            </w:pPr>
            <w:r>
              <w:rPr>
                <w:rFonts w:ascii="Arial" w:cs="Arial" w:eastAsia="Arial" w:hAnsi="Arial"/>
                <w:sz w:val="18"/>
                <w:szCs w:val="18"/>
                <w:color w:val="auto"/>
                <w:w w:val="99"/>
              </w:rPr>
              <w:t>$</w:t>
            </w:r>
          </w:p>
        </w:tc>
        <w:tc>
          <w:tcPr>
            <w:tcW w:w="660" w:type="dxa"/>
            <w:vAlign w:val="bottom"/>
            <w:gridSpan w:val="6"/>
          </w:tcPr>
          <w:p>
            <w:pPr>
              <w:jc w:val="right"/>
              <w:spacing w:after="0"/>
              <w:rPr>
                <w:sz w:val="20"/>
                <w:szCs w:val="20"/>
                <w:color w:val="auto"/>
              </w:rPr>
            </w:pPr>
            <w:r>
              <w:rPr>
                <w:rFonts w:ascii="Arial" w:cs="Arial" w:eastAsia="Arial" w:hAnsi="Arial"/>
                <w:sz w:val="18"/>
                <w:szCs w:val="18"/>
                <w:color w:val="auto"/>
                <w:w w:val="98"/>
              </w:rPr>
              <w:t>142,320</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40" w:type="dxa"/>
            <w:vAlign w:val="bottom"/>
            <w:gridSpan w:val="8"/>
            <w:shd w:val="clear" w:color="auto" w:fill="CCEEFF"/>
          </w:tcPr>
          <w:p>
            <w:pPr>
              <w:jc w:val="right"/>
              <w:spacing w:after="0"/>
              <w:rPr>
                <w:sz w:val="20"/>
                <w:szCs w:val="20"/>
                <w:color w:val="auto"/>
              </w:rPr>
            </w:pPr>
            <w:r>
              <w:rPr>
                <w:rFonts w:ascii="Arial" w:cs="Arial" w:eastAsia="Arial" w:hAnsi="Arial"/>
                <w:sz w:val="18"/>
                <w:szCs w:val="18"/>
                <w:color w:val="auto"/>
              </w:rPr>
              <w:t>112,785</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w w:val="98"/>
              </w:rPr>
              <w:t>108,032</w:t>
            </w:r>
          </w:p>
        </w:tc>
        <w:tc>
          <w:tcPr>
            <w:tcW w:w="80" w:type="dxa"/>
            <w:vAlign w:val="bottom"/>
            <w:tcBorders>
              <w:right w:val="single" w:sz="8" w:color="CCEEFF"/>
            </w:tcBorders>
            <w:shd w:val="clear" w:color="auto" w:fill="CCEEFF"/>
          </w:tcPr>
          <w:p>
            <w:pPr>
              <w:spacing w:after="0"/>
              <w:rPr>
                <w:sz w:val="18"/>
                <w:szCs w:val="18"/>
                <w:color w:val="auto"/>
              </w:rPr>
            </w:pPr>
          </w:p>
        </w:tc>
        <w:tc>
          <w:tcPr>
            <w:tcW w:w="60" w:type="dxa"/>
            <w:vAlign w:val="bottom"/>
            <w:tcBorders>
              <w:left w:val="single" w:sz="8" w:color="CCEEFF"/>
            </w:tcBorders>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tcPr>
          <w:p>
            <w:pPr>
              <w:ind w:left="180"/>
              <w:spacing w:after="0"/>
              <w:rPr>
                <w:sz w:val="20"/>
                <w:szCs w:val="20"/>
                <w:color w:val="auto"/>
              </w:rPr>
            </w:pPr>
            <w:r>
              <w:rPr>
                <w:rFonts w:ascii="Arial" w:cs="Arial" w:eastAsia="Arial" w:hAnsi="Arial"/>
                <w:sz w:val="18"/>
                <w:szCs w:val="18"/>
                <w:color w:val="auto"/>
              </w:rPr>
              <w:t>Furniture and fixtures</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gridSpan w:val="4"/>
          </w:tcPr>
          <w:p>
            <w:pPr>
              <w:jc w:val="right"/>
              <w:spacing w:after="0"/>
              <w:rPr>
                <w:sz w:val="20"/>
                <w:szCs w:val="20"/>
                <w:color w:val="auto"/>
              </w:rPr>
            </w:pPr>
            <w:r>
              <w:rPr>
                <w:rFonts w:ascii="Arial" w:cs="Arial" w:eastAsia="Arial" w:hAnsi="Arial"/>
                <w:sz w:val="18"/>
                <w:szCs w:val="18"/>
                <w:color w:val="auto"/>
                <w:w w:val="94"/>
              </w:rPr>
              <w:t>11,526</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6"/>
          </w:tcPr>
          <w:p>
            <w:pPr>
              <w:jc w:val="right"/>
              <w:spacing w:after="0"/>
              <w:rPr>
                <w:sz w:val="20"/>
                <w:szCs w:val="20"/>
                <w:color w:val="auto"/>
              </w:rPr>
            </w:pPr>
            <w:r>
              <w:rPr>
                <w:rFonts w:ascii="Arial" w:cs="Arial" w:eastAsia="Arial" w:hAnsi="Arial"/>
                <w:sz w:val="18"/>
                <w:szCs w:val="18"/>
                <w:color w:val="auto"/>
              </w:rPr>
              <w:t>10,588</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8"/>
              </w:rPr>
              <w:t>Leasehold improvements</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9,535</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9,292</w:t>
            </w:r>
          </w:p>
        </w:tc>
        <w:tc>
          <w:tcPr>
            <w:tcW w:w="80" w:type="dxa"/>
            <w:vAlign w:val="bottom"/>
            <w:tcBorders>
              <w:right w:val="single" w:sz="8" w:color="CCEEFF"/>
            </w:tcBorders>
            <w:shd w:val="clear" w:color="auto" w:fill="CCEEFF"/>
          </w:tcPr>
          <w:p>
            <w:pPr>
              <w:spacing w:after="0"/>
              <w:rPr>
                <w:sz w:val="18"/>
                <w:szCs w:val="18"/>
                <w:color w:val="auto"/>
              </w:rPr>
            </w:pPr>
          </w:p>
        </w:tc>
        <w:tc>
          <w:tcPr>
            <w:tcW w:w="60" w:type="dxa"/>
            <w:vAlign w:val="bottom"/>
            <w:tcBorders>
              <w:left w:val="single" w:sz="8" w:color="CCEEFF"/>
            </w:tcBorders>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tcPr>
          <w:p>
            <w:pPr>
              <w:ind w:left="180"/>
              <w:spacing w:after="0"/>
              <w:rPr>
                <w:sz w:val="20"/>
                <w:szCs w:val="20"/>
                <w:color w:val="auto"/>
              </w:rPr>
            </w:pPr>
            <w:r>
              <w:rPr>
                <w:rFonts w:ascii="Arial" w:cs="Arial" w:eastAsia="Arial" w:hAnsi="Arial"/>
                <w:sz w:val="18"/>
                <w:szCs w:val="18"/>
                <w:color w:val="auto"/>
              </w:rPr>
              <w:t>Buildings</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gridSpan w:val="4"/>
          </w:tcPr>
          <w:p>
            <w:pPr>
              <w:jc w:val="right"/>
              <w:spacing w:after="0"/>
              <w:rPr>
                <w:sz w:val="20"/>
                <w:szCs w:val="20"/>
                <w:color w:val="auto"/>
              </w:rPr>
            </w:pPr>
            <w:r>
              <w:rPr>
                <w:rFonts w:ascii="Arial" w:cs="Arial" w:eastAsia="Arial" w:hAnsi="Arial"/>
                <w:sz w:val="18"/>
                <w:szCs w:val="18"/>
                <w:color w:val="auto"/>
              </w:rPr>
              <w:t>8,727</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gridSpan w:val="5"/>
          </w:tcPr>
          <w:p>
            <w:pPr>
              <w:jc w:val="right"/>
              <w:spacing w:after="0"/>
              <w:rPr>
                <w:sz w:val="20"/>
                <w:szCs w:val="20"/>
                <w:color w:val="auto"/>
              </w:rPr>
            </w:pPr>
            <w:r>
              <w:rPr>
                <w:rFonts w:ascii="Arial" w:cs="Arial" w:eastAsia="Arial" w:hAnsi="Arial"/>
                <w:sz w:val="18"/>
                <w:szCs w:val="18"/>
                <w:color w:val="auto"/>
              </w:rPr>
              <w:t>8,727</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Building improvements</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4"/>
              </w:rPr>
              <w:t>25,768</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24,747</w:t>
            </w:r>
          </w:p>
        </w:tc>
        <w:tc>
          <w:tcPr>
            <w:tcW w:w="80" w:type="dxa"/>
            <w:vAlign w:val="bottom"/>
            <w:tcBorders>
              <w:right w:val="single" w:sz="8" w:color="CCEEFF"/>
            </w:tcBorders>
            <w:shd w:val="clear" w:color="auto" w:fill="CCEEFF"/>
          </w:tcPr>
          <w:p>
            <w:pPr>
              <w:spacing w:after="0"/>
              <w:rPr>
                <w:sz w:val="18"/>
                <w:szCs w:val="18"/>
                <w:color w:val="auto"/>
              </w:rPr>
            </w:pPr>
          </w:p>
        </w:tc>
        <w:tc>
          <w:tcPr>
            <w:tcW w:w="60" w:type="dxa"/>
            <w:vAlign w:val="bottom"/>
            <w:tcBorders>
              <w:left w:val="single" w:sz="8" w:color="CCEEFF"/>
            </w:tcBorders>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tcPr>
          <w:p>
            <w:pPr>
              <w:ind w:left="180"/>
              <w:spacing w:after="0"/>
              <w:rPr>
                <w:sz w:val="20"/>
                <w:szCs w:val="20"/>
                <w:color w:val="auto"/>
              </w:rPr>
            </w:pPr>
            <w:r>
              <w:rPr>
                <w:rFonts w:ascii="Arial" w:cs="Arial" w:eastAsia="Arial" w:hAnsi="Arial"/>
                <w:sz w:val="18"/>
                <w:szCs w:val="18"/>
                <w:color w:val="auto"/>
              </w:rPr>
              <w:t>Land</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gridSpan w:val="4"/>
          </w:tcPr>
          <w:p>
            <w:pPr>
              <w:jc w:val="right"/>
              <w:spacing w:after="0"/>
              <w:rPr>
                <w:sz w:val="20"/>
                <w:szCs w:val="20"/>
                <w:color w:val="auto"/>
              </w:rPr>
            </w:pPr>
            <w:r>
              <w:rPr>
                <w:rFonts w:ascii="Arial" w:cs="Arial" w:eastAsia="Arial" w:hAnsi="Arial"/>
                <w:sz w:val="18"/>
                <w:szCs w:val="18"/>
                <w:color w:val="auto"/>
                <w:w w:val="94"/>
              </w:rPr>
              <w:t>51,500</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6"/>
          </w:tcPr>
          <w:p>
            <w:pPr>
              <w:jc w:val="right"/>
              <w:spacing w:after="0"/>
              <w:rPr>
                <w:sz w:val="20"/>
                <w:szCs w:val="20"/>
                <w:color w:val="auto"/>
              </w:rPr>
            </w:pPr>
            <w:r>
              <w:rPr>
                <w:rFonts w:ascii="Arial" w:cs="Arial" w:eastAsia="Arial" w:hAnsi="Arial"/>
                <w:sz w:val="18"/>
                <w:szCs w:val="18"/>
                <w:color w:val="auto"/>
              </w:rPr>
              <w:t>51,500</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1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Construction in progress</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94"/>
              </w:rPr>
              <w:t>68,106</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gridSpan w:val="6"/>
            <w:shd w:val="clear" w:color="auto" w:fill="CCEEFF"/>
          </w:tcPr>
          <w:p>
            <w:pPr>
              <w:jc w:val="right"/>
              <w:spacing w:after="0"/>
              <w:rPr>
                <w:sz w:val="20"/>
                <w:szCs w:val="20"/>
                <w:color w:val="auto"/>
              </w:rPr>
            </w:pPr>
            <w:r>
              <w:rPr>
                <w:rFonts w:ascii="Arial" w:cs="Arial" w:eastAsia="Arial" w:hAnsi="Arial"/>
                <w:sz w:val="18"/>
                <w:szCs w:val="18"/>
                <w:color w:val="auto"/>
              </w:rPr>
              <w:t>56,311</w:t>
            </w:r>
          </w:p>
        </w:tc>
        <w:tc>
          <w:tcPr>
            <w:tcW w:w="80" w:type="dxa"/>
            <w:vAlign w:val="bottom"/>
            <w:tcBorders>
              <w:right w:val="single" w:sz="8" w:color="CCEEFF"/>
            </w:tcBorders>
            <w:shd w:val="clear" w:color="auto" w:fill="CCEEFF"/>
          </w:tcPr>
          <w:p>
            <w:pPr>
              <w:spacing w:after="0"/>
              <w:rPr>
                <w:sz w:val="18"/>
                <w:szCs w:val="18"/>
                <w:color w:val="auto"/>
              </w:rPr>
            </w:pPr>
          </w:p>
        </w:tc>
        <w:tc>
          <w:tcPr>
            <w:tcW w:w="60" w:type="dxa"/>
            <w:vAlign w:val="bottom"/>
            <w:tcBorders>
              <w:left w:val="single" w:sz="8" w:color="CCEEFF"/>
            </w:tcBorders>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gridSpan w:val="8"/>
          </w:tcPr>
          <w:p>
            <w:pPr>
              <w:jc w:val="right"/>
              <w:spacing w:after="0"/>
              <w:rPr>
                <w:sz w:val="20"/>
                <w:szCs w:val="20"/>
                <w:color w:val="auto"/>
              </w:rPr>
            </w:pPr>
            <w:r>
              <w:rPr>
                <w:rFonts w:ascii="Arial" w:cs="Arial" w:eastAsia="Arial" w:hAnsi="Arial"/>
                <w:sz w:val="18"/>
                <w:szCs w:val="18"/>
                <w:color w:val="auto"/>
              </w:rPr>
              <w:t>443,669</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6"/>
          </w:tcPr>
          <w:p>
            <w:pPr>
              <w:jc w:val="right"/>
              <w:spacing w:after="0"/>
              <w:rPr>
                <w:sz w:val="20"/>
                <w:szCs w:val="20"/>
                <w:color w:val="auto"/>
              </w:rPr>
            </w:pPr>
            <w:r>
              <w:rPr>
                <w:rFonts w:ascii="Arial" w:cs="Arial" w:eastAsia="Arial" w:hAnsi="Arial"/>
                <w:sz w:val="18"/>
                <w:szCs w:val="18"/>
                <w:color w:val="auto"/>
                <w:w w:val="98"/>
              </w:rPr>
              <w:t>411,517</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4100" w:type="dxa"/>
            <w:vAlign w:val="bottom"/>
            <w:tcBorders>
              <w:right w:val="single" w:sz="8" w:color="CCEEFF"/>
            </w:tcBorders>
            <w:gridSpan w:val="9"/>
            <w:shd w:val="clear" w:color="auto" w:fill="CCEEFF"/>
          </w:tcPr>
          <w:p>
            <w:pPr>
              <w:ind w:left="180"/>
              <w:spacing w:after="0"/>
              <w:rPr>
                <w:sz w:val="20"/>
                <w:szCs w:val="20"/>
                <w:color w:val="auto"/>
              </w:rPr>
            </w:pPr>
            <w:r>
              <w:rPr>
                <w:rFonts w:ascii="Arial" w:cs="Arial" w:eastAsia="Arial" w:hAnsi="Arial"/>
                <w:sz w:val="18"/>
                <w:szCs w:val="18"/>
                <w:color w:val="auto"/>
                <w:w w:val="98"/>
              </w:rPr>
              <w:t>Less: Accumulated depreciation and amortization</w:t>
            </w: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10"/>
            <w:shd w:val="clear" w:color="auto" w:fill="CCEEFF"/>
          </w:tcPr>
          <w:p>
            <w:pPr>
              <w:jc w:val="right"/>
              <w:spacing w:after="0"/>
              <w:rPr>
                <w:sz w:val="20"/>
                <w:szCs w:val="20"/>
                <w:color w:val="auto"/>
              </w:rPr>
            </w:pPr>
            <w:r>
              <w:rPr>
                <w:rFonts w:ascii="Arial" w:cs="Arial" w:eastAsia="Arial" w:hAnsi="Arial"/>
                <w:sz w:val="18"/>
                <w:szCs w:val="18"/>
                <w:color w:val="auto"/>
              </w:rPr>
              <w:t>(164,271)</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tcBorders>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w w:val="93"/>
              </w:rPr>
              <w:t>(150,596)</w:t>
            </w:r>
          </w:p>
        </w:tc>
        <w:tc>
          <w:tcPr>
            <w:tcW w:w="60" w:type="dxa"/>
            <w:vAlign w:val="bottom"/>
            <w:tcBorders>
              <w:left w:val="single" w:sz="8" w:color="CCEEFF"/>
            </w:tcBorders>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40" w:type="dxa"/>
            <w:vAlign w:val="bottom"/>
            <w:tcBorders>
              <w:top w:val="single" w:sz="8" w:color="auto"/>
              <w:bottom w:val="single" w:sz="8" w:color="auto"/>
            </w:tcBorders>
            <w:gridSpan w:val="8"/>
          </w:tcPr>
          <w:p>
            <w:pPr>
              <w:jc w:val="right"/>
              <w:spacing w:after="0"/>
              <w:rPr>
                <w:sz w:val="20"/>
                <w:szCs w:val="20"/>
                <w:color w:val="auto"/>
              </w:rPr>
            </w:pPr>
            <w:r>
              <w:rPr>
                <w:rFonts w:ascii="Arial" w:cs="Arial" w:eastAsia="Arial" w:hAnsi="Arial"/>
                <w:sz w:val="18"/>
                <w:szCs w:val="18"/>
                <w:color w:val="auto"/>
                <w:w w:val="89"/>
              </w:rPr>
              <w:t>$ 279,398</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bottom w:val="single" w:sz="8" w:color="auto"/>
            </w:tcBorders>
            <w:gridSpan w:val="6"/>
          </w:tcPr>
          <w:p>
            <w:pPr>
              <w:jc w:val="right"/>
              <w:spacing w:after="0"/>
              <w:rPr>
                <w:sz w:val="20"/>
                <w:szCs w:val="20"/>
                <w:color w:val="auto"/>
              </w:rPr>
            </w:pPr>
            <w:r>
              <w:rPr>
                <w:rFonts w:ascii="Arial" w:cs="Arial" w:eastAsia="Arial" w:hAnsi="Arial"/>
                <w:sz w:val="18"/>
                <w:szCs w:val="18"/>
                <w:color w:val="auto"/>
                <w:w w:val="98"/>
              </w:rPr>
              <w:t>260,921</w:t>
            </w: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2"/>
            <w:vMerge w:val="restart"/>
          </w:tcPr>
          <w:p>
            <w:pPr>
              <w:jc w:val="center"/>
              <w:spacing w:after="0"/>
              <w:rPr>
                <w:sz w:val="20"/>
                <w:szCs w:val="20"/>
                <w:color w:val="auto"/>
              </w:rPr>
            </w:pPr>
            <w:r>
              <w:rPr>
                <w:rFonts w:ascii="Arial" w:cs="Arial" w:eastAsia="Arial" w:hAnsi="Arial"/>
                <w:sz w:val="18"/>
                <w:szCs w:val="18"/>
                <w:color w:val="auto"/>
                <w:w w:val="89"/>
              </w:rPr>
              <w:t>22</w:t>
            </w: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7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900" w:type="dxa"/>
            <w:vAlign w:val="bottom"/>
            <w:tcBorders>
              <w:bottom w:val="single" w:sz="8" w:color="010101"/>
            </w:tcBorders>
            <w:gridSpan w:val="3"/>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6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52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70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7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900" w:type="dxa"/>
            <w:vAlign w:val="bottom"/>
            <w:gridSpan w:val="3"/>
          </w:tcPr>
          <w:p>
            <w:pPr>
              <w:ind w:left="260"/>
              <w:spacing w:after="0"/>
              <w:rPr>
                <w:sz w:val="20"/>
                <w:szCs w:val="20"/>
                <w:color w:val="auto"/>
              </w:rPr>
            </w:pPr>
            <w:r>
              <w:rPr>
                <w:rFonts w:ascii="Arial" w:cs="Arial" w:eastAsia="Arial" w:hAnsi="Arial"/>
                <w:sz w:val="18"/>
                <w:szCs w:val="18"/>
                <w:b w:val="1"/>
                <w:bCs w:val="1"/>
                <w:color w:val="auto"/>
                <w:w w:val="95"/>
              </w:rPr>
              <w:t>Intangible assets (in thousands)</w:t>
            </w: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7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1920" w:type="dxa"/>
            <w:vAlign w:val="bottom"/>
            <w:tcBorders>
              <w:bottom w:val="single" w:sz="8" w:color="auto"/>
            </w:tcBorders>
            <w:gridSpan w:val="7"/>
          </w:tcPr>
          <w:p>
            <w:pPr>
              <w:jc w:val="right"/>
              <w:spacing w:after="0"/>
              <w:rPr>
                <w:sz w:val="20"/>
                <w:szCs w:val="20"/>
                <w:color w:val="auto"/>
              </w:rPr>
            </w:pPr>
            <w:r>
              <w:rPr>
                <w:rFonts w:ascii="Arial" w:cs="Arial" w:eastAsia="Arial" w:hAnsi="Arial"/>
                <w:sz w:val="14"/>
                <w:szCs w:val="14"/>
                <w:b w:val="1"/>
                <w:bCs w:val="1"/>
                <w:color w:val="auto"/>
              </w:rPr>
              <w:t>As of April 29, 2006</w:t>
            </w:r>
          </w:p>
        </w:tc>
        <w:tc>
          <w:tcPr>
            <w:tcW w:w="68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860" w:type="dxa"/>
            <w:vAlign w:val="bottom"/>
            <w:tcBorders>
              <w:bottom w:val="single" w:sz="8" w:color="auto"/>
            </w:tcBorders>
            <w:gridSpan w:val="17"/>
          </w:tcPr>
          <w:p>
            <w:pPr>
              <w:ind w:left="380"/>
              <w:spacing w:after="0"/>
              <w:rPr>
                <w:sz w:val="20"/>
                <w:szCs w:val="20"/>
                <w:color w:val="auto"/>
              </w:rPr>
            </w:pPr>
            <w:r>
              <w:rPr>
                <w:rFonts w:ascii="Arial" w:cs="Arial" w:eastAsia="Arial" w:hAnsi="Arial"/>
                <w:sz w:val="14"/>
                <w:szCs w:val="14"/>
                <w:b w:val="1"/>
                <w:bCs w:val="1"/>
                <w:color w:val="auto"/>
                <w:w w:val="96"/>
              </w:rPr>
              <w:t>As of January 28, 2006</w:t>
            </w:r>
          </w:p>
        </w:tc>
        <w:tc>
          <w:tcPr>
            <w:tcW w:w="1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7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72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Gross</w:t>
            </w:r>
          </w:p>
        </w:tc>
        <w:tc>
          <w:tcPr>
            <w:tcW w:w="140" w:type="dxa"/>
            <w:vAlign w:val="bottom"/>
          </w:tcPr>
          <w:p>
            <w:pPr>
              <w:spacing w:after="0"/>
              <w:rPr>
                <w:sz w:val="8"/>
                <w:szCs w:val="8"/>
                <w:color w:val="auto"/>
              </w:rPr>
            </w:pPr>
          </w:p>
        </w:tc>
        <w:tc>
          <w:tcPr>
            <w:tcW w:w="1060" w:type="dxa"/>
            <w:vAlign w:val="bottom"/>
            <w:gridSpan w:val="5"/>
            <w:vMerge w:val="restart"/>
          </w:tcPr>
          <w:p>
            <w:pPr>
              <w:jc w:val="right"/>
              <w:ind w:right="165"/>
              <w:spacing w:after="0"/>
              <w:rPr>
                <w:sz w:val="20"/>
                <w:szCs w:val="20"/>
                <w:color w:val="auto"/>
              </w:rPr>
            </w:pPr>
            <w:r>
              <w:rPr>
                <w:rFonts w:ascii="Arial" w:cs="Arial" w:eastAsia="Arial" w:hAnsi="Arial"/>
                <w:sz w:val="14"/>
                <w:szCs w:val="14"/>
                <w:b w:val="1"/>
                <w:bCs w:val="1"/>
                <w:color w:val="auto"/>
                <w:w w:val="90"/>
              </w:rPr>
              <w:t>Accumulated</w:t>
            </w:r>
          </w:p>
        </w:tc>
        <w:tc>
          <w:tcPr>
            <w:tcW w:w="680" w:type="dxa"/>
            <w:vAlign w:val="bottom"/>
          </w:tcPr>
          <w:p>
            <w:pPr>
              <w:jc w:val="center"/>
              <w:spacing w:after="0" w:line="102" w:lineRule="exact"/>
              <w:rPr>
                <w:sz w:val="20"/>
                <w:szCs w:val="20"/>
                <w:color w:val="auto"/>
              </w:rPr>
            </w:pPr>
            <w:r>
              <w:rPr>
                <w:rFonts w:ascii="Arial" w:cs="Arial" w:eastAsia="Arial" w:hAnsi="Arial"/>
                <w:sz w:val="11"/>
                <w:szCs w:val="11"/>
                <w:b w:val="1"/>
                <w:bCs w:val="1"/>
                <w:color w:val="auto"/>
              </w:rPr>
              <w:t>Net</w:t>
            </w:r>
          </w:p>
        </w:tc>
        <w:tc>
          <w:tcPr>
            <w:tcW w:w="100" w:type="dxa"/>
            <w:vAlign w:val="bottom"/>
            <w:gridSpan w:val="2"/>
          </w:tcPr>
          <w:p>
            <w:pPr>
              <w:spacing w:after="0"/>
              <w:rPr>
                <w:sz w:val="8"/>
                <w:szCs w:val="8"/>
                <w:color w:val="auto"/>
              </w:rPr>
            </w:pPr>
          </w:p>
        </w:tc>
        <w:tc>
          <w:tcPr>
            <w:tcW w:w="40" w:type="dxa"/>
            <w:vAlign w:val="bottom"/>
          </w:tcPr>
          <w:p>
            <w:pPr>
              <w:spacing w:after="0"/>
              <w:rPr>
                <w:sz w:val="8"/>
                <w:szCs w:val="8"/>
                <w:color w:val="auto"/>
              </w:rPr>
            </w:pPr>
          </w:p>
        </w:tc>
        <w:tc>
          <w:tcPr>
            <w:tcW w:w="720" w:type="dxa"/>
            <w:vAlign w:val="bottom"/>
            <w:gridSpan w:val="3"/>
          </w:tcPr>
          <w:p>
            <w:pPr>
              <w:jc w:val="center"/>
              <w:spacing w:after="0" w:line="102" w:lineRule="exact"/>
              <w:rPr>
                <w:sz w:val="20"/>
                <w:szCs w:val="20"/>
                <w:color w:val="auto"/>
              </w:rPr>
            </w:pPr>
            <w:r>
              <w:rPr>
                <w:rFonts w:ascii="Arial" w:cs="Arial" w:eastAsia="Arial" w:hAnsi="Arial"/>
                <w:sz w:val="11"/>
                <w:szCs w:val="11"/>
                <w:b w:val="1"/>
                <w:bCs w:val="1"/>
                <w:color w:val="auto"/>
              </w:rPr>
              <w:t>Gross</w:t>
            </w:r>
          </w:p>
        </w:tc>
        <w:tc>
          <w:tcPr>
            <w:tcW w:w="140" w:type="dxa"/>
            <w:vAlign w:val="bottom"/>
          </w:tcPr>
          <w:p>
            <w:pPr>
              <w:spacing w:after="0"/>
              <w:rPr>
                <w:sz w:val="8"/>
                <w:szCs w:val="8"/>
                <w:color w:val="auto"/>
              </w:rPr>
            </w:pPr>
          </w:p>
        </w:tc>
        <w:tc>
          <w:tcPr>
            <w:tcW w:w="980" w:type="dxa"/>
            <w:vAlign w:val="bottom"/>
            <w:gridSpan w:val="11"/>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60" w:type="dxa"/>
            <w:vAlign w:val="bottom"/>
            <w:gridSpan w:val="5"/>
          </w:tcPr>
          <w:p>
            <w:pPr>
              <w:jc w:val="right"/>
              <w:ind w:right="214"/>
              <w:spacing w:after="0" w:line="102" w:lineRule="exact"/>
              <w:rPr>
                <w:sz w:val="20"/>
                <w:szCs w:val="20"/>
                <w:color w:val="auto"/>
              </w:rPr>
            </w:pPr>
            <w:r>
              <w:rPr>
                <w:rFonts w:ascii="Arial" w:cs="Arial" w:eastAsia="Arial" w:hAnsi="Arial"/>
                <w:sz w:val="11"/>
                <w:szCs w:val="11"/>
                <w:b w:val="1"/>
                <w:bCs w:val="1"/>
                <w:color w:val="auto"/>
              </w:rPr>
              <w:t>Net</w:t>
            </w:r>
          </w:p>
        </w:tc>
        <w:tc>
          <w:tcPr>
            <w:tcW w:w="240" w:type="dxa"/>
            <w:vAlign w:val="bottom"/>
            <w:gridSpan w:val="3"/>
          </w:tcPr>
          <w:p>
            <w:pPr>
              <w:spacing w:after="0"/>
              <w:rPr>
                <w:sz w:val="8"/>
                <w:szCs w:val="8"/>
                <w:color w:val="auto"/>
              </w:rPr>
            </w:pPr>
          </w:p>
        </w:tc>
        <w:tc>
          <w:tcPr>
            <w:tcW w:w="52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 w:type="dxa"/>
            <w:vAlign w:val="bottom"/>
          </w:tcPr>
          <w:p>
            <w:pPr>
              <w:spacing w:after="0"/>
              <w:rPr>
                <w:sz w:val="8"/>
                <w:szCs w:val="8"/>
                <w:color w:val="auto"/>
              </w:rPr>
            </w:pPr>
          </w:p>
        </w:tc>
        <w:tc>
          <w:tcPr>
            <w:tcW w:w="780" w:type="dxa"/>
            <w:vAlign w:val="bottom"/>
          </w:tcPr>
          <w:p>
            <w:pPr>
              <w:spacing w:after="0"/>
              <w:rPr>
                <w:sz w:val="8"/>
                <w:szCs w:val="8"/>
                <w:color w:val="auto"/>
              </w:rPr>
            </w:pP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7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7"/>
              </w:rPr>
              <w:t>Carrying</w:t>
            </w:r>
          </w:p>
        </w:tc>
        <w:tc>
          <w:tcPr>
            <w:tcW w:w="140" w:type="dxa"/>
            <w:vAlign w:val="bottom"/>
          </w:tcPr>
          <w:p>
            <w:pPr>
              <w:spacing w:after="0"/>
              <w:rPr>
                <w:sz w:val="11"/>
                <w:szCs w:val="11"/>
                <w:color w:val="auto"/>
              </w:rPr>
            </w:pPr>
          </w:p>
        </w:tc>
        <w:tc>
          <w:tcPr>
            <w:tcW w:w="1060" w:type="dxa"/>
            <w:vAlign w:val="bottom"/>
            <w:gridSpan w:val="5"/>
            <w:vMerge w:val="continue"/>
          </w:tcPr>
          <w:p>
            <w:pPr>
              <w:spacing w:after="0"/>
              <w:rPr>
                <w:sz w:val="11"/>
                <w:szCs w:val="11"/>
                <w:color w:val="auto"/>
              </w:rPr>
            </w:pPr>
          </w:p>
        </w:tc>
        <w:tc>
          <w:tcPr>
            <w:tcW w:w="78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7"/>
              </w:rPr>
              <w:t>Carrying</w:t>
            </w:r>
          </w:p>
        </w:tc>
        <w:tc>
          <w:tcPr>
            <w:tcW w:w="40" w:type="dxa"/>
            <w:vAlign w:val="bottom"/>
          </w:tcPr>
          <w:p>
            <w:pPr>
              <w:spacing w:after="0"/>
              <w:rPr>
                <w:sz w:val="11"/>
                <w:szCs w:val="11"/>
                <w:color w:val="auto"/>
              </w:rPr>
            </w:pPr>
          </w:p>
        </w:tc>
        <w:tc>
          <w:tcPr>
            <w:tcW w:w="720" w:type="dxa"/>
            <w:vAlign w:val="bottom"/>
            <w:gridSpan w:val="3"/>
          </w:tcPr>
          <w:p>
            <w:pPr>
              <w:jc w:val="center"/>
              <w:spacing w:after="0" w:line="135" w:lineRule="exact"/>
              <w:rPr>
                <w:sz w:val="20"/>
                <w:szCs w:val="20"/>
                <w:color w:val="auto"/>
              </w:rPr>
            </w:pPr>
            <w:r>
              <w:rPr>
                <w:rFonts w:ascii="Arial" w:cs="Arial" w:eastAsia="Arial" w:hAnsi="Arial"/>
                <w:sz w:val="14"/>
                <w:szCs w:val="14"/>
                <w:b w:val="1"/>
                <w:bCs w:val="1"/>
                <w:color w:val="auto"/>
                <w:w w:val="97"/>
              </w:rPr>
              <w:t>Carrying</w:t>
            </w:r>
          </w:p>
        </w:tc>
        <w:tc>
          <w:tcPr>
            <w:tcW w:w="140" w:type="dxa"/>
            <w:vAlign w:val="bottom"/>
          </w:tcPr>
          <w:p>
            <w:pPr>
              <w:spacing w:after="0"/>
              <w:rPr>
                <w:sz w:val="11"/>
                <w:szCs w:val="11"/>
                <w:color w:val="auto"/>
              </w:rPr>
            </w:pPr>
          </w:p>
        </w:tc>
        <w:tc>
          <w:tcPr>
            <w:tcW w:w="980" w:type="dxa"/>
            <w:vAlign w:val="bottom"/>
            <w:gridSpan w:val="11"/>
            <w:vMerge w:val="continue"/>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20" w:type="dxa"/>
            <w:vAlign w:val="bottom"/>
            <w:gridSpan w:val="10"/>
          </w:tcPr>
          <w:p>
            <w:pPr>
              <w:ind w:left="20"/>
              <w:spacing w:after="0" w:line="135" w:lineRule="exact"/>
              <w:rPr>
                <w:sz w:val="20"/>
                <w:szCs w:val="20"/>
                <w:color w:val="auto"/>
              </w:rPr>
            </w:pPr>
            <w:r>
              <w:rPr>
                <w:rFonts w:ascii="Arial" w:cs="Arial" w:eastAsia="Arial" w:hAnsi="Arial"/>
                <w:sz w:val="14"/>
                <w:szCs w:val="14"/>
                <w:b w:val="1"/>
                <w:bCs w:val="1"/>
                <w:color w:val="auto"/>
              </w:rPr>
              <w:t>Carrying</w:t>
            </w:r>
          </w:p>
        </w:tc>
        <w:tc>
          <w:tcPr>
            <w:tcW w:w="5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94"/>
              </w:rPr>
              <w:t>Amount</w:t>
            </w:r>
          </w:p>
        </w:tc>
        <w:tc>
          <w:tcPr>
            <w:tcW w:w="140" w:type="dxa"/>
            <w:vAlign w:val="bottom"/>
          </w:tcPr>
          <w:p>
            <w:pPr>
              <w:spacing w:after="0"/>
              <w:rPr>
                <w:sz w:val="14"/>
                <w:szCs w:val="14"/>
                <w:color w:val="auto"/>
              </w:rPr>
            </w:pPr>
          </w:p>
        </w:tc>
        <w:tc>
          <w:tcPr>
            <w:tcW w:w="1060" w:type="dxa"/>
            <w:vAlign w:val="bottom"/>
            <w:gridSpan w:val="5"/>
          </w:tcPr>
          <w:p>
            <w:pPr>
              <w:jc w:val="right"/>
              <w:ind w:right="165"/>
              <w:spacing w:after="0"/>
              <w:rPr>
                <w:sz w:val="20"/>
                <w:szCs w:val="20"/>
                <w:color w:val="auto"/>
              </w:rPr>
            </w:pPr>
            <w:r>
              <w:rPr>
                <w:rFonts w:ascii="Arial" w:cs="Arial" w:eastAsia="Arial" w:hAnsi="Arial"/>
                <w:sz w:val="14"/>
                <w:szCs w:val="14"/>
                <w:b w:val="1"/>
                <w:bCs w:val="1"/>
                <w:color w:val="auto"/>
                <w:w w:val="93"/>
              </w:rPr>
              <w:t>Amortization</w:t>
            </w:r>
          </w:p>
        </w:tc>
        <w:tc>
          <w:tcPr>
            <w:tcW w:w="78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4"/>
              </w:rPr>
              <w:t>Amount</w:t>
            </w:r>
          </w:p>
        </w:tc>
        <w:tc>
          <w:tcPr>
            <w:tcW w:w="40" w:type="dxa"/>
            <w:vAlign w:val="bottom"/>
          </w:tcPr>
          <w:p>
            <w:pPr>
              <w:spacing w:after="0"/>
              <w:rPr>
                <w:sz w:val="14"/>
                <w:szCs w:val="14"/>
                <w:color w:val="auto"/>
              </w:rPr>
            </w:pPr>
          </w:p>
        </w:tc>
        <w:tc>
          <w:tcPr>
            <w:tcW w:w="720" w:type="dxa"/>
            <w:vAlign w:val="bottom"/>
            <w:gridSpan w:val="3"/>
          </w:tcPr>
          <w:p>
            <w:pPr>
              <w:jc w:val="center"/>
              <w:spacing w:after="0"/>
              <w:rPr>
                <w:sz w:val="20"/>
                <w:szCs w:val="20"/>
                <w:color w:val="auto"/>
              </w:rPr>
            </w:pPr>
            <w:r>
              <w:rPr>
                <w:rFonts w:ascii="Arial" w:cs="Arial" w:eastAsia="Arial" w:hAnsi="Arial"/>
                <w:sz w:val="14"/>
                <w:szCs w:val="14"/>
                <w:b w:val="1"/>
                <w:bCs w:val="1"/>
                <w:color w:val="auto"/>
                <w:w w:val="98"/>
              </w:rPr>
              <w:t>Amount</w:t>
            </w:r>
          </w:p>
        </w:tc>
        <w:tc>
          <w:tcPr>
            <w:tcW w:w="140" w:type="dxa"/>
            <w:vAlign w:val="bottom"/>
          </w:tcPr>
          <w:p>
            <w:pPr>
              <w:spacing w:after="0"/>
              <w:rPr>
                <w:sz w:val="14"/>
                <w:szCs w:val="14"/>
                <w:color w:val="auto"/>
              </w:rPr>
            </w:pPr>
          </w:p>
        </w:tc>
        <w:tc>
          <w:tcPr>
            <w:tcW w:w="980" w:type="dxa"/>
            <w:vAlign w:val="bottom"/>
            <w:gridSpan w:val="11"/>
          </w:tcPr>
          <w:p>
            <w:pPr>
              <w:ind w:left="60"/>
              <w:spacing w:after="0"/>
              <w:rPr>
                <w:sz w:val="20"/>
                <w:szCs w:val="20"/>
                <w:color w:val="auto"/>
              </w:rPr>
            </w:pPr>
            <w:r>
              <w:rPr>
                <w:rFonts w:ascii="Arial" w:cs="Arial" w:eastAsia="Arial" w:hAnsi="Arial"/>
                <w:sz w:val="14"/>
                <w:szCs w:val="14"/>
                <w:b w:val="1"/>
                <w:bCs w:val="1"/>
                <w:color w:val="auto"/>
              </w:rPr>
              <w:t>Amortization</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00" w:type="dxa"/>
            <w:vAlign w:val="bottom"/>
            <w:gridSpan w:val="9"/>
          </w:tcPr>
          <w:p>
            <w:pPr>
              <w:ind w:left="20"/>
              <w:spacing w:after="0"/>
              <w:rPr>
                <w:sz w:val="20"/>
                <w:szCs w:val="20"/>
                <w:color w:val="auto"/>
              </w:rPr>
            </w:pPr>
            <w:r>
              <w:rPr>
                <w:rFonts w:ascii="Arial" w:cs="Arial" w:eastAsia="Arial" w:hAnsi="Arial"/>
                <w:sz w:val="14"/>
                <w:szCs w:val="14"/>
                <w:b w:val="1"/>
                <w:bCs w:val="1"/>
                <w:color w:val="auto"/>
              </w:rPr>
              <w:t>Amount</w:t>
            </w: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shd w:val="clear" w:color="auto" w:fill="CCEEFF"/>
              </w:rPr>
              <w:t>Purchased technology</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shd w:val="clear" w:color="auto" w:fill="CCEEFF"/>
              </w:rPr>
              <w:t>$ 449,315</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shd w:val="clear" w:color="auto" w:fill="CCEEFF"/>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shd w:val="clear" w:color="auto" w:fill="CCEEFF"/>
              </w:rPr>
              <w:t>(411,868)</w:t>
            </w:r>
          </w:p>
        </w:tc>
        <w:tc>
          <w:tcPr>
            <w:tcW w:w="180" w:type="dxa"/>
            <w:vAlign w:val="bottom"/>
            <w:tcBorders>
              <w:top w:val="single" w:sz="8" w:color="CCEEFF"/>
              <w:right w:val="single" w:sz="8" w:color="CCEEFF"/>
            </w:tcBorders>
            <w:gridSpan w:val="3"/>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shd w:val="clear" w:color="auto" w:fill="CCEEFF"/>
              </w:rPr>
              <w:t>$  37,447</w:t>
            </w: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shd w:val="clear" w:color="auto" w:fill="CCEEFF"/>
              </w:rPr>
              <w:t>$ 437,415</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shd w:val="clear" w:color="auto" w:fill="CCEEFF"/>
              </w:rPr>
              <w:t>$</w:t>
            </w:r>
          </w:p>
        </w:tc>
        <w:tc>
          <w:tcPr>
            <w:tcW w:w="740" w:type="dxa"/>
            <w:vAlign w:val="bottom"/>
            <w:tcBorders>
              <w:top w:val="single" w:sz="8" w:color="auto"/>
            </w:tcBorders>
            <w:gridSpan w:val="8"/>
            <w:shd w:val="clear" w:color="auto" w:fill="CCEEFF"/>
          </w:tcPr>
          <w:p>
            <w:pPr>
              <w:jc w:val="right"/>
              <w:spacing w:after="0"/>
              <w:rPr>
                <w:sz w:val="20"/>
                <w:szCs w:val="20"/>
                <w:color w:val="auto"/>
              </w:rPr>
            </w:pPr>
            <w:r>
              <w:rPr>
                <w:rFonts w:ascii="Arial" w:cs="Arial" w:eastAsia="Arial" w:hAnsi="Arial"/>
                <w:sz w:val="18"/>
                <w:szCs w:val="18"/>
                <w:color w:val="auto"/>
                <w:w w:val="93"/>
                <w:shd w:val="clear" w:color="auto" w:fill="CCEEFF"/>
              </w:rPr>
              <w:t>(400,980)</w:t>
            </w:r>
          </w:p>
        </w:tc>
        <w:tc>
          <w:tcPr>
            <w:tcW w:w="80" w:type="dxa"/>
            <w:vAlign w:val="bottom"/>
            <w:tcBorders>
              <w:top w:val="single" w:sz="8" w:color="CCEEFF"/>
            </w:tcBorders>
            <w:gridSpan w:val="2"/>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shd w:val="clear" w:color="auto" w:fill="CCEEFF"/>
              </w:rPr>
              <w:t>$</w:t>
            </w:r>
          </w:p>
        </w:tc>
        <w:tc>
          <w:tcPr>
            <w:tcW w:w="100" w:type="dxa"/>
            <w:vAlign w:val="bottom"/>
            <w:tcBorders>
              <w:top w:val="single" w:sz="8" w:color="auto"/>
            </w:tcBorders>
            <w:shd w:val="clear" w:color="auto" w:fill="CCEEFF"/>
          </w:tcPr>
          <w:p>
            <w:pPr>
              <w:spacing w:after="0"/>
              <w:rPr>
                <w:sz w:val="18"/>
                <w:szCs w:val="18"/>
                <w:color w:val="auto"/>
              </w:rPr>
            </w:pPr>
          </w:p>
        </w:tc>
        <w:tc>
          <w:tcPr>
            <w:tcW w:w="560" w:type="dxa"/>
            <w:vAlign w:val="bottom"/>
            <w:tcBorders>
              <w:top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94"/>
                <w:shd w:val="clear" w:color="auto" w:fill="CCEEFF"/>
              </w:rPr>
              <w:t>36,435</w:t>
            </w:r>
          </w:p>
        </w:tc>
        <w:tc>
          <w:tcPr>
            <w:tcW w:w="100" w:type="dxa"/>
            <w:vAlign w:val="bottom"/>
            <w:tcBorders>
              <w:left w:val="single" w:sz="8" w:color="CCEEFF"/>
            </w:tcBorders>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tcPr>
          <w:p>
            <w:pPr>
              <w:spacing w:after="0"/>
              <w:rPr>
                <w:sz w:val="20"/>
                <w:szCs w:val="20"/>
                <w:color w:val="auto"/>
              </w:rPr>
            </w:pPr>
            <w:r>
              <w:rPr>
                <w:rFonts w:ascii="Arial" w:cs="Arial" w:eastAsia="Arial" w:hAnsi="Arial"/>
                <w:sz w:val="18"/>
                <w:szCs w:val="18"/>
                <w:color w:val="auto"/>
              </w:rPr>
              <w:t>Core technology</w:t>
            </w:r>
          </w:p>
        </w:tc>
        <w:tc>
          <w:tcPr>
            <w:tcW w:w="720" w:type="dxa"/>
            <w:vAlign w:val="bottom"/>
          </w:tcPr>
          <w:p>
            <w:pPr>
              <w:jc w:val="right"/>
              <w:spacing w:after="0"/>
              <w:rPr>
                <w:sz w:val="20"/>
                <w:szCs w:val="20"/>
                <w:color w:val="auto"/>
              </w:rPr>
            </w:pPr>
            <w:r>
              <w:rPr>
                <w:rFonts w:ascii="Arial" w:cs="Arial" w:eastAsia="Arial" w:hAnsi="Arial"/>
                <w:sz w:val="18"/>
                <w:szCs w:val="18"/>
                <w:color w:val="auto"/>
              </w:rPr>
              <w:t>30,500</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4"/>
          </w:tcPr>
          <w:p>
            <w:pPr>
              <w:jc w:val="right"/>
              <w:ind w:right="45"/>
              <w:spacing w:after="0"/>
              <w:rPr>
                <w:sz w:val="20"/>
                <w:szCs w:val="20"/>
                <w:color w:val="auto"/>
              </w:rPr>
            </w:pPr>
            <w:r>
              <w:rPr>
                <w:rFonts w:ascii="Arial" w:cs="Arial" w:eastAsia="Arial" w:hAnsi="Arial"/>
                <w:sz w:val="18"/>
                <w:szCs w:val="18"/>
                <w:color w:val="auto"/>
              </w:rPr>
              <w:t>(4,428)</w:t>
            </w:r>
          </w:p>
        </w:tc>
        <w:tc>
          <w:tcPr>
            <w:tcW w:w="680" w:type="dxa"/>
            <w:vAlign w:val="bottom"/>
          </w:tcPr>
          <w:p>
            <w:pPr>
              <w:jc w:val="right"/>
              <w:spacing w:after="0"/>
              <w:rPr>
                <w:sz w:val="20"/>
                <w:szCs w:val="20"/>
                <w:color w:val="auto"/>
              </w:rPr>
            </w:pPr>
            <w:r>
              <w:rPr>
                <w:rFonts w:ascii="Arial" w:cs="Arial" w:eastAsia="Arial" w:hAnsi="Arial"/>
                <w:sz w:val="18"/>
                <w:szCs w:val="18"/>
                <w:color w:val="auto"/>
              </w:rPr>
              <w:t>26,072</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60" w:type="dxa"/>
            <w:vAlign w:val="bottom"/>
            <w:gridSpan w:val="4"/>
          </w:tcPr>
          <w:p>
            <w:pPr>
              <w:jc w:val="right"/>
              <w:spacing w:after="0"/>
              <w:rPr>
                <w:sz w:val="20"/>
                <w:szCs w:val="20"/>
                <w:color w:val="auto"/>
              </w:rPr>
            </w:pPr>
            <w:r>
              <w:rPr>
                <w:rFonts w:ascii="Arial" w:cs="Arial" w:eastAsia="Arial" w:hAnsi="Arial"/>
                <w:sz w:val="18"/>
                <w:szCs w:val="18"/>
                <w:color w:val="auto"/>
              </w:rPr>
              <w:t>26,400</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gridSpan w:val="6"/>
          </w:tcPr>
          <w:p>
            <w:pPr>
              <w:jc w:val="right"/>
              <w:spacing w:after="0"/>
              <w:rPr>
                <w:sz w:val="20"/>
                <w:szCs w:val="20"/>
                <w:color w:val="auto"/>
              </w:rPr>
            </w:pPr>
            <w:r>
              <w:rPr>
                <w:rFonts w:ascii="Arial" w:cs="Arial" w:eastAsia="Arial" w:hAnsi="Arial"/>
                <w:sz w:val="18"/>
                <w:szCs w:val="18"/>
                <w:color w:val="auto"/>
              </w:rPr>
              <w:t>(2,031)</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5"/>
          </w:tcPr>
          <w:p>
            <w:pPr>
              <w:jc w:val="right"/>
              <w:spacing w:after="0"/>
              <w:rPr>
                <w:sz w:val="20"/>
                <w:szCs w:val="20"/>
                <w:color w:val="auto"/>
              </w:rPr>
            </w:pPr>
            <w:r>
              <w:rPr>
                <w:rFonts w:ascii="Arial" w:cs="Arial" w:eastAsia="Arial" w:hAnsi="Arial"/>
                <w:sz w:val="18"/>
                <w:szCs w:val="18"/>
                <w:color w:val="auto"/>
                <w:w w:val="94"/>
              </w:rPr>
              <w:t>24,369</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tcBorders>
              <w:right w:val="single" w:sz="8" w:color="CCEEFF"/>
            </w:tcBorders>
            <w:gridSpan w:val="4"/>
            <w:shd w:val="clear" w:color="auto" w:fill="CCEEFF"/>
          </w:tcPr>
          <w:p>
            <w:pPr>
              <w:jc w:val="right"/>
              <w:ind w:right="45"/>
              <w:spacing w:after="0"/>
              <w:rPr>
                <w:sz w:val="20"/>
                <w:szCs w:val="20"/>
                <w:color w:val="auto"/>
              </w:rPr>
            </w:pPr>
            <w:r>
              <w:rPr>
                <w:rFonts w:ascii="Arial" w:cs="Arial" w:eastAsia="Arial" w:hAnsi="Arial"/>
                <w:sz w:val="18"/>
                <w:szCs w:val="18"/>
                <w:color w:val="auto"/>
              </w:rPr>
              <w:t>(100)</w:t>
            </w:r>
          </w:p>
        </w:tc>
        <w:tc>
          <w:tcPr>
            <w:tcW w:w="7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7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2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tcBorders>
              <w:left w:val="single" w:sz="8" w:color="CCEEFF"/>
            </w:tcBorders>
            <w:gridSpan w:val="3"/>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tcPr>
          <w:p>
            <w:pPr>
              <w:spacing w:after="0"/>
              <w:rPr>
                <w:sz w:val="20"/>
                <w:szCs w:val="20"/>
                <w:color w:val="auto"/>
              </w:rPr>
            </w:pPr>
            <w:r>
              <w:rPr>
                <w:rFonts w:ascii="Arial" w:cs="Arial" w:eastAsia="Arial" w:hAnsi="Arial"/>
                <w:sz w:val="18"/>
                <w:szCs w:val="18"/>
                <w:color w:val="auto"/>
              </w:rPr>
              <w:t>Supply contract</w:t>
            </w:r>
          </w:p>
        </w:tc>
        <w:tc>
          <w:tcPr>
            <w:tcW w:w="720" w:type="dxa"/>
            <w:vAlign w:val="bottom"/>
          </w:tcPr>
          <w:p>
            <w:pPr>
              <w:jc w:val="right"/>
              <w:spacing w:after="0"/>
              <w:rPr>
                <w:sz w:val="20"/>
                <w:szCs w:val="20"/>
                <w:color w:val="auto"/>
              </w:rPr>
            </w:pPr>
            <w:r>
              <w:rPr>
                <w:rFonts w:ascii="Arial" w:cs="Arial" w:eastAsia="Arial" w:hAnsi="Arial"/>
                <w:sz w:val="18"/>
                <w:szCs w:val="18"/>
                <w:color w:val="auto"/>
              </w:rPr>
              <w:t>900</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4"/>
          </w:tcPr>
          <w:p>
            <w:pPr>
              <w:jc w:val="right"/>
              <w:ind w:right="45"/>
              <w:spacing w:after="0"/>
              <w:rPr>
                <w:sz w:val="20"/>
                <w:szCs w:val="20"/>
                <w:color w:val="auto"/>
              </w:rPr>
            </w:pPr>
            <w:r>
              <w:rPr>
                <w:rFonts w:ascii="Arial" w:cs="Arial" w:eastAsia="Arial" w:hAnsi="Arial"/>
                <w:sz w:val="18"/>
                <w:szCs w:val="18"/>
                <w:color w:val="auto"/>
              </w:rPr>
              <w:t>(43)</w:t>
            </w:r>
          </w:p>
        </w:tc>
        <w:tc>
          <w:tcPr>
            <w:tcW w:w="680" w:type="dxa"/>
            <w:vAlign w:val="bottom"/>
          </w:tcPr>
          <w:p>
            <w:pPr>
              <w:jc w:val="right"/>
              <w:spacing w:after="0"/>
              <w:rPr>
                <w:sz w:val="20"/>
                <w:szCs w:val="20"/>
                <w:color w:val="auto"/>
              </w:rPr>
            </w:pPr>
            <w:r>
              <w:rPr>
                <w:rFonts w:ascii="Arial" w:cs="Arial" w:eastAsia="Arial" w:hAnsi="Arial"/>
                <w:sz w:val="18"/>
                <w:szCs w:val="18"/>
                <w:color w:val="auto"/>
              </w:rPr>
              <w:t>857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60" w:type="dxa"/>
            <w:vAlign w:val="bottom"/>
            <w:gridSpan w:val="3"/>
          </w:tcPr>
          <w:p>
            <w:pPr>
              <w:jc w:val="right"/>
              <w:ind w:right="8"/>
              <w:spacing w:after="0"/>
              <w:rPr>
                <w:sz w:val="20"/>
                <w:szCs w:val="20"/>
                <w:color w:val="auto"/>
              </w:rPr>
            </w:pPr>
            <w:r>
              <w:rPr>
                <w:rFonts w:ascii="Arial" w:cs="Arial" w:eastAsia="Arial" w:hAnsi="Arial"/>
                <w:sz w:val="18"/>
                <w:szCs w:val="18"/>
                <w:color w:val="auto"/>
                <w:w w:val="88"/>
              </w:rPr>
              <w:t>—</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240" w:type="dxa"/>
            <w:vAlign w:val="bottom"/>
            <w:gridSpan w:val="3"/>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68,300</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tcBorders>
              <w:right w:val="single" w:sz="8" w:color="CCEEFF"/>
            </w:tcBorders>
            <w:gridSpan w:val="4"/>
            <w:shd w:val="clear" w:color="auto" w:fill="CCEEFF"/>
          </w:tcPr>
          <w:p>
            <w:pPr>
              <w:jc w:val="right"/>
              <w:ind w:right="45"/>
              <w:spacing w:after="0"/>
              <w:rPr>
                <w:sz w:val="20"/>
                <w:szCs w:val="20"/>
                <w:color w:val="auto"/>
              </w:rPr>
            </w:pPr>
            <w:r>
              <w:rPr>
                <w:rFonts w:ascii="Arial" w:cs="Arial" w:eastAsia="Arial" w:hAnsi="Arial"/>
                <w:sz w:val="18"/>
                <w:szCs w:val="18"/>
                <w:color w:val="auto"/>
              </w:rPr>
              <w:t>(7,297)</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61,003</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7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54,400</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2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(3,231)</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94"/>
              </w:rPr>
              <w:t>51,169</w:t>
            </w:r>
          </w:p>
        </w:tc>
        <w:tc>
          <w:tcPr>
            <w:tcW w:w="100" w:type="dxa"/>
            <w:vAlign w:val="bottom"/>
            <w:tcBorders>
              <w:left w:val="single" w:sz="8" w:color="CCEEFF"/>
            </w:tcBorders>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20" w:type="dxa"/>
            <w:vAlign w:val="bottom"/>
            <w:vMerge w:val="restart"/>
          </w:tcPr>
          <w:p>
            <w:pPr>
              <w:ind w:left="180"/>
              <w:spacing w:after="0" w:line="201" w:lineRule="exact"/>
              <w:rPr>
                <w:sz w:val="20"/>
                <w:szCs w:val="20"/>
                <w:color w:val="auto"/>
              </w:rPr>
            </w:pPr>
            <w:r>
              <w:rPr>
                <w:rFonts w:ascii="Arial" w:cs="Arial" w:eastAsia="Arial" w:hAnsi="Arial"/>
                <w:sz w:val="18"/>
                <w:szCs w:val="18"/>
                <w:color w:val="auto"/>
              </w:rPr>
              <w:t>Total intangible</w:t>
            </w:r>
          </w:p>
        </w:tc>
        <w:tc>
          <w:tcPr>
            <w:tcW w:w="7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7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820" w:type="dxa"/>
            <w:vAlign w:val="bottom"/>
            <w:vMerge w:val="continue"/>
          </w:tcPr>
          <w:p>
            <w:pPr>
              <w:spacing w:after="0"/>
              <w:rPr>
                <w:sz w:val="15"/>
                <w:szCs w:val="15"/>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w w:val="87"/>
              </w:rPr>
              <w:t>$ 549,115</w:t>
            </w:r>
          </w:p>
        </w:tc>
        <w:tc>
          <w:tcPr>
            <w:tcW w:w="140" w:type="dxa"/>
            <w:vAlign w:val="bottom"/>
            <w:vMerge w:val="restart"/>
          </w:tcPr>
          <w:p>
            <w:pPr>
              <w:spacing w:after="0"/>
              <w:rPr>
                <w:sz w:val="15"/>
                <w:szCs w:val="15"/>
                <w:color w:val="auto"/>
              </w:rPr>
            </w:pPr>
          </w:p>
        </w:tc>
        <w:tc>
          <w:tcPr>
            <w:tcW w:w="16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4"/>
            <w:vMerge w:val="restart"/>
          </w:tcPr>
          <w:p>
            <w:pPr>
              <w:jc w:val="right"/>
              <w:ind w:right="45"/>
              <w:spacing w:after="0"/>
              <w:rPr>
                <w:sz w:val="20"/>
                <w:szCs w:val="20"/>
                <w:color w:val="auto"/>
              </w:rPr>
            </w:pPr>
            <w:r>
              <w:rPr>
                <w:rFonts w:ascii="Arial" w:cs="Arial" w:eastAsia="Arial" w:hAnsi="Arial"/>
                <w:sz w:val="18"/>
                <w:szCs w:val="18"/>
                <w:color w:val="auto"/>
                <w:w w:val="98"/>
              </w:rPr>
              <w:t>(423,736)</w:t>
            </w:r>
          </w:p>
        </w:tc>
        <w:tc>
          <w:tcPr>
            <w:tcW w:w="680" w:type="dxa"/>
            <w:vAlign w:val="bottom"/>
            <w:vMerge w:val="restart"/>
          </w:tcPr>
          <w:p>
            <w:pPr>
              <w:jc w:val="right"/>
              <w:spacing w:after="0"/>
              <w:rPr>
                <w:sz w:val="20"/>
                <w:szCs w:val="20"/>
                <w:color w:val="auto"/>
              </w:rPr>
            </w:pPr>
            <w:r>
              <w:rPr>
                <w:rFonts w:ascii="Arial" w:cs="Arial" w:eastAsia="Arial" w:hAnsi="Arial"/>
                <w:sz w:val="18"/>
                <w:szCs w:val="18"/>
                <w:color w:val="auto"/>
                <w:w w:val="82"/>
              </w:rPr>
              <w:t>$ 125,379</w:t>
            </w: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gridSpan w:val="4"/>
            <w:vMerge w:val="restart"/>
          </w:tcPr>
          <w:p>
            <w:pPr>
              <w:jc w:val="right"/>
              <w:spacing w:after="0"/>
              <w:rPr>
                <w:sz w:val="20"/>
                <w:szCs w:val="20"/>
                <w:color w:val="auto"/>
              </w:rPr>
            </w:pPr>
            <w:r>
              <w:rPr>
                <w:rFonts w:ascii="Arial" w:cs="Arial" w:eastAsia="Arial" w:hAnsi="Arial"/>
                <w:sz w:val="18"/>
                <w:szCs w:val="18"/>
                <w:color w:val="auto"/>
                <w:w w:val="92"/>
              </w:rPr>
              <w:t>$ 518,315</w:t>
            </w:r>
          </w:p>
        </w:tc>
        <w:tc>
          <w:tcPr>
            <w:tcW w:w="30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10"/>
            <w:vMerge w:val="restart"/>
          </w:tcPr>
          <w:p>
            <w:pPr>
              <w:jc w:val="right"/>
              <w:spacing w:after="0"/>
              <w:rPr>
                <w:sz w:val="20"/>
                <w:szCs w:val="20"/>
                <w:color w:val="auto"/>
              </w:rPr>
            </w:pPr>
            <w:r>
              <w:rPr>
                <w:rFonts w:ascii="Arial" w:cs="Arial" w:eastAsia="Arial" w:hAnsi="Arial"/>
                <w:sz w:val="18"/>
                <w:szCs w:val="18"/>
                <w:color w:val="auto"/>
              </w:rPr>
              <w:t>(406,342)</w:t>
            </w:r>
          </w:p>
        </w:tc>
        <w:tc>
          <w:tcPr>
            <w:tcW w:w="820" w:type="dxa"/>
            <w:vAlign w:val="bottom"/>
            <w:gridSpan w:val="9"/>
            <w:vMerge w:val="restart"/>
          </w:tcPr>
          <w:p>
            <w:pPr>
              <w:jc w:val="right"/>
              <w:spacing w:after="0"/>
              <w:rPr>
                <w:sz w:val="20"/>
                <w:szCs w:val="20"/>
                <w:color w:val="auto"/>
              </w:rPr>
            </w:pPr>
            <w:r>
              <w:rPr>
                <w:rFonts w:ascii="Arial" w:cs="Arial" w:eastAsia="Arial" w:hAnsi="Arial"/>
                <w:sz w:val="18"/>
                <w:szCs w:val="18"/>
                <w:color w:val="auto"/>
                <w:w w:val="97"/>
              </w:rPr>
              <w:t>$ 111,973</w:t>
            </w: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20" w:type="dxa"/>
            <w:vAlign w:val="bottom"/>
          </w:tcPr>
          <w:p>
            <w:pPr>
              <w:ind w:left="360"/>
              <w:spacing w:after="0"/>
              <w:rPr>
                <w:sz w:val="20"/>
                <w:szCs w:val="20"/>
                <w:color w:val="auto"/>
              </w:rPr>
            </w:pPr>
            <w:r>
              <w:rPr>
                <w:rFonts w:ascii="Arial" w:cs="Arial" w:eastAsia="Arial" w:hAnsi="Arial"/>
                <w:sz w:val="18"/>
                <w:szCs w:val="18"/>
                <w:color w:val="auto"/>
              </w:rPr>
              <w:t>assets</w:t>
            </w:r>
          </w:p>
        </w:tc>
        <w:tc>
          <w:tcPr>
            <w:tcW w:w="720" w:type="dxa"/>
            <w:vAlign w:val="bottom"/>
            <w:vMerge w:val="continue"/>
          </w:tcPr>
          <w:p>
            <w:pPr>
              <w:spacing w:after="0"/>
              <w:rPr>
                <w:sz w:val="18"/>
                <w:szCs w:val="18"/>
                <w:color w:val="auto"/>
              </w:rPr>
            </w:pPr>
          </w:p>
        </w:tc>
        <w:tc>
          <w:tcPr>
            <w:tcW w:w="140" w:type="dxa"/>
            <w:vAlign w:val="bottom"/>
            <w:vMerge w:val="continue"/>
          </w:tcPr>
          <w:p>
            <w:pPr>
              <w:spacing w:after="0"/>
              <w:rPr>
                <w:sz w:val="18"/>
                <w:szCs w:val="18"/>
                <w:color w:val="auto"/>
              </w:rPr>
            </w:pPr>
          </w:p>
        </w:tc>
        <w:tc>
          <w:tcPr>
            <w:tcW w:w="160" w:type="dxa"/>
            <w:vAlign w:val="bottom"/>
            <w:vMerge w:val="continue"/>
          </w:tcPr>
          <w:p>
            <w:pPr>
              <w:spacing w:after="0"/>
              <w:rPr>
                <w:sz w:val="18"/>
                <w:szCs w:val="18"/>
                <w:color w:val="auto"/>
              </w:rPr>
            </w:pPr>
          </w:p>
        </w:tc>
        <w:tc>
          <w:tcPr>
            <w:tcW w:w="900" w:type="dxa"/>
            <w:vAlign w:val="bottom"/>
            <w:gridSpan w:val="4"/>
            <w:vMerge w:val="continue"/>
          </w:tcPr>
          <w:p>
            <w:pPr>
              <w:spacing w:after="0"/>
              <w:rPr>
                <w:sz w:val="18"/>
                <w:szCs w:val="18"/>
                <w:color w:val="auto"/>
              </w:rPr>
            </w:pPr>
          </w:p>
        </w:tc>
        <w:tc>
          <w:tcPr>
            <w:tcW w:w="68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60" w:type="dxa"/>
            <w:vAlign w:val="bottom"/>
            <w:gridSpan w:val="4"/>
            <w:vMerge w:val="continue"/>
          </w:tcPr>
          <w:p>
            <w:pPr>
              <w:spacing w:after="0"/>
              <w:rPr>
                <w:sz w:val="18"/>
                <w:szCs w:val="18"/>
                <w:color w:val="auto"/>
              </w:rPr>
            </w:pPr>
          </w:p>
        </w:tc>
        <w:tc>
          <w:tcPr>
            <w:tcW w:w="300" w:type="dxa"/>
            <w:vAlign w:val="bottom"/>
            <w:gridSpan w:val="2"/>
            <w:vMerge w:val="continue"/>
          </w:tcPr>
          <w:p>
            <w:pPr>
              <w:spacing w:after="0"/>
              <w:rPr>
                <w:sz w:val="18"/>
                <w:szCs w:val="18"/>
                <w:color w:val="auto"/>
              </w:rPr>
            </w:pPr>
          </w:p>
        </w:tc>
        <w:tc>
          <w:tcPr>
            <w:tcW w:w="820" w:type="dxa"/>
            <w:vAlign w:val="bottom"/>
            <w:gridSpan w:val="10"/>
            <w:vMerge w:val="continue"/>
          </w:tcPr>
          <w:p>
            <w:pPr>
              <w:spacing w:after="0"/>
              <w:rPr>
                <w:sz w:val="18"/>
                <w:szCs w:val="18"/>
                <w:color w:val="auto"/>
              </w:rPr>
            </w:pPr>
          </w:p>
        </w:tc>
        <w:tc>
          <w:tcPr>
            <w:tcW w:w="820" w:type="dxa"/>
            <w:vAlign w:val="bottom"/>
            <w:gridSpan w:val="9"/>
            <w:vMerge w:val="continue"/>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-1862455</wp:posOffset>
            </wp:positionV>
            <wp:extent cx="12700"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-1862455</wp:posOffset>
            </wp:positionV>
            <wp:extent cx="12700"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868" w:right="199" w:bottom="0" w:gutter="0" w:footer="0" w:header="0"/>
        </w:sectPr>
      </w:pPr>
    </w:p>
    <w:bookmarkStart w:id="16" w:name="page17"/>
    <w:bookmarkEnd w:id="16"/>
    <w:p>
      <w:pPr>
        <w:ind w:right="560" w:firstLine="243"/>
        <w:spacing w:after="0" w:line="277" w:lineRule="auto"/>
        <w:rPr>
          <w:sz w:val="20"/>
          <w:szCs w:val="20"/>
          <w:color w:val="auto"/>
        </w:rPr>
      </w:pPr>
      <w:r>
        <w:rPr>
          <w:rFonts w:ascii="Arial" w:cs="Arial" w:eastAsia="Arial" w:hAnsi="Arial"/>
          <w:sz w:val="18"/>
          <w:szCs w:val="18"/>
          <w:color w:val="auto"/>
        </w:rPr>
        <w:t>The increase in purchased intangible assets during the three months ended April 29, 2006 was from the acquisition of the semiconductor division of UTStarcom, Inc. (see Note 4).</w:t>
      </w:r>
    </w:p>
    <w:p>
      <w:pPr>
        <w:spacing w:after="0" w:line="170" w:lineRule="exact"/>
        <w:rPr>
          <w:sz w:val="20"/>
          <w:szCs w:val="20"/>
          <w:color w:val="auto"/>
        </w:rPr>
      </w:pPr>
    </w:p>
    <w:p>
      <w:pPr>
        <w:ind w:right="140" w:firstLine="259"/>
        <w:spacing w:after="0" w:line="272" w:lineRule="auto"/>
        <w:rPr>
          <w:sz w:val="20"/>
          <w:szCs w:val="20"/>
          <w:color w:val="auto"/>
        </w:rPr>
      </w:pPr>
      <w:r>
        <w:rPr>
          <w:rFonts w:ascii="Arial" w:cs="Arial" w:eastAsia="Arial" w:hAnsi="Arial"/>
          <w:sz w:val="17"/>
          <w:szCs w:val="17"/>
          <w:color w:val="auto"/>
        </w:rPr>
        <w:t>Identified intangible assets consist of purchased technology, core technology, supply contract and customer contracts and related relationships. Purchased technology is amortized on a straight-line basis over its estimated useful life of one to five years. Core technology is amortized on a straight-line basis over its estimated useful life of three to four years. The supply contract is amortized on a straight-line basis over its estimated useful life of four years. Customer contracts and related relationships are amortized on a straight-line basis over their estimated useful lives of four to five years. The aggregate amortization expense of identified intangible assets was $17.4 million in the first quarter of fiscal 2007 and $19.8 million in the first quarter of fiscal 2006. The estimated total amortization expenses of acquired intangible assets is $45.4 million for the remaining nine months of fiscal 2007, $34.8 million for fiscal 2008, $29.5 million for 2009, $15.4 million for fiscal 2010 and $0.3 million for fiscal 2011.</w:t>
      </w:r>
    </w:p>
    <w:p>
      <w:pPr>
        <w:spacing w:after="0" w:line="17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Other long-term liabilities (in thousands)</w:t>
      </w:r>
    </w:p>
    <w:p>
      <w:pPr>
        <w:spacing w:after="0" w:line="191" w:lineRule="exact"/>
        <w:rPr>
          <w:sz w:val="20"/>
          <w:szCs w:val="20"/>
          <w:color w:val="auto"/>
        </w:rPr>
      </w:pPr>
    </w:p>
    <w:tbl>
      <w:tblPr>
        <w:tblLayout w:type="fixed"/>
        <w:tblInd w:w="1260" w:type="dxa"/>
        <w:tblCellMar>
          <w:top w:w="0" w:type="dxa"/>
          <w:left w:w="0" w:type="dxa"/>
          <w:bottom w:w="0" w:type="dxa"/>
          <w:right w:w="0" w:type="dxa"/>
        </w:tblCellMar>
      </w:tblPr>
      <w:tr>
        <w:trPr>
          <w:trHeight w:val="161"/>
        </w:trPr>
        <w:tc>
          <w:tcPr>
            <w:tcW w:w="3260" w:type="dxa"/>
            <w:vAlign w:val="bottom"/>
          </w:tcPr>
          <w:p>
            <w:pPr>
              <w:spacing w:after="0"/>
              <w:rPr>
                <w:sz w:val="14"/>
                <w:szCs w:val="14"/>
                <w:color w:val="auto"/>
              </w:rPr>
            </w:pPr>
          </w:p>
        </w:tc>
        <w:tc>
          <w:tcPr>
            <w:tcW w:w="840" w:type="dxa"/>
            <w:vAlign w:val="bottom"/>
            <w:gridSpan w:val="3"/>
          </w:tcPr>
          <w:p>
            <w:pPr>
              <w:ind w:left="40"/>
              <w:spacing w:after="0"/>
              <w:rPr>
                <w:sz w:val="20"/>
                <w:szCs w:val="20"/>
                <w:color w:val="auto"/>
              </w:rPr>
            </w:pPr>
            <w:r>
              <w:rPr>
                <w:rFonts w:ascii="Arial" w:cs="Arial" w:eastAsia="Arial" w:hAnsi="Arial"/>
                <w:sz w:val="14"/>
                <w:szCs w:val="14"/>
                <w:b w:val="1"/>
                <w:bCs w:val="1"/>
                <w:color w:val="auto"/>
              </w:rPr>
              <w:t>April 29,</w:t>
            </w:r>
          </w:p>
        </w:tc>
        <w:tc>
          <w:tcPr>
            <w:tcW w:w="86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28,</w:t>
            </w:r>
          </w:p>
        </w:tc>
      </w:tr>
      <w:tr>
        <w:trPr>
          <w:trHeight w:val="162"/>
        </w:trPr>
        <w:tc>
          <w:tcPr>
            <w:tcW w:w="3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7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2006</w:t>
            </w:r>
          </w:p>
        </w:tc>
        <w:tc>
          <w:tcPr>
            <w:tcW w:w="80" w:type="dxa"/>
            <w:vAlign w:val="bottom"/>
          </w:tcPr>
          <w:p>
            <w:pPr>
              <w:spacing w:after="0"/>
              <w:rPr>
                <w:sz w:val="14"/>
                <w:szCs w:val="14"/>
                <w:color w:val="auto"/>
              </w:rPr>
            </w:pPr>
          </w:p>
        </w:tc>
      </w:tr>
      <w:tr>
        <w:trPr>
          <w:trHeight w:val="210"/>
        </w:trPr>
        <w:tc>
          <w:tcPr>
            <w:tcW w:w="3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Long-term facilities consolidation charge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2,713</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2,896</w:t>
            </w:r>
          </w:p>
        </w:tc>
        <w:tc>
          <w:tcPr>
            <w:tcW w:w="80" w:type="dxa"/>
            <w:vAlign w:val="bottom"/>
            <w:shd w:val="clear" w:color="auto" w:fill="CCEEFF"/>
          </w:tcPr>
          <w:p>
            <w:pPr>
              <w:spacing w:after="0"/>
              <w:rPr>
                <w:sz w:val="18"/>
                <w:szCs w:val="18"/>
                <w:color w:val="auto"/>
              </w:rPr>
            </w:pPr>
          </w:p>
        </w:tc>
      </w:tr>
      <w:tr>
        <w:trPr>
          <w:trHeight w:val="216"/>
        </w:trPr>
        <w:tc>
          <w:tcPr>
            <w:tcW w:w="3260" w:type="dxa"/>
            <w:vAlign w:val="bottom"/>
          </w:tcPr>
          <w:p>
            <w:pPr>
              <w:spacing w:after="0"/>
              <w:rPr>
                <w:sz w:val="20"/>
                <w:szCs w:val="20"/>
                <w:color w:val="auto"/>
              </w:rPr>
            </w:pPr>
            <w:r>
              <w:rPr>
                <w:rFonts w:ascii="Arial" w:cs="Arial" w:eastAsia="Arial" w:hAnsi="Arial"/>
                <w:sz w:val="18"/>
                <w:szCs w:val="18"/>
                <w:color w:val="auto"/>
              </w:rPr>
              <w:t>Accrued severance</w:t>
            </w: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14,778</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13,083</w:t>
            </w:r>
          </w:p>
        </w:tc>
        <w:tc>
          <w:tcPr>
            <w:tcW w:w="80" w:type="dxa"/>
            <w:vAlign w:val="bottom"/>
          </w:tcPr>
          <w:p>
            <w:pPr>
              <w:spacing w:after="0"/>
              <w:rPr>
                <w:sz w:val="18"/>
                <w:szCs w:val="18"/>
                <w:color w:val="auto"/>
              </w:rPr>
            </w:pPr>
          </w:p>
        </w:tc>
      </w:tr>
      <w:tr>
        <w:trPr>
          <w:trHeight w:val="216"/>
        </w:trPr>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9,344</w:t>
            </w:r>
          </w:p>
        </w:tc>
        <w:tc>
          <w:tcPr>
            <w:tcW w:w="2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8,892</w:t>
            </w:r>
          </w:p>
        </w:tc>
        <w:tc>
          <w:tcPr>
            <w:tcW w:w="80" w:type="dxa"/>
            <w:vAlign w:val="bottom"/>
            <w:shd w:val="clear" w:color="auto" w:fill="CCEEFF"/>
          </w:tcPr>
          <w:p>
            <w:pPr>
              <w:spacing w:after="0"/>
              <w:rPr>
                <w:sz w:val="18"/>
                <w:szCs w:val="18"/>
                <w:color w:val="auto"/>
              </w:rPr>
            </w:pPr>
          </w:p>
        </w:tc>
      </w:tr>
      <w:tr>
        <w:trPr>
          <w:trHeight w:val="210"/>
        </w:trPr>
        <w:tc>
          <w:tcPr>
            <w:tcW w:w="32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26,835</w:t>
            </w:r>
          </w:p>
        </w:tc>
        <w:tc>
          <w:tcPr>
            <w:tcW w:w="220" w:type="dxa"/>
            <w:vAlign w:val="bottom"/>
          </w:tcPr>
          <w:p>
            <w:pPr>
              <w:spacing w:after="0"/>
              <w:rPr>
                <w:sz w:val="18"/>
                <w:szCs w:val="18"/>
                <w:color w:val="auto"/>
              </w:rPr>
            </w:pPr>
          </w:p>
        </w:tc>
        <w:tc>
          <w:tcPr>
            <w:tcW w:w="1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24,871</w:t>
            </w:r>
          </w:p>
        </w:tc>
        <w:tc>
          <w:tcPr>
            <w:tcW w:w="80" w:type="dxa"/>
            <w:vAlign w:val="bottom"/>
          </w:tcPr>
          <w:p>
            <w:pPr>
              <w:spacing w:after="0"/>
              <w:rPr>
                <w:sz w:val="18"/>
                <w:szCs w:val="18"/>
                <w:color w:val="auto"/>
              </w:rPr>
            </w:pPr>
          </w:p>
        </w:tc>
      </w:tr>
      <w:tr>
        <w:trPr>
          <w:trHeight w:val="20"/>
        </w:trPr>
        <w:tc>
          <w:tcPr>
            <w:tcW w:w="3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r>
        <w:trPr>
          <w:trHeight w:val="683"/>
        </w:trPr>
        <w:tc>
          <w:tcPr>
            <w:tcW w:w="3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Pr>
          <w:p>
            <w:pPr>
              <w:jc w:val="right"/>
              <w:ind w:right="253"/>
              <w:spacing w:after="0"/>
              <w:rPr>
                <w:sz w:val="20"/>
                <w:szCs w:val="20"/>
                <w:color w:val="auto"/>
              </w:rPr>
            </w:pPr>
            <w:r>
              <w:rPr>
                <w:rFonts w:ascii="Arial" w:cs="Arial" w:eastAsia="Arial" w:hAnsi="Arial"/>
                <w:sz w:val="18"/>
                <w:szCs w:val="18"/>
                <w:color w:val="auto"/>
              </w:rPr>
              <w:t>23</w:t>
            </w:r>
          </w:p>
        </w:tc>
        <w:tc>
          <w:tcPr>
            <w:tcW w:w="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income per share</w:t>
      </w:r>
    </w:p>
    <w:p>
      <w:pPr>
        <w:spacing w:after="0" w:line="229" w:lineRule="exact"/>
        <w:rPr>
          <w:sz w:val="20"/>
          <w:szCs w:val="20"/>
          <w:color w:val="auto"/>
        </w:rPr>
      </w:pPr>
    </w:p>
    <w:p>
      <w:pPr>
        <w:ind w:right="220" w:firstLine="259"/>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65"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4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40" w:type="dxa"/>
            <w:vAlign w:val="bottom"/>
            <w:gridSpan w:val="5"/>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02"/>
        </w:trPr>
        <w:tc>
          <w:tcPr>
            <w:tcW w:w="426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80" w:type="dxa"/>
            <w:vAlign w:val="bottom"/>
            <w:tcBorders>
              <w:top w:val="single" w:sz="8" w:color="auto"/>
            </w:tcBorders>
            <w:gridSpan w:val="2"/>
          </w:tcPr>
          <w:p>
            <w:pPr>
              <w:jc w:val="center"/>
              <w:ind w:right="320"/>
              <w:spacing w:after="0" w:line="103" w:lineRule="exact"/>
              <w:rPr>
                <w:sz w:val="20"/>
                <w:szCs w:val="20"/>
                <w:color w:val="auto"/>
              </w:rPr>
            </w:pPr>
            <w:r>
              <w:rPr>
                <w:rFonts w:ascii="Arial" w:cs="Arial" w:eastAsia="Arial" w:hAnsi="Arial"/>
                <w:sz w:val="11"/>
                <w:szCs w:val="11"/>
                <w:b w:val="1"/>
                <w:bCs w:val="1"/>
                <w:color w:val="auto"/>
              </w:rPr>
              <w:t>April 29,</w:t>
            </w:r>
          </w:p>
        </w:tc>
        <w:tc>
          <w:tcPr>
            <w:tcW w:w="12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jc w:val="center"/>
              <w:ind w:right="35"/>
              <w:spacing w:after="0" w:line="103" w:lineRule="exact"/>
              <w:rPr>
                <w:sz w:val="20"/>
                <w:szCs w:val="20"/>
                <w:color w:val="auto"/>
              </w:rPr>
            </w:pPr>
            <w:r>
              <w:rPr>
                <w:rFonts w:ascii="Arial" w:cs="Arial" w:eastAsia="Arial" w:hAnsi="Arial"/>
                <w:sz w:val="11"/>
                <w:szCs w:val="11"/>
                <w:b w:val="1"/>
                <w:bCs w:val="1"/>
                <w:color w:val="auto"/>
              </w:rPr>
              <w:t>April 30,</w:t>
            </w: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42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36"/>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35"/>
              <w:spacing w:after="0"/>
              <w:rPr>
                <w:sz w:val="20"/>
                <w:szCs w:val="20"/>
                <w:color w:val="auto"/>
              </w:rPr>
            </w:pPr>
            <w:r>
              <w:rPr>
                <w:rFonts w:ascii="Arial" w:cs="Arial" w:eastAsia="Arial" w:hAnsi="Arial"/>
                <w:sz w:val="14"/>
                <w:szCs w:val="14"/>
                <w:b w:val="1"/>
                <w:bCs w:val="1"/>
                <w:color w:val="auto"/>
                <w:w w:val="83"/>
              </w:rPr>
              <w:t>2005</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tcPr>
          <w:p>
            <w:pPr>
              <w:jc w:val="center"/>
              <w:ind w:right="36"/>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tcPr>
          <w:p>
            <w:pPr>
              <w:jc w:val="center"/>
              <w:ind w:right="35"/>
              <w:spacing w:after="0" w:line="129" w:lineRule="exact"/>
              <w:rPr>
                <w:sz w:val="20"/>
                <w:szCs w:val="20"/>
                <w:color w:val="auto"/>
              </w:rPr>
            </w:pPr>
            <w:r>
              <w:rPr>
                <w:rFonts w:ascii="Arial" w:cs="Arial" w:eastAsia="Arial" w:hAnsi="Arial"/>
                <w:sz w:val="14"/>
                <w:szCs w:val="14"/>
                <w:b w:val="1"/>
                <w:bCs w:val="1"/>
                <w:color w:val="auto"/>
                <w:w w:val="90"/>
              </w:rPr>
              <w:t>(restated)</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6"/>
        </w:trPr>
        <w:tc>
          <w:tcPr>
            <w:tcW w:w="42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Income before change in accounting principle</w:t>
            </w: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68,717</w:t>
            </w:r>
          </w:p>
        </w:tc>
        <w:tc>
          <w:tcPr>
            <w:tcW w:w="220" w:type="dxa"/>
            <w:vAlign w:val="bottom"/>
            <w:tcBorders>
              <w:bottom w:val="single" w:sz="8" w:color="CCEEFF"/>
            </w:tcBorders>
          </w:tcPr>
          <w:p>
            <w:pPr>
              <w:spacing w:after="0"/>
              <w:rPr>
                <w:sz w:val="22"/>
                <w:szCs w:val="22"/>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53,947</w:t>
            </w:r>
          </w:p>
        </w:tc>
        <w:tc>
          <w:tcPr>
            <w:tcW w:w="60" w:type="dxa"/>
            <w:vAlign w:val="bottom"/>
            <w:tcBorders>
              <w:bottom w:val="single" w:sz="8" w:color="CCEEFF"/>
            </w:tcBorders>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4260" w:type="dxa"/>
            <w:vAlign w:val="bottom"/>
            <w:tcBorders>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Net income</w:t>
            </w:r>
          </w:p>
        </w:tc>
        <w:tc>
          <w:tcPr>
            <w:tcW w:w="12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77,563</w:t>
            </w:r>
          </w:p>
        </w:tc>
        <w:tc>
          <w:tcPr>
            <w:tcW w:w="2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78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53,947</w:t>
            </w:r>
          </w:p>
        </w:tc>
        <w:tc>
          <w:tcPr>
            <w:tcW w:w="60" w:type="dxa"/>
            <w:vAlign w:val="bottom"/>
            <w:tcBorders>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260" w:type="dxa"/>
            <w:vAlign w:val="bottom"/>
            <w:vMerge w:val="restart"/>
          </w:tcPr>
          <w:p>
            <w:pPr>
              <w:spacing w:after="0"/>
              <w:rPr>
                <w:sz w:val="20"/>
                <w:szCs w:val="20"/>
                <w:color w:val="auto"/>
              </w:rPr>
            </w:pPr>
            <w:r>
              <w:rPr>
                <w:rFonts w:ascii="Arial" w:cs="Arial" w:eastAsia="Arial" w:hAnsi="Arial"/>
                <w:sz w:val="18"/>
                <w:szCs w:val="18"/>
                <w:color w:val="auto"/>
              </w:rPr>
              <w:t>Denominator:</w:t>
            </w: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26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w w:val="95"/>
              </w:rPr>
              <w:t>Weighted average shares of common stock outstanding</w:t>
            </w: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291,851</w:t>
            </w:r>
          </w:p>
        </w:tc>
        <w:tc>
          <w:tcPr>
            <w:tcW w:w="2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278,793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260" w:type="dxa"/>
            <w:vAlign w:val="bottom"/>
          </w:tcPr>
          <w:p>
            <w:pPr>
              <w:ind w:left="180"/>
              <w:spacing w:after="0"/>
              <w:rPr>
                <w:sz w:val="20"/>
                <w:szCs w:val="20"/>
                <w:color w:val="auto"/>
              </w:rPr>
            </w:pPr>
            <w:r>
              <w:rPr>
                <w:rFonts w:ascii="Arial" w:cs="Arial" w:eastAsia="Arial" w:hAnsi="Arial"/>
                <w:sz w:val="18"/>
                <w:szCs w:val="18"/>
                <w:color w:val="auto"/>
              </w:rPr>
              <w:t>Weighted average shares — basic</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291,851</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278,793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spacing w:after="0"/>
              <w:rPr>
                <w:sz w:val="20"/>
                <w:szCs w:val="20"/>
                <w:color w:val="auto"/>
              </w:rPr>
            </w:pPr>
            <w:r>
              <w:rPr>
                <w:rFonts w:ascii="Arial" w:cs="Arial" w:eastAsia="Arial" w:hAnsi="Arial"/>
                <w:sz w:val="18"/>
                <w:szCs w:val="18"/>
                <w:color w:val="auto"/>
              </w:rPr>
              <w:t>Warrants</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894</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803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Contingently issuable shares</w:t>
            </w: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Common stock options and other</w:t>
            </w:r>
          </w:p>
        </w:tc>
        <w:tc>
          <w:tcPr>
            <w:tcW w:w="12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27,013</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30,690</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2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diluted</w:t>
            </w: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319,758</w:t>
            </w:r>
          </w:p>
        </w:tc>
        <w:tc>
          <w:tcPr>
            <w:tcW w:w="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310,695</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60" w:type="dxa"/>
            <w:vAlign w:val="bottom"/>
            <w:vMerge w:val="restart"/>
          </w:tcPr>
          <w:p>
            <w:pPr>
              <w:spacing w:after="0"/>
              <w:rPr>
                <w:sz w:val="20"/>
                <w:szCs w:val="20"/>
                <w:color w:val="auto"/>
              </w:rPr>
            </w:pPr>
            <w:r>
              <w:rPr>
                <w:rFonts w:ascii="Arial" w:cs="Arial" w:eastAsia="Arial" w:hAnsi="Arial"/>
                <w:sz w:val="18"/>
                <w:szCs w:val="18"/>
                <w:color w:val="auto"/>
              </w:rPr>
              <w:t>Income before change in accounting principle</w:t>
            </w: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26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ind w:left="180"/>
              <w:spacing w:after="0"/>
              <w:rPr>
                <w:sz w:val="20"/>
                <w:szCs w:val="20"/>
                <w:color w:val="auto"/>
              </w:rPr>
            </w:pPr>
            <w:r>
              <w:rPr>
                <w:rFonts w:ascii="Arial" w:cs="Arial" w:eastAsia="Arial" w:hAnsi="Arial"/>
                <w:sz w:val="18"/>
                <w:szCs w:val="18"/>
                <w:color w:val="auto"/>
              </w:rPr>
              <w:t>Diluted</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0.21</w:t>
            </w:r>
          </w:p>
        </w:tc>
        <w:tc>
          <w:tcPr>
            <w:tcW w:w="2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0.17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tcPr>
          <w:p>
            <w:pPr>
              <w:ind w:left="180"/>
              <w:spacing w:after="0"/>
              <w:rPr>
                <w:sz w:val="20"/>
                <w:szCs w:val="20"/>
                <w:color w:val="auto"/>
              </w:rPr>
            </w:pPr>
            <w:r>
              <w:rPr>
                <w:rFonts w:ascii="Arial" w:cs="Arial" w:eastAsia="Arial" w:hAnsi="Arial"/>
                <w:sz w:val="18"/>
                <w:szCs w:val="18"/>
                <w:color w:val="auto"/>
              </w:rPr>
              <w:t>Basic</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0.27</w:t>
            </w:r>
          </w:p>
        </w:tc>
        <w:tc>
          <w:tcPr>
            <w:tcW w:w="2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0.19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Options to purchase 6,396,325 common shares at a weighted average exercise price of $54.59 have been excluded from the computation of diluted net income per share for the three months ended April 29, 2006 based on the treasury stock method calculation. Options to purchase 1,255,730 common shares at a weighted average exercise price of $36.21 have been excluded from the computation of diluted net income per share for the three months ended April 30, 2005 based on the treasury stock method calculation.</w:t>
      </w:r>
    </w:p>
    <w:p>
      <w:pPr>
        <w:spacing w:after="0" w:line="200" w:lineRule="exact"/>
        <w:rPr>
          <w:sz w:val="20"/>
          <w:szCs w:val="20"/>
          <w:color w:val="auto"/>
        </w:rPr>
      </w:pP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20" w:type="dxa"/>
            <w:vAlign w:val="bottom"/>
          </w:tcPr>
          <w:p>
            <w:pPr>
              <w:spacing w:after="0"/>
              <w:rPr>
                <w:sz w:val="20"/>
                <w:szCs w:val="20"/>
                <w:color w:val="auto"/>
              </w:rPr>
            </w:pPr>
          </w:p>
        </w:tc>
        <w:tc>
          <w:tcPr>
            <w:tcW w:w="4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24</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380" w:type="dxa"/>
            <w:vAlign w:val="bottom"/>
          </w:tcPr>
          <w:p>
            <w:pPr>
              <w:spacing w:after="0"/>
              <w:rPr>
                <w:sz w:val="20"/>
                <w:szCs w:val="20"/>
                <w:color w:val="auto"/>
              </w:rPr>
            </w:pPr>
          </w:p>
        </w:tc>
      </w:tr>
      <w:tr>
        <w:trPr>
          <w:trHeight w:val="375"/>
        </w:trPr>
        <w:tc>
          <w:tcPr>
            <w:tcW w:w="720" w:type="dxa"/>
            <w:vAlign w:val="bottom"/>
            <w:tcBorders>
              <w:bottom w:val="single" w:sz="8" w:color="010101"/>
            </w:tcBorders>
          </w:tcPr>
          <w:p>
            <w:pPr>
              <w:spacing w:after="0"/>
              <w:rPr>
                <w:sz w:val="24"/>
                <w:szCs w:val="24"/>
                <w:color w:val="auto"/>
              </w:rPr>
            </w:pPr>
          </w:p>
        </w:tc>
        <w:tc>
          <w:tcPr>
            <w:tcW w:w="428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74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78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4380" w:type="dxa"/>
            <w:vAlign w:val="bottom"/>
            <w:tcBorders>
              <w:bottom w:val="single" w:sz="8" w:color="010101"/>
            </w:tcBorders>
          </w:tcPr>
          <w:p>
            <w:pPr>
              <w:spacing w:after="0"/>
              <w:rPr>
                <w:sz w:val="24"/>
                <w:szCs w:val="24"/>
                <w:color w:val="auto"/>
              </w:rPr>
            </w:pPr>
          </w:p>
        </w:tc>
      </w:tr>
      <w:tr>
        <w:trPr>
          <w:trHeight w:val="564"/>
        </w:trPr>
        <w:tc>
          <w:tcPr>
            <w:tcW w:w="5000" w:type="dxa"/>
            <w:vAlign w:val="bottom"/>
            <w:gridSpan w:val="2"/>
          </w:tcPr>
          <w:p>
            <w:pPr>
              <w:ind w:left="260"/>
              <w:spacing w:after="0"/>
              <w:rPr>
                <w:sz w:val="20"/>
                <w:szCs w:val="20"/>
                <w:color w:val="auto"/>
              </w:rPr>
            </w:pPr>
            <w:r>
              <w:rPr>
                <w:rFonts w:ascii="Arial" w:cs="Arial" w:eastAsia="Arial" w:hAnsi="Arial"/>
                <w:sz w:val="18"/>
                <w:szCs w:val="18"/>
                <w:b w:val="1"/>
                <w:bCs w:val="1"/>
                <w:color w:val="auto"/>
              </w:rPr>
              <w:t>Comprehensive income (in thousands)</w:t>
            </w: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380" w:type="dxa"/>
            <w:vAlign w:val="bottom"/>
          </w:tcPr>
          <w:p>
            <w:pPr>
              <w:spacing w:after="0"/>
              <w:rPr>
                <w:sz w:val="24"/>
                <w:szCs w:val="24"/>
                <w:color w:val="auto"/>
              </w:rPr>
            </w:pPr>
          </w:p>
        </w:tc>
      </w:tr>
      <w:tr>
        <w:trPr>
          <w:trHeight w:val="351"/>
        </w:trPr>
        <w:tc>
          <w:tcPr>
            <w:tcW w:w="72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340" w:type="dxa"/>
            <w:vAlign w:val="bottom"/>
            <w:gridSpan w:val="6"/>
          </w:tcPr>
          <w:p>
            <w:pPr>
              <w:ind w:left="200"/>
              <w:spacing w:after="0"/>
              <w:rPr>
                <w:sz w:val="20"/>
                <w:szCs w:val="20"/>
                <w:color w:val="auto"/>
              </w:rPr>
            </w:pPr>
            <w:r>
              <w:rPr>
                <w:rFonts w:ascii="Arial" w:cs="Arial" w:eastAsia="Arial" w:hAnsi="Arial"/>
                <w:sz w:val="14"/>
                <w:szCs w:val="14"/>
                <w:b w:val="1"/>
                <w:bCs w:val="1"/>
                <w:color w:val="auto"/>
              </w:rPr>
              <w:t>Three Months Ended</w:t>
            </w:r>
          </w:p>
        </w:tc>
      </w:tr>
      <w:tr>
        <w:trPr>
          <w:trHeight w:val="102"/>
        </w:trPr>
        <w:tc>
          <w:tcPr>
            <w:tcW w:w="720" w:type="dxa"/>
            <w:vAlign w:val="bottom"/>
          </w:tcPr>
          <w:p>
            <w:pPr>
              <w:spacing w:after="0"/>
              <w:rPr>
                <w:sz w:val="8"/>
                <w:szCs w:val="8"/>
                <w:color w:val="auto"/>
              </w:rPr>
            </w:pPr>
          </w:p>
        </w:tc>
        <w:tc>
          <w:tcPr>
            <w:tcW w:w="428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60" w:type="dxa"/>
            <w:vAlign w:val="bottom"/>
            <w:tcBorders>
              <w:top w:val="single" w:sz="8" w:color="auto"/>
            </w:tcBorders>
            <w:gridSpan w:val="2"/>
          </w:tcPr>
          <w:p>
            <w:pPr>
              <w:jc w:val="center"/>
              <w:ind w:right="340"/>
              <w:spacing w:after="0" w:line="103" w:lineRule="exact"/>
              <w:rPr>
                <w:sz w:val="20"/>
                <w:szCs w:val="20"/>
                <w:color w:val="auto"/>
              </w:rPr>
            </w:pPr>
            <w:r>
              <w:rPr>
                <w:rFonts w:ascii="Arial" w:cs="Arial" w:eastAsia="Arial" w:hAnsi="Arial"/>
                <w:sz w:val="11"/>
                <w:szCs w:val="11"/>
                <w:b w:val="1"/>
                <w:bCs w:val="1"/>
                <w:color w:val="auto"/>
              </w:rPr>
              <w:t>April 29,</w:t>
            </w:r>
          </w:p>
        </w:tc>
        <w:tc>
          <w:tcPr>
            <w:tcW w:w="12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jc w:val="center"/>
              <w:ind w:right="42"/>
              <w:spacing w:after="0" w:line="103" w:lineRule="exact"/>
              <w:rPr>
                <w:sz w:val="20"/>
                <w:szCs w:val="20"/>
                <w:color w:val="auto"/>
              </w:rPr>
            </w:pPr>
            <w:r>
              <w:rPr>
                <w:rFonts w:ascii="Arial" w:cs="Arial" w:eastAsia="Arial" w:hAnsi="Arial"/>
                <w:sz w:val="11"/>
                <w:szCs w:val="11"/>
                <w:b w:val="1"/>
                <w:bCs w:val="1"/>
                <w:color w:val="auto"/>
              </w:rPr>
              <w:t>April 30,</w:t>
            </w:r>
          </w:p>
        </w:tc>
        <w:tc>
          <w:tcPr>
            <w:tcW w:w="4480" w:type="dxa"/>
            <w:vAlign w:val="bottom"/>
            <w:gridSpan w:val="2"/>
          </w:tcPr>
          <w:p>
            <w:pPr>
              <w:spacing w:after="0"/>
              <w:rPr>
                <w:sz w:val="8"/>
                <w:szCs w:val="8"/>
                <w:color w:val="auto"/>
              </w:rPr>
            </w:pPr>
          </w:p>
        </w:tc>
      </w:tr>
      <w:tr>
        <w:trPr>
          <w:trHeight w:val="161"/>
        </w:trPr>
        <w:tc>
          <w:tcPr>
            <w:tcW w:w="720" w:type="dxa"/>
            <w:vAlign w:val="bottom"/>
          </w:tcPr>
          <w:p>
            <w:pPr>
              <w:spacing w:after="0"/>
              <w:rPr>
                <w:sz w:val="14"/>
                <w:szCs w:val="14"/>
                <w:color w:val="auto"/>
              </w:rPr>
            </w:pPr>
          </w:p>
        </w:tc>
        <w:tc>
          <w:tcPr>
            <w:tcW w:w="4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41"/>
              <w:spacing w:after="0"/>
              <w:rPr>
                <w:sz w:val="20"/>
                <w:szCs w:val="20"/>
                <w:color w:val="auto"/>
              </w:rPr>
            </w:pPr>
            <w:r>
              <w:rPr>
                <w:rFonts w:ascii="Arial" w:cs="Arial" w:eastAsia="Arial" w:hAnsi="Arial"/>
                <w:sz w:val="14"/>
                <w:szCs w:val="14"/>
                <w:b w:val="1"/>
                <w:bCs w:val="1"/>
                <w:color w:val="auto"/>
                <w:w w:val="83"/>
              </w:rPr>
              <w:t>2006</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42"/>
              <w:spacing w:after="0"/>
              <w:rPr>
                <w:sz w:val="20"/>
                <w:szCs w:val="20"/>
                <w:color w:val="auto"/>
              </w:rPr>
            </w:pPr>
            <w:r>
              <w:rPr>
                <w:rFonts w:ascii="Arial" w:cs="Arial" w:eastAsia="Arial" w:hAnsi="Arial"/>
                <w:sz w:val="14"/>
                <w:szCs w:val="14"/>
                <w:b w:val="1"/>
                <w:bCs w:val="1"/>
                <w:color w:val="auto"/>
                <w:w w:val="83"/>
              </w:rPr>
              <w:t>2005</w:t>
            </w:r>
          </w:p>
        </w:tc>
        <w:tc>
          <w:tcPr>
            <w:tcW w:w="100" w:type="dxa"/>
            <w:vAlign w:val="bottom"/>
          </w:tcPr>
          <w:p>
            <w:pPr>
              <w:spacing w:after="0"/>
              <w:rPr>
                <w:sz w:val="14"/>
                <w:szCs w:val="14"/>
                <w:color w:val="auto"/>
              </w:rPr>
            </w:pPr>
          </w:p>
        </w:tc>
        <w:tc>
          <w:tcPr>
            <w:tcW w:w="4380" w:type="dxa"/>
            <w:vAlign w:val="bottom"/>
          </w:tcPr>
          <w:p>
            <w:pPr>
              <w:spacing w:after="0"/>
              <w:rPr>
                <w:sz w:val="14"/>
                <w:szCs w:val="14"/>
                <w:color w:val="auto"/>
              </w:rPr>
            </w:pPr>
          </w:p>
        </w:tc>
      </w:tr>
      <w:tr>
        <w:trPr>
          <w:trHeight w:val="129"/>
        </w:trPr>
        <w:tc>
          <w:tcPr>
            <w:tcW w:w="720" w:type="dxa"/>
            <w:vAlign w:val="bottom"/>
          </w:tcPr>
          <w:p>
            <w:pPr>
              <w:spacing w:after="0"/>
              <w:rPr>
                <w:sz w:val="11"/>
                <w:szCs w:val="11"/>
                <w:color w:val="auto"/>
              </w:rPr>
            </w:pPr>
          </w:p>
        </w:tc>
        <w:tc>
          <w:tcPr>
            <w:tcW w:w="4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jc w:val="center"/>
              <w:ind w:right="41"/>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tcPr>
          <w:p>
            <w:pPr>
              <w:jc w:val="center"/>
              <w:ind w:right="42"/>
              <w:spacing w:after="0" w:line="129" w:lineRule="exact"/>
              <w:rPr>
                <w:sz w:val="20"/>
                <w:szCs w:val="20"/>
                <w:color w:val="auto"/>
              </w:rPr>
            </w:pPr>
            <w:r>
              <w:rPr>
                <w:rFonts w:ascii="Arial" w:cs="Arial" w:eastAsia="Arial" w:hAnsi="Arial"/>
                <w:sz w:val="14"/>
                <w:szCs w:val="14"/>
                <w:b w:val="1"/>
                <w:bCs w:val="1"/>
                <w:color w:val="auto"/>
                <w:w w:val="90"/>
              </w:rPr>
              <w:t>(restated)</w:t>
            </w:r>
          </w:p>
        </w:tc>
        <w:tc>
          <w:tcPr>
            <w:tcW w:w="4480" w:type="dxa"/>
            <w:vAlign w:val="bottom"/>
            <w:gridSpan w:val="2"/>
          </w:tcPr>
          <w:p>
            <w:pPr>
              <w:spacing w:after="0"/>
              <w:rPr>
                <w:sz w:val="11"/>
                <w:szCs w:val="11"/>
                <w:color w:val="auto"/>
              </w:rPr>
            </w:pPr>
          </w:p>
        </w:tc>
      </w:tr>
      <w:tr>
        <w:trPr>
          <w:trHeight w:val="216"/>
        </w:trPr>
        <w:tc>
          <w:tcPr>
            <w:tcW w:w="7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77,563</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53,947</w:t>
            </w:r>
          </w:p>
        </w:tc>
        <w:tc>
          <w:tcPr>
            <w:tcW w:w="100" w:type="dxa"/>
            <w:vAlign w:val="bottom"/>
            <w:shd w:val="clear" w:color="auto" w:fill="CCEEFF"/>
          </w:tcPr>
          <w:p>
            <w:pPr>
              <w:spacing w:after="0"/>
              <w:rPr>
                <w:sz w:val="18"/>
                <w:szCs w:val="18"/>
                <w:color w:val="auto"/>
              </w:rPr>
            </w:pPr>
          </w:p>
        </w:tc>
        <w:tc>
          <w:tcPr>
            <w:tcW w:w="4380" w:type="dxa"/>
            <w:vAlign w:val="bottom"/>
          </w:tcPr>
          <w:p>
            <w:pPr>
              <w:spacing w:after="0"/>
              <w:rPr>
                <w:sz w:val="18"/>
                <w:szCs w:val="18"/>
                <w:color w:val="auto"/>
              </w:rPr>
            </w:pPr>
          </w:p>
        </w:tc>
      </w:tr>
      <w:tr>
        <w:trPr>
          <w:trHeight w:val="216"/>
        </w:trPr>
        <w:tc>
          <w:tcPr>
            <w:tcW w:w="720" w:type="dxa"/>
            <w:vAlign w:val="bottom"/>
          </w:tcPr>
          <w:p>
            <w:pPr>
              <w:spacing w:after="0"/>
              <w:rPr>
                <w:sz w:val="18"/>
                <w:szCs w:val="18"/>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380" w:type="dxa"/>
            <w:vAlign w:val="bottom"/>
          </w:tcPr>
          <w:p>
            <w:pPr>
              <w:spacing w:after="0"/>
              <w:rPr>
                <w:sz w:val="18"/>
                <w:szCs w:val="18"/>
                <w:color w:val="auto"/>
              </w:rPr>
            </w:pPr>
          </w:p>
        </w:tc>
      </w:tr>
      <w:tr>
        <w:trPr>
          <w:trHeight w:val="202"/>
        </w:trPr>
        <w:tc>
          <w:tcPr>
            <w:tcW w:w="720" w:type="dxa"/>
            <w:vAlign w:val="bottom"/>
          </w:tcPr>
          <w:p>
            <w:pPr>
              <w:spacing w:after="0"/>
              <w:rPr>
                <w:sz w:val="17"/>
                <w:szCs w:val="17"/>
                <w:color w:val="auto"/>
              </w:rPr>
            </w:pPr>
          </w:p>
        </w:tc>
        <w:tc>
          <w:tcPr>
            <w:tcW w:w="42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6"/>
              </w:rPr>
              <w:t>Unrealized gain (loss) on available-for-sale investments</w:t>
            </w: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380" w:type="dxa"/>
            <w:vAlign w:val="bottom"/>
          </w:tcPr>
          <w:p>
            <w:pPr>
              <w:spacing w:after="0"/>
              <w:rPr>
                <w:sz w:val="17"/>
                <w:szCs w:val="17"/>
                <w:color w:val="auto"/>
              </w:rPr>
            </w:pPr>
          </w:p>
        </w:tc>
      </w:tr>
      <w:tr>
        <w:trPr>
          <w:trHeight w:val="230"/>
        </w:trPr>
        <w:tc>
          <w:tcPr>
            <w:tcW w:w="720" w:type="dxa"/>
            <w:vAlign w:val="bottom"/>
          </w:tcPr>
          <w:p>
            <w:pPr>
              <w:spacing w:after="0"/>
              <w:rPr>
                <w:sz w:val="20"/>
                <w:szCs w:val="20"/>
                <w:color w:val="auto"/>
              </w:rPr>
            </w:pPr>
          </w:p>
        </w:tc>
        <w:tc>
          <w:tcPr>
            <w:tcW w:w="42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and other, net of tax</w:t>
            </w:r>
          </w:p>
        </w:tc>
        <w:tc>
          <w:tcPr>
            <w:tcW w:w="12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(730)</w:t>
            </w:r>
          </w:p>
        </w:tc>
        <w:tc>
          <w:tcPr>
            <w:tcW w:w="4380" w:type="dxa"/>
            <w:vAlign w:val="bottom"/>
          </w:tcPr>
          <w:p>
            <w:pPr>
              <w:spacing w:after="0"/>
              <w:rPr>
                <w:sz w:val="20"/>
                <w:szCs w:val="20"/>
                <w:color w:val="auto"/>
              </w:rPr>
            </w:pPr>
          </w:p>
        </w:tc>
      </w:tr>
      <w:tr>
        <w:trPr>
          <w:trHeight w:val="210"/>
        </w:trPr>
        <w:tc>
          <w:tcPr>
            <w:tcW w:w="720" w:type="dxa"/>
            <w:vAlign w:val="bottom"/>
          </w:tcPr>
          <w:p>
            <w:pPr>
              <w:spacing w:after="0"/>
              <w:rPr>
                <w:sz w:val="18"/>
                <w:szCs w:val="18"/>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Total comprehensive income</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77,969</w:t>
            </w:r>
          </w:p>
        </w:tc>
        <w:tc>
          <w:tcPr>
            <w:tcW w:w="22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53,217</w:t>
            </w:r>
          </w:p>
        </w:tc>
        <w:tc>
          <w:tcPr>
            <w:tcW w:w="100" w:type="dxa"/>
            <w:vAlign w:val="bottom"/>
          </w:tcPr>
          <w:p>
            <w:pPr>
              <w:spacing w:after="0"/>
              <w:rPr>
                <w:sz w:val="18"/>
                <w:szCs w:val="18"/>
                <w:color w:val="auto"/>
              </w:rPr>
            </w:pPr>
          </w:p>
        </w:tc>
        <w:tc>
          <w:tcPr>
            <w:tcW w:w="4380" w:type="dxa"/>
            <w:vAlign w:val="bottom"/>
          </w:tcPr>
          <w:p>
            <w:pPr>
              <w:spacing w:after="0"/>
              <w:rPr>
                <w:sz w:val="18"/>
                <w:szCs w:val="18"/>
                <w:color w:val="auto"/>
              </w:rPr>
            </w:pPr>
          </w:p>
        </w:tc>
      </w:tr>
      <w:tr>
        <w:trPr>
          <w:trHeight w:val="20"/>
        </w:trPr>
        <w:tc>
          <w:tcPr>
            <w:tcW w:w="720" w:type="dxa"/>
            <w:vAlign w:val="bottom"/>
          </w:tcPr>
          <w:p>
            <w:pPr>
              <w:spacing w:after="0" w:line="20" w:lineRule="exact"/>
              <w:rPr>
                <w:sz w:val="1"/>
                <w:szCs w:val="1"/>
                <w:color w:val="auto"/>
              </w:rPr>
            </w:pPr>
          </w:p>
        </w:tc>
        <w:tc>
          <w:tcPr>
            <w:tcW w:w="4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3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-1605280</wp:posOffset>
            </wp:positionV>
            <wp:extent cx="12700"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-1605280</wp:posOffset>
            </wp:positionV>
            <wp:extent cx="12700"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0" w:gutter="0" w:footer="0" w:header="0"/>
        </w:sectPr>
      </w:pPr>
    </w:p>
    <w:bookmarkStart w:id="17" w:name="page18"/>
    <w:bookmarkEnd w:id="17"/>
    <w:p>
      <w:pPr>
        <w:spacing w:after="0" w:line="68" w:lineRule="exact"/>
        <w:rPr>
          <w:sz w:val="20"/>
          <w:szCs w:val="20"/>
          <w:color w:val="auto"/>
        </w:rPr>
      </w:pPr>
    </w:p>
    <w:p>
      <w:pPr>
        <w:ind w:right="20" w:firstLine="259"/>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Acquisitions</w:t>
      </w:r>
    </w:p>
    <w:p>
      <w:pPr>
        <w:spacing w:after="0" w:line="229" w:lineRule="exact"/>
        <w:rPr>
          <w:sz w:val="20"/>
          <w:szCs w:val="20"/>
          <w:color w:val="auto"/>
        </w:rPr>
      </w:pPr>
    </w:p>
    <w:p>
      <w:pPr>
        <w:ind w:right="100" w:firstLine="648"/>
        <w:spacing w:after="0" w:line="308" w:lineRule="auto"/>
        <w:rPr>
          <w:sz w:val="20"/>
          <w:szCs w:val="20"/>
          <w:color w:val="auto"/>
        </w:rPr>
      </w:pPr>
      <w:r>
        <w:rPr>
          <w:rFonts w:ascii="Arial" w:cs="Arial" w:eastAsia="Arial" w:hAnsi="Arial"/>
          <w:sz w:val="17"/>
          <w:szCs w:val="17"/>
          <w:color w:val="auto"/>
        </w:rPr>
        <w:t>The Company acquired the hard disk and tape drive controller semiconductor business of QLogic Corporation (“QLogic Business”) during the third quarter of fiscal 2006 and the semiconductor division of UTStarcom, Inc (“UTStarcom Business”) in the first quarter of fiscal 2007.</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QLogic Business</w:t>
      </w:r>
    </w:p>
    <w:p>
      <w:pPr>
        <w:spacing w:after="0" w:line="225" w:lineRule="exact"/>
        <w:rPr>
          <w:sz w:val="20"/>
          <w:szCs w:val="20"/>
          <w:color w:val="auto"/>
        </w:rPr>
      </w:pPr>
    </w:p>
    <w:p>
      <w:pPr>
        <w:ind w:firstLine="648"/>
        <w:spacing w:after="0" w:line="276" w:lineRule="auto"/>
        <w:rPr>
          <w:sz w:val="20"/>
          <w:szCs w:val="20"/>
          <w:color w:val="auto"/>
        </w:rPr>
      </w:pPr>
      <w:r>
        <w:rPr>
          <w:rFonts w:ascii="Arial" w:cs="Arial" w:eastAsia="Arial" w:hAnsi="Arial"/>
          <w:sz w:val="17"/>
          <w:szCs w:val="17"/>
          <w:color w:val="auto"/>
        </w:rPr>
        <w:t>The Company acquired the QLogic Business on November 4, 2005. The QLogic Business designs and supplies controller chips for data storage peripherals, such as hard disk and tape drives. The QLogic Business provides controller chip products which the Company believes will be able to provide complementary products to its customers in the hard disk market while improving its ability to address the overall data storage market. These factors contributed to a purchase price that was in excess of the fair value of the QLogic Business net tangible and intangible assets acquired. The Company recorded goodwill, which is not deductible for tax purposes, in connection with this transaction.</w:t>
      </w:r>
    </w:p>
    <w:p>
      <w:pPr>
        <w:spacing w:after="0" w:line="173" w:lineRule="exact"/>
        <w:rPr>
          <w:sz w:val="20"/>
          <w:szCs w:val="20"/>
          <w:color w:val="auto"/>
        </w:rPr>
      </w:pPr>
    </w:p>
    <w:p>
      <w:pPr>
        <w:ind w:right="60" w:firstLine="648"/>
        <w:spacing w:after="0" w:line="264" w:lineRule="auto"/>
        <w:rPr>
          <w:sz w:val="20"/>
          <w:szCs w:val="20"/>
          <w:color w:val="auto"/>
        </w:rPr>
      </w:pPr>
      <w:r>
        <w:rPr>
          <w:rFonts w:ascii="Arial" w:cs="Arial" w:eastAsia="Arial" w:hAnsi="Arial"/>
          <w:sz w:val="18"/>
          <w:szCs w:val="18"/>
          <w:color w:val="auto"/>
        </w:rPr>
        <w:t>Under terms of the agreement, the Company issued a combination of $184.0 million in cash and 980,499 shares of its common stock valued at $45.6 million for total consideration of $229.6 million. The agreement provides for $12.0 million of the consideration to be placed in escrow for up to one year from the closing date to secure QLogic’s obligations under certain representation and warranty provisions.</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purchase price of the QLogic Business of $232.5 million was determined as follows (in thousands):</w:t>
      </w:r>
    </w:p>
    <w:p>
      <w:pPr>
        <w:spacing w:after="0" w:line="240" w:lineRule="exact"/>
        <w:rPr>
          <w:sz w:val="20"/>
          <w:szCs w:val="20"/>
          <w:color w:val="auto"/>
        </w:rPr>
      </w:pPr>
    </w:p>
    <w:tbl>
      <w:tblPr>
        <w:tblLayout w:type="fixed"/>
        <w:tblInd w:w="9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180" w:type="dxa"/>
            <w:vAlign w:val="bottom"/>
            <w:gridSpan w:val="2"/>
            <w:shd w:val="clear" w:color="auto" w:fill="CCEEFF"/>
          </w:tcPr>
          <w:p>
            <w:pPr>
              <w:jc w:val="right"/>
              <w:ind w:right="50"/>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184,032</w:t>
            </w:r>
          </w:p>
        </w:tc>
        <w:tc>
          <w:tcPr>
            <w:tcW w:w="4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00" w:type="dxa"/>
            <w:vAlign w:val="bottom"/>
          </w:tcPr>
          <w:p>
            <w:pPr>
              <w:spacing w:after="0"/>
              <w:rPr>
                <w:sz w:val="20"/>
                <w:szCs w:val="20"/>
                <w:color w:val="auto"/>
              </w:rPr>
            </w:pPr>
            <w:r>
              <w:rPr>
                <w:rFonts w:ascii="Arial" w:cs="Arial" w:eastAsia="Arial" w:hAnsi="Arial"/>
                <w:sz w:val="18"/>
                <w:szCs w:val="18"/>
                <w:color w:val="auto"/>
              </w:rPr>
              <w:t>Value of common stock issued</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45,583</w:t>
            </w: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w:t>
            </w:r>
          </w:p>
        </w:tc>
        <w:tc>
          <w:tcPr>
            <w:tcW w:w="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40" w:type="dxa"/>
            <w:vAlign w:val="bottom"/>
            <w:shd w:val="clear" w:color="auto" w:fill="CCEEFF"/>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6600" w:type="dxa"/>
            <w:vAlign w:val="bottom"/>
          </w:tcPr>
          <w:p>
            <w:pPr>
              <w:spacing w:after="0"/>
              <w:rPr>
                <w:sz w:val="20"/>
                <w:szCs w:val="20"/>
                <w:color w:val="auto"/>
              </w:rPr>
            </w:pPr>
            <w:r>
              <w:rPr>
                <w:rFonts w:ascii="Arial" w:cs="Arial" w:eastAsia="Arial" w:hAnsi="Arial"/>
                <w:sz w:val="18"/>
                <w:szCs w:val="18"/>
                <w:color w:val="auto"/>
              </w:rPr>
              <w:t>Total purchase price</w:t>
            </w:r>
          </w:p>
        </w:tc>
        <w:tc>
          <w:tcPr>
            <w:tcW w:w="20" w:type="dxa"/>
            <w:vAlign w:val="bottom"/>
            <w:tcBorders>
              <w:bottom w:val="single" w:sz="8" w:color="auto"/>
            </w:tcBorders>
          </w:tcPr>
          <w:p>
            <w:pPr>
              <w:spacing w:after="0"/>
              <w:rPr>
                <w:sz w:val="18"/>
                <w:szCs w:val="18"/>
                <w:color w:val="auto"/>
              </w:rPr>
            </w:pPr>
          </w:p>
        </w:tc>
        <w:tc>
          <w:tcPr>
            <w:tcW w:w="160" w:type="dxa"/>
            <w:vAlign w:val="bottom"/>
            <w:tcBorders>
              <w:bottom w:val="single" w:sz="8" w:color="auto"/>
            </w:tcBorders>
          </w:tcPr>
          <w:p>
            <w:pPr>
              <w:jc w:val="right"/>
              <w:ind w:right="50"/>
              <w:spacing w:after="0"/>
              <w:rPr>
                <w:sz w:val="20"/>
                <w:szCs w:val="20"/>
                <w:color w:val="auto"/>
              </w:rPr>
            </w:pPr>
            <w:r>
              <w:rPr>
                <w:rFonts w:ascii="Arial" w:cs="Arial" w:eastAsia="Arial" w:hAnsi="Arial"/>
                <w:sz w:val="10"/>
                <w:szCs w:val="10"/>
                <w:color w:val="auto"/>
                <w:w w:val="71"/>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232,535</w:t>
            </w:r>
          </w:p>
        </w:tc>
        <w:tc>
          <w:tcPr>
            <w:tcW w:w="40" w:type="dxa"/>
            <w:vAlign w:val="bottom"/>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20" w:firstLine="648"/>
        <w:spacing w:after="0" w:line="308" w:lineRule="auto"/>
        <w:rPr>
          <w:sz w:val="20"/>
          <w:szCs w:val="20"/>
          <w:color w:val="auto"/>
        </w:rPr>
      </w:pPr>
      <w:r>
        <w:rPr>
          <w:rFonts w:ascii="Arial" w:cs="Arial" w:eastAsia="Arial" w:hAnsi="Arial"/>
          <w:sz w:val="17"/>
          <w:szCs w:val="17"/>
          <w:color w:val="auto"/>
        </w:rPr>
        <w:t>The value of the 980,499 shares of the Company’s common stock issued was determined based on the average price of the Company’s common stock over a 5-day period including the two days before and after August 29, 2005 (the announcement date), or $46.49 per share.</w:t>
      </w:r>
    </w:p>
    <w:p>
      <w:pPr>
        <w:spacing w:after="0" w:line="147"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the QLogic Business’ net tangible and intangible assets based on their fair values as of the date of the completion of the acquisition as follows (in thousands):</w:t>
      </w:r>
    </w:p>
    <w:p>
      <w:pPr>
        <w:spacing w:after="0" w:line="185" w:lineRule="exact"/>
        <w:rPr>
          <w:sz w:val="20"/>
          <w:szCs w:val="20"/>
          <w:color w:val="auto"/>
        </w:rPr>
      </w:pPr>
    </w:p>
    <w:tbl>
      <w:tblPr>
        <w:tblLayout w:type="fixed"/>
        <w:tblInd w:w="9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 acquired</w:t>
            </w:r>
          </w:p>
        </w:tc>
        <w:tc>
          <w:tcPr>
            <w:tcW w:w="288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25,073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Existing technology</w:t>
            </w:r>
          </w:p>
        </w:tc>
        <w:tc>
          <w:tcPr>
            <w:tcW w:w="2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tcPr>
          <w:p>
            <w:pPr>
              <w:ind w:left="160"/>
              <w:spacing w:after="0"/>
              <w:rPr>
                <w:sz w:val="20"/>
                <w:szCs w:val="20"/>
                <w:color w:val="auto"/>
              </w:rPr>
            </w:pPr>
            <w:r>
              <w:rPr>
                <w:rFonts w:ascii="Arial" w:cs="Arial" w:eastAsia="Arial" w:hAnsi="Arial"/>
                <w:sz w:val="18"/>
                <w:szCs w:val="18"/>
                <w:color w:val="auto"/>
              </w:rPr>
              <w:t>Core technology</w:t>
            </w:r>
          </w:p>
        </w:tc>
        <w:tc>
          <w:tcPr>
            <w:tcW w:w="2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26,400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Customer relationships</w:t>
            </w:r>
          </w:p>
        </w:tc>
        <w:tc>
          <w:tcPr>
            <w:tcW w:w="2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tcPr>
          <w:p>
            <w:pPr>
              <w:ind w:left="160"/>
              <w:spacing w:after="0"/>
              <w:rPr>
                <w:sz w:val="20"/>
                <w:szCs w:val="20"/>
                <w:color w:val="auto"/>
              </w:rPr>
            </w:pPr>
            <w:r>
              <w:rPr>
                <w:rFonts w:ascii="Arial" w:cs="Arial" w:eastAsia="Arial" w:hAnsi="Arial"/>
                <w:sz w:val="18"/>
                <w:szCs w:val="18"/>
                <w:color w:val="auto"/>
              </w:rPr>
              <w:t>In-process technology</w:t>
            </w:r>
          </w:p>
        </w:tc>
        <w:tc>
          <w:tcPr>
            <w:tcW w:w="2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Goodwill</w:t>
            </w:r>
          </w:p>
        </w:tc>
        <w:tc>
          <w:tcPr>
            <w:tcW w:w="27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79,862</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00" w:type="dxa"/>
            <w:vAlign w:val="bottom"/>
          </w:tcPr>
          <w:p>
            <w:pPr>
              <w:ind w:left="160"/>
              <w:spacing w:after="0"/>
              <w:rPr>
                <w:sz w:val="20"/>
                <w:szCs w:val="20"/>
                <w:color w:val="auto"/>
              </w:rPr>
            </w:pPr>
            <w:r>
              <w:rPr>
                <w:rFonts w:ascii="Arial" w:cs="Arial" w:eastAsia="Arial" w:hAnsi="Arial"/>
                <w:sz w:val="18"/>
                <w:szCs w:val="18"/>
                <w:color w:val="auto"/>
              </w:rPr>
              <w:t>Total estimated purchase price allocation</w:t>
            </w:r>
          </w:p>
        </w:tc>
        <w:tc>
          <w:tcPr>
            <w:tcW w:w="2700" w:type="dxa"/>
            <w:vAlign w:val="bottom"/>
          </w:tcPr>
          <w:p>
            <w:pPr>
              <w:spacing w:after="0"/>
              <w:rPr>
                <w:sz w:val="18"/>
                <w:szCs w:val="18"/>
                <w:color w:val="auto"/>
              </w:rPr>
            </w:pPr>
          </w:p>
        </w:tc>
        <w:tc>
          <w:tcPr>
            <w:tcW w:w="180" w:type="dxa"/>
            <w:vAlign w:val="bottom"/>
            <w:tcBorders>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232,535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2700" w:type="dxa"/>
            <w:vAlign w:val="bottom"/>
            <w:vMerge w:val="restart"/>
          </w:tcPr>
          <w:p>
            <w:pPr>
              <w:jc w:val="right"/>
              <w:ind w:right="1630"/>
              <w:spacing w:after="0"/>
              <w:rPr>
                <w:sz w:val="20"/>
                <w:szCs w:val="20"/>
                <w:color w:val="auto"/>
              </w:rPr>
            </w:pPr>
            <w:r>
              <w:rPr>
                <w:rFonts w:ascii="Arial" w:cs="Arial" w:eastAsia="Arial" w:hAnsi="Arial"/>
                <w:sz w:val="18"/>
                <w:szCs w:val="18"/>
                <w:color w:val="auto"/>
              </w:rPr>
              <w:t>25</w:t>
            </w: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2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1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20" w:firstLine="243"/>
        <w:spacing w:after="0" w:line="257" w:lineRule="auto"/>
        <w:rPr>
          <w:sz w:val="20"/>
          <w:szCs w:val="20"/>
          <w:color w:val="auto"/>
        </w:rPr>
      </w:pPr>
      <w:r>
        <w:rPr>
          <w:rFonts w:ascii="Arial" w:cs="Arial" w:eastAsia="Arial" w:hAnsi="Arial"/>
          <w:sz w:val="18"/>
          <w:szCs w:val="18"/>
          <w:color w:val="auto"/>
        </w:rPr>
        <w:t>The Company acquired tangible assets of approximately $25.1 million consisting of inventory and fixed assets, net of assumed liabilities and was recorded at its estimated fair value. The amortizable intangible assets of $123.3 million were determined based on valuation techniques such as discounted cash flows and weighted average cost of capital methods used in the high technology industry using assumptions and estimates from management. The amortizable intangible assets acquired and their respective estimated remaining lives, over which each asset will be amortized on a straight-line basis over useful lives ranging from one to four years are:</w:t>
      </w:r>
    </w:p>
    <w:p>
      <w:pPr>
        <w:spacing w:after="0" w:line="150"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200" w:type="dxa"/>
            <w:vAlign w:val="bottom"/>
          </w:tcPr>
          <w:p>
            <w:pPr>
              <w:spacing w:after="0"/>
              <w:rPr>
                <w:sz w:val="14"/>
                <w:szCs w:val="14"/>
                <w:color w:val="auto"/>
              </w:rPr>
            </w:pPr>
          </w:p>
        </w:tc>
        <w:tc>
          <w:tcPr>
            <w:tcW w:w="11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5"/>
              </w:rPr>
              <w:t>Estimated</w:t>
            </w:r>
          </w:p>
        </w:tc>
        <w:tc>
          <w:tcPr>
            <w:tcW w:w="120" w:type="dxa"/>
            <w:vAlign w:val="bottom"/>
          </w:tcPr>
          <w:p>
            <w:pPr>
              <w:spacing w:after="0"/>
              <w:rPr>
                <w:sz w:val="14"/>
                <w:szCs w:val="14"/>
                <w:color w:val="auto"/>
              </w:rPr>
            </w:pPr>
          </w:p>
        </w:tc>
        <w:tc>
          <w:tcPr>
            <w:tcW w:w="86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4200" w:type="dxa"/>
            <w:vAlign w:val="bottom"/>
          </w:tcPr>
          <w:p>
            <w:pPr>
              <w:spacing w:after="0"/>
              <w:rPr>
                <w:sz w:val="11"/>
                <w:szCs w:val="11"/>
                <w:color w:val="auto"/>
              </w:rPr>
            </w:pPr>
          </w:p>
        </w:tc>
        <w:tc>
          <w:tcPr>
            <w:tcW w:w="114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4"/>
              </w:rPr>
              <w:t>Remaining</w:t>
            </w:r>
          </w:p>
        </w:tc>
        <w:tc>
          <w:tcPr>
            <w:tcW w:w="120" w:type="dxa"/>
            <w:vAlign w:val="bottom"/>
          </w:tcPr>
          <w:p>
            <w:pPr>
              <w:spacing w:after="0"/>
              <w:rPr>
                <w:sz w:val="11"/>
                <w:szCs w:val="11"/>
                <w:color w:val="auto"/>
              </w:rPr>
            </w:pPr>
          </w:p>
        </w:tc>
        <w:tc>
          <w:tcPr>
            <w:tcW w:w="8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200" w:type="dxa"/>
            <w:vAlign w:val="bottom"/>
          </w:tcPr>
          <w:p>
            <w:pPr>
              <w:spacing w:after="0"/>
              <w:rPr>
                <w:sz w:val="14"/>
                <w:szCs w:val="14"/>
                <w:color w:val="auto"/>
              </w:rPr>
            </w:pPr>
          </w:p>
        </w:tc>
        <w:tc>
          <w:tcPr>
            <w:tcW w:w="11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Useful Life</w:t>
            </w:r>
          </w:p>
        </w:tc>
        <w:tc>
          <w:tcPr>
            <w:tcW w:w="120" w:type="dxa"/>
            <w:vAlign w:val="bottom"/>
          </w:tcPr>
          <w:p>
            <w:pPr>
              <w:spacing w:after="0"/>
              <w:rPr>
                <w:sz w:val="14"/>
                <w:szCs w:val="14"/>
                <w:color w:val="auto"/>
              </w:rPr>
            </w:pPr>
          </w:p>
        </w:tc>
        <w:tc>
          <w:tcPr>
            <w:tcW w:w="860" w:type="dxa"/>
            <w:vAlign w:val="bottom"/>
            <w:gridSpan w:val="2"/>
          </w:tcPr>
          <w:p>
            <w:pPr>
              <w:ind w:left="4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29"/>
        </w:trPr>
        <w:tc>
          <w:tcPr>
            <w:tcW w:w="4200" w:type="dxa"/>
            <w:vAlign w:val="bottom"/>
          </w:tcPr>
          <w:p>
            <w:pPr>
              <w:spacing w:after="0"/>
              <w:rPr>
                <w:sz w:val="11"/>
                <w:szCs w:val="11"/>
                <w:color w:val="auto"/>
              </w:rPr>
            </w:pPr>
          </w:p>
        </w:tc>
        <w:tc>
          <w:tcPr>
            <w:tcW w:w="9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years)</w:t>
            </w:r>
          </w:p>
        </w:tc>
        <w:tc>
          <w:tcPr>
            <w:tcW w:w="220" w:type="dxa"/>
            <w:vAlign w:val="bottom"/>
          </w:tcPr>
          <w:p>
            <w:pPr>
              <w:spacing w:after="0"/>
              <w:rPr>
                <w:sz w:val="11"/>
                <w:szCs w:val="11"/>
                <w:color w:val="auto"/>
              </w:rPr>
            </w:pPr>
          </w:p>
        </w:tc>
        <w:tc>
          <w:tcPr>
            <w:tcW w:w="92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91"/>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Existing technology</w:t>
            </w:r>
          </w:p>
        </w:tc>
        <w:tc>
          <w:tcPr>
            <w:tcW w:w="114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8"/>
              </w:rPr>
              <w:t>1 to 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Core technology</w:t>
            </w:r>
          </w:p>
        </w:tc>
        <w:tc>
          <w:tcPr>
            <w:tcW w:w="92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26,400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Customer relationships</w:t>
            </w:r>
          </w:p>
        </w:tc>
        <w:tc>
          <w:tcPr>
            <w:tcW w:w="9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4</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In-process research and development</w:t>
            </w:r>
          </w:p>
        </w:tc>
        <w:tc>
          <w:tcPr>
            <w:tcW w:w="1140" w:type="dxa"/>
            <w:vAlign w:val="bottom"/>
            <w:tcBorders>
              <w:bottom w:val="single" w:sz="8" w:color="CCEEFF"/>
            </w:tcBorders>
            <w:gridSpan w:val="2"/>
          </w:tcPr>
          <w:p>
            <w:pPr>
              <w:jc w:val="center"/>
              <w:ind w:right="220"/>
              <w:spacing w:after="0"/>
              <w:rPr>
                <w:sz w:val="20"/>
                <w:szCs w:val="20"/>
                <w:color w:val="auto"/>
              </w:rPr>
            </w:pPr>
            <w:r>
              <w:rPr>
                <w:rFonts w:ascii="Arial" w:cs="Arial" w:eastAsia="Arial" w:hAnsi="Arial"/>
                <w:sz w:val="18"/>
                <w:szCs w:val="18"/>
                <w:color w:val="auto"/>
              </w:rPr>
              <w:t>N/A</w:t>
            </w:r>
          </w:p>
        </w:tc>
        <w:tc>
          <w:tcPr>
            <w:tcW w:w="12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4,300</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2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intangible assets acquired</w:t>
            </w:r>
          </w:p>
        </w:tc>
        <w:tc>
          <w:tcPr>
            <w:tcW w:w="92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127,600</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0" w:firstLine="243"/>
        <w:spacing w:after="0" w:line="279" w:lineRule="auto"/>
        <w:rPr>
          <w:sz w:val="20"/>
          <w:szCs w:val="20"/>
          <w:color w:val="auto"/>
        </w:rPr>
      </w:pPr>
      <w:r>
        <w:rPr>
          <w:rFonts w:ascii="Arial" w:cs="Arial" w:eastAsia="Arial" w:hAnsi="Arial"/>
          <w:sz w:val="17"/>
          <w:szCs w:val="17"/>
          <w:color w:val="auto"/>
        </w:rPr>
        <w:t>Existing technology comprised products that have reached technological feasibility and includes the fibre channel hard disk controller (“HDC”), Small Computer System Interface (“SCSI”) HDC and the tape drive products of the hard disk and tape drive controller business of QLogic. The core technology represents technology that is embedded in the existing technology that was separately valued. Customer relationships represent future projected revenues that are derived from sales of future versions of existing products that will be sold to existing customers.</w:t>
      </w:r>
    </w:p>
    <w:p>
      <w:pPr>
        <w:spacing w:after="0" w:line="171" w:lineRule="exact"/>
        <w:rPr>
          <w:sz w:val="20"/>
          <w:szCs w:val="20"/>
          <w:color w:val="auto"/>
        </w:rPr>
      </w:pPr>
    </w:p>
    <w:p>
      <w:pPr>
        <w:ind w:right="60" w:firstLine="648"/>
        <w:spacing w:after="0" w:line="290" w:lineRule="auto"/>
        <w:rPr>
          <w:sz w:val="20"/>
          <w:szCs w:val="20"/>
          <w:color w:val="auto"/>
        </w:rPr>
      </w:pPr>
      <w:r>
        <w:rPr>
          <w:rFonts w:ascii="Arial" w:cs="Arial" w:eastAsia="Arial" w:hAnsi="Arial"/>
          <w:sz w:val="16"/>
          <w:szCs w:val="16"/>
          <w:color w:val="auto"/>
        </w:rPr>
        <w:t>Of the total purchase price, $4.3 million was allocated to in-process research and development (“IPRD”) based upon the fair values of assets acquired and was charged to expense in the fourth quarter of fiscal 2006. The QLogic Business was developing new products that had not reached technological feasibility and which had no alternative use and therefore was immediately written-off. The projects in process consisted of a product based on a combined SCSI HDC and fibre channel HDC that would help customers transition from a SCSI market.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w:t>
      </w:r>
    </w:p>
    <w:p>
      <w:pPr>
        <w:sectPr>
          <w:pgSz w:w="11900" w:h="16906" w:orient="portrait"/>
          <w:cols w:equalWidth="0" w:num="1">
            <w:col w:w="11420"/>
          </w:cols>
          <w:pgMar w:left="240" w:top="125" w:right="239" w:bottom="0" w:gutter="0" w:footer="0" w:header="0"/>
        </w:sectPr>
      </w:pPr>
    </w:p>
    <w:bookmarkStart w:id="18" w:name="page19"/>
    <w:bookmarkEnd w:id="18"/>
    <w:p>
      <w:pPr>
        <w:ind w:right="100"/>
        <w:spacing w:after="0" w:line="342" w:lineRule="auto"/>
        <w:rPr>
          <w:sz w:val="20"/>
          <w:szCs w:val="20"/>
          <w:color w:val="auto"/>
        </w:rPr>
      </w:pPr>
      <w:r>
        <w:rPr>
          <w:rFonts w:ascii="Arial" w:cs="Arial" w:eastAsia="Arial" w:hAnsi="Arial"/>
          <w:sz w:val="16"/>
          <w:szCs w:val="16"/>
          <w:color w:val="auto"/>
        </w:rPr>
        <w:t>product’s development and success as well as the product’s stage of completion. A discount rate of 21.0% was used for IPRD. At the time of the acquisition, the project was approximately 25.0% complete with aggregate costs to complete of $2.7 million. The project was canceled in January 2006.</w:t>
      </w:r>
    </w:p>
    <w:p>
      <w:pPr>
        <w:spacing w:after="0" w:line="124" w:lineRule="exact"/>
        <w:rPr>
          <w:sz w:val="20"/>
          <w:szCs w:val="20"/>
          <w:color w:val="auto"/>
        </w:rPr>
      </w:pPr>
    </w:p>
    <w:p>
      <w:pPr>
        <w:ind w:right="80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QLogic Business are 1.2 years for developed technology, 3.0 years for core technology and 4.0 years for customer relationships.</w:t>
      </w:r>
    </w:p>
    <w:p>
      <w:pPr>
        <w:spacing w:after="0" w:line="170" w:lineRule="exact"/>
        <w:rPr>
          <w:sz w:val="20"/>
          <w:szCs w:val="20"/>
          <w:color w:val="auto"/>
        </w:rPr>
      </w:pPr>
    </w:p>
    <w:p>
      <w:pPr>
        <w:ind w:firstLine="648"/>
        <w:spacing w:after="0" w:line="312" w:lineRule="auto"/>
        <w:rPr>
          <w:sz w:val="20"/>
          <w:szCs w:val="20"/>
          <w:color w:val="auto"/>
        </w:rPr>
      </w:pPr>
      <w:r>
        <w:rPr>
          <w:rFonts w:ascii="Arial" w:cs="Arial" w:eastAsia="Arial" w:hAnsi="Arial"/>
          <w:sz w:val="16"/>
          <w:szCs w:val="16"/>
          <w:color w:val="auto"/>
        </w:rPr>
        <w:t>The results of operations of the QLogic Business have been included in the Company’s consolidated statements of operations since the completion of the acquisition on November 4, 2005. The following unaudited pro forma information presents a summary of the results of operations of the Company assuming the acquisition of the QLogic Business occurred at the beginning of the periods presented (in thousands, except for per share amounts):</w:t>
      </w:r>
    </w:p>
    <w:p>
      <w:pPr>
        <w:spacing w:after="0" w:line="108"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3520" w:type="dxa"/>
            <w:vAlign w:val="bottom"/>
          </w:tcPr>
          <w:p>
            <w:pPr>
              <w:spacing w:after="0"/>
              <w:rPr>
                <w:sz w:val="14"/>
                <w:szCs w:val="14"/>
                <w:color w:val="auto"/>
              </w:rPr>
            </w:pPr>
          </w:p>
        </w:tc>
        <w:tc>
          <w:tcPr>
            <w:tcW w:w="3020" w:type="dxa"/>
            <w:vAlign w:val="bottom"/>
          </w:tcPr>
          <w:p>
            <w:pPr>
              <w:spacing w:after="0"/>
              <w:rPr>
                <w:sz w:val="14"/>
                <w:szCs w:val="14"/>
                <w:color w:val="auto"/>
              </w:rPr>
            </w:pPr>
          </w:p>
        </w:tc>
        <w:tc>
          <w:tcPr>
            <w:tcW w:w="960" w:type="dxa"/>
            <w:vAlign w:val="bottom"/>
            <w:gridSpan w:val="3"/>
          </w:tcPr>
          <w:p>
            <w:pPr>
              <w:spacing w:after="0"/>
              <w:rPr>
                <w:sz w:val="20"/>
                <w:szCs w:val="20"/>
                <w:color w:val="auto"/>
              </w:rPr>
            </w:pPr>
            <w:r>
              <w:rPr>
                <w:rFonts w:ascii="Arial" w:cs="Arial" w:eastAsia="Arial" w:hAnsi="Arial"/>
                <w:sz w:val="14"/>
                <w:szCs w:val="14"/>
                <w:b w:val="1"/>
                <w:bCs w:val="1"/>
                <w:color w:val="auto"/>
              </w:rPr>
              <w:t>Three Months</w:t>
            </w:r>
          </w:p>
        </w:tc>
      </w:tr>
      <w:tr>
        <w:trPr>
          <w:trHeight w:val="135"/>
        </w:trPr>
        <w:tc>
          <w:tcPr>
            <w:tcW w:w="3520" w:type="dxa"/>
            <w:vAlign w:val="bottom"/>
          </w:tcPr>
          <w:p>
            <w:pPr>
              <w:spacing w:after="0"/>
              <w:rPr>
                <w:sz w:val="11"/>
                <w:szCs w:val="11"/>
                <w:color w:val="auto"/>
              </w:rPr>
            </w:pPr>
          </w:p>
        </w:tc>
        <w:tc>
          <w:tcPr>
            <w:tcW w:w="30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Ended</w:t>
            </w:r>
          </w:p>
        </w:tc>
      </w:tr>
      <w:tr>
        <w:trPr>
          <w:trHeight w:val="162"/>
        </w:trPr>
        <w:tc>
          <w:tcPr>
            <w:tcW w:w="3520" w:type="dxa"/>
            <w:vAlign w:val="bottom"/>
          </w:tcPr>
          <w:p>
            <w:pPr>
              <w:spacing w:after="0"/>
              <w:rPr>
                <w:sz w:val="14"/>
                <w:szCs w:val="14"/>
                <w:color w:val="auto"/>
              </w:rPr>
            </w:pPr>
          </w:p>
        </w:tc>
        <w:tc>
          <w:tcPr>
            <w:tcW w:w="3020" w:type="dxa"/>
            <w:vAlign w:val="bottom"/>
          </w:tcPr>
          <w:p>
            <w:pPr>
              <w:spacing w:after="0"/>
              <w:rPr>
                <w:sz w:val="14"/>
                <w:szCs w:val="14"/>
                <w:color w:val="auto"/>
              </w:rPr>
            </w:pPr>
          </w:p>
        </w:tc>
        <w:tc>
          <w:tcPr>
            <w:tcW w:w="960" w:type="dxa"/>
            <w:vAlign w:val="bottom"/>
            <w:gridSpan w:val="3"/>
          </w:tcPr>
          <w:p>
            <w:pPr>
              <w:ind w:left="20"/>
              <w:spacing w:after="0"/>
              <w:rPr>
                <w:sz w:val="20"/>
                <w:szCs w:val="20"/>
                <w:color w:val="auto"/>
              </w:rPr>
            </w:pPr>
            <w:r>
              <w:rPr>
                <w:rFonts w:ascii="Arial" w:cs="Arial" w:eastAsia="Arial" w:hAnsi="Arial"/>
                <w:sz w:val="14"/>
                <w:szCs w:val="14"/>
                <w:b w:val="1"/>
                <w:bCs w:val="1"/>
                <w:color w:val="auto"/>
              </w:rPr>
              <w:t>April 30, 2005</w:t>
            </w:r>
          </w:p>
        </w:tc>
      </w:tr>
      <w:tr>
        <w:trPr>
          <w:trHeight w:val="129"/>
        </w:trPr>
        <w:tc>
          <w:tcPr>
            <w:tcW w:w="3520" w:type="dxa"/>
            <w:vAlign w:val="bottom"/>
          </w:tcPr>
          <w:p>
            <w:pPr>
              <w:spacing w:after="0"/>
              <w:rPr>
                <w:sz w:val="11"/>
                <w:szCs w:val="11"/>
                <w:color w:val="auto"/>
              </w:rPr>
            </w:pPr>
          </w:p>
        </w:tc>
        <w:tc>
          <w:tcPr>
            <w:tcW w:w="30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right"/>
              <w:ind w:right="96"/>
              <w:spacing w:after="0" w:line="129" w:lineRule="exact"/>
              <w:rPr>
                <w:sz w:val="20"/>
                <w:szCs w:val="20"/>
                <w:color w:val="auto"/>
              </w:rPr>
            </w:pPr>
            <w:r>
              <w:rPr>
                <w:rFonts w:ascii="Arial" w:cs="Arial" w:eastAsia="Arial" w:hAnsi="Arial"/>
                <w:sz w:val="14"/>
                <w:szCs w:val="14"/>
                <w:b w:val="1"/>
                <w:bCs w:val="1"/>
                <w:color w:val="auto"/>
                <w:w w:val="93"/>
              </w:rPr>
              <w:t>(restated)</w:t>
            </w:r>
          </w:p>
        </w:tc>
        <w:tc>
          <w:tcPr>
            <w:tcW w:w="40" w:type="dxa"/>
            <w:vAlign w:val="bottom"/>
          </w:tcPr>
          <w:p>
            <w:pPr>
              <w:spacing w:after="0"/>
              <w:rPr>
                <w:sz w:val="11"/>
                <w:szCs w:val="11"/>
                <w:color w:val="auto"/>
              </w:rPr>
            </w:pPr>
          </w:p>
        </w:tc>
      </w:tr>
      <w:tr>
        <w:trPr>
          <w:trHeight w:val="216"/>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140" w:type="dxa"/>
            <w:vAlign w:val="bottom"/>
            <w:gridSpan w:val="2"/>
            <w:shd w:val="clear" w:color="auto" w:fill="CCEEFF"/>
          </w:tcPr>
          <w:p>
            <w:pPr>
              <w:ind w:left="3020"/>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408,278</w:t>
            </w:r>
          </w:p>
        </w:tc>
        <w:tc>
          <w:tcPr>
            <w:tcW w:w="40" w:type="dxa"/>
            <w:vAlign w:val="bottom"/>
            <w:shd w:val="clear" w:color="auto" w:fill="CCEEFF"/>
          </w:tcPr>
          <w:p>
            <w:pPr>
              <w:spacing w:after="0"/>
              <w:rPr>
                <w:sz w:val="18"/>
                <w:szCs w:val="18"/>
                <w:color w:val="auto"/>
              </w:rPr>
            </w:pPr>
          </w:p>
        </w:tc>
      </w:tr>
      <w:tr>
        <w:trPr>
          <w:trHeight w:val="216"/>
        </w:trPr>
        <w:tc>
          <w:tcPr>
            <w:tcW w:w="3520" w:type="dxa"/>
            <w:vAlign w:val="bottom"/>
          </w:tcPr>
          <w:p>
            <w:pPr>
              <w:spacing w:after="0"/>
              <w:rPr>
                <w:sz w:val="20"/>
                <w:szCs w:val="20"/>
                <w:color w:val="auto"/>
              </w:rPr>
            </w:pPr>
            <w:r>
              <w:rPr>
                <w:rFonts w:ascii="Arial" w:cs="Arial" w:eastAsia="Arial" w:hAnsi="Arial"/>
                <w:sz w:val="18"/>
                <w:szCs w:val="18"/>
                <w:color w:val="auto"/>
              </w:rPr>
              <w:t>Net income</w:t>
            </w:r>
          </w:p>
        </w:tc>
        <w:tc>
          <w:tcPr>
            <w:tcW w:w="3140" w:type="dxa"/>
            <w:vAlign w:val="bottom"/>
            <w:gridSpan w:val="2"/>
          </w:tcPr>
          <w:p>
            <w:pPr>
              <w:ind w:left="3020"/>
              <w:spacing w:after="0"/>
              <w:rPr>
                <w:sz w:val="20"/>
                <w:szCs w:val="20"/>
                <w:color w:val="auto"/>
              </w:rPr>
            </w:pPr>
            <w:r>
              <w:rPr>
                <w:rFonts w:ascii="Arial" w:cs="Arial" w:eastAsia="Arial" w:hAnsi="Arial"/>
                <w:sz w:val="18"/>
                <w:szCs w:val="18"/>
                <w:color w:val="auto"/>
                <w:w w:val="9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57,573</w:t>
            </w:r>
          </w:p>
        </w:tc>
        <w:tc>
          <w:tcPr>
            <w:tcW w:w="40" w:type="dxa"/>
            <w:vAlign w:val="bottom"/>
          </w:tcPr>
          <w:p>
            <w:pPr>
              <w:spacing w:after="0"/>
              <w:rPr>
                <w:sz w:val="18"/>
                <w:szCs w:val="18"/>
                <w:color w:val="auto"/>
              </w:rPr>
            </w:pPr>
          </w:p>
        </w:tc>
      </w:tr>
      <w:tr>
        <w:trPr>
          <w:trHeight w:val="216"/>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3140" w:type="dxa"/>
            <w:vAlign w:val="bottom"/>
            <w:gridSpan w:val="2"/>
            <w:shd w:val="clear" w:color="auto" w:fill="CCEEFF"/>
          </w:tcPr>
          <w:p>
            <w:pPr>
              <w:ind w:left="3020"/>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40" w:type="dxa"/>
            <w:vAlign w:val="bottom"/>
            <w:shd w:val="clear" w:color="auto" w:fill="CCEEFF"/>
          </w:tcPr>
          <w:p>
            <w:pPr>
              <w:spacing w:after="0"/>
              <w:rPr>
                <w:sz w:val="18"/>
                <w:szCs w:val="18"/>
                <w:color w:val="auto"/>
              </w:rPr>
            </w:pPr>
          </w:p>
        </w:tc>
      </w:tr>
      <w:tr>
        <w:trPr>
          <w:trHeight w:val="230"/>
        </w:trPr>
        <w:tc>
          <w:tcPr>
            <w:tcW w:w="352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3140" w:type="dxa"/>
            <w:vAlign w:val="bottom"/>
            <w:gridSpan w:val="2"/>
          </w:tcPr>
          <w:p>
            <w:pPr>
              <w:ind w:left="3020"/>
              <w:spacing w:after="0"/>
              <w:rPr>
                <w:sz w:val="20"/>
                <w:szCs w:val="20"/>
                <w:color w:val="auto"/>
              </w:rPr>
            </w:pPr>
            <w:r>
              <w:rPr>
                <w:rFonts w:ascii="Arial" w:cs="Arial" w:eastAsia="Arial" w:hAnsi="Arial"/>
                <w:sz w:val="18"/>
                <w:szCs w:val="18"/>
                <w:color w:val="auto"/>
                <w:w w:val="9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0.18</w:t>
            </w:r>
          </w:p>
        </w:tc>
        <w:tc>
          <w:tcPr>
            <w:tcW w:w="40" w:type="dxa"/>
            <w:vAlign w:val="bottom"/>
          </w:tcPr>
          <w:p>
            <w:pPr>
              <w:spacing w:after="0"/>
              <w:rPr>
                <w:sz w:val="20"/>
                <w:szCs w:val="20"/>
                <w:color w:val="auto"/>
              </w:rPr>
            </w:pPr>
          </w:p>
        </w:tc>
      </w:tr>
      <w:tr>
        <w:trPr>
          <w:trHeight w:val="688"/>
        </w:trPr>
        <w:tc>
          <w:tcPr>
            <w:tcW w:w="3520" w:type="dxa"/>
            <w:vAlign w:val="bottom"/>
          </w:tcPr>
          <w:p>
            <w:pPr>
              <w:spacing w:after="0"/>
              <w:rPr>
                <w:sz w:val="24"/>
                <w:szCs w:val="24"/>
                <w:color w:val="auto"/>
              </w:rPr>
            </w:pPr>
          </w:p>
        </w:tc>
        <w:tc>
          <w:tcPr>
            <w:tcW w:w="3020" w:type="dxa"/>
            <w:vAlign w:val="bottom"/>
          </w:tcPr>
          <w:p>
            <w:pPr>
              <w:ind w:left="1440"/>
              <w:spacing w:after="0"/>
              <w:rPr>
                <w:sz w:val="20"/>
                <w:szCs w:val="20"/>
                <w:color w:val="auto"/>
              </w:rPr>
            </w:pPr>
            <w:r>
              <w:rPr>
                <w:rFonts w:ascii="Arial" w:cs="Arial" w:eastAsia="Arial" w:hAnsi="Arial"/>
                <w:sz w:val="18"/>
                <w:szCs w:val="18"/>
                <w:color w:val="auto"/>
              </w:rPr>
              <w:t>26</w:t>
            </w: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UTStarcom Business</w:t>
      </w:r>
    </w:p>
    <w:p>
      <w:pPr>
        <w:spacing w:after="0" w:line="225" w:lineRule="exact"/>
        <w:rPr>
          <w:sz w:val="20"/>
          <w:szCs w:val="20"/>
          <w:color w:val="auto"/>
        </w:rPr>
      </w:pPr>
    </w:p>
    <w:p>
      <w:pPr>
        <w:ind w:firstLine="648"/>
        <w:spacing w:after="0" w:line="272" w:lineRule="auto"/>
        <w:rPr>
          <w:sz w:val="20"/>
          <w:szCs w:val="20"/>
          <w:color w:val="auto"/>
        </w:rPr>
      </w:pPr>
      <w:r>
        <w:rPr>
          <w:rFonts w:ascii="Arial" w:cs="Arial" w:eastAsia="Arial" w:hAnsi="Arial"/>
          <w:sz w:val="17"/>
          <w:szCs w:val="17"/>
          <w:color w:val="auto"/>
        </w:rPr>
        <w:t>The Company acquired the UTStarcom Business on February 16, 2006. The UTStarcom Business focuses on the design and development of personal handyphone systems (PHS) and next generation cellular communications technology. The primary reasons for the acquisition of the semiconductor division of UTStarcom were to strengthen and augment its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 These factors contributed to a purchase price that was in excess of the fair value of the UTStarcom Business net tangible and intangible assets acquired. The Company recorded goodwill, which is not deductible for tax purposes, in connection with this transaction.</w:t>
      </w:r>
    </w:p>
    <w:p>
      <w:pPr>
        <w:spacing w:after="0" w:line="178" w:lineRule="exact"/>
        <w:rPr>
          <w:sz w:val="20"/>
          <w:szCs w:val="20"/>
          <w:color w:val="auto"/>
        </w:rPr>
      </w:pPr>
    </w:p>
    <w:p>
      <w:pPr>
        <w:ind w:right="160" w:firstLine="648"/>
        <w:spacing w:after="0" w:line="264" w:lineRule="auto"/>
        <w:rPr>
          <w:sz w:val="20"/>
          <w:szCs w:val="20"/>
          <w:color w:val="auto"/>
        </w:rPr>
      </w:pPr>
      <w:r>
        <w:rPr>
          <w:rFonts w:ascii="Arial" w:cs="Arial" w:eastAsia="Arial" w:hAnsi="Arial"/>
          <w:sz w:val="18"/>
          <w:szCs w:val="18"/>
          <w:color w:val="auto"/>
        </w:rPr>
        <w:t>Under the terms of the agreement, the Company paid $24.0 million in cash. In the third quarter of fiscal 2007, the Company recorded additional purchase consideration of $16.0 million upon the achievement of the contingent milestones as defined in the purchase agreement. The purchase price of the acquisition was $24.8 million and was determined as follows (in thousands):</w:t>
      </w:r>
    </w:p>
    <w:p>
      <w:pPr>
        <w:spacing w:after="0" w:line="196"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24,008</w:t>
            </w:r>
          </w:p>
        </w:tc>
        <w:tc>
          <w:tcPr>
            <w:tcW w:w="60" w:type="dxa"/>
            <w:vAlign w:val="bottom"/>
            <w:shd w:val="clear" w:color="auto" w:fill="CCEEFF"/>
          </w:tcPr>
          <w:p>
            <w:pPr>
              <w:spacing w:after="0"/>
              <w:rPr>
                <w:sz w:val="18"/>
                <w:szCs w:val="18"/>
                <w:color w:val="auto"/>
              </w:rPr>
            </w:pPr>
          </w:p>
        </w:tc>
      </w:tr>
      <w:tr>
        <w:trPr>
          <w:trHeight w:val="216"/>
        </w:trPr>
        <w:tc>
          <w:tcPr>
            <w:tcW w:w="60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Estimated transaction costs</w:t>
            </w:r>
          </w:p>
        </w:tc>
        <w:tc>
          <w:tcPr>
            <w:tcW w:w="24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792</w:t>
            </w:r>
          </w:p>
        </w:tc>
        <w:tc>
          <w:tcPr>
            <w:tcW w:w="60" w:type="dxa"/>
            <w:vAlign w:val="bottom"/>
            <w:tcBorders>
              <w:bottom w:val="single" w:sz="8" w:color="CCEEFF"/>
            </w:tcBorders>
          </w:tcPr>
          <w:p>
            <w:pPr>
              <w:spacing w:after="0"/>
              <w:rPr>
                <w:sz w:val="18"/>
                <w:szCs w:val="18"/>
                <w:color w:val="auto"/>
              </w:rPr>
            </w:pPr>
          </w:p>
        </w:tc>
      </w:tr>
      <w:tr>
        <w:trPr>
          <w:trHeight w:val="210"/>
        </w:trPr>
        <w:tc>
          <w:tcPr>
            <w:tcW w:w="604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240" w:type="dxa"/>
            <w:vAlign w:val="bottom"/>
            <w:tcBorders>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24,800</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60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00" w:firstLine="648"/>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the completion of the acquisition as follows (in thousands):</w:t>
      </w:r>
    </w:p>
    <w:p>
      <w:pPr>
        <w:spacing w:after="0" w:line="185"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6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Inventories</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2,097</w:t>
            </w:r>
          </w:p>
        </w:tc>
        <w:tc>
          <w:tcPr>
            <w:tcW w:w="100" w:type="dxa"/>
            <w:vAlign w:val="bottom"/>
            <w:shd w:val="clear" w:color="auto" w:fill="CCEEFF"/>
          </w:tcPr>
          <w:p>
            <w:pPr>
              <w:spacing w:after="0"/>
              <w:rPr>
                <w:sz w:val="18"/>
                <w:szCs w:val="18"/>
                <w:color w:val="auto"/>
              </w:rPr>
            </w:pPr>
          </w:p>
        </w:tc>
      </w:tr>
      <w:tr>
        <w:trPr>
          <w:trHeight w:val="216"/>
        </w:trPr>
        <w:tc>
          <w:tcPr>
            <w:tcW w:w="600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Fixed assets</w:t>
            </w:r>
          </w:p>
        </w:tc>
        <w:tc>
          <w:tcPr>
            <w:tcW w:w="24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611</w:t>
            </w:r>
          </w:p>
        </w:tc>
        <w:tc>
          <w:tcPr>
            <w:tcW w:w="100" w:type="dxa"/>
            <w:vAlign w:val="bottom"/>
            <w:tcBorders>
              <w:bottom w:val="single" w:sz="8" w:color="CCEEFF"/>
            </w:tcBorders>
          </w:tcPr>
          <w:p>
            <w:pPr>
              <w:spacing w:after="0"/>
              <w:rPr>
                <w:sz w:val="18"/>
                <w:szCs w:val="18"/>
                <w:color w:val="auto"/>
              </w:rPr>
            </w:pPr>
          </w:p>
        </w:tc>
      </w:tr>
      <w:tr>
        <w:trPr>
          <w:trHeight w:val="210"/>
        </w:trPr>
        <w:tc>
          <w:tcPr>
            <w:tcW w:w="60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100" w:type="dxa"/>
            <w:vAlign w:val="bottom"/>
            <w:shd w:val="clear" w:color="auto" w:fill="CCEEFF"/>
          </w:tcPr>
          <w:p>
            <w:pPr>
              <w:spacing w:after="0"/>
              <w:rPr>
                <w:sz w:val="18"/>
                <w:szCs w:val="18"/>
                <w:color w:val="auto"/>
              </w:rPr>
            </w:pP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2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w:t>
            </w:r>
          </w:p>
        </w:tc>
        <w:tc>
          <w:tcPr>
            <w:tcW w:w="100" w:type="dxa"/>
            <w:vAlign w:val="bottom"/>
            <w:shd w:val="clear" w:color="auto" w:fill="CCEEFF"/>
          </w:tcPr>
          <w:p>
            <w:pPr>
              <w:spacing w:after="0"/>
              <w:rPr>
                <w:sz w:val="18"/>
                <w:szCs w:val="18"/>
                <w:color w:val="auto"/>
              </w:rPr>
            </w:pPr>
          </w:p>
        </w:tc>
      </w:tr>
      <w:tr>
        <w:trPr>
          <w:trHeight w:val="216"/>
        </w:trPr>
        <w:tc>
          <w:tcPr>
            <w:tcW w:w="600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2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4,100</w:t>
            </w: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Supply contract</w:t>
            </w:r>
          </w:p>
        </w:tc>
        <w:tc>
          <w:tcPr>
            <w:tcW w:w="2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00" w:type="dxa"/>
            <w:vAlign w:val="bottom"/>
            <w:shd w:val="clear" w:color="auto" w:fill="CCEEFF"/>
          </w:tcPr>
          <w:p>
            <w:pPr>
              <w:spacing w:after="0"/>
              <w:rPr>
                <w:sz w:val="18"/>
                <w:szCs w:val="18"/>
                <w:color w:val="auto"/>
              </w:rPr>
            </w:pPr>
          </w:p>
        </w:tc>
      </w:tr>
      <w:tr>
        <w:trPr>
          <w:trHeight w:val="216"/>
        </w:trPr>
        <w:tc>
          <w:tcPr>
            <w:tcW w:w="6000" w:type="dxa"/>
            <w:vAlign w:val="bottom"/>
          </w:tcPr>
          <w:p>
            <w:pPr>
              <w:ind w:left="180"/>
              <w:spacing w:after="0"/>
              <w:rPr>
                <w:sz w:val="20"/>
                <w:szCs w:val="20"/>
                <w:color w:val="auto"/>
              </w:rPr>
            </w:pPr>
            <w:r>
              <w:rPr>
                <w:rFonts w:ascii="Arial" w:cs="Arial" w:eastAsia="Arial" w:hAnsi="Arial"/>
                <w:sz w:val="18"/>
                <w:szCs w:val="18"/>
                <w:color w:val="auto"/>
              </w:rPr>
              <w:t>Customer relationships</w:t>
            </w:r>
          </w:p>
        </w:tc>
        <w:tc>
          <w:tcPr>
            <w:tcW w:w="2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13,900</w:t>
            </w: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2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(8,708)</w:t>
            </w:r>
          </w:p>
        </w:tc>
      </w:tr>
      <w:tr>
        <w:trPr>
          <w:trHeight w:val="210"/>
        </w:trPr>
        <w:tc>
          <w:tcPr>
            <w:tcW w:w="600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2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24,800</w:t>
            </w:r>
          </w:p>
        </w:tc>
        <w:tc>
          <w:tcPr>
            <w:tcW w:w="100" w:type="dxa"/>
            <w:vAlign w:val="bottom"/>
          </w:tcPr>
          <w:p>
            <w:pPr>
              <w:spacing w:after="0"/>
              <w:rPr>
                <w:sz w:val="18"/>
                <w:szCs w:val="18"/>
                <w:color w:val="auto"/>
              </w:rPr>
            </w:pPr>
          </w:p>
        </w:tc>
      </w:tr>
      <w:tr>
        <w:trPr>
          <w:trHeight w:val="20"/>
        </w:trPr>
        <w:tc>
          <w:tcPr>
            <w:tcW w:w="60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right="160" w:firstLine="648"/>
        <w:spacing w:after="0" w:line="259" w:lineRule="auto"/>
        <w:rPr>
          <w:sz w:val="20"/>
          <w:szCs w:val="20"/>
          <w:color w:val="auto"/>
        </w:rPr>
      </w:pPr>
      <w:r>
        <w:rPr>
          <w:rFonts w:ascii="Arial" w:cs="Arial" w:eastAsia="Arial" w:hAnsi="Arial"/>
          <w:sz w:val="18"/>
          <w:szCs w:val="18"/>
          <w:color w:val="auto"/>
        </w:rPr>
        <w:t>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acquired and their respective estimated remaining lives, over which each asset will be amortized on a straight-line basis over useful lives ranging from three to four years are:</w:t>
      </w:r>
    </w:p>
    <w:p>
      <w:pPr>
        <w:spacing w:after="0" w:line="148"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3920" w:type="dxa"/>
            <w:vAlign w:val="bottom"/>
          </w:tcPr>
          <w:p>
            <w:pPr>
              <w:spacing w:after="0"/>
              <w:rPr>
                <w:sz w:val="14"/>
                <w:szCs w:val="14"/>
                <w:color w:val="auto"/>
              </w:rPr>
            </w:pPr>
          </w:p>
        </w:tc>
        <w:tc>
          <w:tcPr>
            <w:tcW w:w="900" w:type="dxa"/>
            <w:vAlign w:val="bottom"/>
          </w:tcPr>
          <w:p>
            <w:pPr>
              <w:jc w:val="center"/>
              <w:ind w:left="48"/>
              <w:spacing w:after="0"/>
              <w:rPr>
                <w:sz w:val="20"/>
                <w:szCs w:val="20"/>
                <w:color w:val="auto"/>
              </w:rPr>
            </w:pPr>
            <w:r>
              <w:rPr>
                <w:rFonts w:ascii="Arial" w:cs="Arial" w:eastAsia="Arial" w:hAnsi="Arial"/>
                <w:sz w:val="14"/>
                <w:szCs w:val="14"/>
                <w:b w:val="1"/>
                <w:bCs w:val="1"/>
                <w:color w:val="auto"/>
                <w:w w:val="92"/>
              </w:rPr>
              <w:t>Estimated</w:t>
            </w: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40" w:type="dxa"/>
            <w:vAlign w:val="bottom"/>
            <w:gridSpan w:val="3"/>
            <w:vMerge w:val="restart"/>
          </w:tcPr>
          <w:p>
            <w:pPr>
              <w:jc w:val="center"/>
              <w:ind w:right="60"/>
              <w:spacing w:after="0"/>
              <w:rPr>
                <w:sz w:val="20"/>
                <w:szCs w:val="20"/>
                <w:color w:val="auto"/>
              </w:rPr>
            </w:pPr>
            <w:r>
              <w:rPr>
                <w:rFonts w:ascii="Arial" w:cs="Arial" w:eastAsia="Arial" w:hAnsi="Arial"/>
                <w:sz w:val="14"/>
                <w:szCs w:val="14"/>
                <w:b w:val="1"/>
                <w:bCs w:val="1"/>
                <w:color w:val="auto"/>
                <w:w w:val="95"/>
              </w:rPr>
              <w:t>Estimated Fair</w:t>
            </w:r>
          </w:p>
        </w:tc>
        <w:tc>
          <w:tcPr>
            <w:tcW w:w="0" w:type="dxa"/>
            <w:vAlign w:val="bottom"/>
          </w:tcPr>
          <w:p>
            <w:pPr>
              <w:spacing w:after="0"/>
              <w:rPr>
                <w:sz w:val="1"/>
                <w:szCs w:val="1"/>
                <w:color w:val="auto"/>
              </w:rPr>
            </w:pPr>
          </w:p>
        </w:tc>
      </w:tr>
      <w:tr>
        <w:trPr>
          <w:trHeight w:val="135"/>
        </w:trPr>
        <w:tc>
          <w:tcPr>
            <w:tcW w:w="3920" w:type="dxa"/>
            <w:vAlign w:val="bottom"/>
          </w:tcPr>
          <w:p>
            <w:pPr>
              <w:spacing w:after="0"/>
              <w:rPr>
                <w:sz w:val="11"/>
                <w:szCs w:val="11"/>
                <w:color w:val="auto"/>
              </w:rPr>
            </w:pPr>
          </w:p>
        </w:tc>
        <w:tc>
          <w:tcPr>
            <w:tcW w:w="900" w:type="dxa"/>
            <w:vAlign w:val="bottom"/>
          </w:tcPr>
          <w:p>
            <w:pPr>
              <w:jc w:val="center"/>
              <w:ind w:left="48"/>
              <w:spacing w:after="0" w:line="135" w:lineRule="exact"/>
              <w:rPr>
                <w:sz w:val="20"/>
                <w:szCs w:val="20"/>
                <w:color w:val="auto"/>
              </w:rPr>
            </w:pPr>
            <w:r>
              <w:rPr>
                <w:rFonts w:ascii="Arial" w:cs="Arial" w:eastAsia="Arial" w:hAnsi="Arial"/>
                <w:sz w:val="14"/>
                <w:szCs w:val="14"/>
                <w:b w:val="1"/>
                <w:bCs w:val="1"/>
                <w:color w:val="auto"/>
                <w:w w:val="92"/>
              </w:rPr>
              <w:t>Remaining</w:t>
            </w:r>
          </w:p>
        </w:tc>
        <w:tc>
          <w:tcPr>
            <w:tcW w:w="1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14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920" w:type="dxa"/>
            <w:vAlign w:val="bottom"/>
          </w:tcPr>
          <w:p>
            <w:pPr>
              <w:spacing w:after="0"/>
              <w:rPr>
                <w:sz w:val="14"/>
                <w:szCs w:val="14"/>
                <w:color w:val="auto"/>
              </w:rPr>
            </w:pPr>
          </w:p>
        </w:tc>
        <w:tc>
          <w:tcPr>
            <w:tcW w:w="900" w:type="dxa"/>
            <w:vAlign w:val="bottom"/>
          </w:tcPr>
          <w:p>
            <w:pPr>
              <w:jc w:val="center"/>
              <w:ind w:left="48"/>
              <w:spacing w:after="0"/>
              <w:rPr>
                <w:sz w:val="20"/>
                <w:szCs w:val="20"/>
                <w:color w:val="auto"/>
              </w:rPr>
            </w:pPr>
            <w:r>
              <w:rPr>
                <w:rFonts w:ascii="Arial" w:cs="Arial" w:eastAsia="Arial" w:hAnsi="Arial"/>
                <w:sz w:val="14"/>
                <w:szCs w:val="14"/>
                <w:b w:val="1"/>
                <w:bCs w:val="1"/>
                <w:color w:val="auto"/>
                <w:w w:val="92"/>
              </w:rPr>
              <w:t>Useful Life</w:t>
            </w: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29"/>
        </w:trPr>
        <w:tc>
          <w:tcPr>
            <w:tcW w:w="3920" w:type="dxa"/>
            <w:vAlign w:val="bottom"/>
          </w:tcPr>
          <w:p>
            <w:pPr>
              <w:spacing w:after="0"/>
              <w:rPr>
                <w:sz w:val="11"/>
                <w:szCs w:val="11"/>
                <w:color w:val="auto"/>
              </w:rPr>
            </w:pPr>
          </w:p>
        </w:tc>
        <w:tc>
          <w:tcPr>
            <w:tcW w:w="900" w:type="dxa"/>
            <w:vAlign w:val="bottom"/>
            <w:tcBorders>
              <w:top w:val="single" w:sz="8" w:color="auto"/>
            </w:tcBorders>
          </w:tcPr>
          <w:p>
            <w:pPr>
              <w:jc w:val="center"/>
              <w:ind w:left="48"/>
              <w:spacing w:after="0" w:line="129" w:lineRule="exact"/>
              <w:rPr>
                <w:sz w:val="20"/>
                <w:szCs w:val="20"/>
                <w:color w:val="auto"/>
              </w:rPr>
            </w:pPr>
            <w:r>
              <w:rPr>
                <w:rFonts w:ascii="Arial" w:cs="Arial" w:eastAsia="Arial" w:hAnsi="Arial"/>
                <w:sz w:val="14"/>
                <w:szCs w:val="14"/>
                <w:b w:val="1"/>
                <w:bCs w:val="1"/>
                <w:color w:val="auto"/>
                <w:w w:val="93"/>
              </w:rPr>
              <w:t>(in years)</w:t>
            </w:r>
          </w:p>
        </w:tc>
        <w:tc>
          <w:tcPr>
            <w:tcW w:w="1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tcPr>
          <w:p>
            <w:pPr>
              <w:jc w:val="center"/>
              <w:ind w:right="15"/>
              <w:spacing w:after="0" w:line="129" w:lineRule="exact"/>
              <w:rPr>
                <w:sz w:val="20"/>
                <w:szCs w:val="20"/>
                <w:color w:val="auto"/>
              </w:rPr>
            </w:pPr>
            <w:r>
              <w:rPr>
                <w:rFonts w:ascii="Arial" w:cs="Arial" w:eastAsia="Arial" w:hAnsi="Arial"/>
                <w:sz w:val="14"/>
                <w:szCs w:val="14"/>
                <w:b w:val="1"/>
                <w:bCs w:val="1"/>
                <w:color w:val="auto"/>
                <w:w w:val="91"/>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Existing technology</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140" w:type="dxa"/>
            <w:vAlign w:val="bottom"/>
          </w:tcPr>
          <w:p>
            <w:pPr>
              <w:jc w:val="right"/>
              <w:spacing w:after="0"/>
              <w:rPr>
                <w:sz w:val="20"/>
                <w:szCs w:val="20"/>
                <w:color w:val="auto"/>
              </w:rPr>
            </w:pPr>
            <w:r>
              <w:rPr>
                <w:rFonts w:ascii="Arial" w:cs="Arial" w:eastAsia="Arial" w:hAnsi="Arial"/>
                <w:sz w:val="18"/>
                <w:szCs w:val="18"/>
                <w:color w:val="auto"/>
              </w:rPr>
              <w:t>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4,100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Customer contracts</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4</w:t>
            </w:r>
          </w:p>
        </w:tc>
        <w:tc>
          <w:tcPr>
            <w:tcW w:w="2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13,900</w:t>
            </w:r>
          </w:p>
        </w:tc>
        <w:tc>
          <w:tcPr>
            <w:tcW w:w="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820" w:type="dxa"/>
            <w:vAlign w:val="bottom"/>
            <w:tcBorders>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intangible assets acquired</w:t>
            </w:r>
          </w:p>
        </w:tc>
        <w:tc>
          <w:tcPr>
            <w:tcW w:w="14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30,800</w:t>
            </w:r>
          </w:p>
        </w:tc>
        <w:tc>
          <w:tcPr>
            <w:tcW w:w="6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five-year contract.</w:t>
      </w:r>
    </w:p>
    <w:p>
      <w:pPr>
        <w:sectPr>
          <w:pgSz w:w="11900" w:h="16838" w:orient="portrait"/>
          <w:cols w:equalWidth="0" w:num="1">
            <w:col w:w="11400"/>
          </w:cols>
          <w:pgMar w:left="240" w:top="125" w:right="259" w:bottom="0" w:gutter="0" w:footer="0" w:header="0"/>
        </w:sectPr>
      </w:pPr>
    </w:p>
    <w:bookmarkStart w:id="19" w:name="page20"/>
    <w:bookmarkEnd w:id="19"/>
    <w:p>
      <w:pPr>
        <w:jc w:val="center"/>
        <w:ind w:right="-5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648"/>
        <w:spacing w:after="0" w:line="272" w:lineRule="auto"/>
        <w:rPr>
          <w:sz w:val="20"/>
          <w:szCs w:val="20"/>
          <w:color w:val="auto"/>
        </w:rPr>
      </w:pPr>
      <w:r>
        <w:rPr>
          <w:rFonts w:ascii="Arial" w:cs="Arial" w:eastAsia="Arial" w:hAnsi="Arial"/>
          <w:sz w:val="17"/>
          <w:szCs w:val="17"/>
          <w:color w:val="auto"/>
        </w:rPr>
        <w:t>Approximately $8.7 million has been preliminarily allocated as a liability, calculated as the excess of the fair value of net tangible and intangible assets acquired over the purchase price. Contingent consideration is still outstanding which may result in the recognition of additional costs of up to $16.0 million from the acquisition if the contingency is issuable in cash or becomes issuable. The defined milestones for the contingent consideration are based on the achievement of certain levels of PHS subscribers and are expected to be resolved by September 30, 2006. The liability will be adjusted once the contingency is resolved. Any contingent payments made will result in additional consideration and reduce the liability. Accordingly, goodwill may be recorded if the total purchase price exceeds the fair value of the net tangible and intangible assets acquired. If the contingency does not occur, the liability will be reduced to zero and the amount will be allocated to intangible assets based on their relative fair values.</w:t>
      </w:r>
    </w:p>
    <w:p>
      <w:pPr>
        <w:spacing w:after="0" w:line="178"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In the third quarter of fiscal 2007, the Company recorded additional purchase consideration of $16.0 million upon the achievement of the contingent milestones as defined in the purchase agreement. A liability of approximately $8.7 million was preliminarily recorded, representing the excess of the fair value of net tangible and intangible assets acquired over the purchase price. As a result of the contingent consideration, additional goodwill of $7.3 million was recorded.</w:t>
      </w:r>
    </w:p>
    <w:p>
      <w:pPr>
        <w:spacing w:after="0" w:line="187" w:lineRule="exact"/>
        <w:rPr>
          <w:sz w:val="20"/>
          <w:szCs w:val="20"/>
          <w:color w:val="auto"/>
        </w:rPr>
      </w:pPr>
    </w:p>
    <w:p>
      <w:pPr>
        <w:ind w:right="160" w:firstLine="630"/>
        <w:spacing w:after="0" w:line="277"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developed technology, 4.0 years for core technology, 4.0 years for customer relationships and 4.0 year for the supply contract.</w:t>
      </w:r>
    </w:p>
    <w:p>
      <w:pPr>
        <w:spacing w:after="0" w:line="170" w:lineRule="exact"/>
        <w:rPr>
          <w:sz w:val="20"/>
          <w:szCs w:val="20"/>
          <w:color w:val="auto"/>
        </w:rPr>
      </w:pPr>
    </w:p>
    <w:p>
      <w:pPr>
        <w:ind w:firstLine="648"/>
        <w:spacing w:after="0" w:line="264" w:lineRule="auto"/>
        <w:rPr>
          <w:sz w:val="20"/>
          <w:szCs w:val="20"/>
          <w:color w:val="auto"/>
        </w:rPr>
      </w:pPr>
      <w:r>
        <w:rPr>
          <w:rFonts w:ascii="Arial" w:cs="Arial" w:eastAsia="Arial" w:hAnsi="Arial"/>
          <w:sz w:val="18"/>
          <w:szCs w:val="18"/>
          <w:color w:val="auto"/>
        </w:rPr>
        <w:t>The unaudited consolidated financial statements include the results of operations of the semiconductor division of UTStarcom commencing as of the acquisition date. No supplemental pro forma information is presented for the acquisition due to the immaterial effect of the acquisition on the Company’s results of operations.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Facilities Consolidation Charge</w:t>
      </w:r>
    </w:p>
    <w:p>
      <w:pPr>
        <w:spacing w:after="0" w:line="229" w:lineRule="exact"/>
        <w:rPr>
          <w:sz w:val="20"/>
          <w:szCs w:val="20"/>
          <w:color w:val="auto"/>
        </w:rPr>
      </w:pPr>
    </w:p>
    <w:p>
      <w:pPr>
        <w:jc w:val="both"/>
        <w:ind w:right="80" w:firstLine="648"/>
        <w:spacing w:after="0" w:line="288"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(“2003 facilities consolidation”) of which $6.0 million related to non-cash charges. As of April 29, 2006, cash payments of $10.1 million, net of sublease income, had been made in connection with these charges. Approximately $3.4 million is accrued for the facilities consolidation charge as of April 29, 2006, of which</w:t>
      </w:r>
    </w:p>
    <w:p>
      <w:pPr>
        <w:ind w:right="120"/>
        <w:spacing w:after="0" w:line="261" w:lineRule="auto"/>
        <w:rPr>
          <w:sz w:val="20"/>
          <w:szCs w:val="20"/>
          <w:color w:val="auto"/>
        </w:rPr>
      </w:pPr>
      <w:r>
        <w:rPr>
          <w:rFonts w:ascii="Arial" w:cs="Arial" w:eastAsia="Arial" w:hAnsi="Arial"/>
          <w:sz w:val="18"/>
          <w:szCs w:val="18"/>
          <w:color w:val="auto"/>
        </w:rPr>
        <w:t>$0.7 million represents the current portion and is included in accrued liabilities. The long-term portion totaling $2.7 million is payable through 2010, and is included in other long-term liabilities.</w:t>
      </w:r>
    </w:p>
    <w:p>
      <w:pPr>
        <w:spacing w:after="0" w:line="184"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Activities of accrued losses related to the 2003 facilities consolidation during the first quarter of fiscal 2007 were as follows (in thousands):</w:t>
      </w:r>
    </w:p>
    <w:p>
      <w:pPr>
        <w:spacing w:after="0" w:line="187"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5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Quarter</w:t>
            </w:r>
          </w:p>
        </w:tc>
      </w:tr>
      <w:tr>
        <w:trPr>
          <w:trHeight w:val="135"/>
        </w:trPr>
        <w:tc>
          <w:tcPr>
            <w:tcW w:w="5180" w:type="dxa"/>
            <w:vAlign w:val="bottom"/>
          </w:tcPr>
          <w:p>
            <w:pPr>
              <w:spacing w:after="0"/>
              <w:rPr>
                <w:sz w:val="11"/>
                <w:szCs w:val="11"/>
                <w:color w:val="auto"/>
              </w:rPr>
            </w:pPr>
          </w:p>
        </w:tc>
        <w:tc>
          <w:tcPr>
            <w:tcW w:w="1100" w:type="dxa"/>
            <w:vAlign w:val="bottom"/>
            <w:gridSpan w:val="3"/>
          </w:tcPr>
          <w:p>
            <w:pPr>
              <w:spacing w:after="0" w:line="135" w:lineRule="exact"/>
              <w:rPr>
                <w:sz w:val="20"/>
                <w:szCs w:val="20"/>
                <w:color w:val="auto"/>
              </w:rPr>
            </w:pPr>
            <w:r>
              <w:rPr>
                <w:rFonts w:ascii="Arial" w:cs="Arial" w:eastAsia="Arial" w:hAnsi="Arial"/>
                <w:sz w:val="14"/>
                <w:szCs w:val="14"/>
                <w:b w:val="1"/>
                <w:bCs w:val="1"/>
                <w:color w:val="auto"/>
              </w:rPr>
              <w:t>Ended April 29,</w:t>
            </w:r>
          </w:p>
        </w:tc>
      </w:tr>
      <w:tr>
        <w:trPr>
          <w:trHeight w:val="162"/>
        </w:trPr>
        <w:tc>
          <w:tcPr>
            <w:tcW w:w="51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76"/>
              <w:spacing w:after="0"/>
              <w:rPr>
                <w:sz w:val="20"/>
                <w:szCs w:val="20"/>
                <w:color w:val="auto"/>
              </w:rPr>
            </w:pPr>
            <w:r>
              <w:rPr>
                <w:rFonts w:ascii="Arial" w:cs="Arial" w:eastAsia="Arial" w:hAnsi="Arial"/>
                <w:sz w:val="14"/>
                <w:szCs w:val="14"/>
                <w:b w:val="1"/>
                <w:bCs w:val="1"/>
                <w:color w:val="auto"/>
              </w:rPr>
              <w:t>2006</w:t>
            </w:r>
          </w:p>
        </w:tc>
        <w:tc>
          <w:tcPr>
            <w:tcW w:w="100" w:type="dxa"/>
            <w:vAlign w:val="bottom"/>
            <w:tcBorders>
              <w:bottom w:val="single" w:sz="8" w:color="CCEEFF"/>
            </w:tcBorders>
          </w:tcPr>
          <w:p>
            <w:pPr>
              <w:spacing w:after="0"/>
              <w:rPr>
                <w:sz w:val="14"/>
                <w:szCs w:val="14"/>
                <w:color w:val="auto"/>
              </w:rPr>
            </w:pPr>
          </w:p>
        </w:tc>
      </w:tr>
      <w:tr>
        <w:trPr>
          <w:trHeight w:val="210"/>
        </w:trPr>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3,578</w:t>
            </w:r>
          </w:p>
        </w:tc>
        <w:tc>
          <w:tcPr>
            <w:tcW w:w="100" w:type="dxa"/>
            <w:vAlign w:val="bottom"/>
            <w:shd w:val="clear" w:color="auto" w:fill="CCEEFF"/>
          </w:tcPr>
          <w:p>
            <w:pPr>
              <w:spacing w:after="0"/>
              <w:rPr>
                <w:sz w:val="18"/>
                <w:szCs w:val="18"/>
                <w:color w:val="auto"/>
              </w:rPr>
            </w:pPr>
          </w:p>
        </w:tc>
      </w:tr>
      <w:tr>
        <w:trPr>
          <w:trHeight w:val="216"/>
        </w:trPr>
        <w:tc>
          <w:tcPr>
            <w:tcW w:w="5180" w:type="dxa"/>
            <w:vAlign w:val="bottom"/>
          </w:tcPr>
          <w:p>
            <w:pPr>
              <w:ind w:left="180"/>
              <w:spacing w:after="0"/>
              <w:rPr>
                <w:sz w:val="20"/>
                <w:szCs w:val="20"/>
                <w:color w:val="auto"/>
              </w:rPr>
            </w:pPr>
            <w:r>
              <w:rPr>
                <w:rFonts w:ascii="Arial" w:cs="Arial" w:eastAsia="Arial" w:hAnsi="Arial"/>
                <w:sz w:val="18"/>
                <w:szCs w:val="18"/>
                <w:color w:val="auto"/>
              </w:rPr>
              <w:t>Net cash payments</w:t>
            </w:r>
          </w:p>
        </w:tc>
        <w:tc>
          <w:tcPr>
            <w:tcW w:w="160" w:type="dxa"/>
            <w:vAlign w:val="bottom"/>
          </w:tcPr>
          <w:p>
            <w:pPr>
              <w:spacing w:after="0"/>
              <w:rPr>
                <w:sz w:val="18"/>
                <w:szCs w:val="18"/>
                <w:color w:val="auto"/>
              </w:rPr>
            </w:pP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(181)</w:t>
            </w:r>
          </w:p>
        </w:tc>
      </w:tr>
      <w:tr>
        <w:trPr>
          <w:trHeight w:val="216"/>
        </w:trPr>
        <w:tc>
          <w:tcPr>
            <w:tcW w:w="5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Non-cash charges</w:t>
            </w: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r>
      <w:tr>
        <w:trPr>
          <w:trHeight w:val="210"/>
        </w:trPr>
        <w:tc>
          <w:tcPr>
            <w:tcW w:w="5180" w:type="dxa"/>
            <w:vAlign w:val="bottom"/>
          </w:tcPr>
          <w:p>
            <w:pPr>
              <w:spacing w:after="0"/>
              <w:rPr>
                <w:sz w:val="20"/>
                <w:szCs w:val="20"/>
                <w:color w:val="auto"/>
              </w:rPr>
            </w:pPr>
            <w:r>
              <w:rPr>
                <w:rFonts w:ascii="Arial" w:cs="Arial" w:eastAsia="Arial" w:hAnsi="Arial"/>
                <w:sz w:val="18"/>
                <w:szCs w:val="18"/>
                <w:color w:val="auto"/>
              </w:rPr>
              <w:t>Ending balance</w:t>
            </w: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3,397</w:t>
            </w:r>
          </w:p>
        </w:tc>
        <w:tc>
          <w:tcPr>
            <w:tcW w:w="100" w:type="dxa"/>
            <w:vAlign w:val="bottom"/>
          </w:tcPr>
          <w:p>
            <w:pPr>
              <w:spacing w:after="0"/>
              <w:rPr>
                <w:sz w:val="18"/>
                <w:szCs w:val="18"/>
                <w:color w:val="auto"/>
              </w:rPr>
            </w:pPr>
          </w:p>
        </w:tc>
      </w:tr>
      <w:tr>
        <w:trPr>
          <w:trHeight w:val="20"/>
        </w:trPr>
        <w:tc>
          <w:tcPr>
            <w:tcW w:w="51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Recent Accounting Pronouncements</w:t>
      </w:r>
    </w:p>
    <w:p>
      <w:pPr>
        <w:spacing w:after="0" w:line="229"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 xml:space="preserve">In May 2005, the FASB issued Statement of Financial Accounting Standards No. 154 (“SFAS 154”), Accounting Changes and Error Corrections, a replacement of APB Opinion No. 20 and Statement No. 3. The statement applies to all voluntary changes in accounting principle and changes the requirements for the accounting for and reporting of a change in accounting principle. SFAS 154 requires retrospective application to prior periods’ financial statements of a voluntary change in accounting principle unless it is impracticable. SFAS 154 is effective for accounting changes and corrections of errors made in fiscal years beginning after December 15, 2005. </w:t>
      </w:r>
      <w:r>
        <w:rPr>
          <w:rFonts w:ascii="Arial" w:cs="Arial" w:eastAsia="Arial" w:hAnsi="Arial"/>
          <w:sz w:val="16"/>
          <w:szCs w:val="16"/>
          <w:color w:val="auto"/>
        </w:rPr>
        <w:t>The Company adopted this standard in the quarter ended April 29, 2006 and the adoption will only</w:t>
      </w:r>
      <w:r>
        <w:rPr>
          <w:rFonts w:ascii="Arial" w:cs="Arial" w:eastAsia="Arial" w:hAnsi="Arial"/>
          <w:sz w:val="17"/>
          <w:szCs w:val="17"/>
          <w:color w:val="auto"/>
        </w:rPr>
        <w:t xml:space="preserve"> </w:t>
      </w:r>
      <w:r>
        <w:rPr>
          <w:rFonts w:ascii="Arial" w:cs="Arial" w:eastAsia="Arial" w:hAnsi="Arial"/>
          <w:sz w:val="16"/>
          <w:szCs w:val="16"/>
          <w:color w:val="auto"/>
        </w:rPr>
        <w:t>impact the consolidated financial statements in periods in which a change in accounting principle is made.</w:t>
      </w:r>
    </w:p>
    <w:p>
      <w:pPr>
        <w:spacing w:after="0" w:line="178" w:lineRule="exact"/>
        <w:rPr>
          <w:sz w:val="20"/>
          <w:szCs w:val="20"/>
          <w:color w:val="auto"/>
        </w:rPr>
      </w:pPr>
    </w:p>
    <w:p>
      <w:pPr>
        <w:ind w:right="100" w:firstLine="648"/>
        <w:spacing w:after="0" w:line="255"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We have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Commitments and Contingencies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Obligations</w:t>
      </w:r>
    </w:p>
    <w:p>
      <w:pPr>
        <w:spacing w:after="0" w:line="229" w:lineRule="exact"/>
        <w:rPr>
          <w:sz w:val="20"/>
          <w:szCs w:val="20"/>
          <w:color w:val="auto"/>
        </w:rPr>
      </w:pPr>
    </w:p>
    <w:p>
      <w:pPr>
        <w:ind w:right="220" w:firstLine="259"/>
        <w:spacing w:after="0" w:line="277" w:lineRule="auto"/>
        <w:rPr>
          <w:sz w:val="20"/>
          <w:szCs w:val="20"/>
          <w:color w:val="auto"/>
        </w:rPr>
      </w:pPr>
      <w:r>
        <w:rPr>
          <w:rFonts w:ascii="Arial" w:cs="Arial" w:eastAsia="Arial" w:hAnsi="Arial"/>
          <w:sz w:val="18"/>
          <w:szCs w:val="18"/>
          <w:color w:val="auto"/>
        </w:rPr>
        <w:t>The following table presents changes in the warranty accrual included in accrued liabilities during the three months ended April 29, 2006 and April 30, 2005 (in thousands):</w:t>
      </w:r>
    </w:p>
    <w:p>
      <w:pPr>
        <w:spacing w:after="0" w:line="149" w:lineRule="exact"/>
        <w:rPr>
          <w:sz w:val="20"/>
          <w:szCs w:val="20"/>
          <w:color w:val="auto"/>
        </w:rPr>
      </w:pPr>
    </w:p>
    <w:tbl>
      <w:tblPr>
        <w:tblLayout w:type="fixed"/>
        <w:tblInd w:w="1080" w:type="dxa"/>
        <w:tblCellMar>
          <w:top w:w="0" w:type="dxa"/>
          <w:left w:w="0" w:type="dxa"/>
          <w:bottom w:w="0" w:type="dxa"/>
          <w:right w:w="0" w:type="dxa"/>
        </w:tblCellMar>
      </w:tblPr>
      <w:tr>
        <w:trPr>
          <w:trHeight w:val="171"/>
        </w:trPr>
        <w:tc>
          <w:tcPr>
            <w:tcW w:w="39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60" w:type="dxa"/>
            <w:vAlign w:val="bottom"/>
            <w:gridSpan w:val="5"/>
          </w:tcPr>
          <w:p>
            <w:pPr>
              <w:ind w:left="160"/>
              <w:spacing w:after="0"/>
              <w:rPr>
                <w:sz w:val="20"/>
                <w:szCs w:val="20"/>
                <w:color w:val="auto"/>
              </w:rPr>
            </w:pPr>
            <w:r>
              <w:rPr>
                <w:rFonts w:ascii="Arial" w:cs="Arial" w:eastAsia="Arial" w:hAnsi="Arial"/>
                <w:sz w:val="14"/>
                <w:szCs w:val="14"/>
                <w:b w:val="1"/>
                <w:bCs w:val="1"/>
                <w:color w:val="auto"/>
              </w:rPr>
              <w:t>Three Months Ended</w:t>
            </w:r>
          </w:p>
        </w:tc>
      </w:tr>
      <w:tr>
        <w:trPr>
          <w:trHeight w:val="102"/>
        </w:trPr>
        <w:tc>
          <w:tcPr>
            <w:tcW w:w="39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ind w:left="20"/>
              <w:spacing w:after="0" w:line="102" w:lineRule="exact"/>
              <w:rPr>
                <w:sz w:val="20"/>
                <w:szCs w:val="20"/>
                <w:color w:val="auto"/>
              </w:rPr>
            </w:pPr>
            <w:r>
              <w:rPr>
                <w:rFonts w:ascii="Arial" w:cs="Arial" w:eastAsia="Arial" w:hAnsi="Arial"/>
                <w:sz w:val="11"/>
                <w:szCs w:val="11"/>
                <w:b w:val="1"/>
                <w:bCs w:val="1"/>
                <w:color w:val="auto"/>
              </w:rPr>
              <w:t>April 29,</w:t>
            </w:r>
          </w:p>
        </w:tc>
        <w:tc>
          <w:tcPr>
            <w:tcW w:w="22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20" w:type="dxa"/>
            <w:vAlign w:val="bottom"/>
            <w:tcBorders>
              <w:top w:val="single" w:sz="8" w:color="auto"/>
            </w:tcBorders>
          </w:tcPr>
          <w:p>
            <w:pPr>
              <w:jc w:val="center"/>
              <w:ind w:right="67"/>
              <w:spacing w:after="0" w:line="102" w:lineRule="exact"/>
              <w:rPr>
                <w:sz w:val="20"/>
                <w:szCs w:val="20"/>
                <w:color w:val="auto"/>
              </w:rPr>
            </w:pPr>
            <w:r>
              <w:rPr>
                <w:rFonts w:ascii="Arial" w:cs="Arial" w:eastAsia="Arial" w:hAnsi="Arial"/>
                <w:sz w:val="11"/>
                <w:szCs w:val="11"/>
                <w:b w:val="1"/>
                <w:bCs w:val="1"/>
                <w:color w:val="auto"/>
              </w:rPr>
              <w:t>April 30,</w:t>
            </w:r>
          </w:p>
        </w:tc>
        <w:tc>
          <w:tcPr>
            <w:tcW w:w="80" w:type="dxa"/>
            <w:vAlign w:val="bottom"/>
          </w:tcPr>
          <w:p>
            <w:pPr>
              <w:spacing w:after="0"/>
              <w:rPr>
                <w:sz w:val="8"/>
                <w:szCs w:val="8"/>
                <w:color w:val="auto"/>
              </w:rPr>
            </w:pPr>
          </w:p>
        </w:tc>
      </w:tr>
      <w:tr>
        <w:trPr>
          <w:trHeight w:val="162"/>
        </w:trPr>
        <w:tc>
          <w:tcPr>
            <w:tcW w:w="396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ind w:left="160"/>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207"/>
              <w:spacing w:after="0"/>
              <w:rPr>
                <w:sz w:val="20"/>
                <w:szCs w:val="20"/>
                <w:color w:val="auto"/>
              </w:rPr>
            </w:pPr>
            <w:r>
              <w:rPr>
                <w:rFonts w:ascii="Arial" w:cs="Arial" w:eastAsia="Arial" w:hAnsi="Arial"/>
                <w:sz w:val="14"/>
                <w:szCs w:val="14"/>
                <w:b w:val="1"/>
                <w:bCs w:val="1"/>
                <w:color w:val="auto"/>
              </w:rPr>
              <w:t>2005</w:t>
            </w:r>
          </w:p>
        </w:tc>
        <w:tc>
          <w:tcPr>
            <w:tcW w:w="80" w:type="dxa"/>
            <w:vAlign w:val="bottom"/>
            <w:tcBorders>
              <w:bottom w:val="single" w:sz="8" w:color="CCEEFF"/>
            </w:tcBorders>
          </w:tcPr>
          <w:p>
            <w:pPr>
              <w:spacing w:after="0"/>
              <w:rPr>
                <w:sz w:val="14"/>
                <w:szCs w:val="14"/>
                <w:color w:val="auto"/>
              </w:rPr>
            </w:pPr>
          </w:p>
        </w:tc>
      </w:tr>
      <w:tr>
        <w:trPr>
          <w:trHeight w:val="196"/>
        </w:trPr>
        <w:tc>
          <w:tcPr>
            <w:tcW w:w="39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3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30"/>
        </w:trPr>
        <w:tc>
          <w:tcPr>
            <w:tcW w:w="396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3,914</w:t>
            </w:r>
          </w:p>
        </w:tc>
        <w:tc>
          <w:tcPr>
            <w:tcW w:w="3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1,571</w:t>
            </w:r>
          </w:p>
        </w:tc>
        <w:tc>
          <w:tcPr>
            <w:tcW w:w="80" w:type="dxa"/>
            <w:vAlign w:val="bottom"/>
          </w:tcPr>
          <w:p>
            <w:pPr>
              <w:spacing w:after="0"/>
              <w:rPr>
                <w:sz w:val="20"/>
                <w:szCs w:val="20"/>
                <w:color w:val="auto"/>
              </w:rPr>
            </w:pPr>
          </w:p>
        </w:tc>
      </w:tr>
    </w:tbl>
    <w:p>
      <w:pPr>
        <w:sectPr>
          <w:pgSz w:w="11900" w:h="16838" w:orient="portrait"/>
          <w:cols w:equalWidth="0" w:num="1">
            <w:col w:w="11360"/>
          </w:cols>
          <w:pgMar w:left="240" w:top="125" w:right="299" w:bottom="0" w:gutter="0" w:footer="0" w:header="0"/>
        </w:sectPr>
      </w:pPr>
    </w:p>
    <w:bookmarkStart w:id="20" w:name="page21"/>
    <w:bookmarkEnd w:id="20"/>
    <w:p>
      <w:pPr>
        <w:spacing w:after="0" w:line="1"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4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Warranties issued</w:t>
            </w: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1,044</w:t>
            </w:r>
          </w:p>
        </w:tc>
        <w:tc>
          <w:tcPr>
            <w:tcW w:w="80" w:type="dxa"/>
            <w:vAlign w:val="bottom"/>
            <w:shd w:val="clear" w:color="auto" w:fill="CCEEFF"/>
          </w:tcPr>
          <w:p>
            <w:pPr>
              <w:spacing w:after="0"/>
              <w:rPr>
                <w:sz w:val="18"/>
                <w:szCs w:val="18"/>
                <w:color w:val="auto"/>
              </w:rPr>
            </w:pPr>
          </w:p>
        </w:tc>
      </w:tr>
      <w:tr>
        <w:trPr>
          <w:trHeight w:val="216"/>
        </w:trPr>
        <w:tc>
          <w:tcPr>
            <w:tcW w:w="434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260" w:type="dxa"/>
            <w:vAlign w:val="bottom"/>
          </w:tcPr>
          <w:p>
            <w:pPr>
              <w:spacing w:after="0"/>
              <w:rPr>
                <w:sz w:val="18"/>
                <w:szCs w:val="18"/>
                <w:color w:val="auto"/>
              </w:rPr>
            </w:pPr>
          </w:p>
        </w:tc>
        <w:tc>
          <w:tcPr>
            <w:tcW w:w="720" w:type="dxa"/>
            <w:vAlign w:val="bottom"/>
            <w:gridSpan w:val="2"/>
          </w:tcPr>
          <w:p>
            <w:pPr>
              <w:jc w:val="right"/>
              <w:ind w:right="80"/>
              <w:spacing w:after="0"/>
              <w:rPr>
                <w:sz w:val="20"/>
                <w:szCs w:val="20"/>
                <w:color w:val="auto"/>
              </w:rPr>
            </w:pPr>
            <w:r>
              <w:rPr>
                <w:rFonts w:ascii="Arial" w:cs="Arial" w:eastAsia="Arial" w:hAnsi="Arial"/>
                <w:sz w:val="18"/>
                <w:szCs w:val="18"/>
                <w:color w:val="auto"/>
              </w:rPr>
              <w:t>(30)</w:t>
            </w: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(196)</w:t>
            </w:r>
          </w:p>
        </w:tc>
      </w:tr>
      <w:tr>
        <w:trPr>
          <w:trHeight w:val="210"/>
        </w:trPr>
        <w:tc>
          <w:tcPr>
            <w:tcW w:w="434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26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4,223</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2,419</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3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6"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 repayment of all expenses incurred through the date of cancellation. As of April 29, 2006, foundries had incurred approximately $145.0 million of manufacturing expenses on the Company’s outstanding purchase orders. As of April 29, 2006, the Company also had approximately $63.2 million of other outstanding non-cancelable purchase orders for capital purchase obligations.</w:t>
      </w:r>
    </w:p>
    <w:p>
      <w:pPr>
        <w:spacing w:after="0" w:line="187" w:lineRule="exact"/>
        <w:rPr>
          <w:sz w:val="20"/>
          <w:szCs w:val="20"/>
          <w:color w:val="auto"/>
        </w:rPr>
      </w:pPr>
    </w:p>
    <w:p>
      <w:pPr>
        <w:ind w:right="180" w:firstLine="243"/>
        <w:spacing w:after="0" w:line="273" w:lineRule="auto"/>
        <w:rPr>
          <w:sz w:val="20"/>
          <w:szCs w:val="20"/>
          <w:color w:val="auto"/>
        </w:rPr>
      </w:pPr>
      <w:r>
        <w:rPr>
          <w:rFonts w:ascii="Arial" w:cs="Arial" w:eastAsia="Arial" w:hAnsi="Arial"/>
          <w:sz w:val="17"/>
          <w:szCs w:val="17"/>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agreed-upon pricing terms until December 31, 2015. As of April 29, 2006, payments totaling $129.0 million (included in prepaid expenses and other current assets and other non current assets) have been made and approximately $44.6 million of the prepayment has been utilized as of April 29, 2006. At April 29, 2006, remaining commitments under the agreement were approximately $45.2 million.</w:t>
      </w:r>
    </w:p>
    <w:p>
      <w:pPr>
        <w:spacing w:after="0" w:line="178"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247"/>
        <w:spacing w:after="0" w:line="283"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initial public offering, or IPO, on June 29, 2000. That lawsuit, which did not name Marvell or any of the Company’s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Marvell and two of the Company’s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the Company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w:t>
      </w:r>
    </w:p>
    <w:p>
      <w:pPr>
        <w:spacing w:after="0" w:line="1" w:lineRule="exact"/>
        <w:rPr>
          <w:sz w:val="20"/>
          <w:szCs w:val="20"/>
          <w:color w:val="auto"/>
        </w:rPr>
      </w:pPr>
    </w:p>
    <w:p>
      <w:pPr>
        <w:ind w:right="80"/>
        <w:spacing w:after="0" w:line="252" w:lineRule="auto"/>
        <w:rPr>
          <w:sz w:val="20"/>
          <w:szCs w:val="20"/>
          <w:color w:val="auto"/>
        </w:rPr>
      </w:pPr>
      <w:r>
        <w:rPr>
          <w:rFonts w:ascii="Arial" w:cs="Arial" w:eastAsia="Arial" w:hAnsi="Arial"/>
          <w:sz w:val="18"/>
          <w:szCs w:val="18"/>
          <w:color w:val="auto"/>
        </w:rPr>
        <w:t>$1 billion to investors who are class members, depending upon plaintiffs’ success against non-settling parties. The Company’s board of directors has approved the proposed settlement, which if approved by the court would result in the plaintiffs’ dismissing the case against the Company and granting releases that extend to all of 113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w:t>
      </w:r>
    </w:p>
    <w:p>
      <w:pPr>
        <w:spacing w:after="0" w:line="200" w:lineRule="exact"/>
        <w:rPr>
          <w:sz w:val="20"/>
          <w:szCs w:val="20"/>
          <w:color w:val="auto"/>
        </w:rPr>
      </w:pPr>
    </w:p>
    <w:p>
      <w:pPr>
        <w:spacing w:after="0" w:line="2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pacing w:after="0" w:line="180" w:lineRule="exact"/>
        <w:rPr>
          <w:sz w:val="20"/>
          <w:szCs w:val="20"/>
          <w:color w:val="auto"/>
        </w:rPr>
      </w:pPr>
    </w:p>
    <w:p>
      <w:pPr>
        <w:ind w:right="20" w:firstLine="247"/>
        <w:spacing w:after="0" w:line="297"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three officers and the Company for improperly obtaining and using information and technologies during the course of the negotiations with the Company’s personnel regarding the potential acquisition of certain Jasmine assets by the Company. The lawsuit claims that the Company’s officers improperly obtained and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58" w:lineRule="exact"/>
        <w:rPr>
          <w:sz w:val="20"/>
          <w:szCs w:val="20"/>
          <w:color w:val="auto"/>
        </w:rPr>
      </w:pPr>
    </w:p>
    <w:p>
      <w:pPr>
        <w:ind w:right="40" w:firstLine="247"/>
        <w:spacing w:after="0" w:line="253" w:lineRule="auto"/>
        <w:rPr>
          <w:sz w:val="20"/>
          <w:szCs w:val="20"/>
          <w:color w:val="auto"/>
        </w:rPr>
      </w:pPr>
      <w:r>
        <w:rPr>
          <w:rFonts w:ascii="Arial" w:cs="Arial" w:eastAsia="Arial" w:hAnsi="Arial"/>
          <w:sz w:val="18"/>
          <w:szCs w:val="18"/>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actions, the cross complaint alleges that Jasmine and its personnel engaged in fraud in connection with their effort to sell to the Company technology that Jasmine and its personnel wrongfully obtained from a third party in violation of such third party’s rights. The cross 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w:t>
      </w:r>
    </w:p>
    <w:p>
      <w:pPr>
        <w:sectPr>
          <w:pgSz w:w="11900" w:h="16838" w:orient="portrait"/>
          <w:cols w:equalWidth="0" w:num="1">
            <w:col w:w="11420"/>
          </w:cols>
          <w:pgMar w:left="240" w:top="140" w:right="239" w:bottom="0" w:gutter="0" w:footer="0" w:header="0"/>
        </w:sectPr>
      </w:pPr>
    </w:p>
    <w:bookmarkStart w:id="21" w:name="page22"/>
    <w:bookmarkEnd w:id="21"/>
    <w:p>
      <w:pPr>
        <w:ind w:right="20" w:firstLine="247"/>
        <w:spacing w:after="0" w:line="268" w:lineRule="auto"/>
        <w:rPr>
          <w:sz w:val="20"/>
          <w:szCs w:val="20"/>
          <w:color w:val="auto"/>
        </w:rPr>
      </w:pPr>
      <w:r>
        <w:rPr>
          <w:rFonts w:ascii="Arial" w:cs="Arial" w:eastAsia="Arial" w:hAnsi="Arial"/>
          <w:sz w:val="17"/>
          <w:szCs w:val="17"/>
          <w:i w:val="1"/>
          <w:iCs w:val="1"/>
          <w:color w:val="auto"/>
        </w:rPr>
        <w:t xml:space="preserve">CSIRO Litigation. </w:t>
      </w:r>
      <w:r>
        <w:rPr>
          <w:rFonts w:ascii="Arial" w:cs="Arial" w:eastAsia="Arial" w:hAnsi="Arial"/>
          <w:sz w:val="17"/>
          <w:szCs w:val="17"/>
          <w:color w:val="auto"/>
        </w:rPr>
        <w:t>In 2004, Australia’s Commonwealth Scientific and Industrial Research Organisation (“CSIRO”) sent notice letters to a number of Wi-Fi</w:t>
      </w:r>
      <w:r>
        <w:rPr>
          <w:rFonts w:ascii="Arial" w:cs="Arial" w:eastAsia="Arial" w:hAnsi="Arial"/>
          <w:sz w:val="17"/>
          <w:szCs w:val="17"/>
          <w:i w:val="1"/>
          <w:iCs w:val="1"/>
          <w:color w:val="auto"/>
        </w:rPr>
        <w:t xml:space="preserve"> </w:t>
      </w:r>
      <w:r>
        <w:rPr>
          <w:rFonts w:ascii="Arial" w:cs="Arial" w:eastAsia="Arial" w:hAnsi="Arial"/>
          <w:sz w:val="17"/>
          <w:szCs w:val="17"/>
          <w:color w:val="auto"/>
        </w:rPr>
        <w:t>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the Company has sought indemnification from it. Also in December 2006, CSIRO filed suit in the United States District Court for the Eastern District of Texas against several manufacturers and suppliers of wireless products, including customers of the Company’s 802.11a or 802.11g wireless LAN products. The complaint alleges that the manufacture, use and sale of wireless products compliant with the IEEE 802.11a or 802.11g wireless standards infringes on the CSIRO patent. As a result of CSIRO’s claim for patent infringement, another customer of the Company has sought indemnification from it. In response to these demands for indemnification, the Company has acknowledged the demands and incurred costs in response to them.</w:t>
      </w:r>
    </w:p>
    <w:p>
      <w:pPr>
        <w:spacing w:after="0" w:line="185" w:lineRule="exact"/>
        <w:rPr>
          <w:sz w:val="20"/>
          <w:szCs w:val="20"/>
          <w:color w:val="auto"/>
        </w:rPr>
      </w:pPr>
    </w:p>
    <w:p>
      <w:pPr>
        <w:ind w:right="160" w:firstLine="247"/>
        <w:spacing w:after="0" w:line="302"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seeking a declaratory judgment against CSIRO that the CSIRO patent is invalid and unenforceable and that the Company and its customers do not infringe the CSIRO patent. The complaint also seeks damages and a license for the Company and its customers on reasonable and non-discriminatory terms in the event the Company’s 802.11a/g wireless LAN products are found to infringe and the CSIRO patent is found to be valid and enforceable. CSIRO has not yet responded to the complaint.</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firstLine="247"/>
        <w:spacing w:after="0" w:line="271"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July 7,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79" w:lineRule="exact"/>
        <w:rPr>
          <w:sz w:val="20"/>
          <w:szCs w:val="20"/>
          <w:color w:val="auto"/>
        </w:rPr>
      </w:pPr>
    </w:p>
    <w:p>
      <w:pPr>
        <w:ind w:right="80" w:firstLine="247"/>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our current and former</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Technology Group Ltd. Derivative Litigation</w:t>
      </w:r>
      <w:r>
        <w:rPr>
          <w:rFonts w:ascii="Arial" w:cs="Arial" w:eastAsia="Arial" w:hAnsi="Arial"/>
          <w:sz w:val="18"/>
          <w:szCs w:val="18"/>
          <w:color w:val="auto"/>
        </w:rPr>
        <w:t>.</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25" w:lineRule="exact"/>
        <w:rPr>
          <w:sz w:val="20"/>
          <w:szCs w:val="20"/>
          <w:color w:val="auto"/>
        </w:rPr>
      </w:pPr>
    </w:p>
    <w:p>
      <w:pPr>
        <w:ind w:firstLine="247"/>
        <w:spacing w:after="0" w:line="291"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the Company files restated financial statements with the SEC.</w:t>
      </w:r>
    </w:p>
    <w:p>
      <w:pPr>
        <w:spacing w:after="0" w:line="167" w:lineRule="exact"/>
        <w:rPr>
          <w:sz w:val="20"/>
          <w:szCs w:val="20"/>
          <w:color w:val="auto"/>
        </w:rPr>
      </w:pPr>
    </w:p>
    <w:p>
      <w:pPr>
        <w:ind w:right="20" w:firstLine="247"/>
        <w:spacing w:after="0" w:line="255" w:lineRule="auto"/>
        <w:rPr>
          <w:sz w:val="20"/>
          <w:szCs w:val="20"/>
          <w:color w:val="auto"/>
        </w:rPr>
      </w:pPr>
      <w:r>
        <w:rPr>
          <w:rFonts w:ascii="Arial" w:cs="Arial" w:eastAsia="Arial" w:hAnsi="Arial"/>
          <w:sz w:val="18"/>
          <w:szCs w:val="18"/>
          <w:i w:val="1"/>
          <w:iCs w:val="1"/>
          <w:color w:val="auto"/>
        </w:rPr>
        <w:t xml:space="preserve">SEC and United States Attorney Inquiries. </w:t>
      </w:r>
      <w:r>
        <w:rPr>
          <w:rFonts w:ascii="Arial" w:cs="Arial" w:eastAsia="Arial" w:hAnsi="Arial"/>
          <w:sz w:val="18"/>
          <w:szCs w:val="18"/>
          <w:color w:val="auto"/>
        </w:rPr>
        <w:t>In July 2006, the Company received a letter of informal inquiry from the Securities and Exchange Commission</w:t>
      </w:r>
      <w:r>
        <w:rPr>
          <w:rFonts w:ascii="Arial" w:cs="Arial" w:eastAsia="Arial" w:hAnsi="Arial"/>
          <w:sz w:val="18"/>
          <w:szCs w:val="18"/>
          <w:i w:val="1"/>
          <w:iCs w:val="1"/>
          <w:color w:val="auto"/>
        </w:rPr>
        <w:t xml:space="preserve"> </w:t>
      </w:r>
      <w:r>
        <w:rPr>
          <w:rFonts w:ascii="Arial" w:cs="Arial" w:eastAsia="Arial" w:hAnsi="Arial"/>
          <w:sz w:val="18"/>
          <w:szCs w:val="18"/>
          <w:color w:val="auto"/>
        </w:rPr>
        <w:t>(“SEC”) requesting certain documents 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is now conducting a formal investigation in this matter. On June 8, 2007, the Company received a document subpoena from the SEC. The Company has cooperated with the SEC and the United States Attorney regarding these matters and intends to continue to do so. The Company cannot predict the outcome of these investigations.</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The Company is also party to other legal proceedings and claims arising in the normal course of business.</w:t>
      </w:r>
    </w:p>
    <w:p>
      <w:pPr>
        <w:spacing w:after="0" w:line="225" w:lineRule="exact"/>
        <w:rPr>
          <w:sz w:val="20"/>
          <w:szCs w:val="20"/>
          <w:color w:val="auto"/>
        </w:rPr>
      </w:pPr>
    </w:p>
    <w:p>
      <w:pPr>
        <w:ind w:right="20" w:firstLine="243"/>
        <w:spacing w:after="0" w:line="290"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the Company’s management. Although the legal responsibility and financial impact with respect to these proceedings and claims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However,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8. Stock-Based Compensation</w:t>
      </w:r>
    </w:p>
    <w:p>
      <w:pPr>
        <w:sectPr>
          <w:pgSz w:w="11900" w:h="16838" w:orient="portrait"/>
          <w:cols w:equalWidth="0" w:num="1">
            <w:col w:w="11420"/>
          </w:cols>
          <w:pgMar w:left="240" w:top="125" w:right="239" w:bottom="17" w:gutter="0" w:footer="0" w:header="0"/>
          <w:type w:val="continuous"/>
        </w:sectPr>
      </w:pPr>
    </w:p>
    <w:bookmarkStart w:id="22" w:name="page23"/>
    <w:bookmarkEnd w:id="22"/>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right="20" w:firstLine="243"/>
        <w:spacing w:after="0" w:line="270" w:lineRule="auto"/>
        <w:rPr>
          <w:sz w:val="20"/>
          <w:szCs w:val="20"/>
          <w:color w:val="auto"/>
        </w:rPr>
      </w:pPr>
      <w:r>
        <w:rPr>
          <w:rFonts w:ascii="Arial" w:cs="Arial" w:eastAsia="Arial" w:hAnsi="Arial"/>
          <w:sz w:val="17"/>
          <w:szCs w:val="17"/>
          <w:color w:val="auto"/>
        </w:rPr>
        <w:t>In April 1995, the Company adopted the 1995 Stock Option Plan (the “Option Plan”). The Option Plan, as amended, had 147,575,484 shares of common stock reserved for issuance thereunder as of April 29, 2006.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2" w:lineRule="exact"/>
        <w:rPr>
          <w:sz w:val="20"/>
          <w:szCs w:val="20"/>
          <w:color w:val="auto"/>
        </w:rPr>
      </w:pPr>
    </w:p>
    <w:p>
      <w:pPr>
        <w:ind w:firstLine="243"/>
        <w:spacing w:after="0" w:line="272" w:lineRule="auto"/>
        <w:rPr>
          <w:sz w:val="20"/>
          <w:szCs w:val="20"/>
          <w:color w:val="auto"/>
        </w:rPr>
      </w:pPr>
      <w:r>
        <w:rPr>
          <w:rFonts w:ascii="Arial" w:cs="Arial" w:eastAsia="Arial" w:hAnsi="Arial"/>
          <w:sz w:val="17"/>
          <w:szCs w:val="17"/>
          <w:color w:val="auto"/>
        </w:rPr>
        <w:t>In August 1997, the Company adopted the 1997 Directors’ Stock Option Plan (the “Directors’ Plan”). The Directors’ Plan had 1,800,000 shares of common stock reserved thereunder as of April 29, 2006.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20" w:firstLine="243"/>
        <w:spacing w:after="0" w:line="271" w:lineRule="auto"/>
        <w:rPr>
          <w:sz w:val="20"/>
          <w:szCs w:val="20"/>
          <w:color w:val="auto"/>
        </w:rPr>
      </w:pPr>
      <w:r>
        <w:rPr>
          <w:rFonts w:ascii="Arial" w:cs="Arial" w:eastAsia="Arial" w:hAnsi="Arial"/>
          <w:sz w:val="17"/>
          <w:szCs w:val="17"/>
          <w:color w:val="auto"/>
        </w:rPr>
        <w:t>In June 2000, the Company adopted the 2000 Employee Stock Purchase Plan (the “Purchase Plan”). The Purchase Plan had 16,935,806 shares of common stock reserve for issuance thereunder as of April 29, 2006.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1 and June 1 of each year. For the three months ended April 29, 2006, the stock-based compensation expense related to the activity under the Purchase Plan was $4.0 million. The Company did not issue any shares under the Purchase Plan in the three months ended April 29, 2006. As of April 29, 2006, there was $7.5 million of unrecognized compensation cost related to the Purchase Plan which will be recognized over the next two years.</w:t>
      </w:r>
    </w:p>
    <w:p>
      <w:pPr>
        <w:spacing w:after="0" w:line="179" w:lineRule="exact"/>
        <w:rPr>
          <w:sz w:val="20"/>
          <w:szCs w:val="20"/>
          <w:color w:val="auto"/>
        </w:rPr>
      </w:pPr>
    </w:p>
    <w:p>
      <w:pPr>
        <w:ind w:right="240" w:firstLine="243"/>
        <w:spacing w:after="0" w:line="277" w:lineRule="auto"/>
        <w:rPr>
          <w:sz w:val="20"/>
          <w:szCs w:val="20"/>
          <w:color w:val="auto"/>
        </w:rPr>
      </w:pPr>
      <w:r>
        <w:rPr>
          <w:rFonts w:ascii="Arial" w:cs="Arial" w:eastAsia="Arial" w:hAnsi="Arial"/>
          <w:sz w:val="18"/>
          <w:szCs w:val="18"/>
          <w:color w:val="auto"/>
        </w:rPr>
        <w:t>Stock option activity under the Company’s stock option plans for the three months ended April 29, 2006 is summarized below (in thousands, except per share amounts):</w:t>
      </w:r>
    </w:p>
    <w:p>
      <w:pPr>
        <w:spacing w:after="0" w:line="132"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30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8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1"/>
              </w:rPr>
              <w:t>Weighted</w:t>
            </w:r>
          </w:p>
        </w:tc>
        <w:tc>
          <w:tcPr>
            <w:tcW w:w="12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Weighted</w:t>
            </w:r>
          </w:p>
        </w:tc>
        <w:tc>
          <w:tcPr>
            <w:tcW w:w="1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30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80" w:type="dxa"/>
            <w:vAlign w:val="bottom"/>
            <w:gridSpan w:val="2"/>
            <w:vMerge w:val="continue"/>
          </w:tcPr>
          <w:p>
            <w:pPr>
              <w:spacing w:after="0"/>
              <w:rPr>
                <w:sz w:val="11"/>
                <w:szCs w:val="11"/>
                <w:color w:val="auto"/>
              </w:rPr>
            </w:pPr>
          </w:p>
        </w:tc>
        <w:tc>
          <w:tcPr>
            <w:tcW w:w="124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Average</w:t>
            </w:r>
          </w:p>
        </w:tc>
        <w:tc>
          <w:tcPr>
            <w:tcW w:w="1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3040" w:type="dxa"/>
            <w:vAlign w:val="bottom"/>
          </w:tcPr>
          <w:p>
            <w:pPr>
              <w:spacing w:after="0"/>
              <w:rPr>
                <w:sz w:val="11"/>
                <w:szCs w:val="11"/>
                <w:color w:val="auto"/>
              </w:rPr>
            </w:pPr>
          </w:p>
        </w:tc>
        <w:tc>
          <w:tcPr>
            <w:tcW w:w="12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4"/>
              </w:rPr>
              <w:t>Options</w:t>
            </w:r>
          </w:p>
        </w:tc>
        <w:tc>
          <w:tcPr>
            <w:tcW w:w="140" w:type="dxa"/>
            <w:vAlign w:val="bottom"/>
          </w:tcPr>
          <w:p>
            <w:pPr>
              <w:spacing w:after="0"/>
              <w:rPr>
                <w:sz w:val="11"/>
                <w:szCs w:val="11"/>
                <w:color w:val="auto"/>
              </w:rPr>
            </w:pPr>
          </w:p>
        </w:tc>
        <w:tc>
          <w:tcPr>
            <w:tcW w:w="108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Average</w:t>
            </w:r>
          </w:p>
        </w:tc>
        <w:tc>
          <w:tcPr>
            <w:tcW w:w="124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2"/>
              </w:rPr>
              <w:t>Remaining</w:t>
            </w:r>
          </w:p>
        </w:tc>
        <w:tc>
          <w:tcPr>
            <w:tcW w:w="140" w:type="dxa"/>
            <w:vAlign w:val="bottom"/>
          </w:tcPr>
          <w:p>
            <w:pPr>
              <w:spacing w:after="0"/>
              <w:rPr>
                <w:sz w:val="11"/>
                <w:szCs w:val="11"/>
                <w:color w:val="auto"/>
              </w:rPr>
            </w:pPr>
          </w:p>
        </w:tc>
        <w:tc>
          <w:tcPr>
            <w:tcW w:w="9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9"/>
              </w:rPr>
              <w:t>Aggregate</w:t>
            </w:r>
          </w:p>
        </w:tc>
        <w:tc>
          <w:tcPr>
            <w:tcW w:w="0" w:type="dxa"/>
            <w:vAlign w:val="bottom"/>
          </w:tcPr>
          <w:p>
            <w:pPr>
              <w:spacing w:after="0"/>
              <w:rPr>
                <w:sz w:val="1"/>
                <w:szCs w:val="1"/>
                <w:color w:val="auto"/>
              </w:rPr>
            </w:pPr>
          </w:p>
        </w:tc>
      </w:tr>
      <w:tr>
        <w:trPr>
          <w:trHeight w:val="135"/>
        </w:trPr>
        <w:tc>
          <w:tcPr>
            <w:tcW w:w="3040" w:type="dxa"/>
            <w:vAlign w:val="bottom"/>
          </w:tcPr>
          <w:p>
            <w:pPr>
              <w:spacing w:after="0"/>
              <w:rPr>
                <w:sz w:val="11"/>
                <w:szCs w:val="11"/>
                <w:color w:val="auto"/>
              </w:rPr>
            </w:pPr>
          </w:p>
        </w:tc>
        <w:tc>
          <w:tcPr>
            <w:tcW w:w="1240" w:type="dxa"/>
            <w:vAlign w:val="bottom"/>
            <w:gridSpan w:val="2"/>
            <w:vMerge w:val="continue"/>
          </w:tcPr>
          <w:p>
            <w:pPr>
              <w:spacing w:after="0"/>
              <w:rPr>
                <w:sz w:val="11"/>
                <w:szCs w:val="11"/>
                <w:color w:val="auto"/>
              </w:rPr>
            </w:pPr>
          </w:p>
        </w:tc>
        <w:tc>
          <w:tcPr>
            <w:tcW w:w="140" w:type="dxa"/>
            <w:vAlign w:val="bottom"/>
          </w:tcPr>
          <w:p>
            <w:pPr>
              <w:spacing w:after="0"/>
              <w:rPr>
                <w:sz w:val="11"/>
                <w:szCs w:val="11"/>
                <w:color w:val="auto"/>
              </w:rPr>
            </w:pPr>
          </w:p>
        </w:tc>
        <w:tc>
          <w:tcPr>
            <w:tcW w:w="108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0"/>
              </w:rPr>
              <w:t>Exercise</w:t>
            </w:r>
          </w:p>
        </w:tc>
        <w:tc>
          <w:tcPr>
            <w:tcW w:w="124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5"/>
              </w:rPr>
              <w:t>Contractual</w:t>
            </w:r>
          </w:p>
        </w:tc>
        <w:tc>
          <w:tcPr>
            <w:tcW w:w="14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040" w:type="dxa"/>
            <w:vAlign w:val="bottom"/>
          </w:tcPr>
          <w:p>
            <w:pPr>
              <w:spacing w:after="0"/>
              <w:rPr>
                <w:sz w:val="14"/>
                <w:szCs w:val="14"/>
                <w:color w:val="auto"/>
              </w:rPr>
            </w:pPr>
          </w:p>
        </w:tc>
        <w:tc>
          <w:tcPr>
            <w:tcW w:w="12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Outstanding</w:t>
            </w:r>
          </w:p>
        </w:tc>
        <w:tc>
          <w:tcPr>
            <w:tcW w:w="140" w:type="dxa"/>
            <w:vAlign w:val="bottom"/>
          </w:tcPr>
          <w:p>
            <w:pPr>
              <w:spacing w:after="0"/>
              <w:rPr>
                <w:sz w:val="14"/>
                <w:szCs w:val="14"/>
                <w:color w:val="auto"/>
              </w:rPr>
            </w:pPr>
          </w:p>
        </w:tc>
        <w:tc>
          <w:tcPr>
            <w:tcW w:w="10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3"/>
              </w:rPr>
              <w:t>Price</w:t>
            </w:r>
          </w:p>
        </w:tc>
        <w:tc>
          <w:tcPr>
            <w:tcW w:w="12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9"/>
              </w:rPr>
              <w:t>Term</w:t>
            </w:r>
          </w:p>
        </w:tc>
        <w:tc>
          <w:tcPr>
            <w:tcW w:w="108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3"/>
              </w:rPr>
              <w:t>Intrinsic Value</w:t>
            </w:r>
          </w:p>
        </w:tc>
        <w:tc>
          <w:tcPr>
            <w:tcW w:w="0" w:type="dxa"/>
            <w:vAlign w:val="bottom"/>
          </w:tcPr>
          <w:p>
            <w:pPr>
              <w:spacing w:after="0"/>
              <w:rPr>
                <w:sz w:val="1"/>
                <w:szCs w:val="1"/>
                <w:color w:val="auto"/>
              </w:rPr>
            </w:pPr>
          </w:p>
        </w:tc>
      </w:tr>
      <w:tr>
        <w:trPr>
          <w:trHeight w:val="129"/>
        </w:trPr>
        <w:tc>
          <w:tcPr>
            <w:tcW w:w="3040" w:type="dxa"/>
            <w:vAlign w:val="bottom"/>
          </w:tcPr>
          <w:p>
            <w:pPr>
              <w:spacing w:after="0"/>
              <w:rPr>
                <w:sz w:val="11"/>
                <w:szCs w:val="11"/>
                <w:color w:val="auto"/>
              </w:rPr>
            </w:pPr>
          </w:p>
        </w:tc>
        <w:tc>
          <w:tcPr>
            <w:tcW w:w="10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2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2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47,122</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19.77</w:t>
            </w: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Options granted</w:t>
            </w:r>
          </w:p>
        </w:tc>
        <w:tc>
          <w:tcPr>
            <w:tcW w:w="1020" w:type="dxa"/>
            <w:vAlign w:val="bottom"/>
          </w:tcPr>
          <w:p>
            <w:pPr>
              <w:jc w:val="right"/>
              <w:spacing w:after="0"/>
              <w:rPr>
                <w:sz w:val="20"/>
                <w:szCs w:val="20"/>
                <w:color w:val="auto"/>
              </w:rPr>
            </w:pPr>
            <w:r>
              <w:rPr>
                <w:rFonts w:ascii="Arial" w:cs="Arial" w:eastAsia="Arial" w:hAnsi="Arial"/>
                <w:sz w:val="18"/>
                <w:szCs w:val="18"/>
                <w:color w:val="auto"/>
              </w:rPr>
              <w:t>5,854</w:t>
            </w:r>
          </w:p>
        </w:tc>
        <w:tc>
          <w:tcPr>
            <w:tcW w:w="22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58.09</w:t>
            </w:r>
          </w:p>
        </w:tc>
        <w:tc>
          <w:tcPr>
            <w:tcW w:w="2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forfeited/canceled/expired</w:t>
            </w:r>
          </w:p>
        </w:tc>
        <w:tc>
          <w:tcPr>
            <w:tcW w:w="12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(675)</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29.68</w:t>
            </w: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Options exercised</w:t>
            </w:r>
          </w:p>
        </w:tc>
        <w:tc>
          <w:tcPr>
            <w:tcW w:w="1240" w:type="dxa"/>
            <w:vAlign w:val="bottom"/>
            <w:gridSpan w:val="2"/>
          </w:tcPr>
          <w:p>
            <w:pPr>
              <w:jc w:val="right"/>
              <w:ind w:right="160"/>
              <w:spacing w:after="0"/>
              <w:rPr>
                <w:sz w:val="20"/>
                <w:szCs w:val="20"/>
                <w:color w:val="auto"/>
              </w:rPr>
            </w:pPr>
            <w:r>
              <w:rPr>
                <w:rFonts w:ascii="Arial" w:cs="Arial" w:eastAsia="Arial" w:hAnsi="Arial"/>
                <w:sz w:val="18"/>
                <w:szCs w:val="18"/>
                <w:color w:val="auto"/>
              </w:rPr>
              <w:t>(982)</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11.11</w:t>
            </w:r>
          </w:p>
        </w:tc>
        <w:tc>
          <w:tcPr>
            <w:tcW w:w="2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0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April 29, 2006</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51,319</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24.17</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8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040" w:type="dxa"/>
            <w:vAlign w:val="bottom"/>
            <w:vMerge w:val="restart"/>
          </w:tcPr>
          <w:p>
            <w:pPr>
              <w:spacing w:after="0" w:line="195" w:lineRule="exact"/>
              <w:rPr>
                <w:sz w:val="20"/>
                <w:szCs w:val="20"/>
                <w:color w:val="auto"/>
              </w:rPr>
            </w:pPr>
            <w:r>
              <w:rPr>
                <w:rFonts w:ascii="Arial" w:cs="Arial" w:eastAsia="Arial" w:hAnsi="Arial"/>
                <w:sz w:val="18"/>
                <w:szCs w:val="18"/>
                <w:color w:val="auto"/>
                <w:w w:val="99"/>
              </w:rPr>
              <w:t>Vested or expected to vest at April 29,</w:t>
            </w:r>
          </w:p>
        </w:tc>
        <w:tc>
          <w:tcPr>
            <w:tcW w:w="10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3040" w:type="dxa"/>
            <w:vAlign w:val="bottom"/>
            <w:vMerge w:val="continue"/>
          </w:tcPr>
          <w:p>
            <w:pPr>
              <w:spacing w:after="0"/>
              <w:rPr>
                <w:sz w:val="13"/>
                <w:szCs w:val="13"/>
                <w:color w:val="auto"/>
              </w:rPr>
            </w:pP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rPr>
              <w:t>49,101</w:t>
            </w:r>
          </w:p>
        </w:tc>
        <w:tc>
          <w:tcPr>
            <w:tcW w:w="2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vMerge w:val="restart"/>
          </w:tcPr>
          <w:p>
            <w:pPr>
              <w:jc w:val="right"/>
              <w:spacing w:after="0"/>
              <w:rPr>
                <w:sz w:val="20"/>
                <w:szCs w:val="20"/>
                <w:color w:val="auto"/>
              </w:rPr>
            </w:pPr>
            <w:r>
              <w:rPr>
                <w:rFonts w:ascii="Arial" w:cs="Arial" w:eastAsia="Arial" w:hAnsi="Arial"/>
                <w:sz w:val="18"/>
                <w:szCs w:val="18"/>
                <w:color w:val="auto"/>
              </w:rPr>
              <w:t>1,671,523</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7"/>
        </w:trPr>
        <w:tc>
          <w:tcPr>
            <w:tcW w:w="304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2006</w:t>
            </w:r>
          </w:p>
        </w:tc>
        <w:tc>
          <w:tcPr>
            <w:tcW w:w="1020" w:type="dxa"/>
            <w:vAlign w:val="bottom"/>
            <w:tcBorders>
              <w:bottom w:val="single" w:sz="8" w:color="auto"/>
            </w:tcBorders>
            <w:vMerge w:val="continue"/>
          </w:tcPr>
          <w:p>
            <w:pPr>
              <w:spacing w:after="0"/>
              <w:rPr>
                <w:sz w:val="22"/>
                <w:szCs w:val="22"/>
                <w:color w:val="auto"/>
              </w:rPr>
            </w:pPr>
          </w:p>
        </w:tc>
        <w:tc>
          <w:tcPr>
            <w:tcW w:w="220" w:type="dxa"/>
            <w:vAlign w:val="bottom"/>
            <w:tcBorders>
              <w:bottom w:val="single" w:sz="8" w:color="CCEEFF"/>
            </w:tcBorders>
          </w:tcPr>
          <w:p>
            <w:pPr>
              <w:spacing w:after="0"/>
              <w:rPr>
                <w:sz w:val="22"/>
                <w:szCs w:val="22"/>
                <w:color w:val="auto"/>
              </w:rPr>
            </w:pP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23.39</w:t>
            </w:r>
          </w:p>
        </w:tc>
        <w:tc>
          <w:tcPr>
            <w:tcW w:w="220" w:type="dxa"/>
            <w:vAlign w:val="bottom"/>
            <w:tcBorders>
              <w:bottom w:val="single" w:sz="8" w:color="CCEEFF"/>
            </w:tcBorders>
          </w:tcPr>
          <w:p>
            <w:pPr>
              <w:spacing w:after="0"/>
              <w:rPr>
                <w:sz w:val="22"/>
                <w:szCs w:val="22"/>
                <w:color w:val="auto"/>
              </w:rPr>
            </w:pPr>
          </w:p>
        </w:tc>
        <w:tc>
          <w:tcPr>
            <w:tcW w:w="1240" w:type="dxa"/>
            <w:vAlign w:val="bottom"/>
            <w:tcBorders>
              <w:bottom w:val="single" w:sz="8" w:color="CCEEFF"/>
            </w:tcBorders>
            <w:gridSpan w:val="2"/>
          </w:tcPr>
          <w:p>
            <w:pPr>
              <w:ind w:left="360"/>
              <w:spacing w:after="0"/>
              <w:rPr>
                <w:sz w:val="20"/>
                <w:szCs w:val="20"/>
                <w:color w:val="auto"/>
              </w:rPr>
            </w:pPr>
            <w:r>
              <w:rPr>
                <w:rFonts w:ascii="Arial" w:cs="Arial" w:eastAsia="Arial" w:hAnsi="Arial"/>
                <w:sz w:val="18"/>
                <w:szCs w:val="18"/>
                <w:color w:val="auto"/>
              </w:rPr>
              <w:t>6.9 years</w:t>
            </w:r>
          </w:p>
        </w:tc>
        <w:tc>
          <w:tcPr>
            <w:tcW w:w="140" w:type="dxa"/>
            <w:vAlign w:val="bottom"/>
            <w:tcBorders>
              <w:bottom w:val="single" w:sz="8" w:color="auto"/>
            </w:tcBorders>
            <w:vMerge w:val="continue"/>
          </w:tcPr>
          <w:p>
            <w:pPr>
              <w:spacing w:after="0"/>
              <w:rPr>
                <w:sz w:val="22"/>
                <w:szCs w:val="22"/>
                <w:color w:val="auto"/>
              </w:rPr>
            </w:pPr>
          </w:p>
        </w:tc>
        <w:tc>
          <w:tcPr>
            <w:tcW w:w="880" w:type="dxa"/>
            <w:vAlign w:val="bottom"/>
            <w:tcBorders>
              <w:bottom w:val="single" w:sz="8" w:color="auto"/>
            </w:tcBorders>
            <w:vMerge w:val="continue"/>
          </w:tcPr>
          <w:p>
            <w:pPr>
              <w:spacing w:after="0"/>
              <w:rPr>
                <w:sz w:val="22"/>
                <w:szCs w:val="22"/>
                <w:color w:val="auto"/>
              </w:rPr>
            </w:pPr>
          </w:p>
        </w:tc>
        <w:tc>
          <w:tcPr>
            <w:tcW w:w="60" w:type="dxa"/>
            <w:vAlign w:val="bottom"/>
            <w:tcBorders>
              <w:bottom w:val="single" w:sz="8" w:color="CCEEFF"/>
            </w:tcBorders>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3040" w:type="dxa"/>
            <w:vAlign w:val="bottom"/>
            <w:tcBorders>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Exercisable at April 29, 2006</w:t>
            </w:r>
          </w:p>
        </w:tc>
        <w:tc>
          <w:tcPr>
            <w:tcW w:w="102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15,731</w:t>
            </w:r>
          </w:p>
        </w:tc>
        <w:tc>
          <w:tcPr>
            <w:tcW w:w="220" w:type="dxa"/>
            <w:vAlign w:val="bottom"/>
            <w:tcBorders>
              <w:bottom w:val="single" w:sz="8" w:color="CCEEFF"/>
            </w:tcBorders>
            <w:shd w:val="clear" w:color="auto" w:fill="CCEEFF"/>
          </w:tcPr>
          <w:p>
            <w:pPr>
              <w:spacing w:after="0"/>
              <w:rPr>
                <w:sz w:val="17"/>
                <w:szCs w:val="17"/>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13.06</w:t>
            </w:r>
          </w:p>
        </w:tc>
        <w:tc>
          <w:tcPr>
            <w:tcW w:w="220" w:type="dxa"/>
            <w:vAlign w:val="bottom"/>
            <w:tcBorders>
              <w:bottom w:val="single" w:sz="8" w:color="CCEEFF"/>
            </w:tcBorders>
            <w:shd w:val="clear" w:color="auto" w:fill="CCEEFF"/>
          </w:tcPr>
          <w:p>
            <w:pPr>
              <w:spacing w:after="0"/>
              <w:rPr>
                <w:sz w:val="17"/>
                <w:szCs w:val="17"/>
                <w:color w:val="auto"/>
              </w:rPr>
            </w:pPr>
          </w:p>
        </w:tc>
        <w:tc>
          <w:tcPr>
            <w:tcW w:w="1240" w:type="dxa"/>
            <w:vAlign w:val="bottom"/>
            <w:tcBorders>
              <w:bottom w:val="single" w:sz="8" w:color="CCEEFF"/>
            </w:tcBorders>
            <w:gridSpan w:val="2"/>
            <w:shd w:val="clear" w:color="auto" w:fill="CCEEFF"/>
          </w:tcPr>
          <w:p>
            <w:pPr>
              <w:ind w:left="360"/>
              <w:spacing w:after="0" w:line="196" w:lineRule="exact"/>
              <w:rPr>
                <w:sz w:val="20"/>
                <w:szCs w:val="20"/>
                <w:color w:val="auto"/>
              </w:rPr>
            </w:pPr>
            <w:r>
              <w:rPr>
                <w:rFonts w:ascii="Arial" w:cs="Arial" w:eastAsia="Arial" w:hAnsi="Arial"/>
                <w:sz w:val="18"/>
                <w:szCs w:val="18"/>
                <w:color w:val="auto"/>
              </w:rPr>
              <w:t>5.5 years</w:t>
            </w:r>
          </w:p>
        </w:tc>
        <w:tc>
          <w:tcPr>
            <w:tcW w:w="14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692,862</w:t>
            </w:r>
          </w:p>
        </w:tc>
        <w:tc>
          <w:tcPr>
            <w:tcW w:w="60" w:type="dxa"/>
            <w:vAlign w:val="bottom"/>
            <w:tcBorders>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304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400" w:firstLine="324"/>
        <w:spacing w:after="0" w:line="277" w:lineRule="auto"/>
        <w:rPr>
          <w:sz w:val="20"/>
          <w:szCs w:val="20"/>
          <w:color w:val="auto"/>
        </w:rPr>
      </w:pPr>
      <w:r>
        <w:rPr>
          <w:rFonts w:ascii="Arial" w:cs="Arial" w:eastAsia="Arial" w:hAnsi="Arial"/>
          <w:sz w:val="18"/>
          <w:szCs w:val="18"/>
          <w:color w:val="auto"/>
        </w:rPr>
        <w:t>During the second quarter of fiscal 2007, 1,690,000 shares of options were granted to certain officers at an exercise price of $24.80 that will become exercisable only upon the achievement of specified annual earnings per share targets through fiscal 2010</w:t>
      </w:r>
    </w:p>
    <w:p>
      <w:pPr>
        <w:spacing w:after="0" w:line="170" w:lineRule="exact"/>
        <w:rPr>
          <w:sz w:val="20"/>
          <w:szCs w:val="20"/>
          <w:color w:val="auto"/>
        </w:rPr>
      </w:pPr>
    </w:p>
    <w:p>
      <w:pPr>
        <w:jc w:val="both"/>
        <w:ind w:right="20" w:firstLine="243"/>
        <w:spacing w:after="0" w:line="259" w:lineRule="auto"/>
        <w:rPr>
          <w:sz w:val="20"/>
          <w:szCs w:val="20"/>
          <w:color w:val="auto"/>
        </w:rPr>
      </w:pPr>
      <w:r>
        <w:rPr>
          <w:rFonts w:ascii="Arial" w:cs="Arial" w:eastAsia="Arial" w:hAnsi="Arial"/>
          <w:sz w:val="18"/>
          <w:szCs w:val="18"/>
          <w:color w:val="auto"/>
        </w:rPr>
        <w:t>The aggregate intrinsic value in the table above represents the total pretax intrinsic value (the aggregate difference between the closing stock price of the Company’s common stock on April 28, 2006 of $57.09 and the exercise price for in-the-money options) that would have been received by the option holders if all options had been exercised on April 29, 2006. The total intrinsic value of options exercised in the three months ended was $47.4 million. Cash received from option exercises for the three months ended April 29, 2006 was $10.9 million.</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Included in the preceding table is activity related to the nonvested portion of the stock based arrangements as follows:</w:t>
      </w:r>
    </w:p>
    <w:p>
      <w:pPr>
        <w:spacing w:after="0" w:line="187"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3400" w:type="dxa"/>
            <w:vAlign w:val="bottom"/>
          </w:tcPr>
          <w:p>
            <w:pPr>
              <w:spacing w:after="0"/>
              <w:rPr>
                <w:sz w:val="14"/>
                <w:szCs w:val="14"/>
                <w:color w:val="auto"/>
              </w:rPr>
            </w:pPr>
          </w:p>
        </w:tc>
        <w:tc>
          <w:tcPr>
            <w:tcW w:w="10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9"/>
              </w:rPr>
              <w:t>Nonvested</w:t>
            </w:r>
          </w:p>
        </w:tc>
        <w:tc>
          <w:tcPr>
            <w:tcW w:w="100" w:type="dxa"/>
            <w:vAlign w:val="bottom"/>
          </w:tcPr>
          <w:p>
            <w:pPr>
              <w:spacing w:after="0"/>
              <w:rPr>
                <w:sz w:val="14"/>
                <w:szCs w:val="14"/>
                <w:color w:val="auto"/>
              </w:rPr>
            </w:pPr>
          </w:p>
        </w:tc>
        <w:tc>
          <w:tcPr>
            <w:tcW w:w="9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1"/>
              </w:rPr>
              <w:t>Weighted</w:t>
            </w:r>
          </w:p>
        </w:tc>
        <w:tc>
          <w:tcPr>
            <w:tcW w:w="10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9"/>
              </w:rPr>
              <w:t>Nonvested</w:t>
            </w:r>
          </w:p>
        </w:tc>
        <w:tc>
          <w:tcPr>
            <w:tcW w:w="100" w:type="dxa"/>
            <w:vAlign w:val="bottom"/>
          </w:tcPr>
          <w:p>
            <w:pPr>
              <w:spacing w:after="0"/>
              <w:rPr>
                <w:sz w:val="14"/>
                <w:szCs w:val="14"/>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3400" w:type="dxa"/>
            <w:vAlign w:val="bottom"/>
          </w:tcPr>
          <w:p>
            <w:pPr>
              <w:spacing w:after="0"/>
              <w:rPr>
                <w:sz w:val="11"/>
                <w:szCs w:val="11"/>
                <w:color w:val="auto"/>
              </w:rPr>
            </w:pPr>
          </w:p>
        </w:tc>
        <w:tc>
          <w:tcPr>
            <w:tcW w:w="104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0"/>
              </w:rPr>
              <w:t>Average</w:t>
            </w:r>
          </w:p>
        </w:tc>
        <w:tc>
          <w:tcPr>
            <w:tcW w:w="104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Restricted</w:t>
            </w:r>
          </w:p>
        </w:tc>
        <w:tc>
          <w:tcPr>
            <w:tcW w:w="100" w:type="dxa"/>
            <w:vAlign w:val="bottom"/>
          </w:tcPr>
          <w:p>
            <w:pPr>
              <w:spacing w:after="0"/>
              <w:rPr>
                <w:sz w:val="11"/>
                <w:szCs w:val="11"/>
                <w:color w:val="auto"/>
              </w:rPr>
            </w:pPr>
          </w:p>
        </w:tc>
        <w:tc>
          <w:tcPr>
            <w:tcW w:w="80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3400" w:type="dxa"/>
            <w:vAlign w:val="bottom"/>
          </w:tcPr>
          <w:p>
            <w:pPr>
              <w:spacing w:after="0"/>
              <w:rPr>
                <w:sz w:val="11"/>
                <w:szCs w:val="11"/>
                <w:color w:val="auto"/>
              </w:rPr>
            </w:pPr>
          </w:p>
        </w:tc>
        <w:tc>
          <w:tcPr>
            <w:tcW w:w="104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0"/>
              </w:rPr>
              <w:t>Options</w:t>
            </w:r>
          </w:p>
        </w:tc>
        <w:tc>
          <w:tcPr>
            <w:tcW w:w="106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7"/>
              </w:rPr>
              <w:t>Grant Date</w:t>
            </w:r>
          </w:p>
        </w:tc>
        <w:tc>
          <w:tcPr>
            <w:tcW w:w="104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Stock Units</w:t>
            </w:r>
          </w:p>
        </w:tc>
        <w:tc>
          <w:tcPr>
            <w:tcW w:w="900" w:type="dxa"/>
            <w:vAlign w:val="bottom"/>
            <w:gridSpan w:val="3"/>
          </w:tcPr>
          <w:p>
            <w:pPr>
              <w:jc w:val="center"/>
              <w:ind w:right="4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3400" w:type="dxa"/>
            <w:vAlign w:val="bottom"/>
          </w:tcPr>
          <w:p>
            <w:pPr>
              <w:spacing w:after="0"/>
              <w:rPr>
                <w:sz w:val="14"/>
                <w:szCs w:val="14"/>
                <w:color w:val="auto"/>
              </w:rPr>
            </w:pPr>
          </w:p>
        </w:tc>
        <w:tc>
          <w:tcPr>
            <w:tcW w:w="10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Outstanding</w:t>
            </w:r>
          </w:p>
        </w:tc>
        <w:tc>
          <w:tcPr>
            <w:tcW w:w="100" w:type="dxa"/>
            <w:vAlign w:val="bottom"/>
          </w:tcPr>
          <w:p>
            <w:pPr>
              <w:spacing w:after="0"/>
              <w:rPr>
                <w:sz w:val="14"/>
                <w:szCs w:val="14"/>
                <w:color w:val="auto"/>
              </w:rPr>
            </w:pPr>
          </w:p>
        </w:tc>
        <w:tc>
          <w:tcPr>
            <w:tcW w:w="96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5"/>
              </w:rPr>
              <w:t>Fair Value</w:t>
            </w:r>
          </w:p>
        </w:tc>
        <w:tc>
          <w:tcPr>
            <w:tcW w:w="10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Outstanding</w:t>
            </w:r>
          </w:p>
        </w:tc>
        <w:tc>
          <w:tcPr>
            <w:tcW w:w="100" w:type="dxa"/>
            <w:vAlign w:val="bottom"/>
          </w:tcPr>
          <w:p>
            <w:pPr>
              <w:spacing w:after="0"/>
              <w:rPr>
                <w:sz w:val="14"/>
                <w:szCs w:val="14"/>
                <w:color w:val="auto"/>
              </w:rPr>
            </w:pPr>
          </w:p>
        </w:tc>
        <w:tc>
          <w:tcPr>
            <w:tcW w:w="8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34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35,907</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12.78</w:t>
            </w:r>
          </w:p>
        </w:tc>
        <w:tc>
          <w:tcPr>
            <w:tcW w:w="2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ind w:left="640"/>
              <w:spacing w:after="0"/>
              <w:rPr>
                <w:sz w:val="20"/>
                <w:szCs w:val="20"/>
                <w:color w:val="auto"/>
              </w:rPr>
            </w:pPr>
            <w:r>
              <w:rPr>
                <w:rFonts w:ascii="Arial" w:cs="Arial" w:eastAsia="Arial" w:hAnsi="Arial"/>
                <w:sz w:val="18"/>
                <w:szCs w:val="18"/>
                <w:color w:val="auto"/>
                <w:w w:val="88"/>
              </w:rPr>
              <w:t>—</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0" w:type="dxa"/>
            <w:vAlign w:val="bottom"/>
          </w:tcPr>
          <w:p>
            <w:pPr>
              <w:ind w:left="180"/>
              <w:spacing w:after="0"/>
              <w:rPr>
                <w:sz w:val="20"/>
                <w:szCs w:val="20"/>
                <w:color w:val="auto"/>
              </w:rPr>
            </w:pPr>
            <w:r>
              <w:rPr>
                <w:rFonts w:ascii="Arial" w:cs="Arial" w:eastAsia="Arial" w:hAnsi="Arial"/>
                <w:sz w:val="18"/>
                <w:szCs w:val="18"/>
                <w:color w:val="auto"/>
              </w:rPr>
              <w:t>Granted</w:t>
            </w:r>
          </w:p>
        </w:tc>
        <w:tc>
          <w:tcPr>
            <w:tcW w:w="840" w:type="dxa"/>
            <w:vAlign w:val="bottom"/>
          </w:tcPr>
          <w:p>
            <w:pPr>
              <w:jc w:val="right"/>
              <w:spacing w:after="0"/>
              <w:rPr>
                <w:sz w:val="20"/>
                <w:szCs w:val="20"/>
                <w:color w:val="auto"/>
              </w:rPr>
            </w:pPr>
            <w:r>
              <w:rPr>
                <w:rFonts w:ascii="Arial" w:cs="Arial" w:eastAsia="Arial" w:hAnsi="Arial"/>
                <w:sz w:val="18"/>
                <w:szCs w:val="18"/>
                <w:color w:val="auto"/>
              </w:rPr>
              <w:t>5,854</w:t>
            </w:r>
          </w:p>
        </w:tc>
        <w:tc>
          <w:tcPr>
            <w:tcW w:w="2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15.25</w:t>
            </w:r>
          </w:p>
        </w:tc>
        <w:tc>
          <w:tcPr>
            <w:tcW w:w="220" w:type="dxa"/>
            <w:vAlign w:val="bottom"/>
          </w:tcPr>
          <w:p>
            <w:pPr>
              <w:spacing w:after="0"/>
              <w:rPr>
                <w:sz w:val="18"/>
                <w:szCs w:val="18"/>
                <w:color w:val="auto"/>
              </w:rPr>
            </w:pPr>
          </w:p>
        </w:tc>
        <w:tc>
          <w:tcPr>
            <w:tcW w:w="820" w:type="dxa"/>
            <w:vAlign w:val="bottom"/>
          </w:tcPr>
          <w:p>
            <w:pPr>
              <w:ind w:left="640"/>
              <w:spacing w:after="0"/>
              <w:rPr>
                <w:sz w:val="20"/>
                <w:szCs w:val="20"/>
                <w:color w:val="auto"/>
              </w:rPr>
            </w:pPr>
            <w:r>
              <w:rPr>
                <w:rFonts w:ascii="Arial" w:cs="Arial" w:eastAsia="Arial" w:hAnsi="Arial"/>
                <w:sz w:val="18"/>
                <w:szCs w:val="18"/>
                <w:color w:val="auto"/>
                <w:w w:val="79"/>
              </w:rPr>
              <w:t>70</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64.42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(1,805)</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11.28</w:t>
            </w:r>
          </w:p>
        </w:tc>
        <w:tc>
          <w:tcPr>
            <w:tcW w:w="2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4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(675)</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17.18</w:t>
            </w:r>
          </w:p>
        </w:tc>
        <w:tc>
          <w:tcPr>
            <w:tcW w:w="220" w:type="dxa"/>
            <w:vAlign w:val="bottom"/>
          </w:tcPr>
          <w:p>
            <w:pPr>
              <w:spacing w:after="0"/>
              <w:rPr>
                <w:sz w:val="18"/>
                <w:szCs w:val="18"/>
                <w:color w:val="auto"/>
              </w:rPr>
            </w:pPr>
          </w:p>
        </w:tc>
        <w:tc>
          <w:tcPr>
            <w:tcW w:w="1040" w:type="dxa"/>
            <w:vAlign w:val="bottom"/>
            <w:gridSpan w:val="2"/>
          </w:tcPr>
          <w:p>
            <w:pPr>
              <w:ind w:left="64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34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April 29, 2006</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39,281</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ind w:left="640"/>
              <w:spacing w:after="0"/>
              <w:rPr>
                <w:sz w:val="20"/>
                <w:szCs w:val="20"/>
                <w:color w:val="auto"/>
              </w:rPr>
            </w:pPr>
            <w:r>
              <w:rPr>
                <w:rFonts w:ascii="Arial" w:cs="Arial" w:eastAsia="Arial" w:hAnsi="Arial"/>
                <w:sz w:val="18"/>
                <w:szCs w:val="18"/>
                <w:color w:val="auto"/>
                <w:w w:val="79"/>
              </w:rPr>
              <w:t>70</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64.42</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40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40" w:firstLine="243"/>
        <w:spacing w:after="0" w:line="308" w:lineRule="auto"/>
        <w:rPr>
          <w:sz w:val="20"/>
          <w:szCs w:val="20"/>
          <w:color w:val="auto"/>
        </w:rPr>
      </w:pPr>
      <w:r>
        <w:rPr>
          <w:rFonts w:ascii="Arial" w:cs="Arial" w:eastAsia="Arial" w:hAnsi="Arial"/>
          <w:sz w:val="17"/>
          <w:szCs w:val="17"/>
          <w:color w:val="auto"/>
        </w:rPr>
        <w:t>As of April 29, 2006, there was $464.2 million of unrecognized compensation cost related to unvested stock options which is expected to be recognized over a weighted average period of 2.0 years. The Company’s current practice is to issue new shares to satisfy share option exercises.</w:t>
      </w:r>
    </w:p>
    <w:p>
      <w:pPr>
        <w:sectPr>
          <w:pgSz w:w="11900" w:h="16838" w:orient="portrait"/>
          <w:cols w:equalWidth="0" w:num="1">
            <w:col w:w="11420"/>
          </w:cols>
          <w:pgMar w:left="240" w:top="125" w:right="239" w:bottom="89" w:gutter="0" w:footer="0" w:header="0"/>
        </w:sectPr>
      </w:pPr>
    </w:p>
    <w:bookmarkStart w:id="23" w:name="page24"/>
    <w:bookmarkEnd w:id="23"/>
    <w:p>
      <w:pPr>
        <w:ind w:firstLine="648"/>
        <w:spacing w:after="0" w:line="255"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its Stock Option Plan effective on the close of business on September 7, 2006. On September 8, 2006, management communicated the trading suspension, which was expected to last until the Company filed its delinquent SEC reports, to all option holders. As a result, the exercisability of all outstanding options, including vested awards held by certain separated employees, was modified. Incremental compensation costs, representing the excess of the fair value of the modified award over the fair value of the original award immediately before the filing of the Company’s delinquent SEC reports, on affected awards will be recognized in the second half of fiscal 2008.</w:t>
      </w:r>
    </w:p>
    <w:p>
      <w:pPr>
        <w:spacing w:after="0" w:line="193"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In December 2006, the options granted to five officers and directors of the Company were reformed to reflect higher exercise prices. There was no incremental compensation cost resulting from the modification.</w:t>
      </w:r>
    </w:p>
    <w:p>
      <w:pPr>
        <w:spacing w:after="0" w:line="170" w:lineRule="exact"/>
        <w:rPr>
          <w:sz w:val="20"/>
          <w:szCs w:val="20"/>
          <w:color w:val="auto"/>
        </w:rPr>
      </w:pPr>
    </w:p>
    <w:p>
      <w:pPr>
        <w:jc w:val="both"/>
        <w:ind w:right="260" w:firstLine="162"/>
        <w:spacing w:after="0" w:line="259" w:lineRule="auto"/>
        <w:rPr>
          <w:sz w:val="20"/>
          <w:szCs w:val="20"/>
          <w:color w:val="auto"/>
        </w:rPr>
      </w:pPr>
      <w:r>
        <w:rPr>
          <w:rFonts w:ascii="Arial" w:cs="Arial" w:eastAsia="Arial" w:hAnsi="Arial"/>
          <w:sz w:val="18"/>
          <w:szCs w:val="18"/>
          <w:color w:val="auto"/>
        </w:rPr>
        <w:t>Total tax benefit attributable to options exercised in the three months ended April 29, 2006 was $0.7 million. The excess tax benefits from stock-based compensation of $0.7 million as reported on the condensed consolidated statement of cash flows in financing activities represents the reduction, in income taxes otherwise payable during the period, attributable to the actual gross tax benefits in excess of the expected tax benefits for options exercised in current and prior periods.</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firstLine="243"/>
        <w:spacing w:after="0" w:line="273" w:lineRule="auto"/>
        <w:rPr>
          <w:sz w:val="20"/>
          <w:szCs w:val="20"/>
          <w:color w:val="auto"/>
        </w:rPr>
      </w:pPr>
      <w:r>
        <w:rPr>
          <w:rFonts w:ascii="Arial" w:cs="Arial" w:eastAsia="Arial" w:hAnsi="Arial"/>
          <w:sz w:val="17"/>
          <w:szCs w:val="17"/>
          <w:color w:val="auto"/>
        </w:rPr>
        <w:t>In the first quarter of fiscal 2007, the Company granted 70,000 restricted stock awards to its employees under the 1995 Stock Option Plan. Such awards generally vest over a period of five years from the date of grant. The restricted stock awards have the voting rights of common stock and the shares underlying the restricted are considered issued and outstanding. The Company expenses the cost of the restricted stock awards, which is determined to be the fair market value of the shares at the date of grant, ratably over the period during which the restrictions lapse. The grant of restricted stock awards is deducted from the shares available for grant under the Company’s stock option plan. Restricted stock activity under the Company’s stock option plans for the three months ended April 29, 2006 is summarized below (in thousands, except per share amounts):</w:t>
      </w:r>
    </w:p>
    <w:p>
      <w:pPr>
        <w:spacing w:after="0" w:line="140"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5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02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0"/>
              </w:rPr>
              <w:t>Restricted Stock</w:t>
            </w: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5380" w:type="dxa"/>
            <w:vAlign w:val="bottom"/>
          </w:tcPr>
          <w:p>
            <w:pPr>
              <w:spacing w:after="0"/>
              <w:rPr>
                <w:sz w:val="14"/>
                <w:szCs w:val="14"/>
                <w:color w:val="auto"/>
              </w:rPr>
            </w:pPr>
          </w:p>
        </w:tc>
        <w:tc>
          <w:tcPr>
            <w:tcW w:w="1020" w:type="dxa"/>
            <w:vAlign w:val="bottom"/>
          </w:tcPr>
          <w:p>
            <w:pPr>
              <w:jc w:val="right"/>
              <w:ind w:right="35"/>
              <w:spacing w:after="0"/>
              <w:rPr>
                <w:sz w:val="20"/>
                <w:szCs w:val="20"/>
                <w:color w:val="auto"/>
              </w:rPr>
            </w:pPr>
            <w:r>
              <w:rPr>
                <w:rFonts w:ascii="Arial" w:cs="Arial" w:eastAsia="Arial" w:hAnsi="Arial"/>
                <w:sz w:val="14"/>
                <w:szCs w:val="14"/>
                <w:b w:val="1"/>
                <w:bCs w:val="1"/>
                <w:color w:val="auto"/>
              </w:rPr>
              <w:t>Outstanding</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5380" w:type="dxa"/>
            <w:vAlign w:val="bottom"/>
          </w:tcPr>
          <w:p>
            <w:pPr>
              <w:spacing w:after="0"/>
              <w:rPr>
                <w:sz w:val="18"/>
                <w:szCs w:val="18"/>
                <w:color w:val="auto"/>
              </w:rPr>
            </w:pPr>
          </w:p>
        </w:tc>
        <w:tc>
          <w:tcPr>
            <w:tcW w:w="102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380" w:type="dxa"/>
            <w:vAlign w:val="bottom"/>
          </w:tcPr>
          <w:p>
            <w:pPr>
              <w:ind w:left="180"/>
              <w:spacing w:after="0"/>
              <w:rPr>
                <w:sz w:val="20"/>
                <w:szCs w:val="20"/>
                <w:color w:val="auto"/>
              </w:rPr>
            </w:pPr>
            <w:r>
              <w:rPr>
                <w:rFonts w:ascii="Arial" w:cs="Arial" w:eastAsia="Arial" w:hAnsi="Arial"/>
                <w:sz w:val="18"/>
                <w:szCs w:val="18"/>
                <w:color w:val="auto"/>
              </w:rPr>
              <w:t>Restricted stock granted</w:t>
            </w:r>
          </w:p>
        </w:tc>
        <w:tc>
          <w:tcPr>
            <w:tcW w:w="1020" w:type="dxa"/>
            <w:vAlign w:val="bottom"/>
          </w:tcPr>
          <w:p>
            <w:pPr>
              <w:jc w:val="right"/>
              <w:spacing w:after="0"/>
              <w:rPr>
                <w:sz w:val="20"/>
                <w:szCs w:val="20"/>
                <w:color w:val="auto"/>
              </w:rPr>
            </w:pPr>
            <w:r>
              <w:rPr>
                <w:rFonts w:ascii="Arial" w:cs="Arial" w:eastAsia="Arial" w:hAnsi="Arial"/>
                <w:sz w:val="18"/>
                <w:szCs w:val="18"/>
                <w:color w:val="auto"/>
              </w:rPr>
              <w:t>70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64.42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Restricted stock forfeited</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38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Restricted stock vested</w:t>
            </w: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1000" w:type="dxa"/>
            <w:vAlign w:val="bottom"/>
            <w:tcBorders>
              <w:bottom w:val="single" w:sz="8" w:color="CCEEFF"/>
            </w:tcBorders>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53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April 29, 2006</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36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64.42</w:t>
            </w:r>
          </w:p>
        </w:tc>
        <w:tc>
          <w:tcPr>
            <w:tcW w:w="8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3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200" w:firstLine="243"/>
        <w:spacing w:after="0" w:line="277" w:lineRule="auto"/>
        <w:rPr>
          <w:sz w:val="20"/>
          <w:szCs w:val="20"/>
          <w:color w:val="auto"/>
        </w:rPr>
      </w:pPr>
      <w:r>
        <w:rPr>
          <w:rFonts w:ascii="Arial" w:cs="Arial" w:eastAsia="Arial" w:hAnsi="Arial"/>
          <w:sz w:val="18"/>
          <w:szCs w:val="18"/>
          <w:color w:val="auto"/>
        </w:rPr>
        <w:t>No restricted stock awards vested during the three months ended April 29, 2006. Based on the closing price of the Company’s stock of $57.09, on April 28, 2006, the total pretax intrinsic value of all outstanding restricted stock was $4.0 million.</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3"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4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80" w:type="dxa"/>
            <w:vAlign w:val="bottom"/>
            <w:gridSpan w:val="5"/>
          </w:tcPr>
          <w:p>
            <w:pPr>
              <w:ind w:left="240"/>
              <w:spacing w:after="0"/>
              <w:rPr>
                <w:sz w:val="20"/>
                <w:szCs w:val="20"/>
                <w:color w:val="auto"/>
              </w:rPr>
            </w:pPr>
            <w:r>
              <w:rPr>
                <w:rFonts w:ascii="Arial" w:cs="Arial" w:eastAsia="Arial" w:hAnsi="Arial"/>
                <w:sz w:val="14"/>
                <w:szCs w:val="14"/>
                <w:b w:val="1"/>
                <w:bCs w:val="1"/>
                <w:color w:val="auto"/>
              </w:rPr>
              <w:t>Three Months Ended</w:t>
            </w:r>
          </w:p>
        </w:tc>
      </w:tr>
      <w:tr>
        <w:trPr>
          <w:trHeight w:val="102"/>
        </w:trPr>
        <w:tc>
          <w:tcPr>
            <w:tcW w:w="492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1020" w:type="dxa"/>
            <w:vAlign w:val="bottom"/>
            <w:tcBorders>
              <w:top w:val="single" w:sz="8" w:color="auto"/>
            </w:tcBorders>
            <w:gridSpan w:val="2"/>
          </w:tcPr>
          <w:p>
            <w:pPr>
              <w:jc w:val="center"/>
              <w:ind w:right="360"/>
              <w:spacing w:after="0" w:line="103" w:lineRule="exact"/>
              <w:rPr>
                <w:sz w:val="20"/>
                <w:szCs w:val="20"/>
                <w:color w:val="auto"/>
              </w:rPr>
            </w:pPr>
            <w:r>
              <w:rPr>
                <w:rFonts w:ascii="Arial" w:cs="Arial" w:eastAsia="Arial" w:hAnsi="Arial"/>
                <w:sz w:val="11"/>
                <w:szCs w:val="11"/>
                <w:b w:val="1"/>
                <w:bCs w:val="1"/>
                <w:color w:val="auto"/>
              </w:rPr>
              <w:t>April 29,</w:t>
            </w:r>
          </w:p>
        </w:tc>
        <w:tc>
          <w:tcPr>
            <w:tcW w:w="1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59"/>
              <w:spacing w:after="0" w:line="103" w:lineRule="exact"/>
              <w:rPr>
                <w:sz w:val="20"/>
                <w:szCs w:val="20"/>
                <w:color w:val="auto"/>
              </w:rPr>
            </w:pPr>
            <w:r>
              <w:rPr>
                <w:rFonts w:ascii="Arial" w:cs="Arial" w:eastAsia="Arial" w:hAnsi="Arial"/>
                <w:sz w:val="11"/>
                <w:szCs w:val="11"/>
                <w:b w:val="1"/>
                <w:bCs w:val="1"/>
                <w:color w:val="auto"/>
              </w:rPr>
              <w:t>April 30,</w:t>
            </w:r>
          </w:p>
        </w:tc>
        <w:tc>
          <w:tcPr>
            <w:tcW w:w="40" w:type="dxa"/>
            <w:vAlign w:val="bottom"/>
          </w:tcPr>
          <w:p>
            <w:pPr>
              <w:spacing w:after="0"/>
              <w:rPr>
                <w:sz w:val="8"/>
                <w:szCs w:val="8"/>
                <w:color w:val="auto"/>
              </w:rPr>
            </w:pPr>
          </w:p>
        </w:tc>
      </w:tr>
      <w:tr>
        <w:trPr>
          <w:trHeight w:val="161"/>
        </w:trPr>
        <w:tc>
          <w:tcPr>
            <w:tcW w:w="49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center"/>
              <w:ind w:right="40"/>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center"/>
              <w:ind w:right="59"/>
              <w:spacing w:after="0"/>
              <w:rPr>
                <w:sz w:val="20"/>
                <w:szCs w:val="20"/>
                <w:color w:val="auto"/>
              </w:rPr>
            </w:pPr>
            <w:r>
              <w:rPr>
                <w:rFonts w:ascii="Arial" w:cs="Arial" w:eastAsia="Arial" w:hAnsi="Arial"/>
                <w:sz w:val="14"/>
                <w:szCs w:val="14"/>
                <w:b w:val="1"/>
                <w:bCs w:val="1"/>
                <w:color w:val="auto"/>
                <w:w w:val="83"/>
              </w:rPr>
              <w:t>2005</w:t>
            </w:r>
          </w:p>
        </w:tc>
        <w:tc>
          <w:tcPr>
            <w:tcW w:w="40" w:type="dxa"/>
            <w:vAlign w:val="bottom"/>
          </w:tcPr>
          <w:p>
            <w:pPr>
              <w:spacing w:after="0"/>
              <w:rPr>
                <w:sz w:val="14"/>
                <w:szCs w:val="14"/>
                <w:color w:val="auto"/>
              </w:rPr>
            </w:pPr>
          </w:p>
        </w:tc>
      </w:tr>
      <w:tr>
        <w:trPr>
          <w:trHeight w:val="129"/>
        </w:trPr>
        <w:tc>
          <w:tcPr>
            <w:tcW w:w="49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tcPr>
          <w:p>
            <w:pPr>
              <w:jc w:val="center"/>
              <w:ind w:right="40"/>
              <w:spacing w:after="0" w:line="129" w:lineRule="exact"/>
              <w:rPr>
                <w:sz w:val="20"/>
                <w:szCs w:val="20"/>
                <w:color w:val="auto"/>
              </w:rPr>
            </w:pPr>
            <w:r>
              <w:rPr>
                <w:rFonts w:ascii="Arial" w:cs="Arial" w:eastAsia="Arial" w:hAnsi="Arial"/>
                <w:sz w:val="14"/>
                <w:szCs w:val="14"/>
                <w:b w:val="1"/>
                <w:bCs w:val="1"/>
                <w:color w:val="auto"/>
                <w:w w:val="93"/>
              </w:rPr>
              <w:t>(restated)</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tcPr>
          <w:p>
            <w:pPr>
              <w:jc w:val="center"/>
              <w:ind w:right="59"/>
              <w:spacing w:after="0" w:line="129" w:lineRule="exact"/>
              <w:rPr>
                <w:sz w:val="20"/>
                <w:szCs w:val="20"/>
                <w:color w:val="auto"/>
              </w:rPr>
            </w:pPr>
            <w:r>
              <w:rPr>
                <w:rFonts w:ascii="Arial" w:cs="Arial" w:eastAsia="Arial" w:hAnsi="Arial"/>
                <w:sz w:val="14"/>
                <w:szCs w:val="14"/>
                <w:b w:val="1"/>
                <w:bCs w:val="1"/>
                <w:color w:val="auto"/>
                <w:w w:val="90"/>
              </w:rPr>
              <w:t>(restated)</w:t>
            </w:r>
          </w:p>
        </w:tc>
        <w:tc>
          <w:tcPr>
            <w:tcW w:w="40" w:type="dxa"/>
            <w:vAlign w:val="bottom"/>
          </w:tcPr>
          <w:p>
            <w:pPr>
              <w:spacing w:after="0"/>
              <w:rPr>
                <w:sz w:val="11"/>
                <w:szCs w:val="11"/>
                <w:color w:val="auto"/>
              </w:rPr>
            </w:pP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2,434</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541</w:t>
            </w:r>
          </w:p>
        </w:tc>
        <w:tc>
          <w:tcPr>
            <w:tcW w:w="40" w:type="dxa"/>
            <w:vAlign w:val="bottom"/>
            <w:shd w:val="clear" w:color="auto" w:fill="CCEEFF"/>
          </w:tcPr>
          <w:p>
            <w:pPr>
              <w:spacing w:after="0"/>
              <w:rPr>
                <w:sz w:val="18"/>
                <w:szCs w:val="18"/>
                <w:color w:val="auto"/>
              </w:rPr>
            </w:pPr>
          </w:p>
        </w:tc>
      </w:tr>
      <w:tr>
        <w:trPr>
          <w:trHeight w:val="216"/>
        </w:trPr>
        <w:tc>
          <w:tcPr>
            <w:tcW w:w="49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30,437</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5,497</w:t>
            </w:r>
          </w:p>
        </w:tc>
        <w:tc>
          <w:tcPr>
            <w:tcW w:w="40" w:type="dxa"/>
            <w:vAlign w:val="bottom"/>
          </w:tcPr>
          <w:p>
            <w:pPr>
              <w:spacing w:after="0"/>
              <w:rPr>
                <w:sz w:val="18"/>
                <w:szCs w:val="18"/>
                <w:color w:val="auto"/>
              </w:rPr>
            </w:pP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8,234</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770</w:t>
            </w:r>
          </w:p>
        </w:tc>
        <w:tc>
          <w:tcPr>
            <w:tcW w:w="40" w:type="dxa"/>
            <w:vAlign w:val="bottom"/>
            <w:shd w:val="clear" w:color="auto" w:fill="CCEEFF"/>
          </w:tcPr>
          <w:p>
            <w:pPr>
              <w:spacing w:after="0"/>
              <w:rPr>
                <w:sz w:val="18"/>
                <w:szCs w:val="18"/>
                <w:color w:val="auto"/>
              </w:rPr>
            </w:pPr>
          </w:p>
        </w:tc>
      </w:tr>
      <w:tr>
        <w:trPr>
          <w:trHeight w:val="216"/>
        </w:trPr>
        <w:tc>
          <w:tcPr>
            <w:tcW w:w="49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General and administrative</w:t>
            </w:r>
          </w:p>
        </w:tc>
        <w:tc>
          <w:tcPr>
            <w:tcW w:w="12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7,657</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2,782</w:t>
            </w:r>
          </w:p>
        </w:tc>
        <w:tc>
          <w:tcPr>
            <w:tcW w:w="40" w:type="dxa"/>
            <w:vAlign w:val="bottom"/>
            <w:tcBorders>
              <w:bottom w:val="single" w:sz="8" w:color="CCEEFF"/>
            </w:tcBorders>
          </w:tcPr>
          <w:p>
            <w:pPr>
              <w:spacing w:after="0"/>
              <w:rPr>
                <w:sz w:val="18"/>
                <w:szCs w:val="18"/>
                <w:color w:val="auto"/>
              </w:rPr>
            </w:pPr>
          </w:p>
        </w:tc>
      </w:tr>
      <w:tr>
        <w:trPr>
          <w:trHeight w:val="210"/>
        </w:trPr>
        <w:tc>
          <w:tcPr>
            <w:tcW w:w="49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48,762</w:t>
            </w:r>
          </w:p>
        </w:tc>
        <w:tc>
          <w:tcPr>
            <w:tcW w:w="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9,590</w:t>
            </w:r>
          </w:p>
        </w:tc>
        <w:tc>
          <w:tcPr>
            <w:tcW w:w="40" w:type="dxa"/>
            <w:vAlign w:val="bottom"/>
            <w:tcBorders>
              <w:bottom w:val="single" w:sz="8" w:color="CCEEFF"/>
            </w:tcBorders>
            <w:shd w:val="clear" w:color="auto" w:fill="CCEEFF"/>
          </w:tcPr>
          <w:p>
            <w:pPr>
              <w:spacing w:after="0"/>
              <w:rPr>
                <w:sz w:val="18"/>
                <w:szCs w:val="18"/>
                <w:color w:val="auto"/>
              </w:rPr>
            </w:pPr>
          </w:p>
        </w:tc>
      </w:tr>
      <w:tr>
        <w:trPr>
          <w:trHeight w:val="20"/>
        </w:trPr>
        <w:tc>
          <w:tcPr>
            <w:tcW w:w="49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56" w:lineRule="exact"/>
        <w:rPr>
          <w:sz w:val="20"/>
          <w:szCs w:val="20"/>
          <w:color w:val="auto"/>
        </w:rPr>
      </w:pPr>
    </w:p>
    <w:p>
      <w:pPr>
        <w:ind w:right="360" w:firstLine="243"/>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49"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2480" w:type="dxa"/>
            <w:vAlign w:val="bottom"/>
          </w:tcPr>
          <w:p>
            <w:pPr>
              <w:spacing w:after="0"/>
              <w:rPr>
                <w:sz w:val="14"/>
                <w:szCs w:val="14"/>
                <w:color w:val="auto"/>
              </w:rPr>
            </w:pPr>
          </w:p>
        </w:tc>
        <w:tc>
          <w:tcPr>
            <w:tcW w:w="2240" w:type="dxa"/>
            <w:vAlign w:val="bottom"/>
            <w:gridSpan w:val="4"/>
          </w:tcPr>
          <w:p>
            <w:pPr>
              <w:jc w:val="right"/>
              <w:ind w:right="640"/>
              <w:spacing w:after="0"/>
              <w:rPr>
                <w:sz w:val="20"/>
                <w:szCs w:val="20"/>
                <w:color w:val="auto"/>
              </w:rPr>
            </w:pPr>
            <w:r>
              <w:rPr>
                <w:rFonts w:ascii="Arial" w:cs="Arial" w:eastAsia="Arial" w:hAnsi="Arial"/>
                <w:sz w:val="14"/>
                <w:szCs w:val="14"/>
                <w:b w:val="1"/>
                <w:bCs w:val="1"/>
                <w:color w:val="auto"/>
              </w:rPr>
              <w:t>Stock Option Plans</w:t>
            </w:r>
          </w:p>
        </w:tc>
        <w:tc>
          <w:tcPr>
            <w:tcW w:w="2380" w:type="dxa"/>
            <w:vAlign w:val="bottom"/>
            <w:gridSpan w:val="4"/>
          </w:tcPr>
          <w:p>
            <w:pPr>
              <w:jc w:val="right"/>
              <w:ind w:right="1160"/>
              <w:spacing w:after="0"/>
              <w:rPr>
                <w:sz w:val="20"/>
                <w:szCs w:val="20"/>
                <w:color w:val="auto"/>
              </w:rPr>
            </w:pPr>
            <w:r>
              <w:rPr>
                <w:rFonts w:ascii="Arial" w:cs="Arial" w:eastAsia="Arial" w:hAnsi="Arial"/>
                <w:sz w:val="14"/>
                <w:szCs w:val="14"/>
                <w:b w:val="1"/>
                <w:bCs w:val="1"/>
                <w:color w:val="auto"/>
              </w:rPr>
              <w:t>ESPP</w:t>
            </w:r>
          </w:p>
        </w:tc>
      </w:tr>
      <w:tr>
        <w:trPr>
          <w:trHeight w:val="129"/>
        </w:trPr>
        <w:tc>
          <w:tcPr>
            <w:tcW w:w="2480" w:type="dxa"/>
            <w:vAlign w:val="bottom"/>
          </w:tcPr>
          <w:p>
            <w:pPr>
              <w:spacing w:after="0"/>
              <w:rPr>
                <w:sz w:val="11"/>
                <w:szCs w:val="11"/>
                <w:color w:val="auto"/>
              </w:rPr>
            </w:pPr>
          </w:p>
        </w:tc>
        <w:tc>
          <w:tcPr>
            <w:tcW w:w="2020" w:type="dxa"/>
            <w:vAlign w:val="bottom"/>
            <w:tcBorders>
              <w:top w:val="single" w:sz="8" w:color="auto"/>
              <w:bottom w:val="single" w:sz="8" w:color="auto"/>
            </w:tcBorders>
            <w:gridSpan w:val="3"/>
          </w:tcPr>
          <w:p>
            <w:pPr>
              <w:jc w:val="right"/>
              <w:ind w:right="276"/>
              <w:spacing w:after="0" w:line="129" w:lineRule="exact"/>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1"/>
                <w:szCs w:val="11"/>
                <w:color w:val="auto"/>
              </w:rPr>
            </w:pPr>
          </w:p>
        </w:tc>
        <w:tc>
          <w:tcPr>
            <w:tcW w:w="2100" w:type="dxa"/>
            <w:vAlign w:val="bottom"/>
            <w:tcBorders>
              <w:top w:val="single" w:sz="8" w:color="auto"/>
              <w:bottom w:val="single" w:sz="8" w:color="auto"/>
            </w:tcBorders>
            <w:gridSpan w:val="3"/>
          </w:tcPr>
          <w:p>
            <w:pPr>
              <w:jc w:val="right"/>
              <w:ind w:right="314"/>
              <w:spacing w:after="0" w:line="129" w:lineRule="exact"/>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1"/>
                <w:szCs w:val="11"/>
                <w:color w:val="auto"/>
              </w:rPr>
            </w:pPr>
          </w:p>
        </w:tc>
      </w:tr>
      <w:tr>
        <w:trPr>
          <w:trHeight w:val="129"/>
        </w:trPr>
        <w:tc>
          <w:tcPr>
            <w:tcW w:w="2480" w:type="dxa"/>
            <w:vAlign w:val="bottom"/>
          </w:tcPr>
          <w:p>
            <w:pPr>
              <w:spacing w:after="0"/>
              <w:rPr>
                <w:sz w:val="11"/>
                <w:szCs w:val="11"/>
                <w:color w:val="auto"/>
              </w:rPr>
            </w:pPr>
          </w:p>
        </w:tc>
        <w:tc>
          <w:tcPr>
            <w:tcW w:w="1120" w:type="dxa"/>
            <w:vAlign w:val="bottom"/>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w w:val="95"/>
              </w:rPr>
              <w:t>April 29, 2006</w:t>
            </w:r>
          </w:p>
        </w:tc>
        <w:tc>
          <w:tcPr>
            <w:tcW w:w="9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April 30, 2005</w:t>
            </w:r>
          </w:p>
        </w:tc>
        <w:tc>
          <w:tcPr>
            <w:tcW w:w="220" w:type="dxa"/>
            <w:vAlign w:val="bottom"/>
          </w:tcPr>
          <w:p>
            <w:pPr>
              <w:spacing w:after="0"/>
              <w:rPr>
                <w:sz w:val="11"/>
                <w:szCs w:val="11"/>
                <w:color w:val="auto"/>
              </w:rPr>
            </w:pPr>
          </w:p>
        </w:tc>
        <w:tc>
          <w:tcPr>
            <w:tcW w:w="1180" w:type="dxa"/>
            <w:vAlign w:val="bottom"/>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95"/>
              </w:rPr>
              <w:t>April 29, 2006</w:t>
            </w:r>
          </w:p>
        </w:tc>
        <w:tc>
          <w:tcPr>
            <w:tcW w:w="9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7"/>
              </w:rPr>
              <w:t>April 30, 2005</w:t>
            </w:r>
          </w:p>
        </w:tc>
        <w:tc>
          <w:tcPr>
            <w:tcW w:w="280" w:type="dxa"/>
            <w:vAlign w:val="bottom"/>
          </w:tcPr>
          <w:p>
            <w:pPr>
              <w:spacing w:after="0"/>
              <w:rPr>
                <w:sz w:val="11"/>
                <w:szCs w:val="11"/>
                <w:color w:val="auto"/>
              </w:rPr>
            </w:pPr>
          </w:p>
        </w:tc>
      </w:tr>
      <w:tr>
        <w:trPr>
          <w:trHeight w:val="129"/>
        </w:trPr>
        <w:tc>
          <w:tcPr>
            <w:tcW w:w="2480" w:type="dxa"/>
            <w:vAlign w:val="bottom"/>
          </w:tcPr>
          <w:p>
            <w:pPr>
              <w:spacing w:after="0"/>
              <w:rPr>
                <w:sz w:val="11"/>
                <w:szCs w:val="11"/>
                <w:color w:val="auto"/>
              </w:rPr>
            </w:pPr>
          </w:p>
        </w:tc>
        <w:tc>
          <w:tcPr>
            <w:tcW w:w="900" w:type="dxa"/>
            <w:vAlign w:val="bottom"/>
            <w:tcBorders>
              <w:top w:val="single" w:sz="8" w:color="auto"/>
            </w:tcBorders>
          </w:tcPr>
          <w:p>
            <w:pPr>
              <w:jc w:val="right"/>
              <w:ind w:right="79"/>
              <w:spacing w:after="0" w:line="129" w:lineRule="exact"/>
              <w:rPr>
                <w:sz w:val="20"/>
                <w:szCs w:val="20"/>
                <w:color w:val="auto"/>
              </w:rPr>
            </w:pPr>
            <w:r>
              <w:rPr>
                <w:rFonts w:ascii="Arial" w:cs="Arial" w:eastAsia="Arial" w:hAnsi="Arial"/>
                <w:sz w:val="14"/>
                <w:szCs w:val="14"/>
                <w:b w:val="1"/>
                <w:bCs w:val="1"/>
                <w:color w:val="auto"/>
              </w:rPr>
              <w:t>(restated)</w:t>
            </w:r>
          </w:p>
        </w:tc>
        <w:tc>
          <w:tcPr>
            <w:tcW w:w="220" w:type="dxa"/>
            <w:vAlign w:val="bottom"/>
          </w:tcPr>
          <w:p>
            <w:pPr>
              <w:spacing w:after="0"/>
              <w:rPr>
                <w:sz w:val="11"/>
                <w:szCs w:val="11"/>
                <w:color w:val="auto"/>
              </w:rPr>
            </w:pPr>
          </w:p>
        </w:tc>
        <w:tc>
          <w:tcPr>
            <w:tcW w:w="900" w:type="dxa"/>
            <w:vAlign w:val="bottom"/>
            <w:tcBorders>
              <w:top w:val="single" w:sz="8" w:color="auto"/>
            </w:tcBorders>
          </w:tcPr>
          <w:p>
            <w:pPr>
              <w:jc w:val="right"/>
              <w:ind w:right="76"/>
              <w:spacing w:after="0" w:line="129" w:lineRule="exact"/>
              <w:rPr>
                <w:sz w:val="20"/>
                <w:szCs w:val="20"/>
                <w:color w:val="auto"/>
              </w:rPr>
            </w:pPr>
            <w:r>
              <w:rPr>
                <w:rFonts w:ascii="Arial" w:cs="Arial" w:eastAsia="Arial" w:hAnsi="Arial"/>
                <w:sz w:val="14"/>
                <w:szCs w:val="14"/>
                <w:b w:val="1"/>
                <w:bCs w:val="1"/>
                <w:color w:val="auto"/>
              </w:rPr>
              <w:t>(restated)</w:t>
            </w:r>
          </w:p>
        </w:tc>
        <w:tc>
          <w:tcPr>
            <w:tcW w:w="220" w:type="dxa"/>
            <w:vAlign w:val="bottom"/>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r>
      <w:tr>
        <w:trPr>
          <w:trHeight w:val="216"/>
        </w:trPr>
        <w:tc>
          <w:tcPr>
            <w:tcW w:w="248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73%</w:t>
            </w:r>
          </w:p>
        </w:tc>
        <w:tc>
          <w:tcPr>
            <w:tcW w:w="238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59% - 73%   110% - 112%</w:t>
            </w:r>
          </w:p>
        </w:tc>
      </w:tr>
      <w:tr>
        <w:trPr>
          <w:trHeight w:val="216"/>
        </w:trPr>
        <w:tc>
          <w:tcPr>
            <w:tcW w:w="2480" w:type="dxa"/>
            <w:vAlign w:val="bottom"/>
          </w:tcPr>
          <w:p>
            <w:pPr>
              <w:spacing w:after="0"/>
              <w:rPr>
                <w:sz w:val="20"/>
                <w:szCs w:val="20"/>
                <w:color w:val="auto"/>
              </w:rPr>
            </w:pPr>
            <w:r>
              <w:rPr>
                <w:rFonts w:ascii="Arial" w:cs="Arial" w:eastAsia="Arial" w:hAnsi="Arial"/>
                <w:sz w:val="18"/>
                <w:szCs w:val="18"/>
                <w:color w:val="auto"/>
              </w:rPr>
              <w:t>Expected life (in years)</w:t>
            </w:r>
          </w:p>
        </w:tc>
        <w:tc>
          <w:tcPr>
            <w:tcW w:w="900" w:type="dxa"/>
            <w:vAlign w:val="bottom"/>
          </w:tcPr>
          <w:p>
            <w:pPr>
              <w:jc w:val="right"/>
              <w:spacing w:after="0"/>
              <w:rPr>
                <w:sz w:val="20"/>
                <w:szCs w:val="20"/>
                <w:color w:val="auto"/>
              </w:rPr>
            </w:pPr>
            <w:r>
              <w:rPr>
                <w:rFonts w:ascii="Arial" w:cs="Arial" w:eastAsia="Arial" w:hAnsi="Arial"/>
                <w:sz w:val="18"/>
                <w:szCs w:val="18"/>
                <w:color w:val="auto"/>
              </w:rPr>
              <w:t>4.7</w:t>
            </w:r>
          </w:p>
        </w:tc>
        <w:tc>
          <w:tcPr>
            <w:tcW w:w="2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5.8</w:t>
            </w:r>
          </w:p>
        </w:tc>
        <w:tc>
          <w:tcPr>
            <w:tcW w:w="2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w:t>
            </w:r>
          </w:p>
        </w:tc>
        <w:tc>
          <w:tcPr>
            <w:tcW w:w="2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1.3</w:t>
            </w:r>
          </w:p>
        </w:tc>
        <w:tc>
          <w:tcPr>
            <w:tcW w:w="280" w:type="dxa"/>
            <w:vAlign w:val="bottom"/>
          </w:tcPr>
          <w:p>
            <w:pPr>
              <w:spacing w:after="0"/>
              <w:rPr>
                <w:sz w:val="18"/>
                <w:szCs w:val="18"/>
                <w:color w:val="auto"/>
              </w:rPr>
            </w:pPr>
          </w:p>
        </w:tc>
      </w:tr>
      <w:tr>
        <w:trPr>
          <w:trHeight w:val="216"/>
        </w:trPr>
        <w:tc>
          <w:tcPr>
            <w:tcW w:w="248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w:t>
            </w:r>
          </w:p>
        </w:tc>
        <w:tc>
          <w:tcPr>
            <w:tcW w:w="12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w:t>
            </w:r>
          </w:p>
        </w:tc>
      </w:tr>
      <w:tr>
        <w:trPr>
          <w:trHeight w:val="230"/>
        </w:trPr>
        <w:tc>
          <w:tcPr>
            <w:tcW w:w="2480" w:type="dxa"/>
            <w:vAlign w:val="bottom"/>
          </w:tcPr>
          <w:p>
            <w:pPr>
              <w:spacing w:after="0"/>
              <w:rPr>
                <w:sz w:val="20"/>
                <w:szCs w:val="20"/>
                <w:color w:val="auto"/>
              </w:rPr>
            </w:pPr>
            <w:r>
              <w:rPr>
                <w:rFonts w:ascii="Arial" w:cs="Arial" w:eastAsia="Arial" w:hAnsi="Arial"/>
                <w:sz w:val="18"/>
                <w:szCs w:val="18"/>
                <w:color w:val="auto"/>
              </w:rPr>
              <w:t>Dividend yield</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r>
    </w:tbl>
    <w:p>
      <w:pPr>
        <w:spacing w:after="0" w:line="241" w:lineRule="exact"/>
        <w:rPr>
          <w:sz w:val="20"/>
          <w:szCs w:val="20"/>
          <w:color w:val="auto"/>
        </w:rPr>
      </w:pPr>
    </w:p>
    <w:p>
      <w:pPr>
        <w:ind w:right="120" w:firstLine="441"/>
        <w:spacing w:after="0" w:line="286" w:lineRule="auto"/>
        <w:rPr>
          <w:sz w:val="20"/>
          <w:szCs w:val="20"/>
          <w:color w:val="auto"/>
        </w:rPr>
      </w:pPr>
      <w:r>
        <w:rPr>
          <w:rFonts w:ascii="Arial" w:cs="Arial" w:eastAsia="Arial" w:hAnsi="Arial"/>
          <w:sz w:val="17"/>
          <w:szCs w:val="17"/>
          <w:color w:val="auto"/>
        </w:rPr>
        <w:t>In refining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right="520" w:firstLine="441"/>
        <w:spacing w:after="0" w:line="277" w:lineRule="auto"/>
        <w:rPr>
          <w:sz w:val="20"/>
          <w:szCs w:val="20"/>
          <w:color w:val="auto"/>
        </w:rPr>
      </w:pPr>
      <w:r>
        <w:rPr>
          <w:rFonts w:ascii="Arial" w:cs="Arial" w:eastAsia="Arial" w:hAnsi="Arial"/>
          <w:sz w:val="18"/>
          <w:szCs w:val="18"/>
          <w:color w:val="auto"/>
        </w:rPr>
        <w:t>Expected volatility under SFAS 123R was developed based on the average of Marvell’s historical daily stock price volatility and average implied volatility.</w:t>
      </w:r>
    </w:p>
    <w:p>
      <w:pPr>
        <w:spacing w:after="0" w:line="170" w:lineRule="exact"/>
        <w:rPr>
          <w:sz w:val="20"/>
          <w:szCs w:val="20"/>
          <w:color w:val="auto"/>
        </w:rPr>
      </w:pPr>
    </w:p>
    <w:p>
      <w:pPr>
        <w:ind w:right="100" w:firstLine="441"/>
        <w:spacing w:after="0" w:line="259"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ectPr>
          <w:pgSz w:w="11900" w:h="16838" w:orient="portrait"/>
          <w:cols w:equalWidth="0" w:num="1">
            <w:col w:w="11420"/>
          </w:cols>
          <w:pgMar w:left="240" w:top="125" w:right="239" w:bottom="0" w:gutter="0" w:footer="0" w:header="0"/>
        </w:sectPr>
      </w:pPr>
    </w:p>
    <w:bookmarkStart w:id="24" w:name="page25"/>
    <w:bookmarkEnd w:id="24"/>
    <w:p>
      <w:pPr>
        <w:ind w:right="420" w:firstLine="243"/>
        <w:spacing w:after="0" w:line="277" w:lineRule="auto"/>
        <w:rPr>
          <w:sz w:val="20"/>
          <w:szCs w:val="20"/>
          <w:color w:val="auto"/>
        </w:rPr>
      </w:pPr>
      <w:r>
        <w:rPr>
          <w:rFonts w:ascii="Arial" w:cs="Arial" w:eastAsia="Arial" w:hAnsi="Arial"/>
          <w:sz w:val="18"/>
          <w:szCs w:val="18"/>
          <w:color w:val="auto"/>
        </w:rPr>
        <w:t>The weighted average fair values per share of the options granted in the three month period ended April 29, 2006 and April 30, 2005 was $30.83 and $21.22, respectively.</w:t>
      </w:r>
    </w:p>
    <w:p>
      <w:pPr>
        <w:spacing w:after="0" w:line="170" w:lineRule="exact"/>
        <w:rPr>
          <w:sz w:val="20"/>
          <w:szCs w:val="20"/>
          <w:color w:val="auto"/>
        </w:rPr>
      </w:pPr>
    </w:p>
    <w:p>
      <w:pPr>
        <w:ind w:right="200" w:firstLine="441"/>
        <w:spacing w:after="0" w:line="264" w:lineRule="auto"/>
        <w:rPr>
          <w:sz w:val="20"/>
          <w:szCs w:val="20"/>
          <w:color w:val="auto"/>
        </w:rPr>
      </w:pPr>
      <w:r>
        <w:rPr>
          <w:rFonts w:ascii="Arial" w:cs="Arial" w:eastAsia="Arial" w:hAnsi="Arial"/>
          <w:sz w:val="18"/>
          <w:szCs w:val="18"/>
          <w:color w:val="auto"/>
        </w:rPr>
        <w:t>Prior to the adoption of SFAS 123R, the Company provided disclosures required under SFAS 123. The following table illustrates the effect on net income and net income per share, net of tax effects for the first quarter of fiscal 2006 as if the Company had applied the fair value recognition provisions of SFAS 123 to stock based awards (in thousands, except for per share data):</w:t>
      </w:r>
    </w:p>
    <w:p>
      <w:pPr>
        <w:spacing w:after="0" w:line="143"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6620" w:type="dxa"/>
            <w:vAlign w:val="bottom"/>
          </w:tcPr>
          <w:p>
            <w:pPr>
              <w:spacing w:after="0"/>
              <w:rPr>
                <w:sz w:val="14"/>
                <w:szCs w:val="14"/>
                <w:color w:val="auto"/>
              </w:rPr>
            </w:pPr>
          </w:p>
        </w:tc>
        <w:tc>
          <w:tcPr>
            <w:tcW w:w="110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5"/>
              </w:rPr>
              <w:t>Three Months</w:t>
            </w:r>
          </w:p>
        </w:tc>
      </w:tr>
      <w:tr>
        <w:trPr>
          <w:trHeight w:val="135"/>
        </w:trPr>
        <w:tc>
          <w:tcPr>
            <w:tcW w:w="6620" w:type="dxa"/>
            <w:vAlign w:val="bottom"/>
          </w:tcPr>
          <w:p>
            <w:pPr>
              <w:spacing w:after="0"/>
              <w:rPr>
                <w:sz w:val="11"/>
                <w:szCs w:val="11"/>
                <w:color w:val="auto"/>
              </w:rPr>
            </w:pPr>
          </w:p>
        </w:tc>
        <w:tc>
          <w:tcPr>
            <w:tcW w:w="110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Ended April 30,</w:t>
            </w:r>
          </w:p>
        </w:tc>
      </w:tr>
      <w:tr>
        <w:trPr>
          <w:trHeight w:val="162"/>
        </w:trPr>
        <w:tc>
          <w:tcPr>
            <w:tcW w:w="66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right="74"/>
              <w:spacing w:after="0"/>
              <w:rPr>
                <w:sz w:val="20"/>
                <w:szCs w:val="20"/>
                <w:color w:val="auto"/>
              </w:rPr>
            </w:pPr>
            <w:r>
              <w:rPr>
                <w:rFonts w:ascii="Arial" w:cs="Arial" w:eastAsia="Arial" w:hAnsi="Arial"/>
                <w:sz w:val="14"/>
                <w:szCs w:val="14"/>
                <w:b w:val="1"/>
                <w:bCs w:val="1"/>
                <w:color w:val="auto"/>
                <w:w w:val="89"/>
              </w:rPr>
              <w:t>2005</w:t>
            </w:r>
          </w:p>
        </w:tc>
        <w:tc>
          <w:tcPr>
            <w:tcW w:w="100" w:type="dxa"/>
            <w:vAlign w:val="bottom"/>
          </w:tcPr>
          <w:p>
            <w:pPr>
              <w:spacing w:after="0"/>
              <w:rPr>
                <w:sz w:val="14"/>
                <w:szCs w:val="14"/>
                <w:color w:val="auto"/>
              </w:rPr>
            </w:pPr>
          </w:p>
        </w:tc>
      </w:tr>
      <w:tr>
        <w:trPr>
          <w:trHeight w:val="129"/>
        </w:trPr>
        <w:tc>
          <w:tcPr>
            <w:tcW w:w="6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40" w:type="dxa"/>
            <w:vAlign w:val="bottom"/>
          </w:tcPr>
          <w:p>
            <w:pPr>
              <w:jc w:val="center"/>
              <w:ind w:right="74"/>
              <w:spacing w:after="0" w:line="129" w:lineRule="exact"/>
              <w:rPr>
                <w:sz w:val="20"/>
                <w:szCs w:val="20"/>
                <w:color w:val="auto"/>
              </w:rPr>
            </w:pPr>
            <w:r>
              <w:rPr>
                <w:rFonts w:ascii="Arial" w:cs="Arial" w:eastAsia="Arial" w:hAnsi="Arial"/>
                <w:sz w:val="14"/>
                <w:szCs w:val="14"/>
                <w:b w:val="1"/>
                <w:bCs w:val="1"/>
                <w:color w:val="auto"/>
                <w:w w:val="93"/>
              </w:rPr>
              <w:t>(restated)</w:t>
            </w:r>
          </w:p>
        </w:tc>
        <w:tc>
          <w:tcPr>
            <w:tcW w:w="100" w:type="dxa"/>
            <w:vAlign w:val="bottom"/>
          </w:tcPr>
          <w:p>
            <w:pPr>
              <w:spacing w:after="0"/>
              <w:rPr>
                <w:sz w:val="11"/>
                <w:szCs w:val="11"/>
                <w:color w:val="auto"/>
              </w:rPr>
            </w:pP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6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662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53,947</w:t>
            </w:r>
          </w:p>
        </w:tc>
        <w:tc>
          <w:tcPr>
            <w:tcW w:w="100" w:type="dxa"/>
            <w:vAlign w:val="bottom"/>
          </w:tcPr>
          <w:p>
            <w:pPr>
              <w:spacing w:after="0"/>
              <w:rPr>
                <w:sz w:val="18"/>
                <w:szCs w:val="18"/>
                <w:color w:val="auto"/>
              </w:rPr>
            </w:pP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16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02"/>
        </w:trPr>
        <w:tc>
          <w:tcPr>
            <w:tcW w:w="6620" w:type="dxa"/>
            <w:vAlign w:val="bottom"/>
          </w:tcPr>
          <w:p>
            <w:pPr>
              <w:spacing w:after="0" w:line="201" w:lineRule="exact"/>
              <w:rPr>
                <w:sz w:val="20"/>
                <w:szCs w:val="20"/>
                <w:color w:val="auto"/>
              </w:rPr>
            </w:pPr>
            <w:r>
              <w:rPr>
                <w:rFonts w:ascii="Arial" w:cs="Arial" w:eastAsia="Arial" w:hAnsi="Arial"/>
                <w:sz w:val="18"/>
                <w:szCs w:val="18"/>
                <w:color w:val="auto"/>
                <w:w w:val="96"/>
              </w:rPr>
              <w:t>Stock-based employee compensation expense included in reported net income, net of</w:t>
            </w:r>
          </w:p>
        </w:tc>
        <w:tc>
          <w:tcPr>
            <w:tcW w:w="1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6620" w:type="dxa"/>
            <w:vAlign w:val="bottom"/>
          </w:tcPr>
          <w:p>
            <w:pPr>
              <w:ind w:left="180"/>
              <w:spacing w:after="0"/>
              <w:rPr>
                <w:sz w:val="20"/>
                <w:szCs w:val="20"/>
                <w:color w:val="auto"/>
              </w:rPr>
            </w:pPr>
            <w:r>
              <w:rPr>
                <w:rFonts w:ascii="Arial" w:cs="Arial" w:eastAsia="Arial" w:hAnsi="Arial"/>
                <w:sz w:val="18"/>
                <w:szCs w:val="18"/>
                <w:color w:val="auto"/>
              </w:rPr>
              <w:t>tax effects</w:t>
            </w:r>
          </w:p>
        </w:tc>
        <w:tc>
          <w:tcPr>
            <w:tcW w:w="160" w:type="dxa"/>
            <w:vAlign w:val="bottom"/>
          </w:tcPr>
          <w:p>
            <w:pPr>
              <w:spacing w:after="0"/>
              <w:rPr>
                <w:sz w:val="20"/>
                <w:szCs w:val="20"/>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9,590</w:t>
            </w:r>
          </w:p>
        </w:tc>
        <w:tc>
          <w:tcPr>
            <w:tcW w:w="100" w:type="dxa"/>
            <w:vAlign w:val="bottom"/>
          </w:tcPr>
          <w:p>
            <w:pPr>
              <w:spacing w:after="0"/>
              <w:rPr>
                <w:sz w:val="20"/>
                <w:szCs w:val="20"/>
                <w:color w:val="auto"/>
              </w:rPr>
            </w:pPr>
          </w:p>
        </w:tc>
      </w:tr>
      <w:tr>
        <w:trPr>
          <w:trHeight w:val="202"/>
        </w:trPr>
        <w:tc>
          <w:tcPr>
            <w:tcW w:w="66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2"/>
              </w:rPr>
              <w:t>Stock-based employee compensation expense determined under fair value based method</w:t>
            </w:r>
          </w:p>
        </w:tc>
        <w:tc>
          <w:tcPr>
            <w:tcW w:w="1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6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for all awards, net of tax effects</w:t>
            </w:r>
          </w:p>
        </w:tc>
        <w:tc>
          <w:tcPr>
            <w:tcW w:w="16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(42,635)</w:t>
            </w:r>
          </w:p>
        </w:tc>
      </w:tr>
      <w:tr>
        <w:trPr>
          <w:trHeight w:val="250"/>
        </w:trPr>
        <w:tc>
          <w:tcPr>
            <w:tcW w:w="662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Pro forma</w:t>
            </w: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20,901</w:t>
            </w:r>
          </w:p>
        </w:tc>
        <w:tc>
          <w:tcPr>
            <w:tcW w:w="100" w:type="dxa"/>
            <w:vAlign w:val="bottom"/>
            <w:tcBorders>
              <w:bottom w:val="single" w:sz="8" w:color="CCEEFF"/>
            </w:tcBorders>
          </w:tcPr>
          <w:p>
            <w:pPr>
              <w:spacing w:after="0"/>
              <w:rPr>
                <w:sz w:val="21"/>
                <w:szCs w:val="21"/>
                <w:color w:val="auto"/>
              </w:rPr>
            </w:pPr>
          </w:p>
        </w:tc>
      </w:tr>
      <w:tr>
        <w:trPr>
          <w:trHeight w:val="170"/>
        </w:trPr>
        <w:tc>
          <w:tcPr>
            <w:tcW w:w="662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Basic net income per share:</w:t>
            </w:r>
          </w:p>
        </w:tc>
        <w:tc>
          <w:tcPr>
            <w:tcW w:w="160" w:type="dxa"/>
            <w:vAlign w:val="bottom"/>
            <w:shd w:val="clear" w:color="auto" w:fill="CCEEFF"/>
          </w:tcPr>
          <w:p>
            <w:pPr>
              <w:spacing w:after="0"/>
              <w:rPr>
                <w:sz w:val="14"/>
                <w:szCs w:val="14"/>
                <w:color w:val="auto"/>
              </w:rPr>
            </w:pPr>
          </w:p>
        </w:tc>
        <w:tc>
          <w:tcPr>
            <w:tcW w:w="8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r>
      <w:tr>
        <w:trPr>
          <w:trHeight w:val="216"/>
        </w:trPr>
        <w:tc>
          <w:tcPr>
            <w:tcW w:w="662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Pr>
          <w:p>
            <w:pPr>
              <w:spacing w:after="0"/>
              <w:rPr>
                <w:sz w:val="18"/>
                <w:szCs w:val="18"/>
                <w:color w:val="auto"/>
              </w:rPr>
            </w:pPr>
          </w:p>
        </w:tc>
      </w:tr>
      <w:tr>
        <w:trPr>
          <w:trHeight w:val="216"/>
        </w:trPr>
        <w:tc>
          <w:tcPr>
            <w:tcW w:w="6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00" w:type="dxa"/>
            <w:vAlign w:val="bottom"/>
            <w:shd w:val="clear" w:color="auto" w:fill="CCEEFF"/>
          </w:tcPr>
          <w:p>
            <w:pPr>
              <w:spacing w:after="0"/>
              <w:rPr>
                <w:sz w:val="18"/>
                <w:szCs w:val="18"/>
                <w:color w:val="auto"/>
              </w:rPr>
            </w:pPr>
          </w:p>
        </w:tc>
      </w:tr>
      <w:tr>
        <w:trPr>
          <w:trHeight w:val="216"/>
        </w:trPr>
        <w:tc>
          <w:tcPr>
            <w:tcW w:w="662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6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100" w:type="dxa"/>
            <w:vAlign w:val="bottom"/>
            <w:shd w:val="clear" w:color="auto" w:fill="CCEEFF"/>
          </w:tcPr>
          <w:p>
            <w:pPr>
              <w:spacing w:after="0"/>
              <w:rPr>
                <w:sz w:val="18"/>
                <w:szCs w:val="18"/>
                <w:color w:val="auto"/>
              </w:rPr>
            </w:pPr>
          </w:p>
        </w:tc>
      </w:tr>
      <w:tr>
        <w:trPr>
          <w:trHeight w:val="230"/>
        </w:trPr>
        <w:tc>
          <w:tcPr>
            <w:tcW w:w="662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0.07</w:t>
            </w:r>
          </w:p>
        </w:tc>
        <w:tc>
          <w:tcPr>
            <w:tcW w:w="100" w:type="dxa"/>
            <w:vAlign w:val="bottom"/>
          </w:tcPr>
          <w:p>
            <w:pPr>
              <w:spacing w:after="0"/>
              <w:rPr>
                <w:sz w:val="20"/>
                <w:szCs w:val="20"/>
                <w:color w:val="auto"/>
              </w:rPr>
            </w:pPr>
          </w:p>
        </w:tc>
      </w:tr>
      <w:tr>
        <w:trPr>
          <w:trHeight w:val="688"/>
        </w:trPr>
        <w:tc>
          <w:tcPr>
            <w:tcW w:w="6620" w:type="dxa"/>
            <w:vAlign w:val="bottom"/>
          </w:tcPr>
          <w:p>
            <w:pPr>
              <w:ind w:left="4900"/>
              <w:spacing w:after="0"/>
              <w:rPr>
                <w:sz w:val="20"/>
                <w:szCs w:val="20"/>
                <w:color w:val="auto"/>
              </w:rPr>
            </w:pPr>
            <w:r>
              <w:rPr>
                <w:rFonts w:ascii="Arial" w:cs="Arial" w:eastAsia="Arial" w:hAnsi="Arial"/>
                <w:sz w:val="18"/>
                <w:szCs w:val="18"/>
                <w:color w:val="auto"/>
              </w:rPr>
              <w:t>34</w:t>
            </w:r>
          </w:p>
        </w:tc>
        <w:tc>
          <w:tcPr>
            <w:tcW w:w="1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Related Party Transactions</w:t>
      </w:r>
    </w:p>
    <w:p>
      <w:pPr>
        <w:spacing w:after="0" w:line="229" w:lineRule="exact"/>
        <w:rPr>
          <w:sz w:val="20"/>
          <w:szCs w:val="20"/>
          <w:color w:val="auto"/>
        </w:rPr>
      </w:pPr>
    </w:p>
    <w:p>
      <w:pPr>
        <w:ind w:right="120" w:firstLine="259"/>
        <w:spacing w:after="0" w:line="255" w:lineRule="auto"/>
        <w:rPr>
          <w:sz w:val="20"/>
          <w:szCs w:val="20"/>
          <w:color w:val="auto"/>
        </w:rPr>
      </w:pPr>
      <w:r>
        <w:rPr>
          <w:rFonts w:ascii="Arial" w:cs="Arial" w:eastAsia="Arial" w:hAnsi="Arial"/>
          <w:sz w:val="18"/>
          <w:szCs w:val="18"/>
          <w:color w:val="auto"/>
        </w:rPr>
        <w:t>During the first quarters of fiscal 2007 and 2006, the Company incurred approximately $0.4 million and $0.3 million, respectively, of expenses from an unrelated third-party entity, ACM Aviation, Inc. (“ACM”), for charter aircraft services provided to MSI for Estopia Air LLC (“Estopia Air”). The aircraft provided by ACM to the Company for such services is owned by Estopia Air. The Company’s President and Chief Executive Officer, Dr. Sehat Sutardja and the Company’s Executive Vice President and Chief Operating Officer, Weili Dai, through their control and ownership of Estopia Air, own the aircraft provided by ACM. The expenses incurred were the result of the Company’s use of the aircraft for business travel purposes. The cost of such usage was determined based on market prices.</w:t>
      </w:r>
    </w:p>
    <w:p>
      <w:pPr>
        <w:spacing w:after="0" w:line="193" w:lineRule="exact"/>
        <w:rPr>
          <w:sz w:val="20"/>
          <w:szCs w:val="20"/>
          <w:color w:val="auto"/>
        </w:rPr>
      </w:pPr>
    </w:p>
    <w:p>
      <w:pPr>
        <w:ind w:firstLine="259"/>
        <w:spacing w:after="0" w:line="273" w:lineRule="auto"/>
        <w:rPr>
          <w:sz w:val="20"/>
          <w:szCs w:val="20"/>
          <w:color w:val="auto"/>
        </w:rPr>
      </w:pPr>
      <w:r>
        <w:rPr>
          <w:rFonts w:ascii="Arial" w:cs="Arial" w:eastAsia="Arial" w:hAnsi="Arial"/>
          <w:sz w:val="17"/>
          <w:szCs w:val="17"/>
          <w:color w:val="auto"/>
        </w:rPr>
        <w:t>On February 19, 2005, the Company, through its subsidiaries MSI and Marvell Asia Pte. Ltd. (“MAPL”), entered into a development agreement with MagnetoX Inc. (“MagnetoX”). The development agreement is substantially on similar terms as other development agreements with other third parties. The Company did not recognize any revenue from the development agreement or product revenue during the first quarter of fiscal 2007. Total revenue expected to be recognized from the development agreement is $1.0 million. Herbert Chang, one of the Company’s directors, is a shareholder of MagnetoX and its Chairman of the Board, President and Chief Executive Officer. Estopia LLC (“Estopia”) is also a shareholder of MagnetoX. Dr. Sehat Sutardja and Weili Dai, through their ownership and control of Estopia, are indirect shareholders of MagnetoX.</w:t>
      </w:r>
    </w:p>
    <w:p>
      <w:pPr>
        <w:spacing w:after="0" w:line="178" w:lineRule="exact"/>
        <w:rPr>
          <w:sz w:val="20"/>
          <w:szCs w:val="20"/>
          <w:color w:val="auto"/>
        </w:rPr>
      </w:pPr>
    </w:p>
    <w:p>
      <w:pPr>
        <w:ind w:right="40" w:firstLine="243"/>
        <w:spacing w:after="0" w:line="255" w:lineRule="auto"/>
        <w:rPr>
          <w:sz w:val="20"/>
          <w:szCs w:val="20"/>
          <w:color w:val="auto"/>
        </w:rPr>
      </w:pPr>
      <w:r>
        <w:rPr>
          <w:rFonts w:ascii="Arial" w:cs="Arial" w:eastAsia="Arial" w:hAnsi="Arial"/>
          <w:sz w:val="18"/>
          <w:szCs w:val="18"/>
          <w:color w:val="auto"/>
        </w:rPr>
        <w:t>On August 19, 2005, the Company, through its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The Company recognized $0.2 million of revenue from the License Agreement with C2 Microsystems during the first quarter of fiscal 2007. Dr. Sehat Sutardja and Weili Dai, through their ownership and control of Estopia, are indirect shareholders of C2Micro. The Company had recorded a receivable of $69,000 as of April 29, 2006. Herbert Chang, through his ownership and control of C-Squared venture entities, is also an indirect shareholder of C2Micro. Dr. Pantas Sutardja, the Company’s Chief Technology Officer, is also a shareholder of C2Micro.</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Subsequent Events</w:t>
      </w:r>
    </w:p>
    <w:p>
      <w:pPr>
        <w:spacing w:after="0" w:line="229" w:lineRule="exact"/>
        <w:rPr>
          <w:sz w:val="20"/>
          <w:szCs w:val="20"/>
          <w:color w:val="auto"/>
        </w:rPr>
      </w:pPr>
    </w:p>
    <w:p>
      <w:pPr>
        <w:ind w:right="260" w:firstLine="243"/>
        <w:spacing w:after="0" w:line="264" w:lineRule="auto"/>
        <w:rPr>
          <w:sz w:val="20"/>
          <w:szCs w:val="20"/>
          <w:color w:val="auto"/>
        </w:rPr>
      </w:pPr>
      <w:r>
        <w:rPr>
          <w:rFonts w:ascii="Arial" w:cs="Arial" w:eastAsia="Arial" w:hAnsi="Arial"/>
          <w:sz w:val="18"/>
          <w:szCs w:val="18"/>
          <w:color w:val="auto"/>
        </w:rPr>
        <w:t>On February 21, 2006, the Board of Directors approved a 2 for 1 stock split of the Company’s common stock, to be effected pursuant to the issuance of additional shares as a stock dividend. The stock split is subject to shareholder approval of an increase in the Company’s authorized share capital at the Company’s 2006 Annual General Meeting which is scheduled for June 9, 2006.</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color w:val="auto"/>
        </w:rPr>
        <w:t>Restated quarterly pro forma per share data for the three months ended April 29, 2006 and April 30, 2005 would be as follows (unaudited):</w:t>
      </w:r>
    </w:p>
    <w:p>
      <w:pPr>
        <w:spacing w:after="0" w:line="203"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5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60" w:type="dxa"/>
            <w:vAlign w:val="bottom"/>
            <w:gridSpan w:val="5"/>
          </w:tcPr>
          <w:p>
            <w:pPr>
              <w:ind w:left="240"/>
              <w:spacing w:after="0"/>
              <w:rPr>
                <w:sz w:val="20"/>
                <w:szCs w:val="20"/>
                <w:color w:val="auto"/>
              </w:rPr>
            </w:pPr>
            <w:r>
              <w:rPr>
                <w:rFonts w:ascii="Arial" w:cs="Arial" w:eastAsia="Arial" w:hAnsi="Arial"/>
                <w:sz w:val="14"/>
                <w:szCs w:val="14"/>
                <w:b w:val="1"/>
                <w:bCs w:val="1"/>
                <w:color w:val="auto"/>
              </w:rPr>
              <w:t>Three Months Ended</w:t>
            </w:r>
          </w:p>
        </w:tc>
      </w:tr>
      <w:tr>
        <w:trPr>
          <w:trHeight w:val="102"/>
        </w:trPr>
        <w:tc>
          <w:tcPr>
            <w:tcW w:w="5640" w:type="dxa"/>
            <w:vAlign w:val="bottom"/>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980" w:type="dxa"/>
            <w:vAlign w:val="bottom"/>
            <w:tcBorders>
              <w:top w:val="single" w:sz="8" w:color="auto"/>
            </w:tcBorders>
            <w:gridSpan w:val="2"/>
          </w:tcPr>
          <w:p>
            <w:pPr>
              <w:jc w:val="center"/>
              <w:ind w:right="340"/>
              <w:spacing w:after="0" w:line="103" w:lineRule="exact"/>
              <w:rPr>
                <w:sz w:val="20"/>
                <w:szCs w:val="20"/>
                <w:color w:val="auto"/>
              </w:rPr>
            </w:pPr>
            <w:r>
              <w:rPr>
                <w:rFonts w:ascii="Arial" w:cs="Arial" w:eastAsia="Arial" w:hAnsi="Arial"/>
                <w:sz w:val="11"/>
                <w:szCs w:val="11"/>
                <w:b w:val="1"/>
                <w:bCs w:val="1"/>
                <w:color w:val="auto"/>
              </w:rPr>
              <w:t>April 29,</w:t>
            </w:r>
          </w:p>
        </w:tc>
        <w:tc>
          <w:tcPr>
            <w:tcW w:w="140" w:type="dxa"/>
            <w:vAlign w:val="bottom"/>
            <w:tcBorders>
              <w:top w:val="single" w:sz="8" w:color="auto"/>
            </w:tcBorders>
          </w:tcPr>
          <w:p>
            <w:pPr>
              <w:spacing w:after="0"/>
              <w:rPr>
                <w:sz w:val="8"/>
                <w:szCs w:val="8"/>
                <w:color w:val="auto"/>
              </w:rPr>
            </w:pPr>
          </w:p>
        </w:tc>
        <w:tc>
          <w:tcPr>
            <w:tcW w:w="780" w:type="dxa"/>
            <w:vAlign w:val="bottom"/>
            <w:tcBorders>
              <w:top w:val="single" w:sz="8" w:color="auto"/>
            </w:tcBorders>
          </w:tcPr>
          <w:p>
            <w:pPr>
              <w:jc w:val="center"/>
              <w:ind w:right="37"/>
              <w:spacing w:after="0" w:line="103" w:lineRule="exact"/>
              <w:rPr>
                <w:sz w:val="20"/>
                <w:szCs w:val="20"/>
                <w:color w:val="auto"/>
              </w:rPr>
            </w:pPr>
            <w:r>
              <w:rPr>
                <w:rFonts w:ascii="Arial" w:cs="Arial" w:eastAsia="Arial" w:hAnsi="Arial"/>
                <w:sz w:val="11"/>
                <w:szCs w:val="11"/>
                <w:b w:val="1"/>
                <w:bCs w:val="1"/>
                <w:color w:val="auto"/>
              </w:rPr>
              <w:t>April 30,</w:t>
            </w:r>
          </w:p>
        </w:tc>
        <w:tc>
          <w:tcPr>
            <w:tcW w:w="60" w:type="dxa"/>
            <w:vAlign w:val="bottom"/>
          </w:tcPr>
          <w:p>
            <w:pPr>
              <w:spacing w:after="0"/>
              <w:rPr>
                <w:sz w:val="8"/>
                <w:szCs w:val="8"/>
                <w:color w:val="auto"/>
              </w:rPr>
            </w:pPr>
          </w:p>
        </w:tc>
      </w:tr>
      <w:tr>
        <w:trPr>
          <w:trHeight w:val="161"/>
        </w:trPr>
        <w:tc>
          <w:tcPr>
            <w:tcW w:w="56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58"/>
              <w:spacing w:after="0"/>
              <w:rPr>
                <w:sz w:val="20"/>
                <w:szCs w:val="20"/>
                <w:color w:val="auto"/>
              </w:rPr>
            </w:pPr>
            <w:r>
              <w:rPr>
                <w:rFonts w:ascii="Arial" w:cs="Arial" w:eastAsia="Arial" w:hAnsi="Arial"/>
                <w:sz w:val="14"/>
                <w:szCs w:val="14"/>
                <w:b w:val="1"/>
                <w:bCs w:val="1"/>
                <w:color w:val="auto"/>
                <w:w w:val="89"/>
              </w:rPr>
              <w:t>2006</w:t>
            </w:r>
          </w:p>
        </w:tc>
        <w:tc>
          <w:tcPr>
            <w:tcW w:w="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3"/>
              </w:rPr>
              <w:t>2005</w:t>
            </w:r>
          </w:p>
        </w:tc>
        <w:tc>
          <w:tcPr>
            <w:tcW w:w="60" w:type="dxa"/>
            <w:vAlign w:val="bottom"/>
          </w:tcPr>
          <w:p>
            <w:pPr>
              <w:spacing w:after="0"/>
              <w:rPr>
                <w:sz w:val="14"/>
                <w:szCs w:val="14"/>
                <w:color w:val="auto"/>
              </w:rPr>
            </w:pPr>
          </w:p>
        </w:tc>
      </w:tr>
      <w:tr>
        <w:trPr>
          <w:trHeight w:val="129"/>
        </w:trPr>
        <w:tc>
          <w:tcPr>
            <w:tcW w:w="5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tcPr>
          <w:p>
            <w:pPr>
              <w:jc w:val="center"/>
              <w:ind w:right="58"/>
              <w:spacing w:after="0" w:line="129" w:lineRule="exact"/>
              <w:rPr>
                <w:sz w:val="20"/>
                <w:szCs w:val="20"/>
                <w:color w:val="auto"/>
              </w:rPr>
            </w:pPr>
            <w:r>
              <w:rPr>
                <w:rFonts w:ascii="Arial" w:cs="Arial" w:eastAsia="Arial" w:hAnsi="Arial"/>
                <w:sz w:val="14"/>
                <w:szCs w:val="14"/>
                <w:b w:val="1"/>
                <w:bCs w:val="1"/>
                <w:color w:val="auto"/>
                <w:w w:val="93"/>
              </w:rPr>
              <w:t>(restated)</w:t>
            </w: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tcPr>
          <w:p>
            <w:pPr>
              <w:jc w:val="center"/>
              <w:ind w:right="37"/>
              <w:spacing w:after="0" w:line="129" w:lineRule="exact"/>
              <w:rPr>
                <w:sz w:val="20"/>
                <w:szCs w:val="20"/>
                <w:color w:val="auto"/>
              </w:rPr>
            </w:pPr>
            <w:r>
              <w:rPr>
                <w:rFonts w:ascii="Arial" w:cs="Arial" w:eastAsia="Arial" w:hAnsi="Arial"/>
                <w:sz w:val="14"/>
                <w:szCs w:val="14"/>
                <w:b w:val="1"/>
                <w:bCs w:val="1"/>
                <w:color w:val="auto"/>
                <w:w w:val="90"/>
              </w:rPr>
              <w:t>(restated)</w:t>
            </w:r>
          </w:p>
        </w:tc>
        <w:tc>
          <w:tcPr>
            <w:tcW w:w="60" w:type="dxa"/>
            <w:vAlign w:val="bottom"/>
          </w:tcPr>
          <w:p>
            <w:pPr>
              <w:spacing w:after="0"/>
              <w:rPr>
                <w:sz w:val="11"/>
                <w:szCs w:val="11"/>
                <w:color w:val="auto"/>
              </w:rPr>
            </w:pPr>
          </w:p>
        </w:tc>
      </w:tr>
      <w:tr>
        <w:trPr>
          <w:trHeight w:val="216"/>
        </w:trPr>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 before change in accounting principle:</w:t>
            </w: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564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0.24</w:t>
            </w:r>
          </w:p>
        </w:tc>
        <w:tc>
          <w:tcPr>
            <w:tcW w:w="2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0.19</w:t>
            </w:r>
          </w:p>
        </w:tc>
        <w:tc>
          <w:tcPr>
            <w:tcW w:w="60" w:type="dxa"/>
            <w:vAlign w:val="bottom"/>
          </w:tcPr>
          <w:p>
            <w:pPr>
              <w:spacing w:after="0"/>
              <w:rPr>
                <w:sz w:val="18"/>
                <w:szCs w:val="18"/>
                <w:color w:val="auto"/>
              </w:rPr>
            </w:pPr>
          </w:p>
        </w:tc>
      </w:tr>
      <w:tr>
        <w:trPr>
          <w:trHeight w:val="216"/>
        </w:trPr>
        <w:tc>
          <w:tcPr>
            <w:tcW w:w="5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60" w:type="dxa"/>
            <w:vAlign w:val="bottom"/>
            <w:shd w:val="clear" w:color="auto" w:fill="CCEEFF"/>
          </w:tcPr>
          <w:p>
            <w:pPr>
              <w:spacing w:after="0"/>
              <w:rPr>
                <w:sz w:val="18"/>
                <w:szCs w:val="18"/>
                <w:color w:val="auto"/>
              </w:rPr>
            </w:pPr>
          </w:p>
        </w:tc>
      </w:tr>
      <w:tr>
        <w:trPr>
          <w:trHeight w:val="216"/>
        </w:trPr>
        <w:tc>
          <w:tcPr>
            <w:tcW w:w="5640" w:type="dxa"/>
            <w:vAlign w:val="bottom"/>
          </w:tcPr>
          <w:p>
            <w:pPr>
              <w:spacing w:after="0"/>
              <w:rPr>
                <w:sz w:val="20"/>
                <w:szCs w:val="20"/>
                <w:color w:val="auto"/>
              </w:rPr>
            </w:pPr>
            <w:r>
              <w:rPr>
                <w:rFonts w:ascii="Arial" w:cs="Arial" w:eastAsia="Arial" w:hAnsi="Arial"/>
                <w:sz w:val="18"/>
                <w:szCs w:val="18"/>
                <w:color w:val="auto"/>
              </w:rPr>
              <w:t>Diluted net income per share before change in accounting principle:</w:t>
            </w:r>
          </w:p>
        </w:tc>
        <w:tc>
          <w:tcPr>
            <w:tcW w:w="1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60" w:type="dxa"/>
            <w:vAlign w:val="bottom"/>
            <w:shd w:val="clear" w:color="auto" w:fill="CCEEFF"/>
          </w:tcPr>
          <w:p>
            <w:pPr>
              <w:spacing w:after="0"/>
              <w:rPr>
                <w:sz w:val="18"/>
                <w:szCs w:val="18"/>
                <w:color w:val="auto"/>
              </w:rPr>
            </w:pPr>
          </w:p>
        </w:tc>
      </w:tr>
      <w:tr>
        <w:trPr>
          <w:trHeight w:val="216"/>
        </w:trPr>
        <w:tc>
          <w:tcPr>
            <w:tcW w:w="564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0.11</w:t>
            </w:r>
          </w:p>
        </w:tc>
        <w:tc>
          <w:tcPr>
            <w:tcW w:w="2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0.09</w:t>
            </w:r>
          </w:p>
        </w:tc>
        <w:tc>
          <w:tcPr>
            <w:tcW w:w="60" w:type="dxa"/>
            <w:vAlign w:val="bottom"/>
          </w:tcPr>
          <w:p>
            <w:pPr>
              <w:spacing w:after="0"/>
              <w:rPr>
                <w:sz w:val="18"/>
                <w:szCs w:val="18"/>
                <w:color w:val="auto"/>
              </w:rPr>
            </w:pPr>
          </w:p>
        </w:tc>
      </w:tr>
      <w:tr>
        <w:trPr>
          <w:trHeight w:val="216"/>
        </w:trPr>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564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0.27</w:t>
            </w:r>
          </w:p>
        </w:tc>
        <w:tc>
          <w:tcPr>
            <w:tcW w:w="2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0.19</w:t>
            </w:r>
          </w:p>
        </w:tc>
        <w:tc>
          <w:tcPr>
            <w:tcW w:w="60" w:type="dxa"/>
            <w:vAlign w:val="bottom"/>
          </w:tcPr>
          <w:p>
            <w:pPr>
              <w:spacing w:after="0"/>
              <w:rPr>
                <w:sz w:val="18"/>
                <w:szCs w:val="18"/>
                <w:color w:val="auto"/>
              </w:rPr>
            </w:pPr>
          </w:p>
        </w:tc>
      </w:tr>
      <w:tr>
        <w:trPr>
          <w:trHeight w:val="216"/>
        </w:trPr>
        <w:tc>
          <w:tcPr>
            <w:tcW w:w="5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60" w:type="dxa"/>
            <w:vAlign w:val="bottom"/>
            <w:shd w:val="clear" w:color="auto" w:fill="CCEEFF"/>
          </w:tcPr>
          <w:p>
            <w:pPr>
              <w:spacing w:after="0"/>
              <w:rPr>
                <w:sz w:val="18"/>
                <w:szCs w:val="18"/>
                <w:color w:val="auto"/>
              </w:rPr>
            </w:pPr>
          </w:p>
        </w:tc>
      </w:tr>
      <w:tr>
        <w:trPr>
          <w:trHeight w:val="216"/>
        </w:trPr>
        <w:tc>
          <w:tcPr>
            <w:tcW w:w="564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1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60" w:type="dxa"/>
            <w:vAlign w:val="bottom"/>
            <w:shd w:val="clear" w:color="auto" w:fill="CCEEFF"/>
          </w:tcPr>
          <w:p>
            <w:pPr>
              <w:spacing w:after="0"/>
              <w:rPr>
                <w:sz w:val="18"/>
                <w:szCs w:val="18"/>
                <w:color w:val="auto"/>
              </w:rPr>
            </w:pPr>
          </w:p>
        </w:tc>
      </w:tr>
    </w:tbl>
    <w:p>
      <w:pPr>
        <w:sectPr>
          <w:pgSz w:w="11900" w:h="16838" w:orient="portrait"/>
          <w:cols w:equalWidth="0" w:num="1">
            <w:col w:w="11400"/>
          </w:cols>
          <w:pgMar w:left="240" w:top="125" w:right="259" w:bottom="0" w:gutter="0" w:footer="0" w:header="0"/>
        </w:sectPr>
      </w:pPr>
    </w:p>
    <w:bookmarkStart w:id="25" w:name="page26"/>
    <w:bookmarkEnd w:id="25"/>
    <w:p>
      <w:pPr>
        <w:spacing w:after="0" w:line="29" w:lineRule="exact"/>
        <w:rPr>
          <w:sz w:val="20"/>
          <w:szCs w:val="20"/>
          <w:color w:val="auto"/>
        </w:rPr>
      </w:pPr>
    </w:p>
    <w:p>
      <w:pPr>
        <w:ind w:left="900"/>
        <w:spacing w:after="0"/>
        <w:tabs>
          <w:tab w:leader="none" w:pos="6360" w:val="left"/>
          <w:tab w:leader="none" w:pos="6940" w:val="left"/>
          <w:tab w:leader="none" w:pos="7480" w:val="left"/>
          <w:tab w:leader="none" w:pos="8060" w:val="left"/>
        </w:tabs>
        <w:rPr>
          <w:sz w:val="20"/>
          <w:szCs w:val="20"/>
          <w:color w:val="auto"/>
        </w:rPr>
      </w:pPr>
      <w:r>
        <w:rPr>
          <w:rFonts w:ascii="Arial" w:cs="Arial" w:eastAsia="Arial" w:hAnsi="Arial"/>
          <w:sz w:val="18"/>
          <w:szCs w:val="18"/>
          <w:color w:val="auto"/>
        </w:rPr>
        <w:t>Pro forma</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0.12</w:t>
        <w:tab/>
        <w:t>$</w:t>
      </w:r>
      <w:r>
        <w:rPr>
          <w:sz w:val="20"/>
          <w:szCs w:val="20"/>
          <w:color w:val="auto"/>
        </w:rPr>
        <w:tab/>
      </w:r>
      <w:r>
        <w:rPr>
          <w:rFonts w:ascii="Arial" w:cs="Arial" w:eastAsia="Arial" w:hAnsi="Arial"/>
          <w:sz w:val="16"/>
          <w:szCs w:val="16"/>
          <w:color w:val="auto"/>
        </w:rPr>
        <w:t>0.09</w:t>
      </w:r>
    </w:p>
    <w:p>
      <w:pPr>
        <w:spacing w:after="0" w:line="200" w:lineRule="exact"/>
        <w:rPr>
          <w:sz w:val="20"/>
          <w:szCs w:val="20"/>
          <w:color w:val="auto"/>
        </w:rPr>
      </w:pPr>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firstLine="324"/>
        <w:spacing w:after="0" w:line="257" w:lineRule="auto"/>
        <w:rPr>
          <w:sz w:val="20"/>
          <w:szCs w:val="20"/>
          <w:color w:val="auto"/>
        </w:rPr>
      </w:pPr>
      <w:r>
        <w:rPr>
          <w:rFonts w:ascii="Arial" w:cs="Arial" w:eastAsia="Arial" w:hAnsi="Arial"/>
          <w:sz w:val="18"/>
          <w:szCs w:val="18"/>
          <w:color w:val="auto"/>
        </w:rPr>
        <w:t>On May 1, 2006, the Company completed its acquisition of the printer semiconductor business of Avago Technologies Limited and paid $240.0 million in cash upon closing of the transaction. The Company may pay an additional $35.0 million in cash if certain defined milestones are achieved at various intervals through October 2007. In the third quarter of fiscal 2007, the Company recorded additional purchase consideration of $10.0 million based on the achievement of certain levels of revenue in the past year. The remaining consideration of $25.0 million is still outstanding and may result in the recognition of additional purchase consideration in the future.</w:t>
      </w:r>
    </w:p>
    <w:p>
      <w:pPr>
        <w:spacing w:after="0" w:line="188" w:lineRule="exact"/>
        <w:rPr>
          <w:sz w:val="20"/>
          <w:szCs w:val="20"/>
          <w:color w:val="auto"/>
        </w:rPr>
      </w:pPr>
    </w:p>
    <w:p>
      <w:pPr>
        <w:ind w:right="20" w:firstLine="324"/>
        <w:spacing w:after="0" w:line="270" w:lineRule="auto"/>
        <w:rPr>
          <w:sz w:val="20"/>
          <w:szCs w:val="20"/>
          <w:color w:val="auto"/>
        </w:rPr>
      </w:pPr>
      <w:r>
        <w:rPr>
          <w:rFonts w:ascii="Arial" w:cs="Arial" w:eastAsia="Arial" w:hAnsi="Arial"/>
          <w:sz w:val="17"/>
          <w:szCs w:val="17"/>
          <w:color w:val="auto"/>
        </w:rPr>
        <w:t>On November 8, 2006, the Company completed its acquisition of the communications and application processor business of Intel Corporation (“ICAP Business”) and paid $600.0 million in cash upon closing of the transaction. The Company recorded a one-time charge for purchased in-process research and development expenses related to the acquisition of $77.8 million in the fourth fiscal quarter of fiscal 2007. In addition to the asset purchase, Marvell and Intel entered into certain additional agreements, including a supply agreement. Under the terms of the agreement the Company has committed to purchase and Intel has agreed to supply through June 2008 a minimum number of wafers at fixed prices. If at the end of any fiscal quarter for Intel, there is a shortfall between the quantity of supply ordered by the Company and the quantities of supply required under the supply agreement commitment, Intel will invoice the Company for the shortfall and will deliver the corresponding quantity upon receipt of payment from the Company. The supply agreement requires the Company to prepay for certain wafers six months in advance of delivery and requires it to issue non cancellable purchase orders at least six months in advance of requested delivery dates for all purchases under the supply agreement.</w:t>
      </w:r>
    </w:p>
    <w:p>
      <w:pPr>
        <w:spacing w:after="0" w:line="182"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In November 2006, the Company borrowed $400.0 million from a group of lenders in the form of term loans to partially finance the acquisition of the ICAP Business. Amounts borrowed under the credit agreement bear interest at the higher of the lender’s prime rate or 0.5% per annum above the Federal Funds Effective Rate, as defined in the agreement, plus a 1% margin. In the case of Eurodollar loans, amounts borrowed bear interest at a rate equal to Adjusted LIBOR plus 2% margin. Such margins are subject to reductions or increases depending on the Company’s credit rating. The credit agreement also contains customary covenants, including financial covenants. The Company may repay the term loans at any time without premium or penalty. The Company must also prepay the term loans depending on certain specified events. Certain of the Company’s subsidiaries have guaranteed the obligations under the credit agreement. In connection with the credit agreement, the Company and three of its subsidiaries entered into pledge agreements with the lender to which each such entity has granted the lender a security interest in the equity interests held by such entity in certain affiliates.</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20" w:firstLine="259"/>
        <w:spacing w:after="0" w:line="283" w:lineRule="auto"/>
        <w:rPr>
          <w:sz w:val="20"/>
          <w:szCs w:val="20"/>
          <w:color w:val="auto"/>
        </w:rPr>
      </w:pPr>
      <w:r>
        <w:rPr>
          <w:rFonts w:ascii="Arial" w:cs="Arial" w:eastAsia="Arial" w:hAnsi="Arial"/>
          <w:sz w:val="16"/>
          <w:szCs w:val="16"/>
          <w:i w:val="1"/>
          <w:iCs w:val="1"/>
          <w:color w:val="auto"/>
        </w:rPr>
        <w:t>The statements contained in this Quarterly Report on Form 10-Q/A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“allows,”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expectations regarding competition; our intention to reduce product costs to offset decreases in average selling prices; our continued efforts relating to the protection of our intellectual property; our expectations regarding the amount of customer concentration in the future; the amount of our future sales in Asia; our intention to continue to invest significant resources for research and development; our expected results, cash flows, and expenses, including those related to sales and marketing, research and development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expectations regarding the impact of legal proceedings and claims; our expectations regarding the adequacy of our capital resources to meet our capital needs; our expectations regarding the growth in business and operations; our expectations regarding our compliance with SEC periodic reporting requirements and NASDAQ listing requirements; our expectations regarding the impact of the restatement of our financial statements in connection with the internal review of our historical stock option granting; our plans regarding remediation of 2007 material weaknesses and expectations regarding the effectiveness of those remediation efforts; our plan regarding dividends; our plan regarding forward exchange contracts;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risk that our remediation efforts will be insufficient to address our material weaknesses in internal controls; and the outcome of pending or future litigation and legal proceedings.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80" w:firstLine="243"/>
        <w:spacing w:after="0" w:line="342"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w:t>
      </w:r>
    </w:p>
    <w:p>
      <w:pPr>
        <w:sectPr>
          <w:pgSz w:w="11900" w:h="16867" w:orient="portrait"/>
          <w:cols w:equalWidth="0" w:num="1">
            <w:col w:w="11420"/>
          </w:cols>
          <w:pgMar w:left="240" w:top="125" w:right="239" w:bottom="0" w:gutter="0" w:footer="0" w:header="0"/>
        </w:sectPr>
      </w:pPr>
    </w:p>
    <w:bookmarkStart w:id="26" w:name="page27"/>
    <w:bookmarkEnd w:id="26"/>
    <w:p>
      <w:pPr>
        <w:ind w:right="200"/>
        <w:spacing w:after="0" w:line="259" w:lineRule="auto"/>
        <w:rPr>
          <w:sz w:val="20"/>
          <w:szCs w:val="20"/>
          <w:color w:val="auto"/>
        </w:rPr>
      </w:pPr>
      <w:r>
        <w:rPr>
          <w:rFonts w:ascii="Arial" w:cs="Arial" w:eastAsia="Arial" w:hAnsi="Arial"/>
          <w:sz w:val="18"/>
          <w:szCs w:val="18"/>
          <w:color w:val="auto"/>
        </w:rPr>
        <w:t>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270" w:lineRule="auto"/>
        <w:rPr>
          <w:sz w:val="20"/>
          <w:szCs w:val="20"/>
          <w:color w:val="auto"/>
        </w:rPr>
      </w:pPr>
      <w:r>
        <w:rPr>
          <w:rFonts w:ascii="Arial" w:cs="Arial" w:eastAsia="Arial" w:hAnsi="Arial"/>
          <w:sz w:val="17"/>
          <w:szCs w:val="17"/>
          <w:color w:val="auto"/>
        </w:rPr>
        <w:t>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In June 2003, we acquired RADLAN Computer Communications Ltd. (RADLAN), a leading provider of embedded networking software, for aggregate consideration to date of approximately $134.7 million. In November 2005, we acquired the hard disk and tape drive controller business of QLogic Corporation for approximately $232.5 million. The acquired business designs and supplies controller chips for data storage peripherals, such as hard disk and tape drives. In February 2006, we acquired the semiconductor design business of UTStarcom, Inc. for $24.8 million. The semiconductor design business of UTStarcom designs and supplies chipsets for cellular phone applications. In May 2006, we acquired the printer semiconductor business of Avago Technologies Limited for $240.0 million and potential additional earnout payments. This business designs and develops system-on-chip and system level solutions for both inkjet and laser jet printer systems.</w:t>
      </w:r>
    </w:p>
    <w:p>
      <w:pPr>
        <w:spacing w:after="0" w:line="182"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(WLAN)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80" w:firstLine="304"/>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and shipment will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right="40" w:firstLine="259"/>
        <w:spacing w:after="0" w:line="342"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2007 comprised 52 weeks.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Restatement Adjustments - Stock Based Compensation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Background</w:t>
      </w:r>
    </w:p>
    <w:p>
      <w:pPr>
        <w:spacing w:after="0" w:line="225" w:lineRule="exact"/>
        <w:rPr>
          <w:sz w:val="20"/>
          <w:szCs w:val="20"/>
          <w:color w:val="auto"/>
        </w:rPr>
      </w:pPr>
    </w:p>
    <w:p>
      <w:pPr>
        <w:ind w:right="60" w:firstLine="360"/>
        <w:spacing w:after="0" w:line="273" w:lineRule="auto"/>
        <w:rPr>
          <w:sz w:val="20"/>
          <w:szCs w:val="20"/>
          <w:color w:val="auto"/>
        </w:rPr>
      </w:pPr>
      <w:r>
        <w:rPr>
          <w:rFonts w:ascii="Arial" w:cs="Arial" w:eastAsia="Arial" w:hAnsi="Arial"/>
          <w:sz w:val="17"/>
          <w:szCs w:val="17"/>
          <w:color w:val="auto"/>
        </w:rPr>
        <w:t>On about May 23, 2006, our Chief Executive Officer initiated a review of our past stock option granting practices. Then on May 25, 2006, the Board appointed a committee, chaired by and consisting solely of an independent and disinterested member of the Audit Committee who had no prior involvement in the stock option process, to conduct the internal review of our historical stock option practices and related accounting matters. This committee retained outside legal counsel at the time to assist with this internal review. In June and July 2006, this committee identified various stock option grants as having been potentially selected with the benefit of hindsight. During this time we were also named as a nominal defendant, and a number of our current and former directors and officers were named as defendants, in purported shareholder derivative actions.</w:t>
      </w:r>
    </w:p>
    <w:p>
      <w:pPr>
        <w:spacing w:after="0" w:line="178" w:lineRule="exact"/>
        <w:rPr>
          <w:sz w:val="20"/>
          <w:szCs w:val="20"/>
          <w:color w:val="auto"/>
        </w:rPr>
      </w:pPr>
    </w:p>
    <w:p>
      <w:pPr>
        <w:ind w:right="120" w:firstLine="360"/>
        <w:spacing w:after="0" w:line="255" w:lineRule="auto"/>
        <w:rPr>
          <w:sz w:val="20"/>
          <w:szCs w:val="20"/>
          <w:color w:val="auto"/>
        </w:rPr>
      </w:pPr>
      <w:r>
        <w:rPr>
          <w:rFonts w:ascii="Arial" w:cs="Arial" w:eastAsia="Arial" w:hAnsi="Arial"/>
          <w:sz w:val="18"/>
          <w:szCs w:val="18"/>
          <w:color w:val="auto"/>
        </w:rPr>
        <w:t>During this time, we were informed that our outside legal counsel at the time could not represent both the independent committee and us, particularly if that independent committee was going to evaluate and address matters raised by the derivative actions. Our Board met on July 19, 2006 and appointed a successor special committee, titled the Special Committee Regarding Derivative Litigation, to assume responsibility for the stock option review and to evaluate and address matters raised by the derivative action (the “Special Committee”). The same independent director continued as the sole member of the Special Committee and, after consideration of a number of firms, selected new, independent counsel to represent the Special Committee. The Special Committee subsequently retained a second independent law firm (collectively “Independent Counsel”). Independent Counsel retained forensic accounting experts to assist in the internal review.</w:t>
      </w:r>
    </w:p>
    <w:p>
      <w:pPr>
        <w:spacing w:after="0" w:line="189"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The Special Committee reported its preliminary findings on quantitative issues to the Audit Committee and the Board on September 28, 2006. Based on the report of the Special Committee, and upon the recommendation of management and the Audit Committee, the Board concluded on October 2, 2006, that we would need to restate our historical financial statements to record additional non-cash charges for stock-based compensation expense related to past option grants and that the historical financial statements and all earnings press releases and similar communications issued by us relating to periods beginning on or after our initial public offering in June 2000 should no longer be relied upon. We reported these conclusions in a current report on Form 8-K filed on the same day.</w:t>
      </w:r>
    </w:p>
    <w:p>
      <w:pPr>
        <w:spacing w:after="0" w:line="200" w:lineRule="exact"/>
        <w:rPr>
          <w:sz w:val="20"/>
          <w:szCs w:val="20"/>
          <w:color w:val="auto"/>
        </w:rPr>
      </w:pPr>
    </w:p>
    <w:p>
      <w:pPr>
        <w:spacing w:after="0" w:line="2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On February 7, 2007, the former General Counsel of our U.S. subsidiary, Marvell Semiconductor, Inc. (“MSI”), who was a subject of the internal review, raised allegations regarding the independence of the sole member of the Special Committee. Our Audit Committee thereafter formed a subcommittee consisting of the Chairman of the Audit Committee to investigate the matter. The subcommittee appointed a former federal judge to serve as independent reviewer for the subcommittee who in turn retained independent counsel. Although the independent reviewer made no findings as to the truth of the allegations themselves and expressed substantial doubt regarding their credibility, he nevertheless concluded that the independent director should step down from the Special Committee to ensure compliance with the stringent independence standards developed by courts reviewing the independence of special litigation committees formed to assess the merits of shareholder derivative litigation. The subcommittee also found that the General Counsel violated our Code of Ethics and Business Conduct for not reporting the allegations timely. The subcommittee accepted the findings of the independent reviewer. We have since terminated the General Counsel for the violation. On March 30, 2007, the independent director resigned from the Special Committee and the Board</w:t>
      </w:r>
    </w:p>
    <w:p>
      <w:pPr>
        <w:sectPr>
          <w:pgSz w:w="11900" w:h="16838" w:orient="portrait"/>
          <w:cols w:equalWidth="0" w:num="1">
            <w:col w:w="11400"/>
          </w:cols>
          <w:pgMar w:left="240" w:top="125" w:right="259" w:bottom="0" w:gutter="0" w:footer="0" w:header="0"/>
        </w:sectPr>
      </w:pPr>
    </w:p>
    <w:bookmarkStart w:id="27" w:name="page28"/>
    <w:bookmarkEnd w:id="27"/>
    <w:p>
      <w:pPr>
        <w:spacing w:after="0" w:line="73" w:lineRule="exact"/>
        <w:rPr>
          <w:sz w:val="20"/>
          <w:szCs w:val="20"/>
          <w:color w:val="auto"/>
        </w:rPr>
      </w:pPr>
    </w:p>
    <w:p>
      <w:pPr>
        <w:ind w:right="640"/>
        <w:spacing w:after="0" w:line="342" w:lineRule="auto"/>
        <w:rPr>
          <w:sz w:val="20"/>
          <w:szCs w:val="20"/>
          <w:color w:val="auto"/>
        </w:rPr>
      </w:pPr>
      <w:r>
        <w:rPr>
          <w:rFonts w:ascii="Arial" w:cs="Arial" w:eastAsia="Arial" w:hAnsi="Arial"/>
          <w:sz w:val="16"/>
          <w:szCs w:val="16"/>
          <w:color w:val="auto"/>
        </w:rPr>
        <w:t>appointed two independent non-director members to the Special Committee to continue the review of our historical stock option practices and related accounting matters, which action is permitted under our bye-laws. As a result, the Special Committee thereafter comprised two non-directors.</w:t>
      </w:r>
    </w:p>
    <w:p>
      <w:pPr>
        <w:spacing w:after="0" w:line="124" w:lineRule="exact"/>
        <w:rPr>
          <w:sz w:val="20"/>
          <w:szCs w:val="20"/>
          <w:color w:val="auto"/>
        </w:rPr>
      </w:pPr>
    </w:p>
    <w:p>
      <w:pPr>
        <w:ind w:firstLine="360"/>
        <w:spacing w:after="0" w:line="259" w:lineRule="auto"/>
        <w:rPr>
          <w:sz w:val="20"/>
          <w:szCs w:val="20"/>
          <w:color w:val="auto"/>
        </w:rPr>
      </w:pPr>
      <w:r>
        <w:rPr>
          <w:rFonts w:ascii="Arial" w:cs="Arial" w:eastAsia="Arial" w:hAnsi="Arial"/>
          <w:sz w:val="18"/>
          <w:szCs w:val="18"/>
          <w:color w:val="auto"/>
        </w:rPr>
        <w:t>On April 27, 2007, the Special Committee reported its findings to the Board of Directors and to the Implementation Committee, which consists of three independent members of the Board. The Implementation Committee was formed by the Board on April 26, 2007 to make such decisions and take such action as the committee determines to be appropriate in light of the Special Committee’s findings and recommendations. On May 8, 2007, we disclosed on Form 8-K the completion of the independent review.</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Findings of the Special Committee</w:t>
      </w:r>
    </w:p>
    <w:p>
      <w:pPr>
        <w:spacing w:after="0" w:line="225" w:lineRule="exact"/>
        <w:rPr>
          <w:sz w:val="20"/>
          <w:szCs w:val="20"/>
          <w:color w:val="auto"/>
        </w:rPr>
      </w:pPr>
    </w:p>
    <w:p>
      <w:pPr>
        <w:ind w:right="20" w:firstLine="360"/>
        <w:spacing w:after="0" w:line="255" w:lineRule="auto"/>
        <w:rPr>
          <w:sz w:val="20"/>
          <w:szCs w:val="20"/>
          <w:color w:val="auto"/>
        </w:rPr>
      </w:pPr>
      <w:r>
        <w:rPr>
          <w:rFonts w:ascii="Arial" w:cs="Arial" w:eastAsia="Arial" w:hAnsi="Arial"/>
          <w:sz w:val="18"/>
          <w:szCs w:val="18"/>
          <w:color w:val="auto"/>
        </w:rPr>
        <w:t>From our initial public offering through June 9, 2006 (the “Relevant Period”), option grants awarded to employees who were not then executive officers, as defined in Section 16 of the Securities Exchange Act of 1934, as amended (“Section 16 Officers”), were awarded either by the Board of Directors or the Stock Option Committee of the Board. The Stock Option Committee was formed by the Board of Directors in December 2000 and consisted of the Chief Executive Officer and the former Executive Vice President and Chief Operating Officer. Pursuant to authority delegated by the Board of Directors under Marvell’s 1995 Stock Option Plan, the Stock Option Committee was empowered to act jointly. The Stock Option Committee awarded all grants to non-executive employees after its formation until June 9, 2006.</w:t>
      </w:r>
    </w:p>
    <w:p>
      <w:pPr>
        <w:spacing w:after="0" w:line="193" w:lineRule="exact"/>
        <w:rPr>
          <w:sz w:val="20"/>
          <w:szCs w:val="20"/>
          <w:color w:val="auto"/>
        </w:rPr>
      </w:pPr>
    </w:p>
    <w:p>
      <w:pPr>
        <w:ind w:right="60" w:firstLine="360"/>
        <w:spacing w:after="0" w:line="276" w:lineRule="auto"/>
        <w:rPr>
          <w:sz w:val="20"/>
          <w:szCs w:val="20"/>
          <w:color w:val="auto"/>
        </w:rPr>
      </w:pPr>
      <w:r>
        <w:rPr>
          <w:rFonts w:ascii="Arial" w:cs="Arial" w:eastAsia="Arial" w:hAnsi="Arial"/>
          <w:sz w:val="17"/>
          <w:szCs w:val="17"/>
          <w:color w:val="auto"/>
        </w:rPr>
        <w:t>The Special Committee concluded that only one member of the Stock Option Committee was actively involved in the grant approval process. Of the 59 minutes of meetings of the Stock Option Committee, all of which were prepared by or under the direction of the former General Counsel of MSI, only the first set of minutes were separately prepared for each member’s signature and signed by each of them; subsequently the minutes were only prepared for one member to sign and only one member signed those minutes. Additionally, the Special Committee determined that the Stock Option Committee conducted no meetings with respect to option grants and that minutes reflecting such meetings were false.</w:t>
      </w:r>
    </w:p>
    <w:p>
      <w:pPr>
        <w:spacing w:after="0" w:line="173" w:lineRule="exact"/>
        <w:rPr>
          <w:sz w:val="20"/>
          <w:szCs w:val="20"/>
          <w:color w:val="auto"/>
        </w:rPr>
      </w:pPr>
    </w:p>
    <w:p>
      <w:pPr>
        <w:ind w:right="460" w:firstLine="360"/>
        <w:spacing w:after="0" w:line="277" w:lineRule="auto"/>
        <w:rPr>
          <w:sz w:val="20"/>
          <w:szCs w:val="20"/>
          <w:color w:val="auto"/>
        </w:rPr>
      </w:pPr>
      <w:r>
        <w:rPr>
          <w:rFonts w:ascii="Arial" w:cs="Arial" w:eastAsia="Arial" w:hAnsi="Arial"/>
          <w:sz w:val="18"/>
          <w:szCs w:val="18"/>
          <w:color w:val="auto"/>
        </w:rPr>
        <w:t>The Special Committee determined that in a substantial number of instances grant dates were chosen with the benefit of hindsight, so as to provide exercise prices lower than the fair market value on the actual measurement date.</w:t>
      </w:r>
    </w:p>
    <w:p>
      <w:pPr>
        <w:spacing w:after="0" w:line="170" w:lineRule="exact"/>
        <w:rPr>
          <w:sz w:val="20"/>
          <w:szCs w:val="20"/>
          <w:color w:val="auto"/>
        </w:rPr>
      </w:pPr>
    </w:p>
    <w:p>
      <w:pPr>
        <w:ind w:right="120" w:firstLine="360"/>
        <w:spacing w:after="0" w:line="264" w:lineRule="auto"/>
        <w:rPr>
          <w:sz w:val="20"/>
          <w:szCs w:val="20"/>
          <w:color w:val="auto"/>
        </w:rPr>
      </w:pPr>
      <w:r>
        <w:rPr>
          <w:rFonts w:ascii="Arial" w:cs="Arial" w:eastAsia="Arial" w:hAnsi="Arial"/>
          <w:sz w:val="18"/>
          <w:szCs w:val="18"/>
          <w:color w:val="auto"/>
        </w:rPr>
        <w:t>In addition to the foregoing, the review determined that false documentation supporting new hires was employed to reflect start dates that preceded the actual first day of employment, and to reflect secondary grant authorizations as if they occurred on dates prior to the original grant date, which facilitated giving the employees favorable prices.</w:t>
      </w:r>
    </w:p>
    <w:p>
      <w:pPr>
        <w:spacing w:after="0" w:line="181" w:lineRule="exact"/>
        <w:rPr>
          <w:sz w:val="20"/>
          <w:szCs w:val="20"/>
          <w:color w:val="auto"/>
        </w:rPr>
      </w:pPr>
    </w:p>
    <w:p>
      <w:pPr>
        <w:ind w:firstLine="360"/>
        <w:spacing w:after="0" w:line="257" w:lineRule="auto"/>
        <w:rPr>
          <w:sz w:val="20"/>
          <w:szCs w:val="20"/>
          <w:color w:val="auto"/>
        </w:rPr>
      </w:pPr>
      <w:r>
        <w:rPr>
          <w:rFonts w:ascii="Arial" w:cs="Arial" w:eastAsia="Arial" w:hAnsi="Arial"/>
          <w:sz w:val="18"/>
          <w:szCs w:val="18"/>
          <w:color w:val="auto"/>
        </w:rPr>
        <w:t>From our initial public offering in June 2000 through February 28, 2002, grants to our former Chief Financial Officer were awarded only by the Stock Option Committee. The Stock Option Committee was not advised that it lacked the authority to make such awards. Furthermore, the first award made to our former Chief Financial Officer by the Executive Compensation Committee dated October 16, 2002 was backdated and the Special Committee found that the former General Counsel misled the Executive Compensation Committee with respect to the facts and circumstances surrounding the grant, including the grant date.</w:t>
      </w:r>
    </w:p>
    <w:p>
      <w:pPr>
        <w:spacing w:after="0" w:line="188" w:lineRule="exact"/>
        <w:rPr>
          <w:sz w:val="20"/>
          <w:szCs w:val="20"/>
          <w:color w:val="auto"/>
        </w:rPr>
      </w:pPr>
    </w:p>
    <w:p>
      <w:pPr>
        <w:ind w:firstLine="360"/>
        <w:spacing w:after="0" w:line="255" w:lineRule="auto"/>
        <w:rPr>
          <w:sz w:val="20"/>
          <w:szCs w:val="20"/>
          <w:color w:val="auto"/>
        </w:rPr>
      </w:pPr>
      <w:r>
        <w:rPr>
          <w:rFonts w:ascii="Arial" w:cs="Arial" w:eastAsia="Arial" w:hAnsi="Arial"/>
          <w:sz w:val="18"/>
          <w:szCs w:val="18"/>
          <w:color w:val="auto"/>
        </w:rPr>
        <w:t>During the Relevant Period, option grants to Section 16 Officers and members of the Board of Directors were approved by the Board of Directors or the Executive Compensation Committee or made pursuant to the Automatic Director Grant Program under the 1997 Directors’ Stock Option Plan. In the absence of a meeting, grant approvals by the Executive Compensation Committee were documented via written consents, which were dated “as of” a specified date but signed at a later time. The Executive Compensation Committee comprised three to four independent members of the Board over the Relevant Period. The Special Committee found that current board members who had served or are serving on the Executive Compensation Committee had not engaged in impropriety or intentional backdating with the benefit of hindsight.</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60"/>
        <w:spacing w:after="0" w:line="264" w:lineRule="auto"/>
        <w:rPr>
          <w:sz w:val="20"/>
          <w:szCs w:val="20"/>
          <w:color w:val="auto"/>
        </w:rPr>
      </w:pPr>
      <w:r>
        <w:rPr>
          <w:rFonts w:ascii="Arial" w:cs="Arial" w:eastAsia="Arial" w:hAnsi="Arial"/>
          <w:sz w:val="18"/>
          <w:szCs w:val="18"/>
          <w:color w:val="auto"/>
        </w:rPr>
        <w:t>The Special Committee found evidence of recommendations made by representatives of Human Resources and Finance and our external auditors between 2000 and 20004 to grant options on fixed grant dates. In August 2004, we implemented revisions to our stock option grant processes and procedures new hire and secondary grants that generally followed a fixed grant date schedule.</w:t>
      </w:r>
    </w:p>
    <w:p>
      <w:pPr>
        <w:spacing w:after="0" w:line="181" w:lineRule="exact"/>
        <w:rPr>
          <w:sz w:val="20"/>
          <w:szCs w:val="20"/>
          <w:color w:val="auto"/>
        </w:rPr>
      </w:pPr>
    </w:p>
    <w:p>
      <w:pPr>
        <w:ind w:right="20" w:firstLine="360"/>
        <w:spacing w:after="0" w:line="264" w:lineRule="auto"/>
        <w:rPr>
          <w:sz w:val="20"/>
          <w:szCs w:val="20"/>
          <w:color w:val="auto"/>
        </w:rPr>
      </w:pPr>
      <w:r>
        <w:rPr>
          <w:rFonts w:ascii="Arial" w:cs="Arial" w:eastAsia="Arial" w:hAnsi="Arial"/>
          <w:sz w:val="18"/>
          <w:szCs w:val="18"/>
          <w:color w:val="auto"/>
        </w:rPr>
        <w:t>For the period from our initial public offering in June 2000 through June 2006, the Special Committee found a systemic failure in controls over the stock option process, and that corporate documents, including our SEC filings on Form 10-K and Form 10-Q and proxy statements, were false in relation to the accounting and related disclosure covering stock option matters.</w:t>
      </w:r>
    </w:p>
    <w:p>
      <w:pPr>
        <w:spacing w:after="0" w:line="18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Special Committee found that certain individuals had varying degrees of responsibility for the lack of controls and the inappropriate grant practices.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As to the following individuals, the Special Committee concluded among other things:</w:t>
      </w:r>
    </w:p>
    <w:p>
      <w:pPr>
        <w:spacing w:after="0" w:line="211"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color w:val="auto"/>
        </w:rPr>
        <w:t>Matthew Gloss, MSI’s corporate counsel from April 2000 until February 2001 and thereafter its Vice President and subsequently, General Counsel until his termination in March 2007, failed to properly advise upper management, including Dr. Sutardja and Ms. Dai, about their responsibilities and duties regarding stock options and other financial filings. The minutes of the Stock Option Committee were prepared by or at the direction of Matthew Gloss. Mr. Gloss was also found to have misled the Executive Compensation Committee by creating false minutes and unanimous written consents including in one instance adding or directing the addition of a grant date to a unanimous written consent after that unanimous written consent was executed, or by creating minutes that were incomplete, inaccurate or misleading. He also failed to establish proper controls over the stock option process despite being on notice of various control problems.</w:t>
      </w:r>
    </w:p>
    <w:p>
      <w:pPr>
        <w:spacing w:after="0" w:line="189" w:lineRule="exact"/>
        <w:rPr>
          <w:sz w:val="20"/>
          <w:szCs w:val="20"/>
          <w:color w:val="auto"/>
        </w:rPr>
      </w:pPr>
    </w:p>
    <w:p>
      <w:pPr>
        <w:ind w:right="100" w:firstLine="360"/>
        <w:spacing w:after="0" w:line="257" w:lineRule="auto"/>
        <w:rPr>
          <w:sz w:val="20"/>
          <w:szCs w:val="20"/>
          <w:color w:val="auto"/>
        </w:rPr>
      </w:pPr>
      <w:r>
        <w:rPr>
          <w:rFonts w:ascii="Arial" w:cs="Arial" w:eastAsia="Arial" w:hAnsi="Arial"/>
          <w:sz w:val="18"/>
          <w:szCs w:val="18"/>
          <w:color w:val="auto"/>
        </w:rPr>
        <w:t>George A. Hervey, Marvell’s Vice President and Chief Financial Officer throughout the Relevant Period until his resignation in May 2007, failed to properly advise upper management, including Dr. Sutardja and Ms. Dai, about their responsibilities and duties regarding stock options and other financial filings. Mr. Hervey also was found to have been aware of awarding options to two employees prior to their start date. He also failed to establish a system of proper controls despite being on notice of repeated concerns raised by others regarding the stock option process. He signed inaccurate external documents, including our SEC filings and financial statements.</w:t>
      </w:r>
    </w:p>
    <w:p>
      <w:pPr>
        <w:spacing w:after="0" w:line="188" w:lineRule="exact"/>
        <w:rPr>
          <w:sz w:val="20"/>
          <w:szCs w:val="20"/>
          <w:color w:val="auto"/>
        </w:rPr>
      </w:pPr>
    </w:p>
    <w:p>
      <w:pPr>
        <w:ind w:right="20" w:firstLine="360"/>
        <w:spacing w:after="0" w:line="312" w:lineRule="auto"/>
        <w:rPr>
          <w:sz w:val="20"/>
          <w:szCs w:val="20"/>
          <w:color w:val="auto"/>
        </w:rPr>
      </w:pPr>
      <w:r>
        <w:rPr>
          <w:rFonts w:ascii="Arial" w:cs="Arial" w:eastAsia="Arial" w:hAnsi="Arial"/>
          <w:sz w:val="16"/>
          <w:szCs w:val="16"/>
          <w:color w:val="auto"/>
        </w:rPr>
        <w:t>Weili Dai, Marvell’s former Board member, who served as our Executive Vice President and General Manager of the Communications Business Group from 1999 to April 2006 and thereafter also as our Chief Operating Officer until she resigned from such positions in May 2007, played a central role in all Stock Option Committee grants. Ms. Dai participated in the selection of grant dates with the benefit of hindsight and signed false minutes and other employee</w:t>
      </w:r>
    </w:p>
    <w:p>
      <w:pPr>
        <w:sectPr>
          <w:pgSz w:w="11900" w:h="16912" w:orient="portrait"/>
          <w:cols w:equalWidth="0" w:num="1">
            <w:col w:w="11400"/>
          </w:cols>
          <w:pgMar w:left="240" w:top="125" w:right="259" w:bottom="0" w:gutter="0" w:footer="0" w:header="0"/>
        </w:sectPr>
      </w:pPr>
    </w:p>
    <w:bookmarkStart w:id="28" w:name="page29"/>
    <w:bookmarkEnd w:id="28"/>
    <w:p>
      <w:pPr>
        <w:spacing w:after="0" w:line="5" w:lineRule="exact"/>
        <w:rPr>
          <w:sz w:val="20"/>
          <w:szCs w:val="20"/>
          <w:color w:val="auto"/>
        </w:rPr>
      </w:pPr>
    </w:p>
    <w:p>
      <w:pPr>
        <w:ind w:right="200"/>
        <w:spacing w:after="0" w:line="286" w:lineRule="auto"/>
        <w:rPr>
          <w:sz w:val="20"/>
          <w:szCs w:val="20"/>
          <w:color w:val="auto"/>
        </w:rPr>
      </w:pPr>
      <w:r>
        <w:rPr>
          <w:rFonts w:ascii="Arial" w:cs="Arial" w:eastAsia="Arial" w:hAnsi="Arial"/>
          <w:sz w:val="17"/>
          <w:szCs w:val="17"/>
          <w:color w:val="auto"/>
        </w:rPr>
        <w:t>related corporate documents. The Special Committee also found that she failed to establish proper internal controls and failed to exercise proper review and inquiry as an officer. Certain individuals involved in the process said that they did not feel able to provide her with frank advice. She signed inaccurate external documents, including 10-K’s and proxy statements. She did not personally benefit from any of the grants she approved.</w:t>
      </w:r>
    </w:p>
    <w:p>
      <w:pPr>
        <w:spacing w:after="0" w:line="166" w:lineRule="exact"/>
        <w:rPr>
          <w:sz w:val="20"/>
          <w:szCs w:val="20"/>
          <w:color w:val="auto"/>
        </w:rPr>
      </w:pPr>
    </w:p>
    <w:p>
      <w:pPr>
        <w:ind w:right="160" w:firstLine="360"/>
        <w:spacing w:after="0" w:line="257" w:lineRule="auto"/>
        <w:rPr>
          <w:sz w:val="20"/>
          <w:szCs w:val="20"/>
          <w:color w:val="auto"/>
        </w:rPr>
      </w:pPr>
      <w:r>
        <w:rPr>
          <w:rFonts w:ascii="Arial" w:cs="Arial" w:eastAsia="Arial" w:hAnsi="Arial"/>
          <w:sz w:val="18"/>
          <w:szCs w:val="18"/>
          <w:color w:val="auto"/>
        </w:rPr>
        <w:t>Dr. Sehat Sutardja, Marvell’s Chairman of the Board, President and Chief Executive Officer, was found to have had a limited role in the stock option process and to have participated in only a few instances in awards with incorrect measurement dates with respect to which he had received no or inadequate advice. He signed inaccurate external documents, including our SEC filings, financial statements, and proxy statements. The Special Committee found that he failed to establish proper internal controls and that certain individuals involved in the process to some extent did not feel able to provide him with frank advice. He did not personally benefit from any of the grants he approved.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Remediation</w:t>
      </w:r>
    </w:p>
    <w:p>
      <w:pPr>
        <w:spacing w:after="0" w:line="225" w:lineRule="exact"/>
        <w:rPr>
          <w:sz w:val="20"/>
          <w:szCs w:val="20"/>
          <w:color w:val="auto"/>
        </w:rPr>
      </w:pPr>
    </w:p>
    <w:p>
      <w:pPr>
        <w:ind w:right="120" w:firstLine="360"/>
        <w:spacing w:after="0" w:line="277" w:lineRule="auto"/>
        <w:rPr>
          <w:sz w:val="20"/>
          <w:szCs w:val="20"/>
          <w:color w:val="auto"/>
        </w:rPr>
      </w:pPr>
      <w:r>
        <w:rPr>
          <w:rFonts w:ascii="Arial" w:cs="Arial" w:eastAsia="Arial" w:hAnsi="Arial"/>
          <w:sz w:val="18"/>
          <w:szCs w:val="18"/>
          <w:color w:val="auto"/>
        </w:rPr>
        <w:t>With respect to the following employees, the Special Committee made recommendations and Marvell’s Implementation Committee has implemented or is in the process of implementing the following remedial steps: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7"/>
          <w:szCs w:val="17"/>
          <w:color w:val="auto"/>
        </w:rPr>
        <w:t>Marvell accepted the resignation of George A. Hervey on May 2, 2007. All unvested stock options previously awarded to him were cancelled.</w:t>
      </w:r>
    </w:p>
    <w:p>
      <w:pPr>
        <w:spacing w:after="0" w:line="237"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The Implementation Committee of the Board of Directors determined, contrary to the recommendation of the Special Committee, that Ms. Dai have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the Board of Directors on Ms. Dai’s activities. Additionally, all of Ms. Dai’s outstanding options that were unvested as of May 6, 2007 have been cancelled and the exercisability of already vested options have been limited, notwithstanding her continued employment.</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360"/>
        <w:spacing w:after="0" w:line="259" w:lineRule="auto"/>
        <w:rPr>
          <w:sz w:val="20"/>
          <w:szCs w:val="20"/>
          <w:color w:val="auto"/>
        </w:rPr>
      </w:pPr>
      <w:r>
        <w:rPr>
          <w:rFonts w:ascii="Arial" w:cs="Arial" w:eastAsia="Arial" w:hAnsi="Arial"/>
          <w:sz w:val="18"/>
          <w:szCs w:val="18"/>
          <w:color w:val="auto"/>
        </w:rPr>
        <w:t>Dr. Sehat Sutardja will remain as Chief Executive Officer and as a member of the Board, but will step down as Chairman of the Board in favor of a non-executive Chairman. Dr. Sutardja agreed to reduce the number of shares received in his December 26, 2003 option grant by 500,000 pre-split shares (2,000,000 post-split shares), which is the amount of underlying shares mistakenly awarded by the Executive Compensation Committee in excess of that authorized under the applicable stock option plan.</w:t>
      </w:r>
    </w:p>
    <w:p>
      <w:pPr>
        <w:spacing w:after="0" w:line="187" w:lineRule="exact"/>
        <w:rPr>
          <w:sz w:val="20"/>
          <w:szCs w:val="20"/>
          <w:color w:val="auto"/>
        </w:rPr>
      </w:pPr>
    </w:p>
    <w:p>
      <w:pPr>
        <w:ind w:firstLine="360"/>
        <w:spacing w:after="0" w:line="289" w:lineRule="auto"/>
        <w:rPr>
          <w:sz w:val="20"/>
          <w:szCs w:val="20"/>
          <w:color w:val="auto"/>
        </w:rPr>
      </w:pPr>
      <w:r>
        <w:rPr>
          <w:rFonts w:ascii="Arial" w:cs="Arial" w:eastAsia="Arial" w:hAnsi="Arial"/>
          <w:sz w:val="16"/>
          <w:szCs w:val="16"/>
          <w:color w:val="auto"/>
        </w:rPr>
        <w:t>In April 2007, the Stock Option Committee was formally dissolved; however, it ceased to function during June 2006 and has granted no options since that time. Currently, the Executive Compensation Committee, comprising two independent Board members, holds periodic meetings to approve equity award grants. The process requires that any proposed equity awards be reviewed in advance by the Human Resources, Legal, Finance and Internal Audit Departments, and requires communication of the details of proposed equity awards to committee members prior to each monthly meeting, as well as awarding recipients promptly after the meeting. Equity awards are priced and valued based upon the closing price of our common stock on the date of the meeting. Decisions of the committee meeting are documented by minutes. Additionally, the Executive Compensation Committee adopted a policy regarding the granting of equity-based compensation awards. Following the Special Committee’s recommendations, we are conducting a search for a new Chief Operating Officer, Chief Financial Officer, General Counsel and Vice President of Compliance. Additionally, the Board’s Governance Committee is conducting a search for three new independent directors to fill existing vacancies. One of these independent directors will succeed Dr. Sutardja as Chairman of the Board.</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Pre-tax Financial Impact of the Equity Award Review</w:t>
      </w:r>
    </w:p>
    <w:p>
      <w:pPr>
        <w:spacing w:after="0" w:line="225" w:lineRule="exact"/>
        <w:rPr>
          <w:sz w:val="20"/>
          <w:szCs w:val="20"/>
          <w:color w:val="auto"/>
        </w:rPr>
      </w:pPr>
    </w:p>
    <w:p>
      <w:pPr>
        <w:ind w:right="200" w:firstLine="360"/>
        <w:spacing w:after="0" w:line="259" w:lineRule="auto"/>
        <w:rPr>
          <w:sz w:val="20"/>
          <w:szCs w:val="20"/>
          <w:color w:val="auto"/>
        </w:rPr>
      </w:pPr>
      <w:r>
        <w:rPr>
          <w:rFonts w:ascii="Arial" w:cs="Arial" w:eastAsia="Arial" w:hAnsi="Arial"/>
          <w:sz w:val="18"/>
          <w:szCs w:val="18"/>
          <w:color w:val="auto"/>
        </w:rPr>
        <w:t>Approximately 74% of shares granted during the Relevant Period were backdated or resulted in additional accounting charges. Of these re-measured grants, the stock prices on the original grant date were lower than the prices on the appropriate measurement dates for 97% of such shares. Substantially all options granted (99% of shares granted during the Relevant Period) have been evaluated for appropriate re-measurement dates under Accounting Principles Board Opinion No. 25 “Accounting for Stock Issued to Employees” (“APB 25”).</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240" w:firstLine="360"/>
        <w:spacing w:after="0" w:line="342" w:lineRule="auto"/>
        <w:rPr>
          <w:sz w:val="20"/>
          <w:szCs w:val="20"/>
          <w:color w:val="auto"/>
        </w:rPr>
      </w:pPr>
      <w:r>
        <w:rPr>
          <w:rFonts w:ascii="Arial" w:cs="Arial" w:eastAsia="Arial" w:hAnsi="Arial"/>
          <w:sz w:val="16"/>
          <w:szCs w:val="16"/>
          <w:color w:val="auto"/>
        </w:rPr>
        <w:t>The types of grant discrepancies uncovered by the internal review (by both the Special Committee and management) and the additional pre-tax stock-compensation expense arising from these adjustments, quantified under APB 25 for periods through fiscal 2006, are summarized as follows (in thousands):</w:t>
      </w:r>
    </w:p>
    <w:p>
      <w:pPr>
        <w:spacing w:after="0" w:line="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gridSpan w:val="2"/>
          </w:tcPr>
          <w:p>
            <w:pPr>
              <w:jc w:val="center"/>
              <w:spacing w:after="0"/>
              <w:rPr>
                <w:sz w:val="20"/>
                <w:szCs w:val="20"/>
                <w:color w:val="auto"/>
              </w:rPr>
            </w:pPr>
            <w:r>
              <w:rPr>
                <w:rFonts w:ascii="Arial" w:cs="Arial" w:eastAsia="Arial" w:hAnsi="Arial"/>
                <w:sz w:val="14"/>
                <w:szCs w:val="14"/>
                <w:b w:val="1"/>
                <w:bCs w:val="1"/>
                <w:color w:val="auto"/>
                <w:w w:val="95"/>
              </w:rPr>
              <w:t>Cumulative</w:t>
            </w:r>
          </w:p>
        </w:tc>
        <w:tc>
          <w:tcPr>
            <w:tcW w:w="220" w:type="dxa"/>
            <w:vAlign w:val="bottom"/>
          </w:tcPr>
          <w:p>
            <w:pPr>
              <w:spacing w:after="0"/>
              <w:rPr>
                <w:sz w:val="14"/>
                <w:szCs w:val="14"/>
                <w:color w:val="auto"/>
              </w:rPr>
            </w:pPr>
          </w:p>
        </w:tc>
        <w:tc>
          <w:tcPr>
            <w:tcW w:w="1040" w:type="dxa"/>
            <w:vAlign w:val="bottom"/>
            <w:gridSpan w:val="3"/>
            <w:vMerge w:val="restart"/>
          </w:tcPr>
          <w:p>
            <w:pPr>
              <w:jc w:val="center"/>
              <w:ind w:right="280"/>
              <w:spacing w:after="0"/>
              <w:rPr>
                <w:sz w:val="20"/>
                <w:szCs w:val="20"/>
                <w:color w:val="auto"/>
              </w:rPr>
            </w:pPr>
            <w:r>
              <w:rPr>
                <w:rFonts w:ascii="Arial" w:cs="Arial" w:eastAsia="Arial" w:hAnsi="Arial"/>
                <w:sz w:val="14"/>
                <w:szCs w:val="14"/>
                <w:b w:val="1"/>
                <w:bCs w:val="1"/>
                <w:color w:val="auto"/>
                <w:w w:val="93"/>
              </w:rPr>
              <w:t>Year Ended</w:t>
            </w:r>
          </w:p>
        </w:tc>
        <w:tc>
          <w:tcPr>
            <w:tcW w:w="78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Pr>
          <w:p>
            <w:pPr>
              <w:spacing w:after="0"/>
              <w:rPr>
                <w:sz w:val="14"/>
                <w:szCs w:val="14"/>
                <w:color w:val="auto"/>
              </w:rPr>
            </w:pPr>
          </w:p>
        </w:tc>
        <w:tc>
          <w:tcPr>
            <w:tcW w:w="840" w:type="dxa"/>
            <w:vAlign w:val="bottom"/>
            <w:gridSpan w:val="2"/>
            <w:vMerge w:val="restart"/>
          </w:tcPr>
          <w:p>
            <w:pPr>
              <w:jc w:val="center"/>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Pr>
          <w:p>
            <w:pPr>
              <w:spacing w:after="0"/>
              <w:rPr>
                <w:sz w:val="14"/>
                <w:szCs w:val="14"/>
                <w:color w:val="auto"/>
              </w:rPr>
            </w:pPr>
          </w:p>
        </w:tc>
        <w:tc>
          <w:tcPr>
            <w:tcW w:w="98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14"/>
                <w:szCs w:val="14"/>
                <w:color w:val="auto"/>
              </w:rPr>
            </w:pPr>
          </w:p>
        </w:tc>
        <w:tc>
          <w:tcPr>
            <w:tcW w:w="1060" w:type="dxa"/>
            <w:vAlign w:val="bottom"/>
            <w:gridSpan w:val="3"/>
            <w:vMerge w:val="restart"/>
          </w:tcPr>
          <w:p>
            <w:pPr>
              <w:jc w:val="center"/>
              <w:ind w:right="300"/>
              <w:spacing w:after="0"/>
              <w:rPr>
                <w:sz w:val="20"/>
                <w:szCs w:val="20"/>
                <w:color w:val="auto"/>
              </w:rPr>
            </w:pPr>
            <w:r>
              <w:rPr>
                <w:rFonts w:ascii="Arial" w:cs="Arial" w:eastAsia="Arial" w:hAnsi="Arial"/>
                <w:sz w:val="14"/>
                <w:szCs w:val="14"/>
                <w:b w:val="1"/>
                <w:bCs w:val="1"/>
                <w:color w:val="auto"/>
                <w:w w:val="93"/>
              </w:rPr>
              <w:t>Year Ended</w:t>
            </w:r>
          </w:p>
        </w:tc>
        <w:tc>
          <w:tcPr>
            <w:tcW w:w="90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1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jc w:val="center"/>
              <w:ind w:right="54"/>
              <w:spacing w:after="0" w:line="135" w:lineRule="exact"/>
              <w:rPr>
                <w:sz w:val="20"/>
                <w:szCs w:val="20"/>
                <w:color w:val="auto"/>
              </w:rPr>
            </w:pPr>
            <w:r>
              <w:rPr>
                <w:rFonts w:ascii="Arial" w:cs="Arial" w:eastAsia="Arial" w:hAnsi="Arial"/>
                <w:sz w:val="14"/>
                <w:szCs w:val="14"/>
                <w:b w:val="1"/>
                <w:bCs w:val="1"/>
                <w:color w:val="auto"/>
                <w:w w:val="90"/>
              </w:rPr>
              <w:t>through</w:t>
            </w:r>
          </w:p>
        </w:tc>
        <w:tc>
          <w:tcPr>
            <w:tcW w:w="220" w:type="dxa"/>
            <w:vAlign w:val="bottom"/>
          </w:tcPr>
          <w:p>
            <w:pPr>
              <w:spacing w:after="0"/>
              <w:rPr>
                <w:sz w:val="11"/>
                <w:szCs w:val="11"/>
                <w:color w:val="auto"/>
              </w:rPr>
            </w:pPr>
          </w:p>
        </w:tc>
        <w:tc>
          <w:tcPr>
            <w:tcW w:w="1040" w:type="dxa"/>
            <w:vAlign w:val="bottom"/>
            <w:gridSpan w:val="3"/>
            <w:vMerge w:val="continue"/>
          </w:tcPr>
          <w:p>
            <w:pPr>
              <w:spacing w:after="0"/>
              <w:rPr>
                <w:sz w:val="11"/>
                <w:szCs w:val="11"/>
                <w:color w:val="auto"/>
              </w:rPr>
            </w:pPr>
          </w:p>
        </w:tc>
        <w:tc>
          <w:tcPr>
            <w:tcW w:w="78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98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1060" w:type="dxa"/>
            <w:vAlign w:val="bottom"/>
            <w:gridSpan w:val="3"/>
            <w:vMerge w:val="continue"/>
          </w:tcPr>
          <w:p>
            <w:pPr>
              <w:spacing w:after="0"/>
              <w:rPr>
                <w:sz w:val="11"/>
                <w:szCs w:val="11"/>
                <w:color w:val="auto"/>
              </w:rPr>
            </w:pPr>
          </w:p>
        </w:tc>
        <w:tc>
          <w:tcPr>
            <w:tcW w:w="90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35"/>
        </w:trPr>
        <w:tc>
          <w:tcPr>
            <w:tcW w:w="1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January 28,</w:t>
            </w:r>
          </w:p>
        </w:tc>
        <w:tc>
          <w:tcPr>
            <w:tcW w:w="220" w:type="dxa"/>
            <w:vAlign w:val="bottom"/>
          </w:tcPr>
          <w:p>
            <w:pPr>
              <w:spacing w:after="0"/>
              <w:rPr>
                <w:sz w:val="11"/>
                <w:szCs w:val="11"/>
                <w:color w:val="auto"/>
              </w:rPr>
            </w:pPr>
          </w:p>
        </w:tc>
        <w:tc>
          <w:tcPr>
            <w:tcW w:w="1040" w:type="dxa"/>
            <w:vAlign w:val="bottom"/>
            <w:gridSpan w:val="3"/>
          </w:tcPr>
          <w:p>
            <w:pPr>
              <w:jc w:val="center"/>
              <w:ind w:right="280"/>
              <w:spacing w:after="0" w:line="135" w:lineRule="exact"/>
              <w:rPr>
                <w:sz w:val="20"/>
                <w:szCs w:val="20"/>
                <w:color w:val="auto"/>
              </w:rPr>
            </w:pPr>
            <w:r>
              <w:rPr>
                <w:rFonts w:ascii="Arial" w:cs="Arial" w:eastAsia="Arial" w:hAnsi="Arial"/>
                <w:sz w:val="14"/>
                <w:szCs w:val="14"/>
                <w:b w:val="1"/>
                <w:bCs w:val="1"/>
                <w:color w:val="auto"/>
                <w:w w:val="93"/>
              </w:rPr>
              <w:t>January 28,</w:t>
            </w:r>
          </w:p>
        </w:tc>
        <w:tc>
          <w:tcPr>
            <w:tcW w:w="78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January 29,</w:t>
            </w:r>
          </w:p>
        </w:tc>
        <w:tc>
          <w:tcPr>
            <w:tcW w:w="220" w:type="dxa"/>
            <w:vAlign w:val="bottom"/>
          </w:tcPr>
          <w:p>
            <w:pPr>
              <w:spacing w:after="0"/>
              <w:rPr>
                <w:sz w:val="11"/>
                <w:szCs w:val="11"/>
                <w:color w:val="auto"/>
              </w:rPr>
            </w:pPr>
          </w:p>
        </w:tc>
        <w:tc>
          <w:tcPr>
            <w:tcW w:w="84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3"/>
              </w:rPr>
              <w:t>January 31,</w:t>
            </w:r>
          </w:p>
        </w:tc>
        <w:tc>
          <w:tcPr>
            <w:tcW w:w="220" w:type="dxa"/>
            <w:vAlign w:val="bottom"/>
          </w:tcPr>
          <w:p>
            <w:pPr>
              <w:spacing w:after="0"/>
              <w:rPr>
                <w:sz w:val="11"/>
                <w:szCs w:val="11"/>
                <w:color w:val="auto"/>
              </w:rPr>
            </w:pPr>
          </w:p>
        </w:tc>
        <w:tc>
          <w:tcPr>
            <w:tcW w:w="980" w:type="dxa"/>
            <w:vAlign w:val="bottom"/>
            <w:gridSpan w:val="3"/>
          </w:tcPr>
          <w:p>
            <w:pPr>
              <w:jc w:val="center"/>
              <w:ind w:right="200"/>
              <w:spacing w:after="0" w:line="135" w:lineRule="exact"/>
              <w:rPr>
                <w:sz w:val="20"/>
                <w:szCs w:val="20"/>
                <w:color w:val="auto"/>
              </w:rPr>
            </w:pPr>
            <w:r>
              <w:rPr>
                <w:rFonts w:ascii="Arial" w:cs="Arial" w:eastAsia="Arial" w:hAnsi="Arial"/>
                <w:sz w:val="14"/>
                <w:szCs w:val="14"/>
                <w:b w:val="1"/>
                <w:bCs w:val="1"/>
                <w:color w:val="auto"/>
                <w:w w:val="97"/>
              </w:rPr>
              <w:t>February 1,</w:t>
            </w:r>
          </w:p>
        </w:tc>
        <w:tc>
          <w:tcPr>
            <w:tcW w:w="80" w:type="dxa"/>
            <w:vAlign w:val="bottom"/>
          </w:tcPr>
          <w:p>
            <w:pPr>
              <w:spacing w:after="0"/>
              <w:rPr>
                <w:sz w:val="11"/>
                <w:szCs w:val="11"/>
                <w:color w:val="auto"/>
              </w:rPr>
            </w:pPr>
          </w:p>
        </w:tc>
        <w:tc>
          <w:tcPr>
            <w:tcW w:w="1060" w:type="dxa"/>
            <w:vAlign w:val="bottom"/>
            <w:gridSpan w:val="3"/>
          </w:tcPr>
          <w:p>
            <w:pPr>
              <w:jc w:val="center"/>
              <w:ind w:right="300"/>
              <w:spacing w:after="0" w:line="135" w:lineRule="exact"/>
              <w:rPr>
                <w:sz w:val="20"/>
                <w:szCs w:val="20"/>
                <w:color w:val="auto"/>
              </w:rPr>
            </w:pPr>
            <w:r>
              <w:rPr>
                <w:rFonts w:ascii="Arial" w:cs="Arial" w:eastAsia="Arial" w:hAnsi="Arial"/>
                <w:sz w:val="14"/>
                <w:szCs w:val="14"/>
                <w:b w:val="1"/>
                <w:bCs w:val="1"/>
                <w:color w:val="auto"/>
                <w:w w:val="95"/>
              </w:rPr>
              <w:t>February 2,</w:t>
            </w:r>
          </w:p>
        </w:tc>
        <w:tc>
          <w:tcPr>
            <w:tcW w:w="100" w:type="dxa"/>
            <w:vAlign w:val="bottom"/>
          </w:tcPr>
          <w:p>
            <w:pPr>
              <w:spacing w:after="0"/>
              <w:rPr>
                <w:sz w:val="11"/>
                <w:szCs w:val="11"/>
                <w:color w:val="auto"/>
              </w:rPr>
            </w:pPr>
          </w:p>
        </w:tc>
        <w:tc>
          <w:tcPr>
            <w:tcW w:w="80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2001 and</w:t>
            </w:r>
          </w:p>
        </w:tc>
        <w:tc>
          <w:tcPr>
            <w:tcW w:w="0" w:type="dxa"/>
            <w:vAlign w:val="bottom"/>
          </w:tcPr>
          <w:p>
            <w:pPr>
              <w:spacing w:after="0"/>
              <w:rPr>
                <w:sz w:val="1"/>
                <w:szCs w:val="1"/>
                <w:color w:val="auto"/>
              </w:rPr>
            </w:pPr>
          </w:p>
        </w:tc>
      </w:tr>
      <w:tr>
        <w:trPr>
          <w:trHeight w:val="162"/>
        </w:trPr>
        <w:tc>
          <w:tcPr>
            <w:tcW w:w="1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jc w:val="center"/>
              <w:ind w:right="54"/>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tcPr>
          <w:p>
            <w:pPr>
              <w:jc w:val="center"/>
              <w:ind w:right="92"/>
              <w:spacing w:after="0"/>
              <w:rPr>
                <w:sz w:val="20"/>
                <w:szCs w:val="20"/>
                <w:color w:val="auto"/>
              </w:rPr>
            </w:pPr>
            <w:r>
              <w:rPr>
                <w:rFonts w:ascii="Arial" w:cs="Arial" w:eastAsia="Arial" w:hAnsi="Arial"/>
                <w:sz w:val="14"/>
                <w:szCs w:val="14"/>
                <w:b w:val="1"/>
                <w:bCs w:val="1"/>
                <w:color w:val="auto"/>
                <w:w w:val="89"/>
              </w:rPr>
              <w:t>2006</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jc w:val="center"/>
              <w:ind w:right="92"/>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tcPr>
          <w:p>
            <w:pPr>
              <w:jc w:val="center"/>
              <w:ind w:right="92"/>
              <w:spacing w:after="0"/>
              <w:rPr>
                <w:sz w:val="20"/>
                <w:szCs w:val="20"/>
                <w:color w:val="auto"/>
              </w:rPr>
            </w:pPr>
            <w:r>
              <w:rPr>
                <w:rFonts w:ascii="Arial" w:cs="Arial" w:eastAsia="Arial" w:hAnsi="Arial"/>
                <w:sz w:val="14"/>
                <w:szCs w:val="14"/>
                <w:b w:val="1"/>
                <w:bCs w:val="1"/>
                <w:color w:val="auto"/>
                <w:w w:val="89"/>
              </w:rPr>
              <w:t>2004</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tcPr>
          <w:p>
            <w:pPr>
              <w:jc w:val="center"/>
              <w:ind w:right="112"/>
              <w:spacing w:after="0"/>
              <w:rPr>
                <w:sz w:val="20"/>
                <w:szCs w:val="20"/>
                <w:color w:val="auto"/>
              </w:rPr>
            </w:pPr>
            <w:r>
              <w:rPr>
                <w:rFonts w:ascii="Arial" w:cs="Arial" w:eastAsia="Arial" w:hAnsi="Arial"/>
                <w:sz w:val="14"/>
                <w:szCs w:val="14"/>
                <w:b w:val="1"/>
                <w:bCs w:val="1"/>
                <w:color w:val="auto"/>
                <w:w w:val="96"/>
              </w:rPr>
              <w:t>2003</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tcPr>
          <w:p>
            <w:pPr>
              <w:jc w:val="center"/>
              <w:ind w:right="92"/>
              <w:spacing w:after="0"/>
              <w:rPr>
                <w:sz w:val="20"/>
                <w:szCs w:val="20"/>
                <w:color w:val="auto"/>
              </w:rPr>
            </w:pPr>
            <w:r>
              <w:rPr>
                <w:rFonts w:ascii="Arial" w:cs="Arial" w:eastAsia="Arial" w:hAnsi="Arial"/>
                <w:sz w:val="14"/>
                <w:szCs w:val="14"/>
                <w:b w:val="1"/>
                <w:bCs w:val="1"/>
                <w:color w:val="auto"/>
                <w:w w:val="89"/>
              </w:rPr>
              <w:t>2002</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rPr>
              <w:t>prior</w:t>
            </w:r>
          </w:p>
        </w:tc>
        <w:tc>
          <w:tcPr>
            <w:tcW w:w="0" w:type="dxa"/>
            <w:vAlign w:val="bottom"/>
          </w:tcPr>
          <w:p>
            <w:pPr>
              <w:spacing w:after="0"/>
              <w:rPr>
                <w:sz w:val="1"/>
                <w:szCs w:val="1"/>
                <w:color w:val="auto"/>
              </w:rPr>
            </w:pPr>
          </w:p>
        </w:tc>
      </w:tr>
      <w:tr>
        <w:trPr>
          <w:trHeight w:val="182"/>
        </w:trPr>
        <w:tc>
          <w:tcPr>
            <w:tcW w:w="164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Board of Director</w:t>
            </w:r>
          </w:p>
        </w:tc>
        <w:tc>
          <w:tcPr>
            <w:tcW w:w="16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66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(a)</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38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640" w:type="dxa"/>
            <w:vAlign w:val="bottom"/>
          </w:tcPr>
          <w:p>
            <w:pPr>
              <w:spacing w:after="0"/>
              <w:rPr>
                <w:sz w:val="20"/>
                <w:szCs w:val="20"/>
                <w:color w:val="auto"/>
              </w:rPr>
            </w:pPr>
            <w:r>
              <w:rPr>
                <w:rFonts w:ascii="Arial" w:cs="Arial" w:eastAsia="Arial" w:hAnsi="Arial"/>
                <w:sz w:val="18"/>
                <w:szCs w:val="18"/>
                <w:color w:val="auto"/>
              </w:rPr>
              <w:t>Officer Grants (b)</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19,577</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6,317</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12,023</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836</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270</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127</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6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Re-priced Officer</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(c)</w:t>
            </w: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39,658</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24,827</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9,888</w:t>
            </w: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4,943</w:t>
            </w: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1640" w:type="dxa"/>
            <w:vAlign w:val="bottom"/>
          </w:tcPr>
          <w:p>
            <w:pPr>
              <w:spacing w:after="0" w:line="201" w:lineRule="exact"/>
              <w:rPr>
                <w:sz w:val="20"/>
                <w:szCs w:val="20"/>
                <w:color w:val="auto"/>
              </w:rPr>
            </w:pPr>
            <w:r>
              <w:rPr>
                <w:rFonts w:ascii="Arial" w:cs="Arial" w:eastAsia="Arial" w:hAnsi="Arial"/>
                <w:sz w:val="18"/>
                <w:szCs w:val="18"/>
                <w:color w:val="auto"/>
              </w:rPr>
              <w:t>New Hire Grants –</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640" w:type="dxa"/>
            <w:vAlign w:val="bottom"/>
          </w:tcPr>
          <w:p>
            <w:pPr>
              <w:ind w:left="180"/>
              <w:spacing w:after="0"/>
              <w:rPr>
                <w:sz w:val="20"/>
                <w:szCs w:val="20"/>
                <w:color w:val="auto"/>
              </w:rPr>
            </w:pPr>
            <w:r>
              <w:rPr>
                <w:rFonts w:ascii="Arial" w:cs="Arial" w:eastAsia="Arial" w:hAnsi="Arial"/>
                <w:sz w:val="18"/>
                <w:szCs w:val="18"/>
                <w:color w:val="auto"/>
              </w:rPr>
              <w:t>effective hire</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640" w:type="dxa"/>
            <w:vAlign w:val="bottom"/>
          </w:tcPr>
          <w:p>
            <w:pPr>
              <w:ind w:left="180"/>
              <w:spacing w:after="0"/>
              <w:rPr>
                <w:sz w:val="20"/>
                <w:szCs w:val="20"/>
                <w:color w:val="auto"/>
              </w:rPr>
            </w:pPr>
            <w:r>
              <w:rPr>
                <w:rFonts w:ascii="Arial" w:cs="Arial" w:eastAsia="Arial" w:hAnsi="Arial"/>
                <w:sz w:val="18"/>
                <w:szCs w:val="18"/>
                <w:color w:val="auto"/>
              </w:rPr>
              <w:t>dates (d)</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19,879</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249</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1,530</w:t>
            </w: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2,729</w:t>
            </w: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4,754</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7,278</w:t>
            </w: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3,339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1640" w:type="dxa"/>
            <w:vAlign w:val="bottom"/>
            <w:shd w:val="clear" w:color="auto" w:fill="CCEEFF"/>
          </w:tcPr>
          <w:p>
            <w:pPr>
              <w:spacing w:after="0"/>
              <w:rPr>
                <w:sz w:val="20"/>
                <w:szCs w:val="20"/>
                <w:color w:val="auto"/>
              </w:rPr>
            </w:pPr>
            <w:r>
              <w:rPr>
                <w:rFonts w:ascii="Arial" w:cs="Arial" w:eastAsia="Arial" w:hAnsi="Arial"/>
                <w:sz w:val="18"/>
                <w:szCs w:val="18"/>
                <w:color w:val="auto"/>
              </w:rPr>
              <w:t>Other New Hire (e)</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49,876</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5,313</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13,235</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13,437</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10,322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640" w:type="dxa"/>
            <w:vAlign w:val="bottom"/>
          </w:tcPr>
          <w:p>
            <w:pPr>
              <w:spacing w:after="0" w:line="201" w:lineRule="exact"/>
              <w:rPr>
                <w:sz w:val="20"/>
                <w:szCs w:val="20"/>
                <w:color w:val="auto"/>
              </w:rPr>
            </w:pPr>
            <w:r>
              <w:rPr>
                <w:rFonts w:ascii="Arial" w:cs="Arial" w:eastAsia="Arial" w:hAnsi="Arial"/>
                <w:sz w:val="18"/>
                <w:szCs w:val="18"/>
                <w:color w:val="auto"/>
              </w:rPr>
              <w:t>Secondary</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640" w:type="dxa"/>
            <w:vAlign w:val="bottom"/>
          </w:tcPr>
          <w:p>
            <w:pPr>
              <w:ind w:left="180"/>
              <w:spacing w:after="0"/>
              <w:rPr>
                <w:sz w:val="20"/>
                <w:szCs w:val="20"/>
                <w:color w:val="auto"/>
              </w:rPr>
            </w:pPr>
            <w:r>
              <w:rPr>
                <w:rFonts w:ascii="Arial" w:cs="Arial" w:eastAsia="Arial" w:hAnsi="Arial"/>
                <w:sz w:val="18"/>
                <w:szCs w:val="18"/>
                <w:color w:val="auto"/>
              </w:rPr>
              <w:t>Grants (e)</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18,165</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2,360</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3,713</w:t>
            </w: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3,016</w:t>
            </w: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4,432</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3,975</w:t>
            </w: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669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6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Re-priced New Hire</w:t>
            </w: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Grants (f)</w:t>
            </w: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100,575</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49,798</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23,727</w:t>
            </w: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25,254</w:t>
            </w: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(1,885)</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3,681</w:t>
            </w:r>
          </w:p>
        </w:tc>
        <w:tc>
          <w:tcPr>
            <w:tcW w:w="2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ectPr>
          <w:pgSz w:w="11900" w:h="16843" w:orient="portrait"/>
          <w:cols w:equalWidth="0" w:num="1">
            <w:col w:w="11420"/>
          </w:cols>
          <w:pgMar w:left="240" w:top="125" w:right="239" w:bottom="0" w:gutter="0" w:footer="0" w:header="0"/>
        </w:sectPr>
      </w:pPr>
    </w:p>
    <w:bookmarkStart w:id="29" w:name="page30"/>
    <w:bookmarkEnd w:id="29"/>
    <w:p>
      <w:pPr>
        <w:spacing w:after="0" w:line="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960" w:type="dxa"/>
            <w:vAlign w:val="bottom"/>
            <w:gridSpan w:val="2"/>
          </w:tcPr>
          <w:p>
            <w:pPr>
              <w:spacing w:after="0"/>
              <w:rPr>
                <w:sz w:val="20"/>
                <w:szCs w:val="20"/>
                <w:color w:val="auto"/>
              </w:rPr>
            </w:pPr>
            <w:r>
              <w:rPr>
                <w:rFonts w:ascii="Arial" w:cs="Arial" w:eastAsia="Arial" w:hAnsi="Arial"/>
                <w:sz w:val="18"/>
                <w:szCs w:val="18"/>
                <w:color w:val="auto"/>
              </w:rPr>
              <w:t>Evergreen Grants (g)</w:t>
            </w:r>
          </w:p>
        </w:tc>
        <w:tc>
          <w:tcPr>
            <w:tcW w:w="660" w:type="dxa"/>
            <w:vAlign w:val="bottom"/>
          </w:tcPr>
          <w:p>
            <w:pPr>
              <w:jc w:val="right"/>
              <w:spacing w:after="0"/>
              <w:rPr>
                <w:sz w:val="20"/>
                <w:szCs w:val="20"/>
                <w:color w:val="auto"/>
              </w:rPr>
            </w:pPr>
            <w:r>
              <w:rPr>
                <w:rFonts w:ascii="Arial" w:cs="Arial" w:eastAsia="Arial" w:hAnsi="Arial"/>
                <w:sz w:val="18"/>
                <w:szCs w:val="18"/>
                <w:color w:val="auto"/>
              </w:rPr>
              <w:t>60,838</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9,870</w:t>
            </w: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11,082</w:t>
            </w: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12,634</w:t>
            </w: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17,911</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9,312</w:t>
            </w: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29</w:t>
            </w:r>
          </w:p>
        </w:tc>
        <w:tc>
          <w:tcPr>
            <w:tcW w:w="60" w:type="dxa"/>
            <w:vAlign w:val="bottom"/>
          </w:tcPr>
          <w:p>
            <w:pPr>
              <w:spacing w:after="0"/>
              <w:rPr>
                <w:sz w:val="20"/>
                <w:szCs w:val="20"/>
                <w:color w:val="auto"/>
              </w:rPr>
            </w:pPr>
          </w:p>
        </w:tc>
      </w:tr>
      <w:tr>
        <w:trPr>
          <w:trHeight w:val="202"/>
        </w:trPr>
        <w:tc>
          <w:tcPr>
            <w:tcW w:w="196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Non-employee</w:t>
            </w: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30"/>
        </w:trPr>
        <w:tc>
          <w:tcPr>
            <w:tcW w:w="19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Grants * (h)</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22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2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1,166</w:t>
            </w:r>
          </w:p>
        </w:tc>
        <w:tc>
          <w:tcPr>
            <w:tcW w:w="2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(264)</w:t>
            </w:r>
          </w:p>
        </w:tc>
        <w:tc>
          <w:tcPr>
            <w:tcW w:w="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1,884</w:t>
            </w:r>
          </w:p>
        </w:tc>
        <w:tc>
          <w:tcPr>
            <w:tcW w:w="2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5,407</w:t>
            </w:r>
          </w:p>
        </w:tc>
        <w:tc>
          <w:tcPr>
            <w:tcW w:w="60" w:type="dxa"/>
            <w:vAlign w:val="bottom"/>
            <w:shd w:val="clear" w:color="auto" w:fill="CCEEFF"/>
          </w:tcPr>
          <w:p>
            <w:pPr>
              <w:spacing w:after="0"/>
              <w:rPr>
                <w:sz w:val="20"/>
                <w:szCs w:val="20"/>
                <w:color w:val="auto"/>
              </w:rPr>
            </w:pPr>
          </w:p>
        </w:tc>
      </w:tr>
      <w:tr>
        <w:trPr>
          <w:trHeight w:val="202"/>
        </w:trPr>
        <w:tc>
          <w:tcPr>
            <w:tcW w:w="1960" w:type="dxa"/>
            <w:vAlign w:val="bottom"/>
            <w:gridSpan w:val="2"/>
          </w:tcPr>
          <w:p>
            <w:pPr>
              <w:spacing w:after="0" w:line="201" w:lineRule="exact"/>
              <w:rPr>
                <w:sz w:val="20"/>
                <w:szCs w:val="20"/>
                <w:color w:val="auto"/>
              </w:rPr>
            </w:pPr>
            <w:r>
              <w:rPr>
                <w:rFonts w:ascii="Arial" w:cs="Arial" w:eastAsia="Arial" w:hAnsi="Arial"/>
                <w:sz w:val="18"/>
                <w:szCs w:val="18"/>
                <w:color w:val="auto"/>
              </w:rPr>
              <w:t>Termination related</w:t>
            </w:r>
          </w:p>
        </w:tc>
        <w:tc>
          <w:tcPr>
            <w:tcW w:w="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0"/>
        </w:trPr>
        <w:tc>
          <w:tcPr>
            <w:tcW w:w="1960" w:type="dxa"/>
            <w:vAlign w:val="bottom"/>
            <w:gridSpan w:val="2"/>
          </w:tcPr>
          <w:p>
            <w:pPr>
              <w:ind w:left="180"/>
              <w:spacing w:after="0"/>
              <w:rPr>
                <w:sz w:val="20"/>
                <w:szCs w:val="20"/>
                <w:color w:val="auto"/>
              </w:rPr>
            </w:pPr>
            <w:r>
              <w:rPr>
                <w:rFonts w:ascii="Arial" w:cs="Arial" w:eastAsia="Arial" w:hAnsi="Arial"/>
                <w:sz w:val="18"/>
                <w:szCs w:val="18"/>
                <w:color w:val="auto"/>
              </w:rPr>
              <w:t>charges (i)</w:t>
            </w:r>
          </w:p>
        </w:tc>
        <w:tc>
          <w:tcPr>
            <w:tcW w:w="660" w:type="dxa"/>
            <w:vAlign w:val="bottom"/>
          </w:tcPr>
          <w:p>
            <w:pPr>
              <w:jc w:val="right"/>
              <w:spacing w:after="0"/>
              <w:rPr>
                <w:sz w:val="20"/>
                <w:szCs w:val="20"/>
                <w:color w:val="auto"/>
              </w:rPr>
            </w:pPr>
            <w:r>
              <w:rPr>
                <w:rFonts w:ascii="Arial" w:cs="Arial" w:eastAsia="Arial" w:hAnsi="Arial"/>
                <w:sz w:val="18"/>
                <w:szCs w:val="18"/>
                <w:color w:val="auto"/>
              </w:rPr>
              <w:t>10,006</w:t>
            </w:r>
          </w:p>
        </w:tc>
        <w:tc>
          <w:tcPr>
            <w:tcW w:w="220" w:type="dxa"/>
            <w:vAlign w:val="bottom"/>
          </w:tcPr>
          <w:p>
            <w:pPr>
              <w:spacing w:after="0"/>
              <w:rPr>
                <w:sz w:val="20"/>
                <w:szCs w:val="20"/>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10,006</w:t>
            </w:r>
          </w:p>
        </w:tc>
        <w:tc>
          <w:tcPr>
            <w:tcW w:w="60" w:type="dxa"/>
            <w:vAlign w:val="bottom"/>
          </w:tcPr>
          <w:p>
            <w:pPr>
              <w:spacing w:after="0"/>
              <w:rPr>
                <w:sz w:val="20"/>
                <w:szCs w:val="20"/>
                <w:color w:val="auto"/>
              </w:rPr>
            </w:pPr>
          </w:p>
        </w:tc>
      </w:tr>
      <w:tr>
        <w:trPr>
          <w:trHeight w:val="210"/>
        </w:trPr>
        <w:tc>
          <w:tcPr>
            <w:tcW w:w="180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327,375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   98,856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75,684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64,015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35,540</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33,318</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19,962</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18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180" w:right="80" w:hanging="172"/>
        <w:spacing w:after="0" w:line="277" w:lineRule="auto"/>
        <w:tabs>
          <w:tab w:leader="none" w:pos="166"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restated financial statements include charges for non-employee grants of $1,062,000 for fiscal 2000, $139,000 for fiscal 1999, $41,000 for fiscal 1998, $12,000 for fiscal 1997 and $1,000 for fiscal 1996.</w:t>
      </w:r>
    </w:p>
    <w:p>
      <w:pPr>
        <w:spacing w:after="0" w:line="170" w:lineRule="exact"/>
        <w:rPr>
          <w:sz w:val="20"/>
          <w:szCs w:val="20"/>
          <w:color w:val="auto"/>
        </w:rPr>
      </w:pPr>
    </w:p>
    <w:p>
      <w:pPr>
        <w:ind w:left="340" w:right="60" w:hanging="332"/>
        <w:spacing w:after="0" w:line="259" w:lineRule="auto"/>
        <w:tabs>
          <w:tab w:leader="none" w:pos="302" w:val="left"/>
        </w:tabs>
        <w:numPr>
          <w:ilvl w:val="0"/>
          <w:numId w:val="16"/>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Board of Director Grants: </w:t>
      </w:r>
      <w:r>
        <w:rPr>
          <w:rFonts w:ascii="Arial" w:cs="Arial" w:eastAsia="Arial" w:hAnsi="Arial"/>
          <w:sz w:val="18"/>
          <w:szCs w:val="18"/>
          <w:color w:val="auto"/>
        </w:rPr>
        <w:t>Non-employee directors receive initial and annual grants in their capacity as directors. A grant of 24,000 shares to a non-employee director, issued on an annual general meeting date in accordance with the terms of his appointment letter, was outside the 1997 Directors’ Stock Option Plan and therefore required approval from the Board. The Board approval was obtained at a later date. For accounting purposes, the grant was re-measured based on our stock price at the date of the Board’s ratification.</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 December 2006, the terms of this option were reformed to reflect the revised stock option exercise price.</w:t>
      </w:r>
    </w:p>
    <w:p>
      <w:pPr>
        <w:spacing w:after="0" w:line="225" w:lineRule="exact"/>
        <w:rPr>
          <w:sz w:val="20"/>
          <w:szCs w:val="20"/>
          <w:color w:val="auto"/>
        </w:rPr>
      </w:pPr>
    </w:p>
    <w:p>
      <w:pPr>
        <w:ind w:left="340" w:right="60" w:hanging="332"/>
        <w:spacing w:after="0" w:line="272" w:lineRule="auto"/>
        <w:tabs>
          <w:tab w:leader="none" w:pos="302" w:val="left"/>
        </w:tabs>
        <w:numPr>
          <w:ilvl w:val="0"/>
          <w:numId w:val="17"/>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Officer Grants: </w:t>
      </w:r>
      <w:r>
        <w:rPr>
          <w:rFonts w:ascii="Arial" w:cs="Arial" w:eastAsia="Arial" w:hAnsi="Arial"/>
          <w:sz w:val="17"/>
          <w:szCs w:val="17"/>
          <w:color w:val="auto"/>
        </w:rPr>
        <w:t>During the Relevant Period, we granted options on 13 different dates (including the Re-Priced Officer Grants) to the then-Section 16</w:t>
      </w:r>
      <w:r>
        <w:rPr>
          <w:rFonts w:ascii="Arial" w:cs="Arial" w:eastAsia="Arial" w:hAnsi="Arial"/>
          <w:sz w:val="17"/>
          <w:szCs w:val="17"/>
          <w:i w:val="1"/>
          <w:iCs w:val="1"/>
          <w:color w:val="auto"/>
        </w:rPr>
        <w:t xml:space="preserve"> </w:t>
      </w:r>
      <w:r>
        <w:rPr>
          <w:rFonts w:ascii="Arial" w:cs="Arial" w:eastAsia="Arial" w:hAnsi="Arial"/>
          <w:sz w:val="17"/>
          <w:szCs w:val="17"/>
          <w:color w:val="auto"/>
        </w:rPr>
        <w:t>Officers — Dr. Sehat Sutardja, Weili Dai, Dr. Pantas Sutardja and George Hervey. We recorded additional compensation costs for one grant on December 26, 2003 (which represented 75% of options granted) for three of the officers who were also our founders (“Founder Officers”) and six grants (which represented 96% of options granted) for George Hervey. For accounting purposes, the grant of 12,640,000 shares to the Founder Officers was re-measured based on the stock price at the date the Executive Compensation Committee meeting occurred to approve the grants. Grants to George Hervey totaling 1,279,892 shares of options originally priced at the “as of” dates of the written consents have been re-measured to the last documented date of approval received from members of the Executive Compensation Committee.</w:t>
      </w:r>
    </w:p>
    <w:p>
      <w:pPr>
        <w:spacing w:after="0" w:line="178" w:lineRule="exact"/>
        <w:rPr>
          <w:sz w:val="20"/>
          <w:szCs w:val="20"/>
          <w:color w:val="auto"/>
        </w:rPr>
      </w:pPr>
    </w:p>
    <w:p>
      <w:pPr>
        <w:ind w:left="340" w:right="20"/>
        <w:spacing w:after="0" w:line="259" w:lineRule="auto"/>
        <w:rPr>
          <w:sz w:val="20"/>
          <w:szCs w:val="20"/>
          <w:color w:val="auto"/>
        </w:rPr>
      </w:pPr>
      <w:r>
        <w:rPr>
          <w:rFonts w:ascii="Arial" w:cs="Arial" w:eastAsia="Arial" w:hAnsi="Arial"/>
          <w:sz w:val="18"/>
          <w:szCs w:val="18"/>
          <w:color w:val="auto"/>
        </w:rPr>
        <w:t>In December 2006, the terms of the options deemed to have been issued at a discount were reformed to reflect the revised stock option exercise prices for all affected Section 16 Officer grants. Of these 5.4 million reformed options, we received from the officers the incremental exercise prices for the portion of these options which had previously been exercised totaling $9.6 million. The reformation of these options did not result in incremental compensation cost in the fourth quarter of fiscal 2007.</w:t>
      </w:r>
    </w:p>
    <w:p>
      <w:pPr>
        <w:spacing w:after="0" w:line="187" w:lineRule="exact"/>
        <w:rPr>
          <w:sz w:val="20"/>
          <w:szCs w:val="20"/>
          <w:color w:val="auto"/>
        </w:rPr>
      </w:pPr>
    </w:p>
    <w:p>
      <w:pPr>
        <w:ind w:left="340" w:right="240"/>
        <w:spacing w:after="0" w:line="277" w:lineRule="auto"/>
        <w:rPr>
          <w:sz w:val="20"/>
          <w:szCs w:val="20"/>
          <w:color w:val="auto"/>
        </w:rPr>
      </w:pPr>
      <w:r>
        <w:rPr>
          <w:rFonts w:ascii="Arial" w:cs="Arial" w:eastAsia="Arial" w:hAnsi="Arial"/>
          <w:sz w:val="18"/>
          <w:szCs w:val="18"/>
          <w:color w:val="auto"/>
        </w:rPr>
        <w:t>The amounts above do not include $7.5 million in unrecognized stock-based compensation that will be recorded in the second quarter of fiscal 2008 in connection with the cancellation of certain officer grants to Dr. Sehat Sutardja and Weili Dai.</w:t>
      </w:r>
    </w:p>
    <w:p>
      <w:pPr>
        <w:spacing w:after="0" w:line="170" w:lineRule="exact"/>
        <w:rPr>
          <w:sz w:val="20"/>
          <w:szCs w:val="20"/>
          <w:color w:val="auto"/>
        </w:rPr>
      </w:pPr>
    </w:p>
    <w:p>
      <w:pPr>
        <w:ind w:left="340" w:right="40" w:hanging="332"/>
        <w:spacing w:after="0" w:line="289" w:lineRule="auto"/>
        <w:tabs>
          <w:tab w:leader="none" w:pos="292" w:val="left"/>
        </w:tabs>
        <w:numPr>
          <w:ilvl w:val="0"/>
          <w:numId w:val="18"/>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Re-priced Officer Grants: </w:t>
      </w:r>
      <w:r>
        <w:rPr>
          <w:rFonts w:ascii="Arial" w:cs="Arial" w:eastAsia="Arial" w:hAnsi="Arial"/>
          <w:sz w:val="16"/>
          <w:szCs w:val="16"/>
          <w:color w:val="auto"/>
        </w:rPr>
        <w:t>The minutes of the May 22, 2002 Executive Compensation Committee meeting reflect the Executive Compensation</w:t>
      </w:r>
      <w:r>
        <w:rPr>
          <w:rFonts w:ascii="Arial" w:cs="Arial" w:eastAsia="Arial" w:hAnsi="Arial"/>
          <w:sz w:val="16"/>
          <w:szCs w:val="16"/>
          <w:i w:val="1"/>
          <w:iCs w:val="1"/>
          <w:color w:val="auto"/>
        </w:rPr>
        <w:t xml:space="preserve"> </w:t>
      </w:r>
      <w:r>
        <w:rPr>
          <w:rFonts w:ascii="Arial" w:cs="Arial" w:eastAsia="Arial" w:hAnsi="Arial"/>
          <w:sz w:val="16"/>
          <w:szCs w:val="16"/>
          <w:color w:val="auto"/>
        </w:rPr>
        <w:t>Committee’s approval of a grant to the Founder Officers totaling 1.6 million shares, to be effective on the execution of a unanimous written consent. In June 2002, the Executive Compensation Committee members executed a unanimous written consent dated June 6, 2002 and effective as of May 22, 2002. The Special Committee found that on September 10, 2002 after the former General Counsel had a discussion with two of the Founder Officers who indicated that the setting of the price as of May 22, 2002 was inaccurate, the grant was repriced to the fair market value on June 6, 2002. The Special Committee found that the former General Counsel had misled the Executive Compensation Committee as to the reasons for the change. The Special Committee further found that amendment was falsely characterized as a documentation error rather than a grant modification. While the affected options were not considered to be issued at a discount on the date of the modification these shares were subject to variable accounting until our adoption of Statement of Financial Accounting Standards No. 123 (revised 2004), “Share-Based Payment” (“SFAS 123R”) at the beginning of fiscal 2007.</w:t>
      </w: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40" w:hanging="332"/>
        <w:spacing w:after="0" w:line="286" w:lineRule="auto"/>
        <w:tabs>
          <w:tab w:leader="none" w:pos="302" w:val="left"/>
        </w:tabs>
        <w:numPr>
          <w:ilvl w:val="0"/>
          <w:numId w:val="19"/>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New Hire Grants – effective hire dates: </w:t>
      </w:r>
      <w:r>
        <w:rPr>
          <w:rFonts w:ascii="Arial" w:cs="Arial" w:eastAsia="Arial" w:hAnsi="Arial"/>
          <w:sz w:val="17"/>
          <w:szCs w:val="17"/>
          <w:color w:val="auto"/>
        </w:rPr>
        <w:t>The internal review identified 4,669,200 options to 30 new hire recipients which required revision to reflect a</w:t>
      </w:r>
      <w:r>
        <w:rPr>
          <w:rFonts w:ascii="Arial" w:cs="Arial" w:eastAsia="Arial" w:hAnsi="Arial"/>
          <w:sz w:val="17"/>
          <w:szCs w:val="17"/>
          <w:i w:val="1"/>
          <w:iCs w:val="1"/>
          <w:color w:val="auto"/>
        </w:rPr>
        <w:t xml:space="preserve"> </w:t>
      </w:r>
      <w:r>
        <w:rPr>
          <w:rFonts w:ascii="Arial" w:cs="Arial" w:eastAsia="Arial" w:hAnsi="Arial"/>
          <w:sz w:val="17"/>
          <w:szCs w:val="17"/>
          <w:color w:val="auto"/>
        </w:rPr>
        <w:t>later date. In all cases, the stock price on the original grant date was lower than the price on the appropriate measurement date. For accounting purposes, the new hire start dates had to be reconstructed through payroll records and evaluated to determine appropriate re-measurement dates.</w:t>
      </w:r>
    </w:p>
    <w:p>
      <w:pPr>
        <w:spacing w:after="0" w:line="165" w:lineRule="exact"/>
        <w:rPr>
          <w:rFonts w:ascii="Arial" w:cs="Arial" w:eastAsia="Arial" w:hAnsi="Arial"/>
          <w:sz w:val="17"/>
          <w:szCs w:val="17"/>
          <w:i w:val="1"/>
          <w:iCs w:val="1"/>
          <w:color w:val="auto"/>
        </w:rPr>
      </w:pPr>
    </w:p>
    <w:p>
      <w:pPr>
        <w:ind w:left="340" w:hanging="332"/>
        <w:spacing w:after="0" w:line="268" w:lineRule="auto"/>
        <w:tabs>
          <w:tab w:leader="none" w:pos="330" w:val="left"/>
        </w:tabs>
        <w:numPr>
          <w:ilvl w:val="0"/>
          <w:numId w:val="19"/>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Other New Hire and Secondary Grants: </w:t>
      </w:r>
      <w:r>
        <w:rPr>
          <w:rFonts w:ascii="Arial" w:cs="Arial" w:eastAsia="Arial" w:hAnsi="Arial"/>
          <w:sz w:val="17"/>
          <w:szCs w:val="17"/>
          <w:color w:val="auto"/>
        </w:rPr>
        <w:t>In addition to grants issued to new hires at the commencement of their employment, we occasionally issue</w:t>
      </w:r>
      <w:r>
        <w:rPr>
          <w:rFonts w:ascii="Arial" w:cs="Arial" w:eastAsia="Arial" w:hAnsi="Arial"/>
          <w:sz w:val="17"/>
          <w:szCs w:val="17"/>
          <w:i w:val="1"/>
          <w:iCs w:val="1"/>
          <w:color w:val="auto"/>
        </w:rPr>
        <w:t xml:space="preserve"> </w:t>
      </w:r>
      <w:r>
        <w:rPr>
          <w:rFonts w:ascii="Arial" w:cs="Arial" w:eastAsia="Arial" w:hAnsi="Arial"/>
          <w:sz w:val="17"/>
          <w:szCs w:val="17"/>
          <w:color w:val="auto"/>
        </w:rPr>
        <w:t>secondary grants to employees for outstanding performance, retention or other discretionary reasons outside of the annual performance review cycle. During the Relevant Period, we granted new hire and secondary options on 86 different dates, excluding assumption of acquisition-related options. These dates included grants made from August 2004 onwards when a fixed grant date schedule was set on the first Friday of each month. As a result of the internal review, we recorded additional compensation costs for grants relating to 37 different grant dates, impacting approximately two-thirds of our new hire and secondary grants (totaling 48,708,478 options). The original grant date with respect to such grants preceded the appropriate measurement date and in substantially all instances, the stock price on the former date was lower than the price on the appropriate measurement date. Generally, the terms of new hire grants, except for their exercise prices, are stated in employee offer letters which are acknowledged by employees. For new hire grants, re-measurement dates were determined based on the first instance when the Stock Option Committee grant date was picked. For secondary grants, as there was no other reliable documentation available to support the measurement date, we applied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such submission documentation, we used the date the grant entry was created in our option database, as this was the most objectively verifiable date when the terms of the grant were known, in accordance with the SEC Chief Accountant’s letter issued on September 19, 2006, outlining the SEC staff’s interpretation of specific accounting guidance for registrants under APB 25.</w:t>
      </w:r>
    </w:p>
    <w:p>
      <w:pPr>
        <w:spacing w:after="0" w:line="183" w:lineRule="exact"/>
        <w:rPr>
          <w:rFonts w:ascii="Arial" w:cs="Arial" w:eastAsia="Arial" w:hAnsi="Arial"/>
          <w:sz w:val="17"/>
          <w:szCs w:val="17"/>
          <w:i w:val="1"/>
          <w:iCs w:val="1"/>
          <w:color w:val="auto"/>
        </w:rPr>
      </w:pPr>
    </w:p>
    <w:p>
      <w:pPr>
        <w:ind w:left="340" w:right="140" w:hanging="332"/>
        <w:spacing w:after="0" w:line="264" w:lineRule="auto"/>
        <w:tabs>
          <w:tab w:leader="none" w:pos="339" w:val="left"/>
        </w:tabs>
        <w:numPr>
          <w:ilvl w:val="0"/>
          <w:numId w:val="19"/>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Re-priced New Hire Grants: </w:t>
      </w:r>
      <w:r>
        <w:rPr>
          <w:rFonts w:ascii="Arial" w:cs="Arial" w:eastAsia="Arial" w:hAnsi="Arial"/>
          <w:sz w:val="18"/>
          <w:szCs w:val="18"/>
          <w:color w:val="auto"/>
        </w:rPr>
        <w:t>Of the New Hire grants in the Relevant Period, grant prices were re-set for a segment of grants on three grant dates.</w:t>
      </w:r>
      <w:r>
        <w:rPr>
          <w:rFonts w:ascii="Arial" w:cs="Arial" w:eastAsia="Arial" w:hAnsi="Arial"/>
          <w:sz w:val="18"/>
          <w:szCs w:val="18"/>
          <w:i w:val="1"/>
          <w:iCs w:val="1"/>
          <w:color w:val="auto"/>
        </w:rPr>
        <w:t xml:space="preserve"> </w:t>
      </w:r>
      <w:r>
        <w:rPr>
          <w:rFonts w:ascii="Arial" w:cs="Arial" w:eastAsia="Arial" w:hAnsi="Arial"/>
          <w:sz w:val="18"/>
          <w:szCs w:val="18"/>
          <w:color w:val="auto"/>
        </w:rPr>
        <w:t>Consequently, affected awards totaling 6,224,200 options were subject to variable accounting until our adoption of SFAS 123R. The re-pricing resulted from the Stock Option Committee’s originally designated grant date being modified to a later grant date.</w:t>
      </w:r>
    </w:p>
    <w:p>
      <w:pPr>
        <w:spacing w:after="0" w:line="181" w:lineRule="exact"/>
        <w:rPr>
          <w:rFonts w:ascii="Arial" w:cs="Arial" w:eastAsia="Arial" w:hAnsi="Arial"/>
          <w:sz w:val="18"/>
          <w:szCs w:val="18"/>
          <w:i w:val="1"/>
          <w:iCs w:val="1"/>
          <w:color w:val="auto"/>
        </w:rPr>
      </w:pPr>
    </w:p>
    <w:p>
      <w:pPr>
        <w:ind w:left="340" w:hanging="332"/>
        <w:spacing w:after="0" w:line="312" w:lineRule="auto"/>
        <w:tabs>
          <w:tab w:leader="none" w:pos="302" w:val="left"/>
        </w:tabs>
        <w:numPr>
          <w:ilvl w:val="0"/>
          <w:numId w:val="19"/>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Evergreen Grants: </w:t>
      </w:r>
      <w:r>
        <w:rPr>
          <w:rFonts w:ascii="Arial" w:cs="Arial" w:eastAsia="Arial" w:hAnsi="Arial"/>
          <w:sz w:val="16"/>
          <w:szCs w:val="16"/>
          <w:color w:val="auto"/>
        </w:rPr>
        <w:t>During the Relevant Period, there were eight Evergreen grant dates. Substantially all employees are entitled to these grants for</w:t>
      </w:r>
      <w:r>
        <w:rPr>
          <w:rFonts w:ascii="Arial" w:cs="Arial" w:eastAsia="Arial" w:hAnsi="Arial"/>
          <w:sz w:val="16"/>
          <w:szCs w:val="16"/>
          <w:i w:val="1"/>
          <w:iCs w:val="1"/>
          <w:color w:val="auto"/>
        </w:rPr>
        <w:t xml:space="preserve"> </w:t>
      </w:r>
      <w:r>
        <w:rPr>
          <w:rFonts w:ascii="Arial" w:cs="Arial" w:eastAsia="Arial" w:hAnsi="Arial"/>
          <w:sz w:val="16"/>
          <w:szCs w:val="16"/>
          <w:color w:val="auto"/>
        </w:rPr>
        <w:t>retention purposes. There were two Evergreen grant dates in both fiscal 2003 and 2004. There was evidence of amendments to the recipients and/or the number of options subsequent to the original grant date. In all cases, the definitive lists of award recipients could not be reasonably determined until after</w:t>
      </w:r>
    </w:p>
    <w:p>
      <w:pPr>
        <w:sectPr>
          <w:pgSz w:w="11900" w:h="16925" w:orient="portrait"/>
          <w:cols w:equalWidth="0" w:num="1">
            <w:col w:w="11420"/>
          </w:cols>
          <w:pgMar w:left="240" w:top="125" w:right="239" w:bottom="0" w:gutter="0" w:footer="0" w:header="0"/>
        </w:sectPr>
      </w:pPr>
    </w:p>
    <w:bookmarkStart w:id="30" w:name="page31"/>
    <w:bookmarkEnd w:id="30"/>
    <w:p>
      <w:pPr>
        <w:ind w:left="340" w:right="40"/>
        <w:spacing w:after="0" w:line="291" w:lineRule="auto"/>
        <w:rPr>
          <w:sz w:val="20"/>
          <w:szCs w:val="20"/>
          <w:color w:val="auto"/>
        </w:rPr>
      </w:pPr>
      <w:r>
        <w:rPr>
          <w:rFonts w:ascii="Arial" w:cs="Arial" w:eastAsia="Arial" w:hAnsi="Arial"/>
          <w:sz w:val="16"/>
          <w:szCs w:val="16"/>
          <w:color w:val="auto"/>
        </w:rPr>
        <w:t>the original grant date, impacting 54,702,828 options. Consequently, all Evergreen grants were re-measured on subsequent dates when the granting process was considered to be finalized. For purposes of the restatement, we used the date the grant was submitted to stock administration for processing, which typically indicated the conclusion of the grant process. The last date of submission was used unless the submitted change was proven to be purely administrative in nature and unrelated to the terms of the grant. Absent this supporting documentation, the date the grant entry was created in our option database was used. In substantially all instances, the stock price on the former date was lower than the price on the appropriate measurement date. The last Evergreen grant (totaling 7,215,056 options) occurred during fiscal 2007 and the effects on the restatement were included in the restated fair value of the affected grants under SFAS 123R, increasing the grant date fair value of affected options by $0.31 per share.</w:t>
      </w:r>
    </w:p>
    <w:p>
      <w:pPr>
        <w:spacing w:after="0" w:line="167" w:lineRule="exact"/>
        <w:rPr>
          <w:sz w:val="20"/>
          <w:szCs w:val="20"/>
          <w:color w:val="auto"/>
        </w:rPr>
      </w:pPr>
    </w:p>
    <w:p>
      <w:pPr>
        <w:ind w:left="340" w:hanging="332"/>
        <w:spacing w:after="0" w:line="257" w:lineRule="auto"/>
        <w:tabs>
          <w:tab w:leader="none" w:pos="302" w:val="left"/>
        </w:tabs>
        <w:numPr>
          <w:ilvl w:val="0"/>
          <w:numId w:val="20"/>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Non-employee Grants: </w:t>
      </w:r>
      <w:r>
        <w:rPr>
          <w:rFonts w:ascii="Arial" w:cs="Arial" w:eastAsia="Arial" w:hAnsi="Arial"/>
          <w:sz w:val="18"/>
          <w:szCs w:val="18"/>
          <w:color w:val="auto"/>
        </w:rPr>
        <w:t>Since our inception, 3,819,000 options were granted to 13 recipients who were not employees or directors. These grants were</w:t>
      </w:r>
      <w:r>
        <w:rPr>
          <w:rFonts w:ascii="Arial" w:cs="Arial" w:eastAsia="Arial" w:hAnsi="Arial"/>
          <w:sz w:val="18"/>
          <w:szCs w:val="18"/>
          <w:i w:val="1"/>
          <w:iCs w:val="1"/>
          <w:color w:val="auto"/>
        </w:rPr>
        <w:t xml:space="preserve"> </w:t>
      </w:r>
      <w:r>
        <w:rPr>
          <w:rFonts w:ascii="Arial" w:cs="Arial" w:eastAsia="Arial" w:hAnsi="Arial"/>
          <w:sz w:val="18"/>
          <w:szCs w:val="18"/>
          <w:color w:val="auto"/>
        </w:rPr>
        <w:t>erroneously accounted for under APB 25 as if they had been made to employees. Of these, four recipients that were granted a total of 1,483,000 options subsequently became employees or directors. As a result, the affected awards were accounted for as non-employee grants under EITF 96-18, Accounting for Equity Instruments That Are Issued to Other Than Employees for Acquiring, or in Conjunction with Selling, Goods or Services, which resulted in the application of variable</w:t>
      </w:r>
    </w:p>
    <w:p>
      <w:pPr>
        <w:spacing w:after="0" w:line="200" w:lineRule="exact"/>
        <w:rPr>
          <w:sz w:val="20"/>
          <w:szCs w:val="20"/>
          <w:color w:val="auto"/>
        </w:rPr>
      </w:pPr>
    </w:p>
    <w:p>
      <w:pPr>
        <w:spacing w:after="0" w:line="2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60"/>
        <w:spacing w:after="0" w:line="342" w:lineRule="auto"/>
        <w:rPr>
          <w:sz w:val="20"/>
          <w:szCs w:val="20"/>
          <w:color w:val="auto"/>
        </w:rPr>
      </w:pPr>
      <w:r>
        <w:rPr>
          <w:rFonts w:ascii="Arial" w:cs="Arial" w:eastAsia="Arial" w:hAnsi="Arial"/>
          <w:sz w:val="16"/>
          <w:szCs w:val="16"/>
          <w:color w:val="auto"/>
        </w:rPr>
        <w:t>accounting on these options until exercised or cancelled. Options held by consultants who became employees or directors have been accounted for under FASB Interpretation No. 44, Accounting for Certain Transactions involving Stock Compensation, which addresses a change in grantee status.</w:t>
      </w:r>
    </w:p>
    <w:p>
      <w:pPr>
        <w:spacing w:after="0" w:line="124" w:lineRule="exact"/>
        <w:rPr>
          <w:sz w:val="20"/>
          <w:szCs w:val="20"/>
          <w:color w:val="auto"/>
        </w:rPr>
      </w:pPr>
    </w:p>
    <w:p>
      <w:pPr>
        <w:ind w:left="340" w:right="80" w:hanging="332"/>
        <w:spacing w:after="0" w:line="259" w:lineRule="auto"/>
        <w:tabs>
          <w:tab w:leader="none" w:pos="300" w:val="left"/>
        </w:tabs>
        <w:numPr>
          <w:ilvl w:val="0"/>
          <w:numId w:val="21"/>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Termination-related charges: </w:t>
      </w:r>
      <w:r>
        <w:rPr>
          <w:rFonts w:ascii="Arial" w:cs="Arial" w:eastAsia="Arial" w:hAnsi="Arial"/>
          <w:sz w:val="18"/>
          <w:szCs w:val="18"/>
          <w:color w:val="auto"/>
        </w:rPr>
        <w:t>With respect to option grants to an employee, the post-service exercise period for 605,332 vested stock options was</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effectively extended by an unpaid leave of absence arrangement which appears to have lacked substance. We applied APB 25 as if the leave of absence arrangement was a constructive modification extending the exercise period of vested awards. We recorded $10.0 million in additional deferred compensation charges in fiscal 2001.</w:t>
      </w:r>
    </w:p>
    <w:p>
      <w:pPr>
        <w:spacing w:after="0" w:line="187" w:lineRule="exact"/>
        <w:rPr>
          <w:sz w:val="20"/>
          <w:szCs w:val="20"/>
          <w:color w:val="auto"/>
        </w:rPr>
      </w:pPr>
    </w:p>
    <w:p>
      <w:pPr>
        <w:ind w:right="60" w:firstLine="630"/>
        <w:spacing w:after="0" w:line="276" w:lineRule="auto"/>
        <w:rPr>
          <w:sz w:val="20"/>
          <w:szCs w:val="20"/>
          <w:color w:val="auto"/>
        </w:rPr>
      </w:pPr>
      <w:r>
        <w:rPr>
          <w:rFonts w:ascii="Arial" w:cs="Arial" w:eastAsia="Arial" w:hAnsi="Arial"/>
          <w:sz w:val="17"/>
          <w:szCs w:val="17"/>
          <w:color w:val="auto"/>
        </w:rPr>
        <w:t>Notwithstanding the foregoing, the lack of conclusive evidence in the case of certain grants required our management to apply significant judgment in establishing revised measurement dates. We determined that the total cumulative, pre-tax, non-cash, stock-based compensation expense resulting from revised measurement dates under APB 25 was $327.4 million for periods through fiscal 2006. There was no impact on revenue. We adopted SFAS 123R at the beginning of fiscal 2007. As a result of the above adjustments, and after revisions to the SFAS 123R fair value assumptions, the pre-tax, non-cash, stock-based compensation expense in the first quarter of fiscal 2007 increased by $4.2 million to $48.8 million.</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Tax Impact of the Equity Award Review and Other</w:t>
      </w:r>
    </w:p>
    <w:p>
      <w:pPr>
        <w:spacing w:after="0" w:line="225"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The majority of the additional $327.4 million stock option compensation is expensed on the financial statements of the entities located in tax jurisdictions having a lower tax rate than that of the U.S. The tax benefits associated with all but $12.0 million of the $327.4 million total expense is recorded in Bermuda at zero percent tax rate. The $12.0 million of compensation expense and associated tax benefits have resulted in a cumulative deferred tax asset of $2.5 million as of January 28, 2006 and a deferred provision benefit of $4.8 million. The tax impact of the adjustments arising from the equity award review is summarized as follows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20" w:type="dxa"/>
            <w:vAlign w:val="bottom"/>
          </w:tcPr>
          <w:p>
            <w:pPr>
              <w:spacing w:after="0"/>
              <w:rPr>
                <w:sz w:val="14"/>
                <w:szCs w:val="14"/>
                <w:color w:val="auto"/>
              </w:rPr>
            </w:pPr>
          </w:p>
        </w:tc>
        <w:tc>
          <w:tcPr>
            <w:tcW w:w="900" w:type="dxa"/>
            <w:vAlign w:val="bottom"/>
            <w:gridSpan w:val="3"/>
          </w:tcPr>
          <w:p>
            <w:pPr>
              <w:ind w:left="20"/>
              <w:spacing w:after="0"/>
              <w:rPr>
                <w:sz w:val="20"/>
                <w:szCs w:val="20"/>
                <w:color w:val="auto"/>
              </w:rPr>
            </w:pPr>
            <w:r>
              <w:rPr>
                <w:rFonts w:ascii="Arial" w:cs="Arial" w:eastAsia="Arial" w:hAnsi="Arial"/>
                <w:sz w:val="14"/>
                <w:szCs w:val="14"/>
                <w:b w:val="1"/>
                <w:bCs w:val="1"/>
                <w:color w:val="auto"/>
              </w:rPr>
              <w:t>Cumulative</w:t>
            </w:r>
          </w:p>
        </w:tc>
        <w:tc>
          <w:tcPr>
            <w:tcW w:w="80" w:type="dxa"/>
            <w:vAlign w:val="bottom"/>
          </w:tcPr>
          <w:p>
            <w:pPr>
              <w:spacing w:after="0"/>
              <w:rPr>
                <w:sz w:val="14"/>
                <w:szCs w:val="14"/>
                <w:color w:val="auto"/>
              </w:rPr>
            </w:pPr>
          </w:p>
        </w:tc>
        <w:tc>
          <w:tcPr>
            <w:tcW w:w="94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14"/>
                <w:szCs w:val="14"/>
                <w:color w:val="auto"/>
              </w:rPr>
            </w:pPr>
          </w:p>
        </w:tc>
        <w:tc>
          <w:tcPr>
            <w:tcW w:w="1020" w:type="dxa"/>
            <w:vAlign w:val="bottom"/>
            <w:gridSpan w:val="3"/>
            <w:vMerge w:val="restart"/>
          </w:tcPr>
          <w:p>
            <w:pPr>
              <w:jc w:val="center"/>
              <w:ind w:right="220"/>
              <w:spacing w:after="0"/>
              <w:rPr>
                <w:sz w:val="20"/>
                <w:szCs w:val="20"/>
                <w:color w:val="auto"/>
              </w:rPr>
            </w:pPr>
            <w:r>
              <w:rPr>
                <w:rFonts w:ascii="Arial" w:cs="Arial" w:eastAsia="Arial" w:hAnsi="Arial"/>
                <w:sz w:val="14"/>
                <w:szCs w:val="14"/>
                <w:b w:val="1"/>
                <w:bCs w:val="1"/>
                <w:color w:val="auto"/>
                <w:w w:val="93"/>
              </w:rPr>
              <w:t>Year Ended</w:t>
            </w:r>
          </w:p>
        </w:tc>
        <w:tc>
          <w:tcPr>
            <w:tcW w:w="9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Year Ended</w:t>
            </w:r>
          </w:p>
        </w:tc>
        <w:tc>
          <w:tcPr>
            <w:tcW w:w="80" w:type="dxa"/>
            <w:vAlign w:val="bottom"/>
          </w:tcPr>
          <w:p>
            <w:pPr>
              <w:spacing w:after="0"/>
              <w:rPr>
                <w:sz w:val="14"/>
                <w:szCs w:val="14"/>
                <w:color w:val="auto"/>
              </w:rPr>
            </w:pPr>
          </w:p>
        </w:tc>
        <w:tc>
          <w:tcPr>
            <w:tcW w:w="960" w:type="dxa"/>
            <w:vAlign w:val="bottom"/>
            <w:gridSpan w:val="3"/>
            <w:vMerge w:val="restart"/>
          </w:tcPr>
          <w:p>
            <w:pPr>
              <w:jc w:val="center"/>
              <w:ind w:right="16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14"/>
                <w:szCs w:val="14"/>
                <w:color w:val="auto"/>
              </w:rPr>
            </w:pPr>
          </w:p>
        </w:tc>
        <w:tc>
          <w:tcPr>
            <w:tcW w:w="104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6"/>
              </w:rPr>
              <w:t>Year Ended</w:t>
            </w:r>
          </w:p>
        </w:tc>
        <w:tc>
          <w:tcPr>
            <w:tcW w:w="860" w:type="dxa"/>
            <w:vAlign w:val="bottom"/>
            <w:gridSpan w:val="3"/>
            <w:vMerge w:val="restart"/>
          </w:tcPr>
          <w:p>
            <w:pPr>
              <w:jc w:val="center"/>
              <w:ind w:right="6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35"/>
        </w:trPr>
        <w:tc>
          <w:tcPr>
            <w:tcW w:w="20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240"/>
              <w:spacing w:after="0" w:line="135" w:lineRule="exact"/>
              <w:rPr>
                <w:sz w:val="20"/>
                <w:szCs w:val="20"/>
                <w:color w:val="auto"/>
              </w:rPr>
            </w:pPr>
            <w:r>
              <w:rPr>
                <w:rFonts w:ascii="Arial" w:cs="Arial" w:eastAsia="Arial" w:hAnsi="Arial"/>
                <w:sz w:val="14"/>
                <w:szCs w:val="14"/>
                <w:b w:val="1"/>
                <w:bCs w:val="1"/>
                <w:color w:val="auto"/>
                <w:w w:val="88"/>
              </w:rPr>
              <w:t>through ,</w:t>
            </w:r>
          </w:p>
        </w:tc>
        <w:tc>
          <w:tcPr>
            <w:tcW w:w="80" w:type="dxa"/>
            <w:vAlign w:val="bottom"/>
          </w:tcPr>
          <w:p>
            <w:pPr>
              <w:spacing w:after="0"/>
              <w:rPr>
                <w:sz w:val="11"/>
                <w:szCs w:val="11"/>
                <w:color w:val="auto"/>
              </w:rPr>
            </w:pPr>
          </w:p>
        </w:tc>
        <w:tc>
          <w:tcPr>
            <w:tcW w:w="94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1020" w:type="dxa"/>
            <w:vAlign w:val="bottom"/>
            <w:gridSpan w:val="3"/>
            <w:vMerge w:val="continue"/>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96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1040" w:type="dxa"/>
            <w:vAlign w:val="bottom"/>
            <w:gridSpan w:val="3"/>
            <w:vMerge w:val="continue"/>
          </w:tcPr>
          <w:p>
            <w:pPr>
              <w:spacing w:after="0"/>
              <w:rPr>
                <w:sz w:val="11"/>
                <w:szCs w:val="11"/>
                <w:color w:val="auto"/>
              </w:rPr>
            </w:pPr>
          </w:p>
        </w:tc>
        <w:tc>
          <w:tcPr>
            <w:tcW w:w="86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20" w:type="dxa"/>
            <w:vAlign w:val="bottom"/>
          </w:tcPr>
          <w:p>
            <w:pPr>
              <w:spacing w:after="0"/>
              <w:rPr>
                <w:sz w:val="11"/>
                <w:szCs w:val="11"/>
                <w:color w:val="auto"/>
              </w:rPr>
            </w:pPr>
          </w:p>
        </w:tc>
        <w:tc>
          <w:tcPr>
            <w:tcW w:w="900" w:type="dxa"/>
            <w:vAlign w:val="bottom"/>
            <w:gridSpan w:val="3"/>
          </w:tcPr>
          <w:p>
            <w:pPr>
              <w:ind w:left="40"/>
              <w:spacing w:after="0" w:line="135" w:lineRule="exact"/>
              <w:rPr>
                <w:sz w:val="20"/>
                <w:szCs w:val="20"/>
                <w:color w:val="auto"/>
              </w:rPr>
            </w:pPr>
            <w:r>
              <w:rPr>
                <w:rFonts w:ascii="Arial" w:cs="Arial" w:eastAsia="Arial" w:hAnsi="Arial"/>
                <w:sz w:val="14"/>
                <w:szCs w:val="14"/>
                <w:b w:val="1"/>
                <w:bCs w:val="1"/>
                <w:color w:val="auto"/>
              </w:rPr>
              <w:t>January 28</w:t>
            </w:r>
          </w:p>
        </w:tc>
        <w:tc>
          <w:tcPr>
            <w:tcW w:w="80" w:type="dxa"/>
            <w:vAlign w:val="bottom"/>
          </w:tcPr>
          <w:p>
            <w:pPr>
              <w:spacing w:after="0"/>
              <w:rPr>
                <w:sz w:val="11"/>
                <w:szCs w:val="11"/>
                <w:color w:val="auto"/>
              </w:rPr>
            </w:pPr>
          </w:p>
        </w:tc>
        <w:tc>
          <w:tcPr>
            <w:tcW w:w="94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3"/>
              </w:rPr>
              <w:t>January 28,</w:t>
            </w:r>
          </w:p>
        </w:tc>
        <w:tc>
          <w:tcPr>
            <w:tcW w:w="80" w:type="dxa"/>
            <w:vAlign w:val="bottom"/>
          </w:tcPr>
          <w:p>
            <w:pPr>
              <w:spacing w:after="0"/>
              <w:rPr>
                <w:sz w:val="11"/>
                <w:szCs w:val="11"/>
                <w:color w:val="auto"/>
              </w:rPr>
            </w:pPr>
          </w:p>
        </w:tc>
        <w:tc>
          <w:tcPr>
            <w:tcW w:w="1020" w:type="dxa"/>
            <w:vAlign w:val="bottom"/>
            <w:gridSpan w:val="3"/>
          </w:tcPr>
          <w:p>
            <w:pPr>
              <w:jc w:val="center"/>
              <w:ind w:right="240"/>
              <w:spacing w:after="0" w:line="135" w:lineRule="exact"/>
              <w:rPr>
                <w:sz w:val="20"/>
                <w:szCs w:val="20"/>
                <w:color w:val="auto"/>
              </w:rPr>
            </w:pPr>
            <w:r>
              <w:rPr>
                <w:rFonts w:ascii="Arial" w:cs="Arial" w:eastAsia="Arial" w:hAnsi="Arial"/>
                <w:sz w:val="14"/>
                <w:szCs w:val="14"/>
                <w:b w:val="1"/>
                <w:bCs w:val="1"/>
                <w:color w:val="auto"/>
                <w:w w:val="95"/>
              </w:rPr>
              <w:t>January 29,</w:t>
            </w:r>
          </w:p>
        </w:tc>
        <w:tc>
          <w:tcPr>
            <w:tcW w:w="920" w:type="dxa"/>
            <w:vAlign w:val="bottom"/>
            <w:gridSpan w:val="3"/>
          </w:tcPr>
          <w:p>
            <w:pPr>
              <w:ind w:left="20"/>
              <w:spacing w:after="0" w:line="135" w:lineRule="exact"/>
              <w:rPr>
                <w:sz w:val="20"/>
                <w:szCs w:val="20"/>
                <w:color w:val="auto"/>
              </w:rPr>
            </w:pPr>
            <w:r>
              <w:rPr>
                <w:rFonts w:ascii="Arial" w:cs="Arial" w:eastAsia="Arial" w:hAnsi="Arial"/>
                <w:sz w:val="14"/>
                <w:szCs w:val="14"/>
                <w:b w:val="1"/>
                <w:bCs w:val="1"/>
                <w:color w:val="auto"/>
              </w:rPr>
              <w:t>January 31,</w:t>
            </w:r>
          </w:p>
        </w:tc>
        <w:tc>
          <w:tcPr>
            <w:tcW w:w="80" w:type="dxa"/>
            <w:vAlign w:val="bottom"/>
          </w:tcPr>
          <w:p>
            <w:pPr>
              <w:spacing w:after="0"/>
              <w:rPr>
                <w:sz w:val="11"/>
                <w:szCs w:val="11"/>
                <w:color w:val="auto"/>
              </w:rPr>
            </w:pPr>
          </w:p>
        </w:tc>
        <w:tc>
          <w:tcPr>
            <w:tcW w:w="960" w:type="dxa"/>
            <w:vAlign w:val="bottom"/>
            <w:gridSpan w:val="3"/>
          </w:tcPr>
          <w:p>
            <w:pPr>
              <w:jc w:val="center"/>
              <w:ind w:right="160"/>
              <w:spacing w:after="0" w:line="135" w:lineRule="exact"/>
              <w:rPr>
                <w:sz w:val="20"/>
                <w:szCs w:val="20"/>
                <w:color w:val="auto"/>
              </w:rPr>
            </w:pPr>
            <w:r>
              <w:rPr>
                <w:rFonts w:ascii="Arial" w:cs="Arial" w:eastAsia="Arial" w:hAnsi="Arial"/>
                <w:sz w:val="14"/>
                <w:szCs w:val="14"/>
                <w:b w:val="1"/>
                <w:bCs w:val="1"/>
                <w:color w:val="auto"/>
                <w:w w:val="95"/>
              </w:rPr>
              <w:t>February 1,</w:t>
            </w:r>
          </w:p>
        </w:tc>
        <w:tc>
          <w:tcPr>
            <w:tcW w:w="80" w:type="dxa"/>
            <w:vAlign w:val="bottom"/>
          </w:tcPr>
          <w:p>
            <w:pPr>
              <w:spacing w:after="0"/>
              <w:rPr>
                <w:sz w:val="11"/>
                <w:szCs w:val="11"/>
                <w:color w:val="auto"/>
              </w:rPr>
            </w:pPr>
          </w:p>
        </w:tc>
        <w:tc>
          <w:tcPr>
            <w:tcW w:w="1040" w:type="dxa"/>
            <w:vAlign w:val="bottom"/>
            <w:gridSpan w:val="3"/>
          </w:tcPr>
          <w:p>
            <w:pPr>
              <w:jc w:val="center"/>
              <w:ind w:right="260"/>
              <w:spacing w:after="0" w:line="135" w:lineRule="exact"/>
              <w:rPr>
                <w:sz w:val="20"/>
                <w:szCs w:val="20"/>
                <w:color w:val="auto"/>
              </w:rPr>
            </w:pPr>
            <w:r>
              <w:rPr>
                <w:rFonts w:ascii="Arial" w:cs="Arial" w:eastAsia="Arial" w:hAnsi="Arial"/>
                <w:sz w:val="14"/>
                <w:szCs w:val="14"/>
                <w:b w:val="1"/>
                <w:bCs w:val="1"/>
                <w:color w:val="auto"/>
                <w:w w:val="97"/>
              </w:rPr>
              <w:t>February 2,</w:t>
            </w:r>
          </w:p>
        </w:tc>
        <w:tc>
          <w:tcPr>
            <w:tcW w:w="860" w:type="dxa"/>
            <w:vAlign w:val="bottom"/>
            <w:gridSpan w:val="3"/>
          </w:tcPr>
          <w:p>
            <w:pPr>
              <w:jc w:val="center"/>
              <w:ind w:right="60"/>
              <w:spacing w:after="0" w:line="135" w:lineRule="exact"/>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62"/>
        </w:trPr>
        <w:tc>
          <w:tcPr>
            <w:tcW w:w="20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2006</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89"/>
              </w:rPr>
              <w:t>2006</w:t>
            </w: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2004</w:t>
            </w: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113"/>
              <w:spacing w:after="0"/>
              <w:rPr>
                <w:sz w:val="20"/>
                <w:szCs w:val="20"/>
                <w:color w:val="auto"/>
              </w:rPr>
            </w:pPr>
            <w:r>
              <w:rPr>
                <w:rFonts w:ascii="Arial" w:cs="Arial" w:eastAsia="Arial" w:hAnsi="Arial"/>
                <w:sz w:val="14"/>
                <w:szCs w:val="14"/>
                <w:b w:val="1"/>
                <w:bCs w:val="1"/>
                <w:color w:val="auto"/>
                <w:w w:val="89"/>
              </w:rPr>
              <w:t>2003</w:t>
            </w: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96"/>
              </w:rPr>
              <w:t>2002</w:t>
            </w:r>
          </w:p>
        </w:tc>
        <w:tc>
          <w:tcPr>
            <w:tcW w:w="2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93"/>
              <w:spacing w:after="0"/>
              <w:rPr>
                <w:sz w:val="20"/>
                <w:szCs w:val="20"/>
                <w:color w:val="auto"/>
              </w:rPr>
            </w:pPr>
            <w:r>
              <w:rPr>
                <w:rFonts w:ascii="Arial" w:cs="Arial" w:eastAsia="Arial" w:hAnsi="Arial"/>
                <w:sz w:val="14"/>
                <w:szCs w:val="14"/>
                <w:b w:val="1"/>
                <w:bCs w:val="1"/>
                <w:color w:val="auto"/>
                <w:w w:val="89"/>
              </w:rPr>
              <w:t>2001</w:t>
            </w:r>
          </w:p>
        </w:tc>
        <w:tc>
          <w:tcPr>
            <w:tcW w:w="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82"/>
        </w:trPr>
        <w:tc>
          <w:tcPr>
            <w:tcW w:w="2020" w:type="dxa"/>
            <w:vAlign w:val="bottom"/>
            <w:shd w:val="clear" w:color="auto" w:fill="CCEEFF"/>
          </w:tcPr>
          <w:p>
            <w:pPr>
              <w:spacing w:after="0" w:line="182" w:lineRule="exact"/>
              <w:rPr>
                <w:sz w:val="20"/>
                <w:szCs w:val="20"/>
                <w:color w:val="auto"/>
              </w:rPr>
            </w:pPr>
            <w:r>
              <w:rPr>
                <w:rFonts w:ascii="Arial" w:cs="Arial" w:eastAsia="Arial" w:hAnsi="Arial"/>
                <w:sz w:val="18"/>
                <w:szCs w:val="18"/>
                <w:color w:val="auto"/>
              </w:rPr>
              <w:t>Operating costs and</w:t>
            </w:r>
          </w:p>
        </w:tc>
        <w:tc>
          <w:tcPr>
            <w:tcW w:w="10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2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4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expenses - Payroll</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 (a)</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7,628</w:t>
            </w:r>
          </w:p>
        </w:tc>
        <w:tc>
          <w:tcPr>
            <w:tcW w:w="120" w:type="dxa"/>
            <w:vAlign w:val="bottom"/>
            <w:shd w:val="clear" w:color="auto" w:fill="CCEEFF"/>
          </w:tcPr>
          <w:p>
            <w:pPr>
              <w:spacing w:after="0"/>
              <w:rPr>
                <w:sz w:val="20"/>
                <w:szCs w:val="20"/>
                <w:color w:val="auto"/>
              </w:rPr>
            </w:pPr>
          </w:p>
        </w:tc>
        <w:tc>
          <w:tcPr>
            <w:tcW w:w="26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4,384</w:t>
            </w:r>
          </w:p>
        </w:tc>
        <w:tc>
          <w:tcPr>
            <w:tcW w:w="140" w:type="dxa"/>
            <w:vAlign w:val="bottom"/>
            <w:shd w:val="clear" w:color="auto" w:fill="CCEEFF"/>
          </w:tcPr>
          <w:p>
            <w:pPr>
              <w:spacing w:after="0"/>
              <w:rPr>
                <w:sz w:val="20"/>
                <w:szCs w:val="20"/>
                <w:color w:val="auto"/>
              </w:rPr>
            </w:pP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2,306</w:t>
            </w:r>
          </w:p>
        </w:tc>
        <w:tc>
          <w:tcPr>
            <w:tcW w:w="2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w:t>
            </w:r>
          </w:p>
        </w:tc>
        <w:tc>
          <w:tcPr>
            <w:tcW w:w="140" w:type="dxa"/>
            <w:vAlign w:val="bottom"/>
            <w:shd w:val="clear" w:color="auto" w:fill="CCEEFF"/>
          </w:tcPr>
          <w:p>
            <w:pPr>
              <w:spacing w:after="0"/>
              <w:rPr>
                <w:sz w:val="20"/>
                <w:szCs w:val="20"/>
                <w:color w:val="auto"/>
              </w:rPr>
            </w:pPr>
          </w:p>
        </w:tc>
        <w:tc>
          <w:tcPr>
            <w:tcW w:w="26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40" w:type="dxa"/>
            <w:vAlign w:val="bottom"/>
            <w:shd w:val="clear" w:color="auto" w:fill="CCEEFF"/>
          </w:tcPr>
          <w:p>
            <w:pPr>
              <w:spacing w:after="0"/>
              <w:rPr>
                <w:sz w:val="20"/>
                <w:szCs w:val="20"/>
                <w:color w:val="auto"/>
              </w:rPr>
            </w:pPr>
          </w:p>
        </w:tc>
        <w:tc>
          <w:tcPr>
            <w:tcW w:w="2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7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020" w:type="dxa"/>
            <w:vAlign w:val="bottom"/>
          </w:tcPr>
          <w:p>
            <w:pPr>
              <w:spacing w:after="0" w:line="201" w:lineRule="exact"/>
              <w:rPr>
                <w:sz w:val="20"/>
                <w:szCs w:val="20"/>
                <w:color w:val="auto"/>
              </w:rPr>
            </w:pPr>
            <w:r>
              <w:rPr>
                <w:rFonts w:ascii="Arial" w:cs="Arial" w:eastAsia="Arial" w:hAnsi="Arial"/>
                <w:sz w:val="18"/>
                <w:szCs w:val="18"/>
                <w:color w:val="auto"/>
              </w:rPr>
              <w:t>Provision for income</w:t>
            </w:r>
          </w:p>
        </w:tc>
        <w:tc>
          <w:tcPr>
            <w:tcW w:w="10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20" w:type="dxa"/>
            <w:vAlign w:val="bottom"/>
          </w:tcPr>
          <w:p>
            <w:pPr>
              <w:ind w:left="180"/>
              <w:spacing w:after="0"/>
              <w:rPr>
                <w:sz w:val="20"/>
                <w:szCs w:val="20"/>
                <w:color w:val="auto"/>
              </w:rPr>
            </w:pPr>
            <w:r>
              <w:rPr>
                <w:rFonts w:ascii="Arial" w:cs="Arial" w:eastAsia="Arial" w:hAnsi="Arial"/>
                <w:sz w:val="18"/>
                <w:szCs w:val="18"/>
                <w:color w:val="auto"/>
              </w:rPr>
              <w:t>tax – Deferred</w:t>
            </w: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20" w:type="dxa"/>
            <w:vAlign w:val="bottom"/>
          </w:tcPr>
          <w:p>
            <w:pPr>
              <w:ind w:left="180"/>
              <w:spacing w:after="0"/>
              <w:rPr>
                <w:sz w:val="20"/>
                <w:szCs w:val="20"/>
                <w:color w:val="auto"/>
              </w:rPr>
            </w:pPr>
            <w:r>
              <w:rPr>
                <w:rFonts w:ascii="Arial" w:cs="Arial" w:eastAsia="Arial" w:hAnsi="Arial"/>
                <w:sz w:val="18"/>
                <w:szCs w:val="18"/>
                <w:color w:val="auto"/>
              </w:rPr>
              <w:t>Income Tax</w:t>
            </w: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20" w:type="dxa"/>
            <w:vAlign w:val="bottom"/>
          </w:tcPr>
          <w:p>
            <w:pPr>
              <w:ind w:left="180"/>
              <w:spacing w:after="0"/>
              <w:rPr>
                <w:sz w:val="20"/>
                <w:szCs w:val="20"/>
                <w:color w:val="auto"/>
              </w:rPr>
            </w:pPr>
            <w:r>
              <w:rPr>
                <w:rFonts w:ascii="Arial" w:cs="Arial" w:eastAsia="Arial" w:hAnsi="Arial"/>
                <w:sz w:val="18"/>
                <w:szCs w:val="18"/>
                <w:color w:val="auto"/>
              </w:rPr>
              <w:t>Benefit (b)</w:t>
            </w:r>
          </w:p>
        </w:tc>
        <w:tc>
          <w:tcPr>
            <w:tcW w:w="100" w:type="dxa"/>
            <w:vAlign w:val="bottom"/>
          </w:tcPr>
          <w:p>
            <w:pPr>
              <w:spacing w:after="0"/>
              <w:rPr>
                <w:sz w:val="20"/>
                <w:szCs w:val="20"/>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(4,806)</w:t>
            </w: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(1,822)</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(1,150)</w:t>
            </w:r>
          </w:p>
        </w:tc>
        <w:tc>
          <w:tcPr>
            <w:tcW w:w="160" w:type="dxa"/>
            <w:vAlign w:val="bottom"/>
          </w:tcPr>
          <w:p>
            <w:pPr>
              <w:spacing w:after="0"/>
              <w:rPr>
                <w:sz w:val="20"/>
                <w:szCs w:val="20"/>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(1,170)</w:t>
            </w:r>
          </w:p>
        </w:tc>
        <w:tc>
          <w:tcPr>
            <w:tcW w:w="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80" w:type="dxa"/>
            <w:vAlign w:val="bottom"/>
            <w:gridSpan w:val="2"/>
          </w:tcPr>
          <w:p>
            <w:pPr>
              <w:jc w:val="right"/>
              <w:ind w:right="80"/>
              <w:spacing w:after="0"/>
              <w:rPr>
                <w:sz w:val="20"/>
                <w:szCs w:val="20"/>
                <w:color w:val="auto"/>
              </w:rPr>
            </w:pPr>
            <w:r>
              <w:rPr>
                <w:rFonts w:ascii="Arial" w:cs="Arial" w:eastAsia="Arial" w:hAnsi="Arial"/>
                <w:sz w:val="18"/>
                <w:szCs w:val="18"/>
                <w:color w:val="auto"/>
              </w:rPr>
              <w:t>(405)</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(259)</w:t>
            </w:r>
          </w:p>
        </w:tc>
        <w:tc>
          <w:tcPr>
            <w:tcW w:w="160" w:type="dxa"/>
            <w:vAlign w:val="bottom"/>
          </w:tcPr>
          <w:p>
            <w:pPr>
              <w:spacing w:after="0"/>
              <w:rPr>
                <w:sz w:val="20"/>
                <w:szCs w:val="20"/>
                <w:color w:val="auto"/>
              </w:rPr>
            </w:pPr>
          </w:p>
        </w:tc>
        <w:tc>
          <w:tcPr>
            <w:tcW w:w="7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0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Provision for income</w:t>
            </w: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 Section 162(m)</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and utilization of</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assets * * (c)</w:t>
            </w:r>
          </w:p>
        </w:tc>
        <w:tc>
          <w:tcPr>
            <w:tcW w:w="100" w:type="dxa"/>
            <w:vAlign w:val="bottom"/>
            <w:shd w:val="clear" w:color="auto" w:fill="CCEEFF"/>
          </w:tcPr>
          <w:p>
            <w:pPr>
              <w:spacing w:after="0"/>
              <w:rPr>
                <w:sz w:val="20"/>
                <w:szCs w:val="20"/>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2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27,206</w:t>
            </w:r>
          </w:p>
        </w:tc>
        <w:tc>
          <w:tcPr>
            <w:tcW w:w="1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7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82"/>
        </w:trPr>
        <w:tc>
          <w:tcPr>
            <w:tcW w:w="2020" w:type="dxa"/>
            <w:vAlign w:val="bottom"/>
          </w:tcPr>
          <w:p>
            <w:pPr>
              <w:ind w:left="180"/>
              <w:spacing w:after="0" w:line="182" w:lineRule="exact"/>
              <w:rPr>
                <w:sz w:val="20"/>
                <w:szCs w:val="20"/>
                <w:color w:val="auto"/>
              </w:rPr>
            </w:pPr>
            <w:r>
              <w:rPr>
                <w:rFonts w:ascii="Arial" w:cs="Arial" w:eastAsia="Arial" w:hAnsi="Arial"/>
                <w:sz w:val="18"/>
                <w:szCs w:val="18"/>
                <w:color w:val="auto"/>
              </w:rPr>
              <w:t>Tax impact of the</w:t>
            </w:r>
          </w:p>
        </w:tc>
        <w:tc>
          <w:tcPr>
            <w:tcW w:w="100" w:type="dxa"/>
            <w:vAlign w:val="bottom"/>
            <w:tcBorders>
              <w:top w:val="single" w:sz="8" w:color="auto"/>
            </w:tcBorders>
          </w:tcPr>
          <w:p>
            <w:pPr>
              <w:spacing w:after="0"/>
              <w:rPr>
                <w:sz w:val="15"/>
                <w:szCs w:val="15"/>
                <w:color w:val="auto"/>
              </w:rPr>
            </w:pPr>
          </w:p>
        </w:tc>
        <w:tc>
          <w:tcPr>
            <w:tcW w:w="68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22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640" w:type="dxa"/>
            <w:vAlign w:val="bottom"/>
            <w:tcBorders>
              <w:top w:val="single" w:sz="8" w:color="auto"/>
            </w:tcBorders>
          </w:tcPr>
          <w:p>
            <w:pPr>
              <w:spacing w:after="0"/>
              <w:rPr>
                <w:sz w:val="15"/>
                <w:szCs w:val="15"/>
                <w:color w:val="auto"/>
              </w:rPr>
            </w:pPr>
          </w:p>
        </w:tc>
        <w:tc>
          <w:tcPr>
            <w:tcW w:w="240" w:type="dxa"/>
            <w:vAlign w:val="bottom"/>
          </w:tcPr>
          <w:p>
            <w:pPr>
              <w:spacing w:after="0"/>
              <w:rPr>
                <w:sz w:val="15"/>
                <w:szCs w:val="15"/>
                <w:color w:val="auto"/>
              </w:rPr>
            </w:pPr>
          </w:p>
        </w:tc>
        <w:tc>
          <w:tcPr>
            <w:tcW w:w="160" w:type="dxa"/>
            <w:vAlign w:val="bottom"/>
            <w:tcBorders>
              <w:top w:val="single" w:sz="8" w:color="auto"/>
            </w:tcBorders>
          </w:tcPr>
          <w:p>
            <w:pPr>
              <w:spacing w:after="0"/>
              <w:rPr>
                <w:sz w:val="15"/>
                <w:szCs w:val="15"/>
                <w:color w:val="auto"/>
              </w:rPr>
            </w:pPr>
          </w:p>
        </w:tc>
        <w:tc>
          <w:tcPr>
            <w:tcW w:w="660" w:type="dxa"/>
            <w:vAlign w:val="bottom"/>
            <w:tcBorders>
              <w:top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2020" w:type="dxa"/>
            <w:vAlign w:val="bottom"/>
          </w:tcPr>
          <w:p>
            <w:pPr>
              <w:ind w:left="360"/>
              <w:spacing w:after="0"/>
              <w:rPr>
                <w:sz w:val="20"/>
                <w:szCs w:val="20"/>
                <w:color w:val="auto"/>
              </w:rPr>
            </w:pPr>
            <w:r>
              <w:rPr>
                <w:rFonts w:ascii="Arial" w:cs="Arial" w:eastAsia="Arial" w:hAnsi="Arial"/>
                <w:sz w:val="18"/>
                <w:szCs w:val="18"/>
                <w:color w:val="auto"/>
              </w:rPr>
              <w:t>equity award</w:t>
            </w: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680" w:type="dxa"/>
            <w:vAlign w:val="bottom"/>
            <w:vMerge w:val="restart"/>
          </w:tcPr>
          <w:p>
            <w:pPr>
              <w:jc w:val="right"/>
              <w:spacing w:after="0"/>
              <w:rPr>
                <w:sz w:val="20"/>
                <w:szCs w:val="20"/>
                <w:color w:val="auto"/>
              </w:rPr>
            </w:pPr>
            <w:r>
              <w:rPr>
                <w:rFonts w:ascii="Arial" w:cs="Arial" w:eastAsia="Arial" w:hAnsi="Arial"/>
                <w:sz w:val="18"/>
                <w:szCs w:val="18"/>
                <w:color w:val="auto"/>
              </w:rPr>
              <w:t>30,028</w:t>
            </w:r>
          </w:p>
        </w:tc>
        <w:tc>
          <w:tcPr>
            <w:tcW w:w="120" w:type="dxa"/>
            <w:vAlign w:val="bottom"/>
          </w:tcPr>
          <w:p>
            <w:pPr>
              <w:spacing w:after="0"/>
              <w:rPr>
                <w:sz w:val="18"/>
                <w:szCs w:val="18"/>
                <w:color w:val="auto"/>
              </w:rPr>
            </w:pPr>
          </w:p>
        </w:tc>
        <w:tc>
          <w:tcPr>
            <w:tcW w:w="26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rPr>
              <w:t>$</w:t>
            </w: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29,768</w:t>
            </w:r>
          </w:p>
        </w:tc>
        <w:tc>
          <w:tcPr>
            <w:tcW w:w="140" w:type="dxa"/>
            <w:vAlign w:val="bottom"/>
          </w:tcPr>
          <w:p>
            <w:pPr>
              <w:spacing w:after="0"/>
              <w:rPr>
                <w:sz w:val="18"/>
                <w:szCs w:val="18"/>
                <w:color w:val="auto"/>
              </w:rPr>
            </w:pPr>
          </w:p>
        </w:tc>
        <w:tc>
          <w:tcPr>
            <w:tcW w:w="24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rPr>
              <w:t>$</w:t>
            </w:r>
          </w:p>
        </w:tc>
        <w:tc>
          <w:tcPr>
            <w:tcW w:w="640" w:type="dxa"/>
            <w:vAlign w:val="bottom"/>
            <w:vMerge w:val="restart"/>
          </w:tcPr>
          <w:p>
            <w:pPr>
              <w:jc w:val="right"/>
              <w:spacing w:after="0"/>
              <w:rPr>
                <w:sz w:val="20"/>
                <w:szCs w:val="20"/>
                <w:color w:val="auto"/>
              </w:rPr>
            </w:pPr>
            <w:r>
              <w:rPr>
                <w:rFonts w:ascii="Arial" w:cs="Arial" w:eastAsia="Arial" w:hAnsi="Arial"/>
                <w:sz w:val="18"/>
                <w:szCs w:val="18"/>
                <w:color w:val="auto"/>
              </w:rPr>
              <w:t>1,156</w:t>
            </w:r>
          </w:p>
        </w:tc>
        <w:tc>
          <w:tcPr>
            <w:tcW w:w="220" w:type="dxa"/>
            <w:vAlign w:val="bottom"/>
          </w:tcPr>
          <w:p>
            <w:pPr>
              <w:spacing w:after="0"/>
              <w:rPr>
                <w:sz w:val="18"/>
                <w:szCs w:val="18"/>
                <w:color w:val="auto"/>
              </w:rPr>
            </w:pPr>
          </w:p>
        </w:tc>
        <w:tc>
          <w:tcPr>
            <w:tcW w:w="160" w:type="dxa"/>
            <w:vAlign w:val="bottom"/>
            <w:vMerge w:val="restart"/>
          </w:tcPr>
          <w:p>
            <w:pPr>
              <w:spacing w:after="0"/>
              <w:rPr>
                <w:sz w:val="20"/>
                <w:szCs w:val="20"/>
                <w:color w:val="auto"/>
              </w:rPr>
            </w:pPr>
            <w:r>
              <w:rPr>
                <w:rFonts w:ascii="Arial" w:cs="Arial" w:eastAsia="Arial" w:hAnsi="Arial"/>
                <w:sz w:val="18"/>
                <w:szCs w:val="18"/>
                <w:color w:val="auto"/>
              </w:rPr>
              <w:t>$</w:t>
            </w:r>
          </w:p>
        </w:tc>
        <w:tc>
          <w:tcPr>
            <w:tcW w:w="760" w:type="dxa"/>
            <w:vAlign w:val="bottom"/>
            <w:gridSpan w:val="2"/>
            <w:vMerge w:val="restart"/>
          </w:tcPr>
          <w:p>
            <w:pPr>
              <w:jc w:val="right"/>
              <w:ind w:right="80"/>
              <w:spacing w:after="0"/>
              <w:rPr>
                <w:sz w:val="20"/>
                <w:szCs w:val="20"/>
                <w:color w:val="auto"/>
              </w:rPr>
            </w:pPr>
            <w:r>
              <w:rPr>
                <w:rFonts w:ascii="Arial" w:cs="Arial" w:eastAsia="Arial" w:hAnsi="Arial"/>
                <w:sz w:val="18"/>
                <w:szCs w:val="18"/>
                <w:color w:val="auto"/>
              </w:rPr>
              <w:t>(249)</w:t>
            </w:r>
          </w:p>
        </w:tc>
        <w:tc>
          <w:tcPr>
            <w:tcW w:w="26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rPr>
              <w:t>$</w:t>
            </w:r>
          </w:p>
        </w:tc>
        <w:tc>
          <w:tcPr>
            <w:tcW w:w="780" w:type="dxa"/>
            <w:vAlign w:val="bottom"/>
            <w:gridSpan w:val="2"/>
            <w:vMerge w:val="restart"/>
          </w:tcPr>
          <w:p>
            <w:pPr>
              <w:jc w:val="right"/>
              <w:ind w:right="80"/>
              <w:spacing w:after="0"/>
              <w:rPr>
                <w:sz w:val="20"/>
                <w:szCs w:val="20"/>
                <w:color w:val="auto"/>
              </w:rPr>
            </w:pPr>
            <w:r>
              <w:rPr>
                <w:rFonts w:ascii="Arial" w:cs="Arial" w:eastAsia="Arial" w:hAnsi="Arial"/>
                <w:sz w:val="18"/>
                <w:szCs w:val="18"/>
                <w:color w:val="auto"/>
              </w:rPr>
              <w:t>(388)</w:t>
            </w:r>
          </w:p>
        </w:tc>
        <w:tc>
          <w:tcPr>
            <w:tcW w:w="240" w:type="dxa"/>
            <w:vAlign w:val="bottom"/>
            <w:gridSpan w:val="2"/>
            <w:vMerge w:val="restart"/>
          </w:tcPr>
          <w:p>
            <w:pPr>
              <w:jc w:val="right"/>
              <w:ind w:right="8"/>
              <w:spacing w:after="0"/>
              <w:rPr>
                <w:sz w:val="20"/>
                <w:szCs w:val="20"/>
                <w:color w:val="auto"/>
              </w:rPr>
            </w:pPr>
            <w:r>
              <w:rPr>
                <w:rFonts w:ascii="Arial" w:cs="Arial" w:eastAsia="Arial" w:hAnsi="Arial"/>
                <w:sz w:val="18"/>
                <w:szCs w:val="18"/>
                <w:color w:val="auto"/>
              </w:rPr>
              <w:t>$</w:t>
            </w:r>
          </w:p>
        </w:tc>
        <w:tc>
          <w:tcPr>
            <w:tcW w:w="88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(259)</w:t>
            </w:r>
          </w:p>
        </w:tc>
        <w:tc>
          <w:tcPr>
            <w:tcW w:w="160" w:type="dxa"/>
            <w:vAlign w:val="bottom"/>
            <w:vMerge w:val="restart"/>
          </w:tcPr>
          <w:p>
            <w:pPr>
              <w:jc w:val="right"/>
              <w:ind w:right="7"/>
              <w:spacing w:after="0"/>
              <w:rPr>
                <w:sz w:val="20"/>
                <w:szCs w:val="20"/>
                <w:color w:val="auto"/>
              </w:rPr>
            </w:pPr>
            <w:r>
              <w:rPr>
                <w:rFonts w:ascii="Arial" w:cs="Arial" w:eastAsia="Arial" w:hAnsi="Arial"/>
                <w:sz w:val="15"/>
                <w:szCs w:val="15"/>
                <w:color w:val="auto"/>
                <w:w w:val="71"/>
              </w:rPr>
              <w:t>$</w:t>
            </w:r>
          </w:p>
        </w:tc>
        <w:tc>
          <w:tcPr>
            <w:tcW w:w="700" w:type="dxa"/>
            <w:vAlign w:val="bottom"/>
            <w:gridSpan w:val="2"/>
            <w:vMerge w:val="restart"/>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7"/>
        </w:trPr>
        <w:tc>
          <w:tcPr>
            <w:tcW w:w="2020" w:type="dxa"/>
            <w:vAlign w:val="bottom"/>
          </w:tcPr>
          <w:p>
            <w:pPr>
              <w:ind w:left="360"/>
              <w:spacing w:after="0"/>
              <w:rPr>
                <w:sz w:val="20"/>
                <w:szCs w:val="20"/>
                <w:color w:val="auto"/>
              </w:rPr>
            </w:pPr>
            <w:r>
              <w:rPr>
                <w:rFonts w:ascii="Arial" w:cs="Arial" w:eastAsia="Arial" w:hAnsi="Arial"/>
                <w:sz w:val="18"/>
                <w:szCs w:val="18"/>
                <w:color w:val="auto"/>
              </w:rPr>
              <w:t>review</w:t>
            </w:r>
          </w:p>
        </w:tc>
        <w:tc>
          <w:tcPr>
            <w:tcW w:w="100" w:type="dxa"/>
            <w:vAlign w:val="bottom"/>
            <w:vMerge w:val="continue"/>
          </w:tcPr>
          <w:p>
            <w:pPr>
              <w:spacing w:after="0"/>
              <w:rPr>
                <w:sz w:val="22"/>
                <w:szCs w:val="22"/>
                <w:color w:val="auto"/>
              </w:rPr>
            </w:pPr>
          </w:p>
        </w:tc>
        <w:tc>
          <w:tcPr>
            <w:tcW w:w="680" w:type="dxa"/>
            <w:vAlign w:val="bottom"/>
            <w:vMerge w:val="continue"/>
          </w:tcPr>
          <w:p>
            <w:pPr>
              <w:spacing w:after="0"/>
              <w:rPr>
                <w:sz w:val="22"/>
                <w:szCs w:val="22"/>
                <w:color w:val="auto"/>
              </w:rPr>
            </w:pPr>
          </w:p>
        </w:tc>
        <w:tc>
          <w:tcPr>
            <w:tcW w:w="120" w:type="dxa"/>
            <w:vAlign w:val="bottom"/>
          </w:tcPr>
          <w:p>
            <w:pPr>
              <w:spacing w:after="0"/>
              <w:rPr>
                <w:sz w:val="22"/>
                <w:szCs w:val="22"/>
                <w:color w:val="auto"/>
              </w:rPr>
            </w:pPr>
          </w:p>
        </w:tc>
        <w:tc>
          <w:tcPr>
            <w:tcW w:w="260" w:type="dxa"/>
            <w:vAlign w:val="bottom"/>
            <w:gridSpan w:val="2"/>
            <w:vMerge w:val="continue"/>
          </w:tcPr>
          <w:p>
            <w:pPr>
              <w:spacing w:after="0"/>
              <w:rPr>
                <w:sz w:val="22"/>
                <w:szCs w:val="22"/>
                <w:color w:val="auto"/>
              </w:rPr>
            </w:pPr>
          </w:p>
        </w:tc>
        <w:tc>
          <w:tcPr>
            <w:tcW w:w="620" w:type="dxa"/>
            <w:vAlign w:val="bottom"/>
            <w:vMerge w:val="continue"/>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gridSpan w:val="2"/>
            <w:vMerge w:val="continue"/>
          </w:tcPr>
          <w:p>
            <w:pPr>
              <w:spacing w:after="0"/>
              <w:rPr>
                <w:sz w:val="22"/>
                <w:szCs w:val="22"/>
                <w:color w:val="auto"/>
              </w:rPr>
            </w:pPr>
          </w:p>
        </w:tc>
        <w:tc>
          <w:tcPr>
            <w:tcW w:w="640" w:type="dxa"/>
            <w:vAlign w:val="bottom"/>
            <w:vMerge w:val="continue"/>
          </w:tcPr>
          <w:p>
            <w:pPr>
              <w:spacing w:after="0"/>
              <w:rPr>
                <w:sz w:val="22"/>
                <w:szCs w:val="22"/>
                <w:color w:val="auto"/>
              </w:rPr>
            </w:pPr>
          </w:p>
        </w:tc>
        <w:tc>
          <w:tcPr>
            <w:tcW w:w="220" w:type="dxa"/>
            <w:vAlign w:val="bottom"/>
          </w:tcPr>
          <w:p>
            <w:pPr>
              <w:spacing w:after="0"/>
              <w:rPr>
                <w:sz w:val="22"/>
                <w:szCs w:val="22"/>
                <w:color w:val="auto"/>
              </w:rPr>
            </w:pPr>
          </w:p>
        </w:tc>
        <w:tc>
          <w:tcPr>
            <w:tcW w:w="160" w:type="dxa"/>
            <w:vAlign w:val="bottom"/>
            <w:vMerge w:val="continue"/>
          </w:tcPr>
          <w:p>
            <w:pPr>
              <w:spacing w:after="0"/>
              <w:rPr>
                <w:sz w:val="22"/>
                <w:szCs w:val="22"/>
                <w:color w:val="auto"/>
              </w:rPr>
            </w:pPr>
          </w:p>
        </w:tc>
        <w:tc>
          <w:tcPr>
            <w:tcW w:w="760" w:type="dxa"/>
            <w:vAlign w:val="bottom"/>
            <w:gridSpan w:val="2"/>
            <w:vMerge w:val="continue"/>
          </w:tcPr>
          <w:p>
            <w:pPr>
              <w:spacing w:after="0"/>
              <w:rPr>
                <w:sz w:val="22"/>
                <w:szCs w:val="22"/>
                <w:color w:val="auto"/>
              </w:rPr>
            </w:pPr>
          </w:p>
        </w:tc>
        <w:tc>
          <w:tcPr>
            <w:tcW w:w="260" w:type="dxa"/>
            <w:vAlign w:val="bottom"/>
            <w:gridSpan w:val="2"/>
            <w:vMerge w:val="continue"/>
          </w:tcPr>
          <w:p>
            <w:pPr>
              <w:spacing w:after="0"/>
              <w:rPr>
                <w:sz w:val="22"/>
                <w:szCs w:val="22"/>
                <w:color w:val="auto"/>
              </w:rPr>
            </w:pPr>
          </w:p>
        </w:tc>
        <w:tc>
          <w:tcPr>
            <w:tcW w:w="780" w:type="dxa"/>
            <w:vAlign w:val="bottom"/>
            <w:gridSpan w:val="2"/>
            <w:vMerge w:val="continue"/>
          </w:tcPr>
          <w:p>
            <w:pPr>
              <w:spacing w:after="0"/>
              <w:rPr>
                <w:sz w:val="22"/>
                <w:szCs w:val="22"/>
                <w:color w:val="auto"/>
              </w:rPr>
            </w:pPr>
          </w:p>
        </w:tc>
        <w:tc>
          <w:tcPr>
            <w:tcW w:w="240" w:type="dxa"/>
            <w:vAlign w:val="bottom"/>
            <w:gridSpan w:val="2"/>
            <w:vMerge w:val="continue"/>
          </w:tcPr>
          <w:p>
            <w:pPr>
              <w:spacing w:after="0"/>
              <w:rPr>
                <w:sz w:val="22"/>
                <w:szCs w:val="22"/>
                <w:color w:val="auto"/>
              </w:rPr>
            </w:pPr>
          </w:p>
        </w:tc>
        <w:tc>
          <w:tcPr>
            <w:tcW w:w="880" w:type="dxa"/>
            <w:vAlign w:val="bottom"/>
            <w:gridSpan w:val="2"/>
            <w:vMerge w:val="continue"/>
          </w:tcPr>
          <w:p>
            <w:pPr>
              <w:spacing w:after="0"/>
              <w:rPr>
                <w:sz w:val="22"/>
                <w:szCs w:val="22"/>
                <w:color w:val="auto"/>
              </w:rPr>
            </w:pPr>
          </w:p>
        </w:tc>
        <w:tc>
          <w:tcPr>
            <w:tcW w:w="160" w:type="dxa"/>
            <w:vAlign w:val="bottom"/>
            <w:vMerge w:val="continue"/>
          </w:tcPr>
          <w:p>
            <w:pPr>
              <w:spacing w:after="0"/>
              <w:rPr>
                <w:sz w:val="22"/>
                <w:szCs w:val="22"/>
                <w:color w:val="auto"/>
              </w:rPr>
            </w:pPr>
          </w:p>
        </w:tc>
        <w:tc>
          <w:tcPr>
            <w:tcW w:w="70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155"/>
        </w:trPr>
        <w:tc>
          <w:tcPr>
            <w:tcW w:w="2020" w:type="dxa"/>
            <w:vAlign w:val="bottom"/>
            <w:tcBorders>
              <w:top w:val="single" w:sz="8" w:color="CCEEFF"/>
            </w:tcBorders>
            <w:shd w:val="clear" w:color="auto" w:fill="CCEEFF"/>
          </w:tcPr>
          <w:p>
            <w:pPr>
              <w:spacing w:after="0" w:line="156" w:lineRule="exact"/>
              <w:rPr>
                <w:sz w:val="20"/>
                <w:szCs w:val="20"/>
                <w:color w:val="auto"/>
              </w:rPr>
            </w:pPr>
            <w:r>
              <w:rPr>
                <w:rFonts w:ascii="Arial" w:cs="Arial" w:eastAsia="Arial" w:hAnsi="Arial"/>
                <w:sz w:val="18"/>
                <w:szCs w:val="18"/>
                <w:color w:val="auto"/>
              </w:rPr>
              <w:t>Reduction to deferred</w:t>
            </w:r>
          </w:p>
        </w:tc>
        <w:tc>
          <w:tcPr>
            <w:tcW w:w="100" w:type="dxa"/>
            <w:vAlign w:val="bottom"/>
            <w:tcBorders>
              <w:top w:val="single" w:sz="8" w:color="auto"/>
            </w:tcBorders>
            <w:shd w:val="clear" w:color="auto" w:fill="CCEEFF"/>
          </w:tcPr>
          <w:p>
            <w:pPr>
              <w:spacing w:after="0"/>
              <w:rPr>
                <w:sz w:val="13"/>
                <w:szCs w:val="13"/>
                <w:color w:val="auto"/>
              </w:rPr>
            </w:pPr>
          </w:p>
        </w:tc>
        <w:tc>
          <w:tcPr>
            <w:tcW w:w="68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22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2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8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40" w:type="dxa"/>
            <w:vAlign w:val="bottom"/>
            <w:tcBorders>
              <w:top w:val="single" w:sz="8" w:color="auto"/>
            </w:tcBorders>
            <w:shd w:val="clear" w:color="auto" w:fill="CCEEFF"/>
          </w:tcPr>
          <w:p>
            <w:pPr>
              <w:spacing w:after="0"/>
              <w:rPr>
                <w:sz w:val="13"/>
                <w:szCs w:val="13"/>
                <w:color w:val="auto"/>
              </w:rPr>
            </w:pPr>
          </w:p>
        </w:tc>
        <w:tc>
          <w:tcPr>
            <w:tcW w:w="24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660" w:type="dxa"/>
            <w:vAlign w:val="bottom"/>
            <w:tcBorders>
              <w:top w:val="single" w:sz="8" w:color="auto"/>
            </w:tcBorders>
            <w:shd w:val="clear" w:color="auto" w:fill="CCEEFF"/>
          </w:tcPr>
          <w:p>
            <w:pPr>
              <w:spacing w:after="0"/>
              <w:rPr>
                <w:sz w:val="13"/>
                <w:szCs w:val="13"/>
                <w:color w:val="auto"/>
              </w:rPr>
            </w:pPr>
          </w:p>
        </w:tc>
        <w:tc>
          <w:tcPr>
            <w:tcW w:w="40" w:type="dxa"/>
            <w:vAlign w:val="bottom"/>
            <w:tcBorders>
              <w:top w:val="single" w:sz="8" w:color="CCEEFF"/>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asset for</w:t>
            </w:r>
          </w:p>
        </w:tc>
        <w:tc>
          <w:tcPr>
            <w:tcW w:w="1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w w:val="79"/>
              </w:rPr>
              <w:t>$</w:t>
            </w: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5,275</w:t>
            </w:r>
          </w:p>
        </w:tc>
        <w:tc>
          <w:tcPr>
            <w:tcW w:w="120" w:type="dxa"/>
            <w:vAlign w:val="bottom"/>
            <w:shd w:val="clear" w:color="auto" w:fill="CCEEFF"/>
          </w:tcPr>
          <w:p>
            <w:pPr>
              <w:spacing w:after="0"/>
              <w:rPr>
                <w:sz w:val="18"/>
                <w:szCs w:val="18"/>
                <w:color w:val="auto"/>
              </w:rPr>
            </w:pPr>
          </w:p>
        </w:tc>
        <w:tc>
          <w:tcPr>
            <w:tcW w:w="260" w:type="dxa"/>
            <w:vAlign w:val="bottom"/>
            <w:gridSpan w:val="2"/>
            <w:vMerge w:val="restart"/>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3,249</w:t>
            </w:r>
          </w:p>
        </w:tc>
        <w:tc>
          <w:tcPr>
            <w:tcW w:w="140" w:type="dxa"/>
            <w:vAlign w:val="bottom"/>
            <w:shd w:val="clear" w:color="auto" w:fill="CCEEFF"/>
          </w:tcPr>
          <w:p>
            <w:pPr>
              <w:spacing w:after="0"/>
              <w:rPr>
                <w:sz w:val="18"/>
                <w:szCs w:val="18"/>
                <w:color w:val="auto"/>
              </w:rPr>
            </w:pPr>
          </w:p>
        </w:tc>
        <w:tc>
          <w:tcPr>
            <w:tcW w:w="240" w:type="dxa"/>
            <w:vAlign w:val="bottom"/>
            <w:gridSpan w:val="2"/>
            <w:vMerge w:val="restart"/>
            <w:shd w:val="clear" w:color="auto" w:fill="CCEEFF"/>
          </w:tcPr>
          <w:p>
            <w:pPr>
              <w:jc w:val="right"/>
              <w:ind w:right="8"/>
              <w:spacing w:after="0"/>
              <w:rPr>
                <w:sz w:val="20"/>
                <w:szCs w:val="20"/>
                <w:color w:val="auto"/>
              </w:rPr>
            </w:pPr>
            <w:r>
              <w:rPr>
                <w:rFonts w:ascii="Arial" w:cs="Arial" w:eastAsia="Arial" w:hAnsi="Arial"/>
                <w:sz w:val="18"/>
                <w:szCs w:val="18"/>
                <w:color w:val="auto"/>
              </w:rPr>
              <w:t>$</w:t>
            </w: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vMerge w:val="restart"/>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700" w:type="dxa"/>
            <w:vAlign w:val="bottom"/>
            <w:gridSpan w:val="2"/>
            <w:vMerge w:val="restart"/>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20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exemption benefit (d)</w:t>
            </w:r>
          </w:p>
        </w:tc>
        <w:tc>
          <w:tcPr>
            <w:tcW w:w="100" w:type="dxa"/>
            <w:vAlign w:val="bottom"/>
            <w:vMerge w:val="continue"/>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gridSpan w:val="2"/>
            <w:vMerge w:val="continue"/>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40" w:type="dxa"/>
            <w:vAlign w:val="bottom"/>
            <w:gridSpan w:val="2"/>
            <w:vMerge w:val="continue"/>
            <w:shd w:val="clear" w:color="auto" w:fill="CCEEFF"/>
          </w:tcPr>
          <w:p>
            <w:pPr>
              <w:spacing w:after="0"/>
              <w:rPr>
                <w:sz w:val="18"/>
                <w:szCs w:val="18"/>
                <w:color w:val="auto"/>
              </w:rPr>
            </w:pPr>
          </w:p>
        </w:tc>
        <w:tc>
          <w:tcPr>
            <w:tcW w:w="640" w:type="dxa"/>
            <w:vAlign w:val="bottom"/>
            <w:vMerge w:val="continue"/>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2"/>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vMerge w:val="continue"/>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0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280" w:right="340" w:hanging="272"/>
        <w:spacing w:after="0" w:line="277" w:lineRule="auto"/>
        <w:tabs>
          <w:tab w:leader="none" w:pos="2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$3.0 million of additional employer and employee withholding taxes related to exercises of affected options, including penalty and interest, and $24.2 million of Section 409A expenses of employees, including penalties and interest was also recorded in fiscal 2007.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$4.9 million of penalty and interest associated with Section 162(m) liability was also recorded in fiscal 2007.</w:t>
      </w:r>
    </w:p>
    <w:p>
      <w:pPr>
        <w:spacing w:after="0" w:line="225" w:lineRule="exact"/>
        <w:rPr>
          <w:sz w:val="20"/>
          <w:szCs w:val="20"/>
          <w:color w:val="auto"/>
        </w:rPr>
      </w:pPr>
    </w:p>
    <w:p>
      <w:pPr>
        <w:ind w:left="280" w:right="60" w:hanging="272"/>
        <w:spacing w:after="0" w:line="277" w:lineRule="auto"/>
        <w:tabs>
          <w:tab w:leader="none" w:pos="310" w:val="left"/>
        </w:tabs>
        <w:numPr>
          <w:ilvl w:val="0"/>
          <w:numId w:val="23"/>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Payroll Tax - </w:t>
      </w:r>
      <w:r>
        <w:rPr>
          <w:rFonts w:ascii="Arial" w:cs="Arial" w:eastAsia="Arial" w:hAnsi="Arial"/>
          <w:sz w:val="18"/>
          <w:szCs w:val="18"/>
          <w:color w:val="auto"/>
        </w:rPr>
        <w:t>The revised measurement dates for certain stock options as discussed in this filing may result in adverse federal and state tax consequences</w:t>
      </w:r>
      <w:r>
        <w:rPr>
          <w:rFonts w:ascii="Arial" w:cs="Arial" w:eastAsia="Arial" w:hAnsi="Arial"/>
          <w:sz w:val="18"/>
          <w:szCs w:val="18"/>
          <w:i w:val="1"/>
          <w:iCs w:val="1"/>
          <w:color w:val="auto"/>
        </w:rPr>
        <w:t xml:space="preserve"> </w:t>
      </w:r>
      <w:r>
        <w:rPr>
          <w:rFonts w:ascii="Arial" w:cs="Arial" w:eastAsia="Arial" w:hAnsi="Arial"/>
          <w:sz w:val="18"/>
          <w:szCs w:val="18"/>
          <w:color w:val="auto"/>
        </w:rPr>
        <w:t>to holders of those options under IRC Section 409A which was enacted in 2004 to impose certain restrictions on</w:t>
      </w:r>
    </w:p>
    <w:p>
      <w:pPr>
        <w:sectPr>
          <w:pgSz w:w="11900" w:h="16838" w:orient="portrait"/>
          <w:cols w:equalWidth="0" w:num="1">
            <w:col w:w="11400"/>
          </w:cols>
          <w:pgMar w:left="240" w:top="125" w:right="259" w:bottom="217" w:gutter="0" w:footer="0" w:header="0"/>
        </w:sectPr>
      </w:pP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217" w:gutter="0" w:footer="0" w:header="0"/>
          <w:type w:val="continuous"/>
        </w:sectPr>
      </w:pPr>
    </w:p>
    <w:bookmarkStart w:id="31" w:name="page32"/>
    <w:bookmarkEnd w:id="31"/>
    <w:p>
      <w:pPr>
        <w:spacing w:after="0" w:line="33" w:lineRule="exact"/>
        <w:rPr>
          <w:sz w:val="20"/>
          <w:szCs w:val="20"/>
          <w:color w:val="auto"/>
        </w:rPr>
      </w:pPr>
    </w:p>
    <w:p>
      <w:pPr>
        <w:ind w:left="280" w:right="20"/>
        <w:spacing w:after="0" w:line="286" w:lineRule="auto"/>
        <w:rPr>
          <w:sz w:val="20"/>
          <w:szCs w:val="20"/>
          <w:color w:val="auto"/>
        </w:rPr>
      </w:pPr>
      <w:r>
        <w:rPr>
          <w:rFonts w:ascii="Arial" w:cs="Arial" w:eastAsia="Arial" w:hAnsi="Arial"/>
          <w:sz w:val="17"/>
          <w:szCs w:val="17"/>
          <w:color w:val="auto"/>
        </w:rPr>
        <w:t>deferred compensation arrangements. The adverse tax consequences are that Section 409A may subject the option holder of the re-measured retroactively priced stock options to a penalty tax and interest on the exercise of the options vesting after December 31, 2004. In addition to similar penalty taxes and interest under California and other state income tax laws upon the exercise of the option grant will apply.</w:t>
      </w:r>
    </w:p>
    <w:p>
      <w:pPr>
        <w:spacing w:after="0" w:line="166" w:lineRule="exact"/>
        <w:rPr>
          <w:sz w:val="20"/>
          <w:szCs w:val="20"/>
          <w:color w:val="auto"/>
        </w:rPr>
      </w:pPr>
    </w:p>
    <w:p>
      <w:pPr>
        <w:ind w:left="660" w:right="20" w:hanging="328"/>
        <w:spacing w:after="0" w:line="271" w:lineRule="auto"/>
        <w:tabs>
          <w:tab w:leader="none" w:pos="610" w:val="left"/>
        </w:tabs>
        <w:numPr>
          <w:ilvl w:val="0"/>
          <w:numId w:val="24"/>
        </w:numPr>
        <w:rPr>
          <w:rFonts w:ascii="Arial" w:cs="Arial" w:eastAsia="Arial" w:hAnsi="Arial"/>
          <w:sz w:val="17"/>
          <w:szCs w:val="17"/>
          <w:color w:val="auto"/>
        </w:rPr>
      </w:pPr>
      <w:r>
        <w:rPr>
          <w:rFonts w:ascii="Arial" w:cs="Arial" w:eastAsia="Arial" w:hAnsi="Arial"/>
          <w:sz w:val="17"/>
          <w:szCs w:val="17"/>
          <w:i w:val="1"/>
          <w:iCs w:val="1"/>
          <w:color w:val="auto"/>
        </w:rPr>
        <w:t>Exercised options</w:t>
      </w:r>
      <w:r>
        <w:rPr>
          <w:rFonts w:ascii="Arial" w:cs="Arial" w:eastAsia="Arial" w:hAnsi="Arial"/>
          <w:sz w:val="17"/>
          <w:szCs w:val="17"/>
          <w:color w:val="auto"/>
        </w:rPr>
        <w:t>. The option grants had been originally issued as incentive stock options. Due to the re-measurement caused by the re-pricing, they</w:t>
      </w:r>
      <w:r>
        <w:rPr>
          <w:rFonts w:ascii="Arial" w:cs="Arial" w:eastAsia="Arial" w:hAnsi="Arial"/>
          <w:sz w:val="17"/>
          <w:szCs w:val="17"/>
          <w:i w:val="1"/>
          <w:iCs w:val="1"/>
          <w:color w:val="auto"/>
        </w:rPr>
        <w:t xml:space="preserve"> </w:t>
      </w:r>
      <w:r>
        <w:rPr>
          <w:rFonts w:ascii="Arial" w:cs="Arial" w:eastAsia="Arial" w:hAnsi="Arial"/>
          <w:sz w:val="17"/>
          <w:szCs w:val="17"/>
          <w:color w:val="auto"/>
        </w:rPr>
        <w:t>have become non-statutory stock options. We have accrued employment taxes for the exercise in each of the years due to the conversion of the options from incentive to non-statutory. Included in the restated results through fiscal 2006 are additional employer and employee withholding taxes relating to exercises of affected options totaling $7.6 million, including penalties and interest. The amounts represent additional compensation expense and have been classified in their respective functional categories. On a calendar year basis the amounts total: calendar 2003 of $0.8 million, calendar 2004 of $1.9 million, calendar 2005 of $3.7 million, and calendar 2006 of $4.2 million. The above table reflects the amounts on a fiscal year basis. The full amount of compensation, taxes, interest and penalties has been accrued as reflected above as well as in fiscal 2007. The total amount accrued through fiscal 2007 is $10.6 million.</w:t>
      </w:r>
    </w:p>
    <w:p>
      <w:pPr>
        <w:spacing w:after="0" w:line="178" w:lineRule="exact"/>
        <w:rPr>
          <w:rFonts w:ascii="Arial" w:cs="Arial" w:eastAsia="Arial" w:hAnsi="Arial"/>
          <w:sz w:val="17"/>
          <w:szCs w:val="17"/>
          <w:color w:val="auto"/>
        </w:rPr>
      </w:pPr>
    </w:p>
    <w:p>
      <w:pPr>
        <w:ind w:left="600" w:hanging="268"/>
        <w:spacing w:after="0"/>
        <w:tabs>
          <w:tab w:leader="none" w:pos="600" w:val="left"/>
        </w:tabs>
        <w:numPr>
          <w:ilvl w:val="0"/>
          <w:numId w:val="24"/>
        </w:numPr>
        <w:rPr>
          <w:rFonts w:ascii="Arial" w:cs="Arial" w:eastAsia="Arial" w:hAnsi="Arial"/>
          <w:sz w:val="18"/>
          <w:szCs w:val="18"/>
          <w:color w:val="auto"/>
        </w:rPr>
      </w:pPr>
      <w:r>
        <w:rPr>
          <w:rFonts w:ascii="Arial" w:cs="Arial" w:eastAsia="Arial" w:hAnsi="Arial"/>
          <w:sz w:val="18"/>
          <w:szCs w:val="18"/>
          <w:i w:val="1"/>
          <w:iCs w:val="1"/>
          <w:color w:val="auto"/>
        </w:rPr>
        <w:t>Section 409A</w:t>
      </w:r>
    </w:p>
    <w:p>
      <w:pPr>
        <w:spacing w:after="0" w:line="225" w:lineRule="exact"/>
        <w:rPr>
          <w:sz w:val="20"/>
          <w:szCs w:val="20"/>
          <w:color w:val="auto"/>
        </w:rPr>
      </w:pPr>
    </w:p>
    <w:p>
      <w:pPr>
        <w:ind w:left="660" w:right="200"/>
        <w:spacing w:after="0" w:line="257" w:lineRule="auto"/>
        <w:rPr>
          <w:sz w:val="20"/>
          <w:szCs w:val="20"/>
          <w:color w:val="auto"/>
        </w:rPr>
      </w:pPr>
      <w:r>
        <w:rPr>
          <w:rFonts w:ascii="Arial" w:cs="Arial" w:eastAsia="Arial" w:hAnsi="Arial"/>
          <w:sz w:val="18"/>
          <w:szCs w:val="18"/>
          <w:color w:val="auto"/>
        </w:rPr>
        <w:t>We have informed employees who exercised options in 2006 that any additional tax costs accruing to such employees from Section 409A, ISO disqualification, and employment taxes will be reimbursed by us and grossed up. For the Section 409A affected options exercised during calendar year 2006, the IRS issued guidelines that would allow employers to enter into a global settlement of Section 409A issues on behalf of their employees. California and other states have offered a similar program. This liability does not appear in the above table, but has been accrued in fiscal year 2007 as explained in the remainder of this section.</w:t>
      </w:r>
    </w:p>
    <w:p>
      <w:pPr>
        <w:spacing w:after="0" w:line="188" w:lineRule="exact"/>
        <w:rPr>
          <w:sz w:val="20"/>
          <w:szCs w:val="20"/>
          <w:color w:val="auto"/>
        </w:rPr>
      </w:pPr>
    </w:p>
    <w:p>
      <w:pPr>
        <w:ind w:left="660" w:right="60"/>
        <w:spacing w:after="0" w:line="273" w:lineRule="auto"/>
        <w:rPr>
          <w:sz w:val="20"/>
          <w:szCs w:val="20"/>
          <w:color w:val="auto"/>
        </w:rPr>
      </w:pPr>
      <w:r>
        <w:rPr>
          <w:rFonts w:ascii="Arial" w:cs="Arial" w:eastAsia="Arial" w:hAnsi="Arial"/>
          <w:sz w:val="17"/>
          <w:szCs w:val="17"/>
          <w:color w:val="auto"/>
        </w:rPr>
        <w:t>Because all holders of re-measured stock options generally were not involved in or aware of the retroactive pricing, the Board of Directors approved our plan to deal with the adverse tax consequences that may be incurred by the holders of the re-measured options in the fourth quarter of fiscal 2007. Therefore, we recorded in the last quarter of fiscal 2007 Section 409A expenses for the adverse tax consequences of the re-measured options exercised during calendar year 2006 of approximately $24.2 million, including estimated penalties and interest. The amount represents additional compensation expense and has been classified in the respective functional categories. We have sent timely notices to the IRS and the California Franchise Tax Board that we have elected to participate in these programs.</w:t>
      </w:r>
    </w:p>
    <w:p>
      <w:pPr>
        <w:spacing w:after="0" w:line="178" w:lineRule="exact"/>
        <w:rPr>
          <w:sz w:val="20"/>
          <w:szCs w:val="20"/>
          <w:color w:val="auto"/>
        </w:rPr>
      </w:pPr>
    </w:p>
    <w:p>
      <w:pPr>
        <w:ind w:left="660" w:right="120" w:hanging="328"/>
        <w:spacing w:after="0" w:line="259" w:lineRule="auto"/>
        <w:tabs>
          <w:tab w:leader="none" w:pos="610" w:val="left"/>
        </w:tabs>
        <w:numPr>
          <w:ilvl w:val="1"/>
          <w:numId w:val="25"/>
        </w:numPr>
        <w:rPr>
          <w:rFonts w:ascii="Arial" w:cs="Arial" w:eastAsia="Arial" w:hAnsi="Arial"/>
          <w:sz w:val="18"/>
          <w:szCs w:val="18"/>
          <w:color w:val="auto"/>
        </w:rPr>
      </w:pPr>
      <w:r>
        <w:rPr>
          <w:rFonts w:ascii="Arial" w:cs="Arial" w:eastAsia="Arial" w:hAnsi="Arial"/>
          <w:sz w:val="18"/>
          <w:szCs w:val="18"/>
          <w:i w:val="1"/>
          <w:iCs w:val="1"/>
          <w:color w:val="auto"/>
        </w:rPr>
        <w:t>Unexercised options</w:t>
      </w:r>
      <w:r>
        <w:rPr>
          <w:rFonts w:ascii="Arial" w:cs="Arial" w:eastAsia="Arial" w:hAnsi="Arial"/>
          <w:sz w:val="18"/>
          <w:szCs w:val="18"/>
          <w:color w:val="auto"/>
        </w:rPr>
        <w:t>. The IRS has provided taxpayers with the following two ways of correcting unexercised discounted stock options: 1) setting a</w:t>
      </w:r>
      <w:r>
        <w:rPr>
          <w:rFonts w:ascii="Arial" w:cs="Arial" w:eastAsia="Arial" w:hAnsi="Arial"/>
          <w:sz w:val="18"/>
          <w:szCs w:val="18"/>
          <w:i w:val="1"/>
          <w:iCs w:val="1"/>
          <w:color w:val="auto"/>
        </w:rPr>
        <w:t xml:space="preserve"> </w:t>
      </w:r>
      <w:r>
        <w:rPr>
          <w:rFonts w:ascii="Arial" w:cs="Arial" w:eastAsia="Arial" w:hAnsi="Arial"/>
          <w:sz w:val="18"/>
          <w:szCs w:val="18"/>
          <w:color w:val="auto"/>
        </w:rPr>
        <w:t>fixed exercise date; or 2) increasing the exercise price of the option up to the fair market price on the date of grant. We are actively evaluating these options. The discount associated with unexercised stock options outstanding as of January 27, 2007 amounted to $51.7 million. We have not determined the tax consequences associated with these potential future remedies.</w:t>
      </w:r>
    </w:p>
    <w:p>
      <w:pPr>
        <w:spacing w:after="0" w:line="186" w:lineRule="exact"/>
        <w:rPr>
          <w:rFonts w:ascii="Arial" w:cs="Arial" w:eastAsia="Arial" w:hAnsi="Arial"/>
          <w:sz w:val="18"/>
          <w:szCs w:val="18"/>
          <w:color w:val="auto"/>
        </w:rPr>
      </w:pPr>
    </w:p>
    <w:p>
      <w:pPr>
        <w:ind w:left="340" w:right="140" w:hanging="332"/>
        <w:spacing w:after="0" w:line="257" w:lineRule="auto"/>
        <w:tabs>
          <w:tab w:leader="none" w:pos="302" w:val="left"/>
        </w:tabs>
        <w:numPr>
          <w:ilvl w:val="0"/>
          <w:numId w:val="25"/>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Deferred Tax Asset for Stock Based Compensation: </w:t>
      </w:r>
      <w:r>
        <w:rPr>
          <w:rFonts w:ascii="Arial" w:cs="Arial" w:eastAsia="Arial" w:hAnsi="Arial"/>
          <w:sz w:val="18"/>
          <w:szCs w:val="18"/>
          <w:color w:val="auto"/>
        </w:rPr>
        <w:t>We recorded adjustments for the creation of additional deferred tax asset for stock 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that is deductible at later periods for U.S. income tax purposes on our balance sheets for year end dates of each of fiscal 2002 through fiscal 2006. As a result, additional benefits for income tax arising from stock based compensation were recognized in fiscal 2006 of $1.8 million, fiscal 2005 of $1.1 million, fiscal 2004 of $1.2 million, fiscal 2003 of $0.4 million and fiscal 2002 of $0.3 million. The total gross stock based compensation cost that results in deferred tax benefit is $12.0 million of the total expense of $327.4 million.</w:t>
      </w:r>
    </w:p>
    <w:p>
      <w:pPr>
        <w:spacing w:after="0" w:line="188" w:lineRule="exact"/>
        <w:rPr>
          <w:sz w:val="20"/>
          <w:szCs w:val="20"/>
          <w:color w:val="auto"/>
        </w:rPr>
      </w:pPr>
    </w:p>
    <w:p>
      <w:pPr>
        <w:ind w:left="340" w:right="60"/>
        <w:spacing w:after="0" w:line="302" w:lineRule="auto"/>
        <w:rPr>
          <w:sz w:val="20"/>
          <w:szCs w:val="20"/>
          <w:color w:val="auto"/>
        </w:rPr>
      </w:pPr>
      <w:r>
        <w:rPr>
          <w:rFonts w:ascii="Arial" w:cs="Arial" w:eastAsia="Arial" w:hAnsi="Arial"/>
          <w:sz w:val="16"/>
          <w:szCs w:val="16"/>
          <w:color w:val="auto"/>
        </w:rPr>
        <w:t>In addition, we evaluated the impact of the restatement on our global tax provision. Our parent company and its subsidiaries file tax returns in multiple tax jurisdictions around the world. In the U.S. jurisdiction one of our subsidiaries claims a tax deduction relative to stock options with regard to the U.S. distributor business. In accordance with FAS 123R for this jurisdiction where the deduction is claimed during fiscal 2007, we have recorded a deferred tax asset totaling $3.5 million at January 27, 2007, to reflect future tax deductions to the extent we believe such asset is recoverable.</w:t>
      </w:r>
    </w:p>
    <w:p>
      <w:pPr>
        <w:spacing w:after="0" w:line="154" w:lineRule="exact"/>
        <w:rPr>
          <w:sz w:val="20"/>
          <w:szCs w:val="20"/>
          <w:color w:val="auto"/>
        </w:rPr>
      </w:pPr>
    </w:p>
    <w:p>
      <w:pPr>
        <w:ind w:left="340" w:hanging="332"/>
        <w:spacing w:after="0" w:line="293" w:lineRule="auto"/>
        <w:tabs>
          <w:tab w:leader="none" w:pos="330" w:val="left"/>
        </w:tabs>
        <w:numPr>
          <w:ilvl w:val="0"/>
          <w:numId w:val="26"/>
        </w:numPr>
        <w:rPr>
          <w:rFonts w:ascii="Arial" w:cs="Arial" w:eastAsia="Arial" w:hAnsi="Arial"/>
          <w:sz w:val="16"/>
          <w:szCs w:val="16"/>
          <w:i w:val="1"/>
          <w:iCs w:val="1"/>
          <w:color w:val="auto"/>
        </w:rPr>
      </w:pPr>
      <w:r>
        <w:rPr>
          <w:rFonts w:ascii="Arial" w:cs="Arial" w:eastAsia="Arial" w:hAnsi="Arial"/>
          <w:sz w:val="16"/>
          <w:szCs w:val="16"/>
          <w:i w:val="1"/>
          <w:iCs w:val="1"/>
          <w:color w:val="auto"/>
        </w:rPr>
        <w:t xml:space="preserve">Income Tax - Section 162(m) and utilization of deferred tax assets: </w:t>
      </w:r>
      <w:r>
        <w:rPr>
          <w:rFonts w:ascii="Arial" w:cs="Arial" w:eastAsia="Arial" w:hAnsi="Arial"/>
          <w:sz w:val="16"/>
          <w:szCs w:val="16"/>
          <w:color w:val="auto"/>
        </w:rPr>
        <w:t>We have accrued for the current and deferred tax impact of $104.5 million of non-deductible officer compensation related to Internal Revenue Section 162(m) (“Section 162(m)”) in fiscal 2006. Section 162(m) limits the deductibility of compensation in excess of one million dollars, but exempts stock option compensation where the option was issued at fair market value on the date of grant. We have determined that $104.5 million of executive compensation in fiscal 2006 does not meet the exclusion criteria under Section 162(m), under existing IRS interpretations, and have therefore accrued $21.8 million of current tax expense and $5.4 million of deferred tax expense associated with the utilization of net operating losses. We have accrued the penalty and interest totaling $4.9 million associated with this liability in fiscal 2007.</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right="120" w:hanging="332"/>
        <w:spacing w:after="0" w:line="277" w:lineRule="auto"/>
        <w:tabs>
          <w:tab w:leader="none" w:pos="302" w:val="left"/>
        </w:tabs>
        <w:numPr>
          <w:ilvl w:val="0"/>
          <w:numId w:val="27"/>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Other: </w:t>
      </w:r>
      <w:r>
        <w:rPr>
          <w:rFonts w:ascii="Arial" w:cs="Arial" w:eastAsia="Arial" w:hAnsi="Arial"/>
          <w:sz w:val="18"/>
          <w:szCs w:val="18"/>
          <w:color w:val="auto"/>
        </w:rPr>
        <w:t>We recorded adjustments to correct an overstatement of deferred tax asset related to the Singapore entity. The original deferred tax asset had not</w:t>
      </w:r>
      <w:r>
        <w:rPr>
          <w:rFonts w:ascii="Arial" w:cs="Arial" w:eastAsia="Arial" w:hAnsi="Arial"/>
          <w:sz w:val="18"/>
          <w:szCs w:val="18"/>
          <w:i w:val="1"/>
          <w:iCs w:val="1"/>
          <w:color w:val="auto"/>
        </w:rPr>
        <w:t xml:space="preserve"> </w:t>
      </w:r>
      <w:r>
        <w:rPr>
          <w:rFonts w:ascii="Arial" w:cs="Arial" w:eastAsia="Arial" w:hAnsi="Arial"/>
          <w:sz w:val="18"/>
          <w:szCs w:val="18"/>
          <w:color w:val="auto"/>
        </w:rPr>
        <w:t>reflected the benefit of the Pioneer status of this entity.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Accumulated Deficit Impact of Equity Award Review and Other Tax Adjustments</w:t>
      </w:r>
    </w:p>
    <w:p>
      <w:pPr>
        <w:spacing w:after="0" w:line="225" w:lineRule="exact"/>
        <w:rPr>
          <w:sz w:val="20"/>
          <w:szCs w:val="20"/>
          <w:color w:val="auto"/>
        </w:rPr>
      </w:pPr>
    </w:p>
    <w:p>
      <w:pPr>
        <w:ind w:right="360" w:firstLine="324"/>
        <w:spacing w:after="0" w:line="264" w:lineRule="auto"/>
        <w:rPr>
          <w:sz w:val="20"/>
          <w:szCs w:val="20"/>
          <w:color w:val="auto"/>
        </w:rPr>
      </w:pPr>
      <w:r>
        <w:rPr>
          <w:rFonts w:ascii="Arial" w:cs="Arial" w:eastAsia="Arial" w:hAnsi="Arial"/>
          <w:sz w:val="18"/>
          <w:szCs w:val="18"/>
          <w:color w:val="auto"/>
        </w:rPr>
        <w:t>The table below reflects the breakdown by year of the cumulative adjustment to retained earnings. Our consolidated financial statements for periods through fiscal 2006 included in previously filed periodic reports with the SEC for such periods have not been amended. The consolidated financial statements, included in this Form 10-Q, have been restated as follows (in thousands):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14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8"/>
              </w:rPr>
              <w:t>Cumulative</w:t>
            </w: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r>
      <w:tr>
        <w:trPr>
          <w:trHeight w:val="135"/>
        </w:trPr>
        <w:tc>
          <w:tcPr>
            <w:tcW w:w="14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82"/>
              </w:rPr>
              <w:t>effect of</w:t>
            </w: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r>
      <w:tr>
        <w:trPr>
          <w:trHeight w:val="135"/>
        </w:trPr>
        <w:tc>
          <w:tcPr>
            <w:tcW w:w="14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gridSpan w:val="3"/>
          </w:tcPr>
          <w:p>
            <w:pPr>
              <w:jc w:val="center"/>
              <w:ind w:right="300"/>
              <w:spacing w:after="0" w:line="135" w:lineRule="exact"/>
              <w:rPr>
                <w:sz w:val="20"/>
                <w:szCs w:val="20"/>
                <w:color w:val="auto"/>
              </w:rPr>
            </w:pPr>
            <w:r>
              <w:rPr>
                <w:rFonts w:ascii="Arial" w:cs="Arial" w:eastAsia="Arial" w:hAnsi="Arial"/>
                <w:sz w:val="13"/>
                <w:szCs w:val="13"/>
                <w:b w:val="1"/>
                <w:bCs w:val="1"/>
                <w:color w:val="auto"/>
                <w:w w:val="86"/>
              </w:rPr>
              <w:t>Estimated</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00" w:type="dxa"/>
            <w:vAlign w:val="bottom"/>
            <w:gridSpan w:val="3"/>
          </w:tcPr>
          <w:p>
            <w:pPr>
              <w:jc w:val="center"/>
              <w:ind w:right="260"/>
              <w:spacing w:after="0" w:line="135" w:lineRule="exact"/>
              <w:rPr>
                <w:sz w:val="20"/>
                <w:szCs w:val="20"/>
                <w:color w:val="auto"/>
              </w:rPr>
            </w:pPr>
            <w:r>
              <w:rPr>
                <w:rFonts w:ascii="Arial" w:cs="Arial" w:eastAsia="Arial" w:hAnsi="Arial"/>
                <w:sz w:val="13"/>
                <w:szCs w:val="13"/>
                <w:b w:val="1"/>
                <w:bCs w:val="1"/>
                <w:color w:val="auto"/>
                <w:w w:val="85"/>
              </w:rPr>
              <w:t>Section</w:t>
            </w:r>
          </w:p>
        </w:tc>
        <w:tc>
          <w:tcPr>
            <w:tcW w:w="800" w:type="dxa"/>
            <w:vAlign w:val="bottom"/>
            <w:gridSpan w:val="2"/>
          </w:tcPr>
          <w:p>
            <w:pPr>
              <w:jc w:val="center"/>
              <w:ind w:right="160"/>
              <w:spacing w:after="0" w:line="135" w:lineRule="exact"/>
              <w:rPr>
                <w:sz w:val="20"/>
                <w:szCs w:val="20"/>
                <w:color w:val="auto"/>
              </w:rPr>
            </w:pPr>
            <w:r>
              <w:rPr>
                <w:rFonts w:ascii="Arial" w:cs="Arial" w:eastAsia="Arial" w:hAnsi="Arial"/>
                <w:sz w:val="13"/>
                <w:szCs w:val="13"/>
                <w:b w:val="1"/>
                <w:bCs w:val="1"/>
                <w:color w:val="auto"/>
                <w:w w:val="85"/>
              </w:rPr>
              <w:t>change in</w:t>
            </w: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r>
      <w:tr>
        <w:trPr>
          <w:trHeight w:val="135"/>
        </w:trPr>
        <w:tc>
          <w:tcPr>
            <w:tcW w:w="14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gridSpan w:val="3"/>
          </w:tcPr>
          <w:p>
            <w:pPr>
              <w:jc w:val="center"/>
              <w:ind w:right="300"/>
              <w:spacing w:after="0" w:line="135" w:lineRule="exact"/>
              <w:rPr>
                <w:sz w:val="20"/>
                <w:szCs w:val="20"/>
                <w:color w:val="auto"/>
              </w:rPr>
            </w:pPr>
            <w:r>
              <w:rPr>
                <w:rFonts w:ascii="Arial" w:cs="Arial" w:eastAsia="Arial" w:hAnsi="Arial"/>
                <w:sz w:val="13"/>
                <w:szCs w:val="13"/>
                <w:b w:val="1"/>
                <w:bCs w:val="1"/>
                <w:color w:val="auto"/>
                <w:w w:val="87"/>
              </w:rPr>
              <w:t>additional</w:t>
            </w:r>
          </w:p>
        </w:tc>
        <w:tc>
          <w:tcPr>
            <w:tcW w:w="900" w:type="dxa"/>
            <w:vAlign w:val="bottom"/>
            <w:gridSpan w:val="3"/>
          </w:tcPr>
          <w:p>
            <w:pPr>
              <w:jc w:val="center"/>
              <w:ind w:right="280"/>
              <w:spacing w:after="0" w:line="135" w:lineRule="exact"/>
              <w:rPr>
                <w:sz w:val="20"/>
                <w:szCs w:val="20"/>
                <w:color w:val="auto"/>
              </w:rPr>
            </w:pPr>
            <w:r>
              <w:rPr>
                <w:rFonts w:ascii="Arial" w:cs="Arial" w:eastAsia="Arial" w:hAnsi="Arial"/>
                <w:sz w:val="13"/>
                <w:szCs w:val="13"/>
                <w:b w:val="1"/>
                <w:bCs w:val="1"/>
                <w:color w:val="auto"/>
                <w:w w:val="91"/>
              </w:rPr>
              <w:t>Additional</w:t>
            </w:r>
          </w:p>
        </w:tc>
        <w:tc>
          <w:tcPr>
            <w:tcW w:w="900" w:type="dxa"/>
            <w:vAlign w:val="bottom"/>
            <w:gridSpan w:val="3"/>
          </w:tcPr>
          <w:p>
            <w:pPr>
              <w:jc w:val="center"/>
              <w:ind w:right="280"/>
              <w:spacing w:after="0" w:line="135" w:lineRule="exact"/>
              <w:rPr>
                <w:sz w:val="20"/>
                <w:szCs w:val="20"/>
                <w:color w:val="auto"/>
              </w:rPr>
            </w:pPr>
            <w:r>
              <w:rPr>
                <w:rFonts w:ascii="Arial" w:cs="Arial" w:eastAsia="Arial" w:hAnsi="Arial"/>
                <w:sz w:val="13"/>
                <w:szCs w:val="13"/>
                <w:b w:val="1"/>
                <w:bCs w:val="1"/>
                <w:color w:val="auto"/>
                <w:w w:val="91"/>
              </w:rPr>
              <w:t>Additional</w:t>
            </w:r>
          </w:p>
        </w:tc>
        <w:tc>
          <w:tcPr>
            <w:tcW w:w="900" w:type="dxa"/>
            <w:vAlign w:val="bottom"/>
            <w:gridSpan w:val="3"/>
          </w:tcPr>
          <w:p>
            <w:pPr>
              <w:jc w:val="center"/>
              <w:ind w:right="280"/>
              <w:spacing w:after="0" w:line="135" w:lineRule="exact"/>
              <w:rPr>
                <w:sz w:val="20"/>
                <w:szCs w:val="20"/>
                <w:color w:val="auto"/>
              </w:rPr>
            </w:pPr>
            <w:r>
              <w:rPr>
                <w:rFonts w:ascii="Arial" w:cs="Arial" w:eastAsia="Arial" w:hAnsi="Arial"/>
                <w:sz w:val="13"/>
                <w:szCs w:val="13"/>
                <w:b w:val="1"/>
                <w:bCs w:val="1"/>
                <w:color w:val="auto"/>
                <w:w w:val="90"/>
              </w:rPr>
              <w:t>162(m) and</w:t>
            </w:r>
          </w:p>
        </w:tc>
        <w:tc>
          <w:tcPr>
            <w:tcW w:w="80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83"/>
              </w:rPr>
              <w:t>accounting</w:t>
            </w: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r>
      <w:tr>
        <w:trPr>
          <w:trHeight w:val="135"/>
        </w:trPr>
        <w:tc>
          <w:tcPr>
            <w:tcW w:w="1420" w:type="dxa"/>
            <w:vAlign w:val="bottom"/>
          </w:tcPr>
          <w:p>
            <w:pPr>
              <w:spacing w:after="0"/>
              <w:rPr>
                <w:sz w:val="11"/>
                <w:szCs w:val="11"/>
                <w:color w:val="auto"/>
              </w:rPr>
            </w:pPr>
          </w:p>
        </w:tc>
        <w:tc>
          <w:tcPr>
            <w:tcW w:w="760" w:type="dxa"/>
            <w:vAlign w:val="bottom"/>
          </w:tcPr>
          <w:p>
            <w:pPr>
              <w:jc w:val="center"/>
              <w:spacing w:after="0" w:line="135" w:lineRule="exact"/>
              <w:rPr>
                <w:sz w:val="20"/>
                <w:szCs w:val="20"/>
                <w:color w:val="auto"/>
              </w:rPr>
            </w:pPr>
            <w:r>
              <w:rPr>
                <w:rFonts w:ascii="Arial" w:cs="Arial" w:eastAsia="Arial" w:hAnsi="Arial"/>
                <w:sz w:val="13"/>
                <w:szCs w:val="13"/>
                <w:b w:val="1"/>
                <w:bCs w:val="1"/>
                <w:color w:val="auto"/>
                <w:w w:val="85"/>
              </w:rPr>
              <w:t>Net</w:t>
            </w:r>
          </w:p>
        </w:tc>
        <w:tc>
          <w:tcPr>
            <w:tcW w:w="120" w:type="dxa"/>
            <w:vAlign w:val="bottom"/>
          </w:tcPr>
          <w:p>
            <w:pPr>
              <w:spacing w:after="0"/>
              <w:rPr>
                <w:sz w:val="11"/>
                <w:szCs w:val="11"/>
                <w:color w:val="auto"/>
              </w:rPr>
            </w:pPr>
          </w:p>
        </w:tc>
        <w:tc>
          <w:tcPr>
            <w:tcW w:w="88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82"/>
              </w:rPr>
              <w:t>Stock-based</w:t>
            </w:r>
          </w:p>
        </w:tc>
        <w:tc>
          <w:tcPr>
            <w:tcW w:w="100" w:type="dxa"/>
            <w:vAlign w:val="bottom"/>
          </w:tcPr>
          <w:p>
            <w:pPr>
              <w:spacing w:after="0"/>
              <w:rPr>
                <w:sz w:val="11"/>
                <w:szCs w:val="11"/>
                <w:color w:val="auto"/>
              </w:rPr>
            </w:pPr>
          </w:p>
        </w:tc>
        <w:tc>
          <w:tcPr>
            <w:tcW w:w="880" w:type="dxa"/>
            <w:vAlign w:val="bottom"/>
            <w:gridSpan w:val="3"/>
          </w:tcPr>
          <w:p>
            <w:pPr>
              <w:jc w:val="center"/>
              <w:ind w:right="300"/>
              <w:spacing w:after="0" w:line="135" w:lineRule="exact"/>
              <w:rPr>
                <w:sz w:val="20"/>
                <w:szCs w:val="20"/>
                <w:color w:val="auto"/>
              </w:rPr>
            </w:pPr>
            <w:r>
              <w:rPr>
                <w:rFonts w:ascii="Arial" w:cs="Arial" w:eastAsia="Arial" w:hAnsi="Arial"/>
                <w:sz w:val="13"/>
                <w:szCs w:val="13"/>
                <w:b w:val="1"/>
                <w:bCs w:val="1"/>
                <w:color w:val="auto"/>
                <w:w w:val="89"/>
              </w:rPr>
              <w:t>payroll</w:t>
            </w:r>
          </w:p>
        </w:tc>
        <w:tc>
          <w:tcPr>
            <w:tcW w:w="900" w:type="dxa"/>
            <w:vAlign w:val="bottom"/>
            <w:gridSpan w:val="3"/>
          </w:tcPr>
          <w:p>
            <w:pPr>
              <w:jc w:val="center"/>
              <w:ind w:right="280"/>
              <w:spacing w:after="0" w:line="135" w:lineRule="exact"/>
              <w:rPr>
                <w:sz w:val="20"/>
                <w:szCs w:val="20"/>
                <w:color w:val="auto"/>
              </w:rPr>
            </w:pPr>
            <w:r>
              <w:rPr>
                <w:rFonts w:ascii="Arial" w:cs="Arial" w:eastAsia="Arial" w:hAnsi="Arial"/>
                <w:sz w:val="13"/>
                <w:szCs w:val="13"/>
                <w:b w:val="1"/>
                <w:bCs w:val="1"/>
                <w:color w:val="auto"/>
                <w:w w:val="88"/>
              </w:rPr>
              <w:t>deferred</w:t>
            </w:r>
          </w:p>
        </w:tc>
        <w:tc>
          <w:tcPr>
            <w:tcW w:w="900" w:type="dxa"/>
            <w:vAlign w:val="bottom"/>
            <w:gridSpan w:val="3"/>
          </w:tcPr>
          <w:p>
            <w:pPr>
              <w:jc w:val="center"/>
              <w:ind w:right="280"/>
              <w:spacing w:after="0" w:line="135" w:lineRule="exact"/>
              <w:rPr>
                <w:sz w:val="20"/>
                <w:szCs w:val="20"/>
                <w:color w:val="auto"/>
              </w:rPr>
            </w:pPr>
            <w:r>
              <w:rPr>
                <w:rFonts w:ascii="Arial" w:cs="Arial" w:eastAsia="Arial" w:hAnsi="Arial"/>
                <w:sz w:val="13"/>
                <w:szCs w:val="13"/>
                <w:b w:val="1"/>
                <w:bCs w:val="1"/>
                <w:color w:val="auto"/>
                <w:w w:val="88"/>
              </w:rPr>
              <w:t>deferred</w:t>
            </w:r>
          </w:p>
        </w:tc>
        <w:tc>
          <w:tcPr>
            <w:tcW w:w="900" w:type="dxa"/>
            <w:vAlign w:val="bottom"/>
            <w:gridSpan w:val="3"/>
          </w:tcPr>
          <w:p>
            <w:pPr>
              <w:jc w:val="center"/>
              <w:ind w:right="280"/>
              <w:spacing w:after="0" w:line="135" w:lineRule="exact"/>
              <w:rPr>
                <w:sz w:val="20"/>
                <w:szCs w:val="20"/>
                <w:color w:val="auto"/>
              </w:rPr>
            </w:pPr>
            <w:r>
              <w:rPr>
                <w:rFonts w:ascii="Arial" w:cs="Arial" w:eastAsia="Arial" w:hAnsi="Arial"/>
                <w:sz w:val="13"/>
                <w:szCs w:val="13"/>
                <w:b w:val="1"/>
                <w:bCs w:val="1"/>
                <w:color w:val="auto"/>
                <w:w w:val="88"/>
              </w:rPr>
              <w:t>utilization</w:t>
            </w:r>
          </w:p>
        </w:tc>
        <w:tc>
          <w:tcPr>
            <w:tcW w:w="800" w:type="dxa"/>
            <w:vAlign w:val="bottom"/>
            <w:gridSpan w:val="2"/>
          </w:tcPr>
          <w:p>
            <w:pPr>
              <w:jc w:val="center"/>
              <w:ind w:right="160"/>
              <w:spacing w:after="0" w:line="135" w:lineRule="exact"/>
              <w:rPr>
                <w:sz w:val="20"/>
                <w:szCs w:val="20"/>
                <w:color w:val="auto"/>
              </w:rPr>
            </w:pPr>
            <w:r>
              <w:rPr>
                <w:rFonts w:ascii="Arial" w:cs="Arial" w:eastAsia="Arial" w:hAnsi="Arial"/>
                <w:sz w:val="13"/>
                <w:szCs w:val="13"/>
                <w:b w:val="1"/>
                <w:bCs w:val="1"/>
                <w:color w:val="auto"/>
                <w:w w:val="89"/>
              </w:rPr>
              <w:t>principle,</w:t>
            </w: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gridSpan w:val="2"/>
          </w:tcPr>
          <w:p>
            <w:pPr>
              <w:jc w:val="center"/>
              <w:ind w:right="300"/>
              <w:spacing w:after="0" w:line="135" w:lineRule="exact"/>
              <w:rPr>
                <w:sz w:val="20"/>
                <w:szCs w:val="20"/>
                <w:color w:val="auto"/>
              </w:rPr>
            </w:pPr>
            <w:r>
              <w:rPr>
                <w:rFonts w:ascii="Arial" w:cs="Arial" w:eastAsia="Arial" w:hAnsi="Arial"/>
                <w:sz w:val="13"/>
                <w:szCs w:val="13"/>
                <w:b w:val="1"/>
                <w:bCs w:val="1"/>
                <w:color w:val="auto"/>
                <w:w w:val="83"/>
              </w:rPr>
              <w:t>Total</w:t>
            </w:r>
          </w:p>
        </w:tc>
      </w:tr>
      <w:tr>
        <w:trPr>
          <w:trHeight w:val="135"/>
        </w:trPr>
        <w:tc>
          <w:tcPr>
            <w:tcW w:w="1420" w:type="dxa"/>
            <w:vAlign w:val="bottom"/>
          </w:tcPr>
          <w:p>
            <w:pPr>
              <w:spacing w:after="0"/>
              <w:rPr>
                <w:sz w:val="11"/>
                <w:szCs w:val="11"/>
                <w:color w:val="auto"/>
              </w:rPr>
            </w:pPr>
          </w:p>
        </w:tc>
        <w:tc>
          <w:tcPr>
            <w:tcW w:w="760" w:type="dxa"/>
            <w:vAlign w:val="bottom"/>
          </w:tcPr>
          <w:p>
            <w:pPr>
              <w:jc w:val="center"/>
              <w:spacing w:after="0" w:line="135" w:lineRule="exact"/>
              <w:rPr>
                <w:sz w:val="20"/>
                <w:szCs w:val="20"/>
                <w:color w:val="auto"/>
              </w:rPr>
            </w:pPr>
            <w:r>
              <w:rPr>
                <w:rFonts w:ascii="Arial" w:cs="Arial" w:eastAsia="Arial" w:hAnsi="Arial"/>
                <w:sz w:val="13"/>
                <w:szCs w:val="13"/>
                <w:b w:val="1"/>
                <w:bCs w:val="1"/>
                <w:color w:val="auto"/>
                <w:w w:val="83"/>
              </w:rPr>
              <w:t>income</w:t>
            </w:r>
          </w:p>
        </w:tc>
        <w:tc>
          <w:tcPr>
            <w:tcW w:w="120" w:type="dxa"/>
            <w:vAlign w:val="bottom"/>
          </w:tcPr>
          <w:p>
            <w:pPr>
              <w:spacing w:after="0"/>
              <w:rPr>
                <w:sz w:val="11"/>
                <w:szCs w:val="11"/>
                <w:color w:val="auto"/>
              </w:rPr>
            </w:pPr>
          </w:p>
        </w:tc>
        <w:tc>
          <w:tcPr>
            <w:tcW w:w="880" w:type="dxa"/>
            <w:vAlign w:val="bottom"/>
            <w:gridSpan w:val="3"/>
          </w:tcPr>
          <w:p>
            <w:pPr>
              <w:jc w:val="center"/>
              <w:ind w:right="140"/>
              <w:spacing w:after="0" w:line="135" w:lineRule="exact"/>
              <w:rPr>
                <w:sz w:val="20"/>
                <w:szCs w:val="20"/>
                <w:color w:val="auto"/>
              </w:rPr>
            </w:pPr>
            <w:r>
              <w:rPr>
                <w:rFonts w:ascii="Arial" w:cs="Arial" w:eastAsia="Arial" w:hAnsi="Arial"/>
                <w:sz w:val="13"/>
                <w:szCs w:val="13"/>
                <w:b w:val="1"/>
                <w:bCs w:val="1"/>
                <w:color w:val="auto"/>
                <w:w w:val="83"/>
              </w:rPr>
              <w:t>compensation</w:t>
            </w:r>
          </w:p>
        </w:tc>
        <w:tc>
          <w:tcPr>
            <w:tcW w:w="100" w:type="dxa"/>
            <w:vAlign w:val="bottom"/>
          </w:tcPr>
          <w:p>
            <w:pPr>
              <w:spacing w:after="0"/>
              <w:rPr>
                <w:sz w:val="11"/>
                <w:szCs w:val="11"/>
                <w:color w:val="auto"/>
              </w:rPr>
            </w:pPr>
          </w:p>
        </w:tc>
        <w:tc>
          <w:tcPr>
            <w:tcW w:w="880" w:type="dxa"/>
            <w:vAlign w:val="bottom"/>
            <w:gridSpan w:val="3"/>
          </w:tcPr>
          <w:p>
            <w:pPr>
              <w:jc w:val="center"/>
              <w:ind w:right="300"/>
              <w:spacing w:after="0" w:line="135" w:lineRule="exact"/>
              <w:rPr>
                <w:sz w:val="20"/>
                <w:szCs w:val="20"/>
                <w:color w:val="auto"/>
              </w:rPr>
            </w:pPr>
            <w:r>
              <w:rPr>
                <w:rFonts w:ascii="Arial" w:cs="Arial" w:eastAsia="Arial" w:hAnsi="Arial"/>
                <w:sz w:val="13"/>
                <w:szCs w:val="13"/>
                <w:b w:val="1"/>
                <w:bCs w:val="1"/>
                <w:color w:val="auto"/>
                <w:w w:val="95"/>
              </w:rPr>
              <w:t>tax</w:t>
            </w:r>
          </w:p>
        </w:tc>
        <w:tc>
          <w:tcPr>
            <w:tcW w:w="900" w:type="dxa"/>
            <w:vAlign w:val="bottom"/>
            <w:gridSpan w:val="3"/>
          </w:tcPr>
          <w:p>
            <w:pPr>
              <w:jc w:val="center"/>
              <w:ind w:right="280"/>
              <w:spacing w:after="0" w:line="135" w:lineRule="exact"/>
              <w:rPr>
                <w:sz w:val="20"/>
                <w:szCs w:val="20"/>
                <w:color w:val="auto"/>
              </w:rPr>
            </w:pPr>
            <w:r>
              <w:rPr>
                <w:rFonts w:ascii="Arial" w:cs="Arial" w:eastAsia="Arial" w:hAnsi="Arial"/>
                <w:sz w:val="13"/>
                <w:szCs w:val="13"/>
                <w:b w:val="1"/>
                <w:bCs w:val="1"/>
                <w:color w:val="auto"/>
                <w:w w:val="85"/>
              </w:rPr>
              <w:t>income tax</w:t>
            </w:r>
          </w:p>
        </w:tc>
        <w:tc>
          <w:tcPr>
            <w:tcW w:w="900" w:type="dxa"/>
            <w:vAlign w:val="bottom"/>
            <w:gridSpan w:val="3"/>
          </w:tcPr>
          <w:p>
            <w:pPr>
              <w:jc w:val="center"/>
              <w:ind w:right="280"/>
              <w:spacing w:after="0" w:line="135" w:lineRule="exact"/>
              <w:rPr>
                <w:sz w:val="20"/>
                <w:szCs w:val="20"/>
                <w:color w:val="auto"/>
              </w:rPr>
            </w:pPr>
            <w:r>
              <w:rPr>
                <w:rFonts w:ascii="Arial" w:cs="Arial" w:eastAsia="Arial" w:hAnsi="Arial"/>
                <w:sz w:val="13"/>
                <w:szCs w:val="13"/>
                <w:b w:val="1"/>
                <w:bCs w:val="1"/>
                <w:color w:val="auto"/>
                <w:w w:val="85"/>
              </w:rPr>
              <w:t>income tax</w:t>
            </w:r>
          </w:p>
        </w:tc>
        <w:tc>
          <w:tcPr>
            <w:tcW w:w="900" w:type="dxa"/>
            <w:vAlign w:val="bottom"/>
            <w:gridSpan w:val="3"/>
          </w:tcPr>
          <w:p>
            <w:pPr>
              <w:jc w:val="center"/>
              <w:ind w:right="260"/>
              <w:spacing w:after="0" w:line="135" w:lineRule="exact"/>
              <w:rPr>
                <w:sz w:val="20"/>
                <w:szCs w:val="20"/>
                <w:color w:val="auto"/>
              </w:rPr>
            </w:pPr>
            <w:r>
              <w:rPr>
                <w:rFonts w:ascii="Arial" w:cs="Arial" w:eastAsia="Arial" w:hAnsi="Arial"/>
                <w:sz w:val="13"/>
                <w:szCs w:val="13"/>
                <w:b w:val="1"/>
                <w:bCs w:val="1"/>
                <w:color w:val="auto"/>
                <w:w w:val="88"/>
              </w:rPr>
              <w:t>of deferred</w:t>
            </w:r>
          </w:p>
        </w:tc>
        <w:tc>
          <w:tcPr>
            <w:tcW w:w="80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84"/>
              </w:rPr>
              <w:t>net of</w:t>
            </w:r>
          </w:p>
        </w:tc>
        <w:tc>
          <w:tcPr>
            <w:tcW w:w="40" w:type="dxa"/>
            <w:vAlign w:val="bottom"/>
          </w:tcPr>
          <w:p>
            <w:pPr>
              <w:spacing w:after="0"/>
              <w:rPr>
                <w:sz w:val="11"/>
                <w:szCs w:val="11"/>
                <w:color w:val="auto"/>
              </w:rPr>
            </w:pPr>
          </w:p>
        </w:tc>
        <w:tc>
          <w:tcPr>
            <w:tcW w:w="1000" w:type="dxa"/>
            <w:vAlign w:val="bottom"/>
            <w:gridSpan w:val="3"/>
          </w:tcPr>
          <w:p>
            <w:pPr>
              <w:jc w:val="center"/>
              <w:ind w:right="160"/>
              <w:spacing w:after="0" w:line="135" w:lineRule="exact"/>
              <w:rPr>
                <w:sz w:val="20"/>
                <w:szCs w:val="20"/>
                <w:color w:val="auto"/>
              </w:rPr>
            </w:pPr>
            <w:r>
              <w:rPr>
                <w:rFonts w:ascii="Arial" w:cs="Arial" w:eastAsia="Arial" w:hAnsi="Arial"/>
                <w:sz w:val="13"/>
                <w:szCs w:val="13"/>
                <w:b w:val="1"/>
                <w:bCs w:val="1"/>
                <w:color w:val="auto"/>
                <w:w w:val="87"/>
              </w:rPr>
              <w:t>Adjustments,</w:t>
            </w:r>
          </w:p>
        </w:tc>
      </w:tr>
      <w:tr>
        <w:trPr>
          <w:trHeight w:val="153"/>
        </w:trPr>
        <w:tc>
          <w:tcPr>
            <w:tcW w:w="1420" w:type="dxa"/>
            <w:vAlign w:val="bottom"/>
          </w:tcPr>
          <w:p>
            <w:pPr>
              <w:spacing w:after="0"/>
              <w:rPr>
                <w:sz w:val="13"/>
                <w:szCs w:val="13"/>
                <w:color w:val="auto"/>
              </w:rPr>
            </w:pPr>
          </w:p>
        </w:tc>
        <w:tc>
          <w:tcPr>
            <w:tcW w:w="760" w:type="dxa"/>
            <w:vAlign w:val="bottom"/>
          </w:tcPr>
          <w:p>
            <w:pPr>
              <w:jc w:val="center"/>
              <w:spacing w:after="0"/>
              <w:rPr>
                <w:sz w:val="20"/>
                <w:szCs w:val="20"/>
                <w:color w:val="auto"/>
              </w:rPr>
            </w:pPr>
            <w:r>
              <w:rPr>
                <w:rFonts w:ascii="Arial" w:cs="Arial" w:eastAsia="Arial" w:hAnsi="Arial"/>
                <w:sz w:val="13"/>
                <w:szCs w:val="13"/>
                <w:b w:val="1"/>
                <w:bCs w:val="1"/>
                <w:color w:val="auto"/>
                <w:w w:val="87"/>
              </w:rPr>
              <w:t>as reported</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60" w:type="dxa"/>
            <w:vAlign w:val="bottom"/>
            <w:gridSpan w:val="2"/>
          </w:tcPr>
          <w:p>
            <w:pPr>
              <w:jc w:val="center"/>
              <w:ind w:right="260"/>
              <w:spacing w:after="0"/>
              <w:rPr>
                <w:sz w:val="20"/>
                <w:szCs w:val="20"/>
                <w:color w:val="auto"/>
              </w:rPr>
            </w:pPr>
            <w:r>
              <w:rPr>
                <w:rFonts w:ascii="Arial" w:cs="Arial" w:eastAsia="Arial" w:hAnsi="Arial"/>
                <w:sz w:val="13"/>
                <w:szCs w:val="13"/>
                <w:b w:val="1"/>
                <w:bCs w:val="1"/>
                <w:color w:val="auto"/>
                <w:w w:val="80"/>
              </w:rPr>
              <w:t>expense</w:t>
            </w:r>
          </w:p>
        </w:tc>
        <w:tc>
          <w:tcPr>
            <w:tcW w:w="100" w:type="dxa"/>
            <w:vAlign w:val="bottom"/>
          </w:tcPr>
          <w:p>
            <w:pPr>
              <w:spacing w:after="0"/>
              <w:rPr>
                <w:sz w:val="13"/>
                <w:szCs w:val="13"/>
                <w:color w:val="auto"/>
              </w:rPr>
            </w:pPr>
          </w:p>
        </w:tc>
        <w:tc>
          <w:tcPr>
            <w:tcW w:w="880" w:type="dxa"/>
            <w:vAlign w:val="bottom"/>
            <w:gridSpan w:val="3"/>
          </w:tcPr>
          <w:p>
            <w:pPr>
              <w:jc w:val="center"/>
              <w:ind w:right="300"/>
              <w:spacing w:after="0"/>
              <w:rPr>
                <w:sz w:val="20"/>
                <w:szCs w:val="20"/>
                <w:color w:val="auto"/>
              </w:rPr>
            </w:pPr>
            <w:r>
              <w:rPr>
                <w:rFonts w:ascii="Arial" w:cs="Arial" w:eastAsia="Arial" w:hAnsi="Arial"/>
                <w:sz w:val="13"/>
                <w:szCs w:val="13"/>
                <w:b w:val="1"/>
                <w:bCs w:val="1"/>
                <w:color w:val="auto"/>
                <w:w w:val="80"/>
              </w:rPr>
              <w:t>expense</w:t>
            </w:r>
          </w:p>
        </w:tc>
        <w:tc>
          <w:tcPr>
            <w:tcW w:w="900" w:type="dxa"/>
            <w:vAlign w:val="bottom"/>
            <w:gridSpan w:val="3"/>
          </w:tcPr>
          <w:p>
            <w:pPr>
              <w:jc w:val="center"/>
              <w:ind w:right="280"/>
              <w:spacing w:after="0"/>
              <w:rPr>
                <w:sz w:val="20"/>
                <w:szCs w:val="20"/>
                <w:color w:val="auto"/>
              </w:rPr>
            </w:pPr>
            <w:r>
              <w:rPr>
                <w:rFonts w:ascii="Arial" w:cs="Arial" w:eastAsia="Arial" w:hAnsi="Arial"/>
                <w:sz w:val="13"/>
                <w:szCs w:val="13"/>
                <w:b w:val="1"/>
                <w:bCs w:val="1"/>
                <w:color w:val="auto"/>
                <w:w w:val="89"/>
              </w:rPr>
              <w:t>benefit</w:t>
            </w:r>
          </w:p>
        </w:tc>
        <w:tc>
          <w:tcPr>
            <w:tcW w:w="900" w:type="dxa"/>
            <w:vAlign w:val="bottom"/>
            <w:gridSpan w:val="3"/>
          </w:tcPr>
          <w:p>
            <w:pPr>
              <w:jc w:val="center"/>
              <w:ind w:right="280"/>
              <w:spacing w:after="0"/>
              <w:rPr>
                <w:sz w:val="20"/>
                <w:szCs w:val="20"/>
                <w:color w:val="auto"/>
              </w:rPr>
            </w:pPr>
            <w:r>
              <w:rPr>
                <w:rFonts w:ascii="Arial" w:cs="Arial" w:eastAsia="Arial" w:hAnsi="Arial"/>
                <w:sz w:val="13"/>
                <w:szCs w:val="13"/>
                <w:b w:val="1"/>
                <w:bCs w:val="1"/>
                <w:color w:val="auto"/>
                <w:w w:val="85"/>
              </w:rPr>
              <w:t>provision</w:t>
            </w:r>
          </w:p>
        </w:tc>
        <w:tc>
          <w:tcPr>
            <w:tcW w:w="900" w:type="dxa"/>
            <w:vAlign w:val="bottom"/>
            <w:gridSpan w:val="3"/>
          </w:tcPr>
          <w:p>
            <w:pPr>
              <w:jc w:val="center"/>
              <w:ind w:right="280"/>
              <w:spacing w:after="0"/>
              <w:rPr>
                <w:sz w:val="20"/>
                <w:szCs w:val="20"/>
                <w:color w:val="auto"/>
              </w:rPr>
            </w:pPr>
            <w:r>
              <w:rPr>
                <w:rFonts w:ascii="Arial" w:cs="Arial" w:eastAsia="Arial" w:hAnsi="Arial"/>
                <w:sz w:val="13"/>
                <w:szCs w:val="13"/>
                <w:b w:val="1"/>
                <w:bCs w:val="1"/>
                <w:color w:val="auto"/>
                <w:w w:val="79"/>
              </w:rPr>
              <w:t>tax assets</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tax effect</w:t>
            </w: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80" w:type="dxa"/>
            <w:vAlign w:val="bottom"/>
            <w:gridSpan w:val="2"/>
          </w:tcPr>
          <w:p>
            <w:pPr>
              <w:jc w:val="center"/>
              <w:ind w:right="300"/>
              <w:spacing w:after="0"/>
              <w:rPr>
                <w:sz w:val="20"/>
                <w:szCs w:val="20"/>
                <w:color w:val="auto"/>
              </w:rPr>
            </w:pPr>
            <w:r>
              <w:rPr>
                <w:rFonts w:ascii="Arial" w:cs="Arial" w:eastAsia="Arial" w:hAnsi="Arial"/>
                <w:sz w:val="13"/>
                <w:szCs w:val="13"/>
                <w:b w:val="1"/>
                <w:bCs w:val="1"/>
                <w:color w:val="auto"/>
                <w:w w:val="86"/>
              </w:rPr>
              <w:t>net of tax</w:t>
            </w:r>
          </w:p>
        </w:tc>
      </w:tr>
      <w:tr>
        <w:trPr>
          <w:trHeight w:val="110"/>
        </w:trPr>
        <w:tc>
          <w:tcPr>
            <w:tcW w:w="1420" w:type="dxa"/>
            <w:vAlign w:val="bottom"/>
            <w:tcBorders>
              <w:top w:val="single" w:sz="8" w:color="CCEEFF"/>
            </w:tcBorders>
            <w:shd w:val="clear" w:color="auto" w:fill="CCEEFF"/>
          </w:tcPr>
          <w:p>
            <w:pPr>
              <w:spacing w:after="0" w:line="110" w:lineRule="exact"/>
              <w:rPr>
                <w:sz w:val="20"/>
                <w:szCs w:val="20"/>
                <w:color w:val="auto"/>
              </w:rPr>
            </w:pPr>
            <w:r>
              <w:rPr>
                <w:rFonts w:ascii="Arial" w:cs="Arial" w:eastAsia="Arial" w:hAnsi="Arial"/>
                <w:sz w:val="12"/>
                <w:szCs w:val="12"/>
                <w:color w:val="auto"/>
              </w:rPr>
              <w:t>Fiscal 2000 and</w:t>
            </w:r>
          </w:p>
        </w:tc>
        <w:tc>
          <w:tcPr>
            <w:tcW w:w="760" w:type="dxa"/>
            <w:vAlign w:val="bottom"/>
            <w:tcBorders>
              <w:top w:val="single" w:sz="8" w:color="auto"/>
            </w:tcBorders>
            <w:shd w:val="clear" w:color="auto" w:fill="CCEEFF"/>
          </w:tcPr>
          <w:p>
            <w:pPr>
              <w:spacing w:after="0"/>
              <w:rPr>
                <w:sz w:val="9"/>
                <w:szCs w:val="9"/>
                <w:color w:val="auto"/>
              </w:rPr>
            </w:pPr>
          </w:p>
        </w:tc>
        <w:tc>
          <w:tcPr>
            <w:tcW w:w="120" w:type="dxa"/>
            <w:vAlign w:val="bottom"/>
            <w:tcBorders>
              <w:top w:val="single" w:sz="8" w:color="CCEEFF"/>
            </w:tcBorders>
            <w:shd w:val="clear" w:color="auto" w:fill="CCEEFF"/>
          </w:tcPr>
          <w:p>
            <w:pPr>
              <w:spacing w:after="0"/>
              <w:rPr>
                <w:sz w:val="9"/>
                <w:szCs w:val="9"/>
                <w:color w:val="auto"/>
              </w:rPr>
            </w:pPr>
          </w:p>
        </w:tc>
        <w:tc>
          <w:tcPr>
            <w:tcW w:w="120" w:type="dxa"/>
            <w:vAlign w:val="bottom"/>
            <w:tcBorders>
              <w:top w:val="single" w:sz="8" w:color="auto"/>
            </w:tcBorders>
            <w:shd w:val="clear" w:color="auto" w:fill="CCEEFF"/>
          </w:tcPr>
          <w:p>
            <w:pPr>
              <w:spacing w:after="0"/>
              <w:rPr>
                <w:sz w:val="9"/>
                <w:szCs w:val="9"/>
                <w:color w:val="auto"/>
              </w:rPr>
            </w:pPr>
          </w:p>
        </w:tc>
        <w:tc>
          <w:tcPr>
            <w:tcW w:w="660" w:type="dxa"/>
            <w:vAlign w:val="bottom"/>
            <w:tcBorders>
              <w:top w:val="single" w:sz="8" w:color="auto"/>
            </w:tcBorders>
            <w:shd w:val="clear" w:color="auto" w:fill="CCEEFF"/>
          </w:tcPr>
          <w:p>
            <w:pPr>
              <w:spacing w:after="0"/>
              <w:rPr>
                <w:sz w:val="9"/>
                <w:szCs w:val="9"/>
                <w:color w:val="auto"/>
              </w:rPr>
            </w:pPr>
          </w:p>
        </w:tc>
        <w:tc>
          <w:tcPr>
            <w:tcW w:w="100" w:type="dxa"/>
            <w:vAlign w:val="bottom"/>
            <w:tcBorders>
              <w:top w:val="single" w:sz="8" w:color="CCEEFF"/>
            </w:tcBorders>
            <w:shd w:val="clear" w:color="auto" w:fill="CCEEFF"/>
          </w:tcPr>
          <w:p>
            <w:pPr>
              <w:spacing w:after="0"/>
              <w:rPr>
                <w:sz w:val="9"/>
                <w:szCs w:val="9"/>
                <w:color w:val="auto"/>
              </w:rPr>
            </w:pPr>
          </w:p>
        </w:tc>
        <w:tc>
          <w:tcPr>
            <w:tcW w:w="100" w:type="dxa"/>
            <w:vAlign w:val="bottom"/>
            <w:tcBorders>
              <w:top w:val="single" w:sz="8" w:color="auto"/>
            </w:tcBorders>
            <w:shd w:val="clear" w:color="auto" w:fill="CCEEFF"/>
          </w:tcPr>
          <w:p>
            <w:pPr>
              <w:spacing w:after="0"/>
              <w:rPr>
                <w:sz w:val="9"/>
                <w:szCs w:val="9"/>
                <w:color w:val="auto"/>
              </w:rPr>
            </w:pPr>
          </w:p>
        </w:tc>
        <w:tc>
          <w:tcPr>
            <w:tcW w:w="680" w:type="dxa"/>
            <w:vAlign w:val="bottom"/>
            <w:tcBorders>
              <w:top w:val="single" w:sz="8" w:color="auto"/>
            </w:tcBorders>
            <w:shd w:val="clear" w:color="auto" w:fill="CCEEFF"/>
          </w:tcPr>
          <w:p>
            <w:pPr>
              <w:spacing w:after="0"/>
              <w:rPr>
                <w:sz w:val="9"/>
                <w:szCs w:val="9"/>
                <w:color w:val="auto"/>
              </w:rPr>
            </w:pPr>
          </w:p>
        </w:tc>
        <w:tc>
          <w:tcPr>
            <w:tcW w:w="120" w:type="dxa"/>
            <w:vAlign w:val="bottom"/>
            <w:tcBorders>
              <w:top w:val="single" w:sz="8" w:color="CCEEFF"/>
            </w:tcBorders>
            <w:shd w:val="clear" w:color="auto" w:fill="CCEEFF"/>
          </w:tcPr>
          <w:p>
            <w:pPr>
              <w:spacing w:after="0"/>
              <w:rPr>
                <w:sz w:val="9"/>
                <w:szCs w:val="9"/>
                <w:color w:val="auto"/>
              </w:rPr>
            </w:pPr>
          </w:p>
        </w:tc>
        <w:tc>
          <w:tcPr>
            <w:tcW w:w="80" w:type="dxa"/>
            <w:vAlign w:val="bottom"/>
            <w:tcBorders>
              <w:top w:val="single" w:sz="8" w:color="auto"/>
            </w:tcBorders>
            <w:shd w:val="clear" w:color="auto" w:fill="CCEEFF"/>
          </w:tcPr>
          <w:p>
            <w:pPr>
              <w:spacing w:after="0"/>
              <w:rPr>
                <w:sz w:val="9"/>
                <w:szCs w:val="9"/>
                <w:color w:val="auto"/>
              </w:rPr>
            </w:pPr>
          </w:p>
        </w:tc>
        <w:tc>
          <w:tcPr>
            <w:tcW w:w="700" w:type="dxa"/>
            <w:vAlign w:val="bottom"/>
            <w:tcBorders>
              <w:top w:val="single" w:sz="8" w:color="auto"/>
            </w:tcBorders>
            <w:shd w:val="clear" w:color="auto" w:fill="CCEEFF"/>
          </w:tcPr>
          <w:p>
            <w:pPr>
              <w:spacing w:after="0"/>
              <w:rPr>
                <w:sz w:val="9"/>
                <w:szCs w:val="9"/>
                <w:color w:val="auto"/>
              </w:rPr>
            </w:pPr>
          </w:p>
        </w:tc>
        <w:tc>
          <w:tcPr>
            <w:tcW w:w="120" w:type="dxa"/>
            <w:vAlign w:val="bottom"/>
            <w:tcBorders>
              <w:top w:val="single" w:sz="8" w:color="CCEEFF"/>
            </w:tcBorders>
            <w:shd w:val="clear" w:color="auto" w:fill="CCEEFF"/>
          </w:tcPr>
          <w:p>
            <w:pPr>
              <w:spacing w:after="0"/>
              <w:rPr>
                <w:sz w:val="9"/>
                <w:szCs w:val="9"/>
                <w:color w:val="auto"/>
              </w:rPr>
            </w:pPr>
          </w:p>
        </w:tc>
        <w:tc>
          <w:tcPr>
            <w:tcW w:w="80" w:type="dxa"/>
            <w:vAlign w:val="bottom"/>
            <w:tcBorders>
              <w:top w:val="single" w:sz="8" w:color="auto"/>
            </w:tcBorders>
            <w:shd w:val="clear" w:color="auto" w:fill="CCEEFF"/>
          </w:tcPr>
          <w:p>
            <w:pPr>
              <w:spacing w:after="0"/>
              <w:rPr>
                <w:sz w:val="9"/>
                <w:szCs w:val="9"/>
                <w:color w:val="auto"/>
              </w:rPr>
            </w:pPr>
          </w:p>
        </w:tc>
        <w:tc>
          <w:tcPr>
            <w:tcW w:w="720" w:type="dxa"/>
            <w:vAlign w:val="bottom"/>
            <w:tcBorders>
              <w:top w:val="single" w:sz="8" w:color="auto"/>
            </w:tcBorders>
            <w:shd w:val="clear" w:color="auto" w:fill="CCEEFF"/>
          </w:tcPr>
          <w:p>
            <w:pPr>
              <w:spacing w:after="0"/>
              <w:rPr>
                <w:sz w:val="9"/>
                <w:szCs w:val="9"/>
                <w:color w:val="auto"/>
              </w:rPr>
            </w:pPr>
          </w:p>
        </w:tc>
        <w:tc>
          <w:tcPr>
            <w:tcW w:w="100" w:type="dxa"/>
            <w:vAlign w:val="bottom"/>
            <w:tcBorders>
              <w:top w:val="single" w:sz="8" w:color="CCEEFF"/>
            </w:tcBorders>
            <w:shd w:val="clear" w:color="auto" w:fill="CCEEFF"/>
          </w:tcPr>
          <w:p>
            <w:pPr>
              <w:spacing w:after="0"/>
              <w:rPr>
                <w:sz w:val="9"/>
                <w:szCs w:val="9"/>
                <w:color w:val="auto"/>
              </w:rPr>
            </w:pPr>
          </w:p>
        </w:tc>
        <w:tc>
          <w:tcPr>
            <w:tcW w:w="80" w:type="dxa"/>
            <w:vAlign w:val="bottom"/>
            <w:tcBorders>
              <w:top w:val="single" w:sz="8" w:color="auto"/>
            </w:tcBorders>
            <w:shd w:val="clear" w:color="auto" w:fill="CCEEFF"/>
          </w:tcPr>
          <w:p>
            <w:pPr>
              <w:spacing w:after="0"/>
              <w:rPr>
                <w:sz w:val="9"/>
                <w:szCs w:val="9"/>
                <w:color w:val="auto"/>
              </w:rPr>
            </w:pPr>
          </w:p>
        </w:tc>
        <w:tc>
          <w:tcPr>
            <w:tcW w:w="720" w:type="dxa"/>
            <w:vAlign w:val="bottom"/>
            <w:tcBorders>
              <w:top w:val="single" w:sz="8" w:color="auto"/>
            </w:tcBorders>
            <w:shd w:val="clear" w:color="auto" w:fill="CCEEFF"/>
          </w:tcPr>
          <w:p>
            <w:pPr>
              <w:spacing w:after="0"/>
              <w:rPr>
                <w:sz w:val="9"/>
                <w:szCs w:val="9"/>
                <w:color w:val="auto"/>
              </w:rPr>
            </w:pPr>
          </w:p>
        </w:tc>
        <w:tc>
          <w:tcPr>
            <w:tcW w:w="100" w:type="dxa"/>
            <w:vAlign w:val="bottom"/>
            <w:tcBorders>
              <w:top w:val="single" w:sz="8" w:color="CCEEFF"/>
            </w:tcBorders>
            <w:shd w:val="clear" w:color="auto" w:fill="CCEEFF"/>
          </w:tcPr>
          <w:p>
            <w:pPr>
              <w:spacing w:after="0"/>
              <w:rPr>
                <w:sz w:val="9"/>
                <w:szCs w:val="9"/>
                <w:color w:val="auto"/>
              </w:rPr>
            </w:pPr>
          </w:p>
        </w:tc>
        <w:tc>
          <w:tcPr>
            <w:tcW w:w="80" w:type="dxa"/>
            <w:vAlign w:val="bottom"/>
            <w:tcBorders>
              <w:top w:val="single" w:sz="8" w:color="auto"/>
            </w:tcBorders>
            <w:shd w:val="clear" w:color="auto" w:fill="CCEEFF"/>
          </w:tcPr>
          <w:p>
            <w:pPr>
              <w:spacing w:after="0"/>
              <w:rPr>
                <w:sz w:val="9"/>
                <w:szCs w:val="9"/>
                <w:color w:val="auto"/>
              </w:rPr>
            </w:pPr>
          </w:p>
        </w:tc>
        <w:tc>
          <w:tcPr>
            <w:tcW w:w="740" w:type="dxa"/>
            <w:vAlign w:val="bottom"/>
            <w:tcBorders>
              <w:top w:val="single" w:sz="8" w:color="auto"/>
            </w:tcBorders>
            <w:shd w:val="clear" w:color="auto" w:fill="CCEEFF"/>
          </w:tcPr>
          <w:p>
            <w:pPr>
              <w:spacing w:after="0"/>
              <w:rPr>
                <w:sz w:val="9"/>
                <w:szCs w:val="9"/>
                <w:color w:val="auto"/>
              </w:rPr>
            </w:pPr>
          </w:p>
        </w:tc>
        <w:tc>
          <w:tcPr>
            <w:tcW w:w="60" w:type="dxa"/>
            <w:vAlign w:val="bottom"/>
            <w:tcBorders>
              <w:top w:val="single" w:sz="8" w:color="CCEEFF"/>
            </w:tcBorders>
            <w:shd w:val="clear" w:color="auto" w:fill="CCEEFF"/>
          </w:tcPr>
          <w:p>
            <w:pPr>
              <w:spacing w:after="0"/>
              <w:rPr>
                <w:sz w:val="9"/>
                <w:szCs w:val="9"/>
                <w:color w:val="auto"/>
              </w:rPr>
            </w:pPr>
          </w:p>
        </w:tc>
        <w:tc>
          <w:tcPr>
            <w:tcW w:w="40" w:type="dxa"/>
            <w:vAlign w:val="bottom"/>
            <w:tcBorders>
              <w:top w:val="single" w:sz="8" w:color="CCEEFF"/>
            </w:tcBorders>
            <w:shd w:val="clear" w:color="auto" w:fill="CCEEFF"/>
          </w:tcPr>
          <w:p>
            <w:pPr>
              <w:spacing w:after="0"/>
              <w:rPr>
                <w:sz w:val="9"/>
                <w:szCs w:val="9"/>
                <w:color w:val="auto"/>
              </w:rPr>
            </w:pPr>
          </w:p>
        </w:tc>
        <w:tc>
          <w:tcPr>
            <w:tcW w:w="120" w:type="dxa"/>
            <w:vAlign w:val="bottom"/>
            <w:tcBorders>
              <w:top w:val="single" w:sz="8" w:color="auto"/>
            </w:tcBorders>
            <w:shd w:val="clear" w:color="auto" w:fill="CCEEFF"/>
          </w:tcPr>
          <w:p>
            <w:pPr>
              <w:spacing w:after="0"/>
              <w:rPr>
                <w:sz w:val="9"/>
                <w:szCs w:val="9"/>
                <w:color w:val="auto"/>
              </w:rPr>
            </w:pPr>
          </w:p>
        </w:tc>
        <w:tc>
          <w:tcPr>
            <w:tcW w:w="700" w:type="dxa"/>
            <w:vAlign w:val="bottom"/>
            <w:tcBorders>
              <w:top w:val="single" w:sz="8" w:color="auto"/>
            </w:tcBorders>
            <w:shd w:val="clear" w:color="auto" w:fill="CCEEFF"/>
          </w:tcPr>
          <w:p>
            <w:pPr>
              <w:spacing w:after="0"/>
              <w:rPr>
                <w:sz w:val="9"/>
                <w:szCs w:val="9"/>
                <w:color w:val="auto"/>
              </w:rPr>
            </w:pPr>
          </w:p>
        </w:tc>
        <w:tc>
          <w:tcPr>
            <w:tcW w:w="180" w:type="dxa"/>
            <w:vAlign w:val="bottom"/>
            <w:tcBorders>
              <w:top w:val="single" w:sz="8" w:color="CCEEFF"/>
            </w:tcBorders>
            <w:shd w:val="clear" w:color="auto" w:fill="CCEEFF"/>
          </w:tcPr>
          <w:p>
            <w:pPr>
              <w:spacing w:after="0"/>
              <w:rPr>
                <w:sz w:val="9"/>
                <w:szCs w:val="9"/>
                <w:color w:val="auto"/>
              </w:rPr>
            </w:pPr>
          </w:p>
        </w:tc>
      </w:tr>
      <w:tr>
        <w:trPr>
          <w:trHeight w:val="167"/>
        </w:trPr>
        <w:tc>
          <w:tcPr>
            <w:tcW w:w="2180" w:type="dxa"/>
            <w:vAlign w:val="bottom"/>
            <w:gridSpan w:val="2"/>
            <w:shd w:val="clear" w:color="auto" w:fill="CCEEFF"/>
          </w:tcPr>
          <w:p>
            <w:pPr>
              <w:ind w:left="180"/>
              <w:spacing w:after="0"/>
              <w:rPr>
                <w:sz w:val="20"/>
                <w:szCs w:val="20"/>
                <w:color w:val="auto"/>
              </w:rPr>
            </w:pPr>
            <w:r>
              <w:rPr>
                <w:rFonts w:ascii="Arial" w:cs="Arial" w:eastAsia="Arial" w:hAnsi="Arial"/>
                <w:sz w:val="14"/>
                <w:szCs w:val="14"/>
                <w:color w:val="auto"/>
              </w:rPr>
              <w:t>prior *</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1,255</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4"/>
                <w:szCs w:val="14"/>
                <w:color w:val="auto"/>
                <w:w w:val="76"/>
              </w:rPr>
              <w:t>$</w:t>
            </w:r>
          </w:p>
        </w:tc>
        <w:tc>
          <w:tcPr>
            <w:tcW w:w="880" w:type="dxa"/>
            <w:vAlign w:val="bottom"/>
            <w:gridSpan w:val="3"/>
            <w:shd w:val="clear" w:color="auto" w:fill="CCEEFF"/>
          </w:tcPr>
          <w:p>
            <w:pPr>
              <w:ind w:left="520"/>
              <w:spacing w:after="0"/>
              <w:rPr>
                <w:sz w:val="20"/>
                <w:szCs w:val="20"/>
                <w:color w:val="auto"/>
              </w:rPr>
            </w:pPr>
            <w:r>
              <w:rPr>
                <w:rFonts w:ascii="Arial" w:cs="Arial" w:eastAsia="Arial" w:hAnsi="Arial"/>
                <w:sz w:val="14"/>
                <w:szCs w:val="14"/>
                <w:color w:val="auto"/>
              </w:rPr>
              <w:t>—  $</w:t>
            </w:r>
          </w:p>
        </w:tc>
        <w:tc>
          <w:tcPr>
            <w:tcW w:w="900" w:type="dxa"/>
            <w:vAlign w:val="bottom"/>
            <w:gridSpan w:val="3"/>
            <w:shd w:val="clear" w:color="auto" w:fill="CCEEFF"/>
          </w:tcPr>
          <w:p>
            <w:pPr>
              <w:ind w:left="560"/>
              <w:spacing w:after="0"/>
              <w:rPr>
                <w:sz w:val="20"/>
                <w:szCs w:val="20"/>
                <w:color w:val="auto"/>
              </w:rPr>
            </w:pPr>
            <w:r>
              <w:rPr>
                <w:rFonts w:ascii="Arial" w:cs="Arial" w:eastAsia="Arial" w:hAnsi="Arial"/>
                <w:sz w:val="14"/>
                <w:szCs w:val="14"/>
                <w:color w:val="auto"/>
              </w:rPr>
              <w:t>—  $</w:t>
            </w:r>
          </w:p>
        </w:tc>
        <w:tc>
          <w:tcPr>
            <w:tcW w:w="900" w:type="dxa"/>
            <w:vAlign w:val="bottom"/>
            <w:gridSpan w:val="3"/>
            <w:shd w:val="clear" w:color="auto" w:fill="CCEEFF"/>
          </w:tcPr>
          <w:p>
            <w:pPr>
              <w:ind w:left="560"/>
              <w:spacing w:after="0"/>
              <w:rPr>
                <w:sz w:val="20"/>
                <w:szCs w:val="20"/>
                <w:color w:val="auto"/>
              </w:rPr>
            </w:pPr>
            <w:r>
              <w:rPr>
                <w:rFonts w:ascii="Arial" w:cs="Arial" w:eastAsia="Arial" w:hAnsi="Arial"/>
                <w:sz w:val="14"/>
                <w:szCs w:val="14"/>
                <w:color w:val="auto"/>
              </w:rPr>
              <w:t>—  $</w:t>
            </w:r>
          </w:p>
        </w:tc>
        <w:tc>
          <w:tcPr>
            <w:tcW w:w="900" w:type="dxa"/>
            <w:vAlign w:val="bottom"/>
            <w:gridSpan w:val="3"/>
            <w:shd w:val="clear" w:color="auto" w:fill="CCEEFF"/>
          </w:tcPr>
          <w:p>
            <w:pPr>
              <w:ind w:left="560"/>
              <w:spacing w:after="0"/>
              <w:rPr>
                <w:sz w:val="20"/>
                <w:szCs w:val="20"/>
                <w:color w:val="auto"/>
              </w:rPr>
            </w:pPr>
            <w:r>
              <w:rPr>
                <w:rFonts w:ascii="Arial" w:cs="Arial" w:eastAsia="Arial" w:hAnsi="Arial"/>
                <w:sz w:val="14"/>
                <w:szCs w:val="14"/>
                <w:color w:val="auto"/>
              </w:rPr>
              <w:t>—  $</w:t>
            </w:r>
          </w:p>
        </w:tc>
        <w:tc>
          <w:tcPr>
            <w:tcW w:w="800" w:type="dxa"/>
            <w:vAlign w:val="bottom"/>
            <w:gridSpan w:val="2"/>
            <w:shd w:val="clear" w:color="auto" w:fill="CCEEFF"/>
          </w:tcPr>
          <w:p>
            <w:pPr>
              <w:ind w:left="580"/>
              <w:spacing w:after="0"/>
              <w:rPr>
                <w:sz w:val="20"/>
                <w:szCs w:val="20"/>
                <w:color w:val="auto"/>
              </w:rPr>
            </w:pPr>
            <w:r>
              <w:rPr>
                <w:rFonts w:ascii="Arial" w:cs="Arial" w:eastAsia="Arial" w:hAnsi="Arial"/>
                <w:sz w:val="14"/>
                <w:szCs w:val="14"/>
                <w:color w:val="auto"/>
              </w:rPr>
              <w:t>—</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1,255</w:t>
            </w:r>
          </w:p>
        </w:tc>
        <w:tc>
          <w:tcPr>
            <w:tcW w:w="180" w:type="dxa"/>
            <w:vAlign w:val="bottom"/>
            <w:shd w:val="clear" w:color="auto" w:fill="CCEEFF"/>
          </w:tcPr>
          <w:p>
            <w:pPr>
              <w:spacing w:after="0"/>
              <w:rPr>
                <w:sz w:val="14"/>
                <w:szCs w:val="14"/>
                <w:color w:val="auto"/>
              </w:rPr>
            </w:pPr>
          </w:p>
        </w:tc>
      </w:tr>
      <w:tr>
        <w:trPr>
          <w:trHeight w:val="149"/>
        </w:trPr>
        <w:tc>
          <w:tcPr>
            <w:tcW w:w="2180" w:type="dxa"/>
            <w:vAlign w:val="bottom"/>
            <w:gridSpan w:val="2"/>
          </w:tcPr>
          <w:p>
            <w:pPr>
              <w:spacing w:after="0" w:line="149" w:lineRule="exact"/>
              <w:rPr>
                <w:sz w:val="20"/>
                <w:szCs w:val="20"/>
                <w:color w:val="auto"/>
              </w:rPr>
            </w:pPr>
            <w:r>
              <w:rPr>
                <w:rFonts w:ascii="Arial" w:cs="Arial" w:eastAsia="Arial" w:hAnsi="Arial"/>
                <w:sz w:val="14"/>
                <w:szCs w:val="14"/>
                <w:color w:val="auto"/>
              </w:rPr>
              <w:t>Fiscal 2001</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18,707</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3"/>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3"/>
          </w:tcPr>
          <w:p>
            <w:pPr>
              <w:ind w:left="56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3"/>
          </w:tcPr>
          <w:p>
            <w:pPr>
              <w:ind w:left="56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ind w:left="58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18,707</w:t>
            </w:r>
          </w:p>
        </w:tc>
        <w:tc>
          <w:tcPr>
            <w:tcW w:w="180" w:type="dxa"/>
            <w:vAlign w:val="bottom"/>
          </w:tcPr>
          <w:p>
            <w:pPr>
              <w:spacing w:after="0"/>
              <w:rPr>
                <w:sz w:val="12"/>
                <w:szCs w:val="12"/>
                <w:color w:val="auto"/>
              </w:rPr>
            </w:pPr>
          </w:p>
        </w:tc>
      </w:tr>
      <w:tr>
        <w:trPr>
          <w:trHeight w:val="149"/>
        </w:trPr>
        <w:tc>
          <w:tcPr>
            <w:tcW w:w="21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Fiscal 2002</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33,318</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(259)</w:t>
            </w:r>
          </w:p>
        </w:tc>
        <w:tc>
          <w:tcPr>
            <w:tcW w:w="80" w:type="dxa"/>
            <w:vAlign w:val="bottom"/>
            <w:shd w:val="clear" w:color="auto" w:fill="CCEEFF"/>
          </w:tcPr>
          <w:p>
            <w:pPr>
              <w:spacing w:after="0"/>
              <w:rPr>
                <w:sz w:val="12"/>
                <w:szCs w:val="12"/>
                <w:color w:val="auto"/>
              </w:rPr>
            </w:pPr>
          </w:p>
        </w:tc>
        <w:tc>
          <w:tcPr>
            <w:tcW w:w="900" w:type="dxa"/>
            <w:vAlign w:val="bottom"/>
            <w:gridSpan w:val="3"/>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3"/>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ind w:left="58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33,059</w:t>
            </w:r>
          </w:p>
        </w:tc>
        <w:tc>
          <w:tcPr>
            <w:tcW w:w="180" w:type="dxa"/>
            <w:vAlign w:val="bottom"/>
            <w:shd w:val="clear" w:color="auto" w:fill="CCEEFF"/>
          </w:tcPr>
          <w:p>
            <w:pPr>
              <w:spacing w:after="0"/>
              <w:rPr>
                <w:sz w:val="12"/>
                <w:szCs w:val="12"/>
                <w:color w:val="auto"/>
              </w:rPr>
            </w:pPr>
          </w:p>
        </w:tc>
      </w:tr>
      <w:tr>
        <w:trPr>
          <w:trHeight w:val="149"/>
        </w:trPr>
        <w:tc>
          <w:tcPr>
            <w:tcW w:w="2180" w:type="dxa"/>
            <w:vAlign w:val="bottom"/>
            <w:gridSpan w:val="2"/>
          </w:tcPr>
          <w:p>
            <w:pPr>
              <w:spacing w:after="0" w:line="149" w:lineRule="exact"/>
              <w:rPr>
                <w:sz w:val="20"/>
                <w:szCs w:val="20"/>
                <w:color w:val="auto"/>
              </w:rPr>
            </w:pPr>
            <w:r>
              <w:rPr>
                <w:rFonts w:ascii="Arial" w:cs="Arial" w:eastAsia="Arial" w:hAnsi="Arial"/>
                <w:sz w:val="14"/>
                <w:szCs w:val="14"/>
                <w:color w:val="auto"/>
              </w:rPr>
              <w:t>Fiscal 2003</w:t>
            </w: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35,540</w:t>
            </w:r>
          </w:p>
        </w:tc>
        <w:tc>
          <w:tcPr>
            <w:tcW w:w="10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17</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(405)</w:t>
            </w:r>
          </w:p>
        </w:tc>
        <w:tc>
          <w:tcPr>
            <w:tcW w:w="80" w:type="dxa"/>
            <w:vAlign w:val="bottom"/>
          </w:tcPr>
          <w:p>
            <w:pPr>
              <w:spacing w:after="0"/>
              <w:rPr>
                <w:sz w:val="12"/>
                <w:szCs w:val="12"/>
                <w:color w:val="auto"/>
              </w:rPr>
            </w:pPr>
          </w:p>
        </w:tc>
        <w:tc>
          <w:tcPr>
            <w:tcW w:w="900" w:type="dxa"/>
            <w:vAlign w:val="bottom"/>
            <w:gridSpan w:val="3"/>
          </w:tcPr>
          <w:p>
            <w:pPr>
              <w:ind w:left="58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3"/>
          </w:tcPr>
          <w:p>
            <w:pPr>
              <w:ind w:left="5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8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35,152</w:t>
            </w:r>
          </w:p>
        </w:tc>
      </w:tr>
      <w:tr>
        <w:trPr>
          <w:trHeight w:val="149"/>
        </w:trPr>
        <w:tc>
          <w:tcPr>
            <w:tcW w:w="21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Fiscal 2004</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64,015</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921</w:t>
            </w: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(1,170)</w:t>
            </w:r>
          </w:p>
        </w:tc>
        <w:tc>
          <w:tcPr>
            <w:tcW w:w="80" w:type="dxa"/>
            <w:vAlign w:val="bottom"/>
            <w:shd w:val="clear" w:color="auto" w:fill="CCEEFF"/>
          </w:tcPr>
          <w:p>
            <w:pPr>
              <w:spacing w:after="0"/>
              <w:rPr>
                <w:sz w:val="12"/>
                <w:szCs w:val="12"/>
                <w:color w:val="auto"/>
              </w:rPr>
            </w:pPr>
          </w:p>
        </w:tc>
        <w:tc>
          <w:tcPr>
            <w:tcW w:w="900" w:type="dxa"/>
            <w:vAlign w:val="bottom"/>
            <w:gridSpan w:val="3"/>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3"/>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ind w:left="580"/>
              <w:spacing w:after="0" w:line="149" w:lineRule="exact"/>
              <w:rPr>
                <w:sz w:val="20"/>
                <w:szCs w:val="20"/>
                <w:color w:val="auto"/>
              </w:rPr>
            </w:pPr>
            <w:r>
              <w:rPr>
                <w:rFonts w:ascii="Arial" w:cs="Arial" w:eastAsia="Arial" w:hAnsi="Arial"/>
                <w:sz w:val="14"/>
                <w:szCs w:val="14"/>
                <w:color w:val="auto"/>
              </w:rPr>
              <w:t>—</w:t>
            </w:r>
          </w:p>
        </w:tc>
        <w:tc>
          <w:tcPr>
            <w:tcW w:w="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63,766</w:t>
            </w:r>
          </w:p>
        </w:tc>
        <w:tc>
          <w:tcPr>
            <w:tcW w:w="180" w:type="dxa"/>
            <w:vAlign w:val="bottom"/>
            <w:shd w:val="clear" w:color="auto" w:fill="CCEEFF"/>
          </w:tcPr>
          <w:p>
            <w:pPr>
              <w:spacing w:after="0"/>
              <w:rPr>
                <w:sz w:val="12"/>
                <w:szCs w:val="12"/>
                <w:color w:val="auto"/>
              </w:rPr>
            </w:pPr>
          </w:p>
        </w:tc>
      </w:tr>
      <w:tr>
        <w:trPr>
          <w:trHeight w:val="110"/>
        </w:trPr>
        <w:tc>
          <w:tcPr>
            <w:tcW w:w="2180" w:type="dxa"/>
            <w:vAlign w:val="bottom"/>
            <w:gridSpan w:val="2"/>
          </w:tcPr>
          <w:p>
            <w:pPr>
              <w:spacing w:after="0" w:line="110" w:lineRule="exact"/>
              <w:rPr>
                <w:sz w:val="20"/>
                <w:szCs w:val="20"/>
                <w:color w:val="auto"/>
              </w:rPr>
            </w:pPr>
            <w:r>
              <w:rPr>
                <w:rFonts w:ascii="Arial" w:cs="Arial" w:eastAsia="Arial" w:hAnsi="Arial"/>
                <w:sz w:val="12"/>
                <w:szCs w:val="12"/>
                <w:color w:val="auto"/>
              </w:rPr>
              <w:t>Cumulative effect at</w:t>
            </w:r>
          </w:p>
        </w:tc>
        <w:tc>
          <w:tcPr>
            <w:tcW w:w="12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660" w:type="dxa"/>
            <w:vAlign w:val="bottom"/>
            <w:tcBorders>
              <w:top w:val="single" w:sz="8" w:color="auto"/>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68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70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740" w:type="dxa"/>
            <w:vAlign w:val="bottom"/>
            <w:tcBorders>
              <w:top w:val="single" w:sz="8" w:color="auto"/>
            </w:tcBorders>
          </w:tcPr>
          <w:p>
            <w:pPr>
              <w:spacing w:after="0"/>
              <w:rPr>
                <w:sz w:val="9"/>
                <w:szCs w:val="9"/>
                <w:color w:val="auto"/>
              </w:rPr>
            </w:pPr>
          </w:p>
        </w:tc>
        <w:tc>
          <w:tcPr>
            <w:tcW w:w="60" w:type="dxa"/>
            <w:vAlign w:val="bottom"/>
          </w:tcPr>
          <w:p>
            <w:pPr>
              <w:spacing w:after="0"/>
              <w:rPr>
                <w:sz w:val="9"/>
                <w:szCs w:val="9"/>
                <w:color w:val="auto"/>
              </w:rPr>
            </w:pPr>
          </w:p>
        </w:tc>
        <w:tc>
          <w:tcPr>
            <w:tcW w:w="4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700" w:type="dxa"/>
            <w:vAlign w:val="bottom"/>
            <w:tcBorders>
              <w:top w:val="single" w:sz="8" w:color="auto"/>
            </w:tcBorders>
          </w:tcPr>
          <w:p>
            <w:pPr>
              <w:spacing w:after="0"/>
              <w:rPr>
                <w:sz w:val="9"/>
                <w:szCs w:val="9"/>
                <w:color w:val="auto"/>
              </w:rPr>
            </w:pPr>
          </w:p>
        </w:tc>
        <w:tc>
          <w:tcPr>
            <w:tcW w:w="180" w:type="dxa"/>
            <w:vAlign w:val="bottom"/>
          </w:tcPr>
          <w:p>
            <w:pPr>
              <w:spacing w:after="0"/>
              <w:rPr>
                <w:sz w:val="9"/>
                <w:szCs w:val="9"/>
                <w:color w:val="auto"/>
              </w:rPr>
            </w:pPr>
          </w:p>
        </w:tc>
      </w:tr>
      <w:tr>
        <w:trPr>
          <w:trHeight w:val="182"/>
        </w:trPr>
        <w:tc>
          <w:tcPr>
            <w:tcW w:w="2180" w:type="dxa"/>
            <w:vAlign w:val="bottom"/>
            <w:gridSpan w:val="2"/>
          </w:tcPr>
          <w:p>
            <w:pPr>
              <w:ind w:left="180"/>
              <w:spacing w:after="0"/>
              <w:rPr>
                <w:sz w:val="20"/>
                <w:szCs w:val="20"/>
                <w:color w:val="auto"/>
              </w:rPr>
            </w:pPr>
            <w:r>
              <w:rPr>
                <w:rFonts w:ascii="Arial" w:cs="Arial" w:eastAsia="Arial" w:hAnsi="Arial"/>
                <w:sz w:val="14"/>
                <w:szCs w:val="14"/>
                <w:color w:val="auto"/>
              </w:rPr>
              <w:t>January 31, 2004</w:t>
            </w: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4"/>
                <w:szCs w:val="14"/>
                <w:color w:val="auto"/>
              </w:rPr>
              <w:t>152,835</w:t>
            </w:r>
          </w:p>
        </w:tc>
        <w:tc>
          <w:tcPr>
            <w:tcW w:w="100" w:type="dxa"/>
            <w:vAlign w:val="bottom"/>
          </w:tcPr>
          <w:p>
            <w:pPr>
              <w:spacing w:after="0"/>
              <w:rPr>
                <w:sz w:val="15"/>
                <w:szCs w:val="15"/>
                <w:color w:val="auto"/>
              </w:rPr>
            </w:pPr>
          </w:p>
        </w:tc>
        <w:tc>
          <w:tcPr>
            <w:tcW w:w="680" w:type="dxa"/>
            <w:vAlign w:val="bottom"/>
          </w:tcPr>
          <w:p>
            <w:pPr>
              <w:jc w:val="right"/>
              <w:spacing w:after="0"/>
              <w:rPr>
                <w:sz w:val="20"/>
                <w:szCs w:val="20"/>
                <w:color w:val="auto"/>
              </w:rPr>
            </w:pPr>
            <w:r>
              <w:rPr>
                <w:rFonts w:ascii="Arial" w:cs="Arial" w:eastAsia="Arial" w:hAnsi="Arial"/>
                <w:sz w:val="14"/>
                <w:szCs w:val="14"/>
                <w:color w:val="auto"/>
              </w:rPr>
              <w:t>938</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4"/>
                <w:szCs w:val="14"/>
                <w:color w:val="auto"/>
              </w:rPr>
              <w:t>(1,834)</w:t>
            </w:r>
          </w:p>
        </w:tc>
        <w:tc>
          <w:tcPr>
            <w:tcW w:w="80" w:type="dxa"/>
            <w:vAlign w:val="bottom"/>
          </w:tcPr>
          <w:p>
            <w:pPr>
              <w:spacing w:after="0"/>
              <w:rPr>
                <w:sz w:val="15"/>
                <w:szCs w:val="15"/>
                <w:color w:val="auto"/>
              </w:rPr>
            </w:pPr>
          </w:p>
        </w:tc>
        <w:tc>
          <w:tcPr>
            <w:tcW w:w="900" w:type="dxa"/>
            <w:vAlign w:val="bottom"/>
            <w:gridSpan w:val="3"/>
          </w:tcPr>
          <w:p>
            <w:pPr>
              <w:ind w:left="580"/>
              <w:spacing w:after="0"/>
              <w:rPr>
                <w:sz w:val="20"/>
                <w:szCs w:val="20"/>
                <w:color w:val="auto"/>
              </w:rPr>
            </w:pPr>
            <w:r>
              <w:rPr>
                <w:rFonts w:ascii="Arial" w:cs="Arial" w:eastAsia="Arial" w:hAnsi="Arial"/>
                <w:sz w:val="14"/>
                <w:szCs w:val="14"/>
                <w:color w:val="auto"/>
              </w:rPr>
              <w:t>—</w:t>
            </w:r>
          </w:p>
        </w:tc>
        <w:tc>
          <w:tcPr>
            <w:tcW w:w="900" w:type="dxa"/>
            <w:vAlign w:val="bottom"/>
            <w:gridSpan w:val="3"/>
          </w:tcPr>
          <w:p>
            <w:pPr>
              <w:ind w:left="580"/>
              <w:spacing w:after="0"/>
              <w:rPr>
                <w:sz w:val="20"/>
                <w:szCs w:val="20"/>
                <w:color w:val="auto"/>
              </w:rPr>
            </w:pPr>
            <w:r>
              <w:rPr>
                <w:rFonts w:ascii="Arial" w:cs="Arial" w:eastAsia="Arial" w:hAnsi="Arial"/>
                <w:sz w:val="14"/>
                <w:szCs w:val="14"/>
                <w:color w:val="auto"/>
              </w:rPr>
              <w:t>—</w:t>
            </w:r>
          </w:p>
        </w:tc>
        <w:tc>
          <w:tcPr>
            <w:tcW w:w="800" w:type="dxa"/>
            <w:vAlign w:val="bottom"/>
            <w:gridSpan w:val="2"/>
          </w:tcPr>
          <w:p>
            <w:pPr>
              <w:ind w:left="600"/>
              <w:spacing w:after="0"/>
              <w:rPr>
                <w:sz w:val="20"/>
                <w:szCs w:val="20"/>
                <w:color w:val="auto"/>
              </w:rPr>
            </w:pPr>
            <w:r>
              <w:rPr>
                <w:rFonts w:ascii="Arial" w:cs="Arial" w:eastAsia="Arial" w:hAnsi="Arial"/>
                <w:sz w:val="14"/>
                <w:szCs w:val="14"/>
                <w:color w:val="auto"/>
              </w:rPr>
              <w:t>—</w:t>
            </w: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151,939</w:t>
            </w:r>
          </w:p>
        </w:tc>
      </w:tr>
    </w:tbl>
    <w:p>
      <w:pPr>
        <w:sectPr>
          <w:pgSz w:w="11900" w:h="16872" w:orient="portrait"/>
          <w:cols w:equalWidth="0" w:num="1">
            <w:col w:w="11400"/>
          </w:cols>
          <w:pgMar w:left="240" w:top="368" w:right="259" w:bottom="0" w:gutter="0" w:footer="0" w:header="0"/>
        </w:sectPr>
      </w:pPr>
    </w:p>
    <w:bookmarkStart w:id="32" w:name="page33"/>
    <w:bookmarkEnd w:id="3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14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2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5"/>
              </w:rPr>
              <w:t>Net</w:t>
            </w:r>
          </w:p>
        </w:tc>
        <w:tc>
          <w:tcPr>
            <w:tcW w:w="2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8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5"/>
              </w:rPr>
              <w:t>Net</w:t>
            </w:r>
          </w:p>
        </w:tc>
        <w:tc>
          <w:tcPr>
            <w:tcW w:w="0" w:type="dxa"/>
            <w:vAlign w:val="bottom"/>
          </w:tcPr>
          <w:p>
            <w:pPr>
              <w:spacing w:after="0"/>
              <w:rPr>
                <w:sz w:val="1"/>
                <w:szCs w:val="1"/>
                <w:color w:val="auto"/>
              </w:rPr>
            </w:pPr>
          </w:p>
        </w:tc>
      </w:tr>
      <w:tr>
        <w:trPr>
          <w:trHeight w:val="135"/>
        </w:trPr>
        <w:tc>
          <w:tcPr>
            <w:tcW w:w="14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20" w:type="dxa"/>
            <w:vAlign w:val="bottom"/>
            <w:gridSpan w:val="2"/>
          </w:tcPr>
          <w:p>
            <w:pPr>
              <w:jc w:val="center"/>
              <w:ind w:right="180"/>
              <w:spacing w:after="0" w:line="135" w:lineRule="exact"/>
              <w:rPr>
                <w:sz w:val="20"/>
                <w:szCs w:val="20"/>
                <w:color w:val="auto"/>
              </w:rPr>
            </w:pPr>
            <w:r>
              <w:rPr>
                <w:rFonts w:ascii="Arial" w:cs="Arial" w:eastAsia="Arial" w:hAnsi="Arial"/>
                <w:sz w:val="13"/>
                <w:szCs w:val="13"/>
                <w:b w:val="1"/>
                <w:bCs w:val="1"/>
                <w:color w:val="auto"/>
                <w:w w:val="87"/>
              </w:rPr>
              <w:t>income</w:t>
            </w: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gridSpan w:val="2"/>
          </w:tcPr>
          <w:p>
            <w:pPr>
              <w:jc w:val="center"/>
              <w:ind w:right="160"/>
              <w:spacing w:after="0" w:line="135" w:lineRule="exact"/>
              <w:rPr>
                <w:sz w:val="20"/>
                <w:szCs w:val="20"/>
                <w:color w:val="auto"/>
              </w:rPr>
            </w:pPr>
            <w:r>
              <w:rPr>
                <w:rFonts w:ascii="Arial" w:cs="Arial" w:eastAsia="Arial" w:hAnsi="Arial"/>
                <w:sz w:val="13"/>
                <w:szCs w:val="13"/>
                <w:b w:val="1"/>
                <w:bCs w:val="1"/>
                <w:color w:val="auto"/>
                <w:w w:val="83"/>
              </w:rPr>
              <w:t>income</w:t>
            </w:r>
          </w:p>
        </w:tc>
        <w:tc>
          <w:tcPr>
            <w:tcW w:w="0" w:type="dxa"/>
            <w:vAlign w:val="bottom"/>
          </w:tcPr>
          <w:p>
            <w:pPr>
              <w:spacing w:after="0"/>
              <w:rPr>
                <w:sz w:val="1"/>
                <w:szCs w:val="1"/>
                <w:color w:val="auto"/>
              </w:rPr>
            </w:pPr>
          </w:p>
        </w:tc>
      </w:tr>
      <w:tr>
        <w:trPr>
          <w:trHeight w:val="153"/>
        </w:trPr>
        <w:tc>
          <w:tcPr>
            <w:tcW w:w="14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2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84"/>
              </w:rPr>
              <w:t>as reported</w:t>
            </w:r>
          </w:p>
        </w:tc>
        <w:tc>
          <w:tcPr>
            <w:tcW w:w="2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80" w:type="dxa"/>
            <w:vAlign w:val="bottom"/>
            <w:gridSpan w:val="2"/>
          </w:tcPr>
          <w:p>
            <w:pPr>
              <w:jc w:val="center"/>
              <w:ind w:right="160"/>
              <w:spacing w:after="0"/>
              <w:rPr>
                <w:sz w:val="20"/>
                <w:szCs w:val="20"/>
                <w:color w:val="auto"/>
              </w:rPr>
            </w:pPr>
            <w:r>
              <w:rPr>
                <w:rFonts w:ascii="Arial" w:cs="Arial" w:eastAsia="Arial" w:hAnsi="Arial"/>
                <w:sz w:val="13"/>
                <w:szCs w:val="13"/>
                <w:b w:val="1"/>
                <w:bCs w:val="1"/>
                <w:color w:val="auto"/>
                <w:w w:val="84"/>
              </w:rPr>
              <w:t>as restated</w:t>
            </w:r>
          </w:p>
        </w:tc>
        <w:tc>
          <w:tcPr>
            <w:tcW w:w="0" w:type="dxa"/>
            <w:vAlign w:val="bottom"/>
          </w:tcPr>
          <w:p>
            <w:pPr>
              <w:spacing w:after="0"/>
              <w:rPr>
                <w:sz w:val="1"/>
                <w:szCs w:val="1"/>
                <w:color w:val="auto"/>
              </w:rPr>
            </w:pPr>
          </w:p>
        </w:tc>
      </w:tr>
      <w:tr>
        <w:trPr>
          <w:trHeight w:val="142"/>
        </w:trPr>
        <w:tc>
          <w:tcPr>
            <w:tcW w:w="142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Fiscal 2005</w:t>
            </w: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141,661</w:t>
            </w:r>
          </w:p>
        </w:tc>
        <w:tc>
          <w:tcPr>
            <w:tcW w:w="100" w:type="dxa"/>
            <w:vAlign w:val="bottom"/>
            <w:tcBorders>
              <w:top w:val="single" w:sz="8" w:color="CCEEFF"/>
            </w:tcBorders>
            <w:shd w:val="clear" w:color="auto" w:fill="CCEEFF"/>
          </w:tcPr>
          <w:p>
            <w:pPr>
              <w:spacing w:after="0"/>
              <w:rPr>
                <w:sz w:val="12"/>
                <w:szCs w:val="12"/>
                <w:color w:val="auto"/>
              </w:rPr>
            </w:pPr>
          </w:p>
        </w:tc>
        <w:tc>
          <w:tcPr>
            <w:tcW w:w="200" w:type="dxa"/>
            <w:vAlign w:val="bottom"/>
            <w:tcBorders>
              <w:top w:val="single" w:sz="8" w:color="CCEEFF"/>
            </w:tcBorders>
            <w:shd w:val="clear" w:color="auto" w:fill="CCEEFF"/>
          </w:tcPr>
          <w:p>
            <w:pPr>
              <w:spacing w:after="0"/>
              <w:rPr>
                <w:sz w:val="12"/>
                <w:szCs w:val="12"/>
                <w:color w:val="auto"/>
              </w:rPr>
            </w:pPr>
          </w:p>
        </w:tc>
        <w:tc>
          <w:tcPr>
            <w:tcW w:w="58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75,684</w:t>
            </w:r>
          </w:p>
        </w:tc>
        <w:tc>
          <w:tcPr>
            <w:tcW w:w="120" w:type="dxa"/>
            <w:vAlign w:val="bottom"/>
            <w:tcBorders>
              <w:top w:val="single" w:sz="8" w:color="CCEEFF"/>
            </w:tcBorders>
            <w:shd w:val="clear" w:color="auto" w:fill="CCEEFF"/>
          </w:tcPr>
          <w:p>
            <w:pPr>
              <w:spacing w:after="0"/>
              <w:rPr>
                <w:sz w:val="12"/>
                <w:szCs w:val="12"/>
                <w:color w:val="auto"/>
              </w:rPr>
            </w:pPr>
          </w:p>
        </w:tc>
        <w:tc>
          <w:tcPr>
            <w:tcW w:w="260" w:type="dxa"/>
            <w:vAlign w:val="bottom"/>
            <w:tcBorders>
              <w:top w:val="single" w:sz="8" w:color="CCEEFF"/>
            </w:tcBorders>
            <w:shd w:val="clear" w:color="auto" w:fill="CCEEFF"/>
          </w:tcPr>
          <w:p>
            <w:pPr>
              <w:spacing w:after="0"/>
              <w:rPr>
                <w:sz w:val="12"/>
                <w:szCs w:val="12"/>
                <w:color w:val="auto"/>
              </w:rPr>
            </w:pPr>
          </w:p>
        </w:tc>
        <w:tc>
          <w:tcPr>
            <w:tcW w:w="52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2,306</w:t>
            </w:r>
          </w:p>
        </w:tc>
        <w:tc>
          <w:tcPr>
            <w:tcW w:w="100" w:type="dxa"/>
            <w:vAlign w:val="bottom"/>
            <w:tcBorders>
              <w:top w:val="single" w:sz="8" w:color="CCEEFF"/>
            </w:tcBorders>
            <w:shd w:val="clear" w:color="auto" w:fill="CCEEFF"/>
          </w:tcPr>
          <w:p>
            <w:pPr>
              <w:spacing w:after="0"/>
              <w:rPr>
                <w:sz w:val="12"/>
                <w:szCs w:val="12"/>
                <w:color w:val="auto"/>
              </w:rPr>
            </w:pPr>
          </w:p>
        </w:tc>
        <w:tc>
          <w:tcPr>
            <w:tcW w:w="240" w:type="dxa"/>
            <w:vAlign w:val="bottom"/>
            <w:tcBorders>
              <w:top w:val="single" w:sz="8" w:color="CCEEFF"/>
            </w:tcBorders>
            <w:shd w:val="clear" w:color="auto" w:fill="CCEEFF"/>
          </w:tcPr>
          <w:p>
            <w:pPr>
              <w:spacing w:after="0"/>
              <w:rPr>
                <w:sz w:val="12"/>
                <w:szCs w:val="12"/>
                <w:color w:val="auto"/>
              </w:rPr>
            </w:pPr>
          </w:p>
        </w:tc>
        <w:tc>
          <w:tcPr>
            <w:tcW w:w="660" w:type="dxa"/>
            <w:vAlign w:val="bottom"/>
            <w:tcBorders>
              <w:top w:val="single" w:sz="8" w:color="CCEEFF"/>
            </w:tcBorders>
            <w:gridSpan w:val="2"/>
            <w:shd w:val="clear" w:color="auto" w:fill="CCEEFF"/>
          </w:tcPr>
          <w:p>
            <w:pPr>
              <w:jc w:val="right"/>
              <w:ind w:right="60"/>
              <w:spacing w:after="0" w:line="142" w:lineRule="exact"/>
              <w:rPr>
                <w:sz w:val="20"/>
                <w:szCs w:val="20"/>
                <w:color w:val="auto"/>
              </w:rPr>
            </w:pPr>
            <w:r>
              <w:rPr>
                <w:rFonts w:ascii="Arial" w:cs="Arial" w:eastAsia="Arial" w:hAnsi="Arial"/>
                <w:sz w:val="14"/>
                <w:szCs w:val="14"/>
                <w:color w:val="auto"/>
              </w:rPr>
              <w:t>(1,150)</w:t>
            </w:r>
          </w:p>
        </w:tc>
        <w:tc>
          <w:tcPr>
            <w:tcW w:w="260" w:type="dxa"/>
            <w:vAlign w:val="bottom"/>
            <w:tcBorders>
              <w:top w:val="single" w:sz="8" w:color="CCEEFF"/>
            </w:tcBorders>
            <w:shd w:val="clear" w:color="auto" w:fill="CCEEFF"/>
          </w:tcPr>
          <w:p>
            <w:pPr>
              <w:spacing w:after="0"/>
              <w:rPr>
                <w:sz w:val="12"/>
                <w:szCs w:val="12"/>
                <w:color w:val="auto"/>
              </w:rPr>
            </w:pPr>
          </w:p>
        </w:tc>
        <w:tc>
          <w:tcPr>
            <w:tcW w:w="54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2,026</w:t>
            </w:r>
          </w:p>
        </w:tc>
        <w:tc>
          <w:tcPr>
            <w:tcW w:w="100" w:type="dxa"/>
            <w:vAlign w:val="bottom"/>
            <w:tcBorders>
              <w:top w:val="single" w:sz="8" w:color="CCEEFF"/>
            </w:tcBorders>
            <w:shd w:val="clear" w:color="auto" w:fill="CCEEFF"/>
          </w:tcPr>
          <w:p>
            <w:pPr>
              <w:spacing w:after="0"/>
              <w:rPr>
                <w:sz w:val="12"/>
                <w:szCs w:val="12"/>
                <w:color w:val="auto"/>
              </w:rPr>
            </w:pPr>
          </w:p>
        </w:tc>
        <w:tc>
          <w:tcPr>
            <w:tcW w:w="240" w:type="dxa"/>
            <w:vAlign w:val="bottom"/>
            <w:tcBorders>
              <w:top w:val="single" w:sz="8" w:color="CCEEFF"/>
            </w:tcBorders>
            <w:shd w:val="clear" w:color="auto" w:fill="CCEEFF"/>
          </w:tcPr>
          <w:p>
            <w:pPr>
              <w:spacing w:after="0"/>
              <w:rPr>
                <w:sz w:val="12"/>
                <w:szCs w:val="12"/>
                <w:color w:val="auto"/>
              </w:rPr>
            </w:pPr>
          </w:p>
        </w:tc>
        <w:tc>
          <w:tcPr>
            <w:tcW w:w="56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100" w:type="dxa"/>
            <w:vAlign w:val="bottom"/>
            <w:tcBorders>
              <w:top w:val="single" w:sz="8" w:color="CCEEFF"/>
            </w:tcBorders>
            <w:shd w:val="clear" w:color="auto" w:fill="CCEEFF"/>
          </w:tcPr>
          <w:p>
            <w:pPr>
              <w:spacing w:after="0"/>
              <w:rPr>
                <w:sz w:val="12"/>
                <w:szCs w:val="12"/>
                <w:color w:val="auto"/>
              </w:rPr>
            </w:pPr>
          </w:p>
        </w:tc>
        <w:tc>
          <w:tcPr>
            <w:tcW w:w="260" w:type="dxa"/>
            <w:vAlign w:val="bottom"/>
            <w:tcBorders>
              <w:top w:val="single" w:sz="8" w:color="CCEEFF"/>
            </w:tcBorders>
            <w:shd w:val="clear" w:color="auto" w:fill="CCEEFF"/>
          </w:tcPr>
          <w:p>
            <w:pPr>
              <w:spacing w:after="0"/>
              <w:rPr>
                <w:sz w:val="12"/>
                <w:szCs w:val="12"/>
                <w:color w:val="auto"/>
              </w:rPr>
            </w:pPr>
          </w:p>
        </w:tc>
        <w:tc>
          <w:tcPr>
            <w:tcW w:w="660" w:type="dxa"/>
            <w:vAlign w:val="bottom"/>
            <w:tcBorders>
              <w:top w:val="single" w:sz="8" w:color="CCEEFF"/>
            </w:tcBorders>
            <w:gridSpan w:val="2"/>
            <w:shd w:val="clear" w:color="auto" w:fill="CCEEFF"/>
          </w:tcPr>
          <w:p>
            <w:pPr>
              <w:jc w:val="right"/>
              <w:ind w:right="120"/>
              <w:spacing w:after="0" w:line="14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2"/>
                <w:szCs w:val="12"/>
                <w:color w:val="auto"/>
              </w:rPr>
            </w:pPr>
          </w:p>
        </w:tc>
        <w:tc>
          <w:tcPr>
            <w:tcW w:w="60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78,866</w:t>
            </w:r>
          </w:p>
        </w:tc>
        <w:tc>
          <w:tcPr>
            <w:tcW w:w="8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62,795</w:t>
            </w:r>
          </w:p>
        </w:tc>
        <w:tc>
          <w:tcPr>
            <w:tcW w:w="4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420" w:type="dxa"/>
            <w:vAlign w:val="bottom"/>
          </w:tcPr>
          <w:p>
            <w:pPr>
              <w:spacing w:after="0" w:line="149" w:lineRule="exact"/>
              <w:rPr>
                <w:sz w:val="20"/>
                <w:szCs w:val="20"/>
                <w:color w:val="auto"/>
              </w:rPr>
            </w:pPr>
            <w:r>
              <w:rPr>
                <w:rFonts w:ascii="Arial" w:cs="Arial" w:eastAsia="Arial" w:hAnsi="Arial"/>
                <w:sz w:val="14"/>
                <w:szCs w:val="14"/>
                <w:color w:val="auto"/>
              </w:rPr>
              <w:t>Fiscal 2006:</w:t>
            </w: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142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w:t>
            </w:r>
          </w:p>
        </w:tc>
        <w:tc>
          <w:tcPr>
            <w:tcW w:w="6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4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420" w:type="dxa"/>
            <w:vAlign w:val="bottom"/>
            <w:shd w:val="clear" w:color="auto" w:fill="CCEEFF"/>
          </w:tcPr>
          <w:p>
            <w:pPr>
              <w:ind w:left="180"/>
              <w:spacing w:after="0"/>
              <w:rPr>
                <w:sz w:val="20"/>
                <w:szCs w:val="20"/>
                <w:color w:val="auto"/>
              </w:rPr>
            </w:pPr>
            <w:r>
              <w:rPr>
                <w:rFonts w:ascii="Arial" w:cs="Arial" w:eastAsia="Arial" w:hAnsi="Arial"/>
                <w:sz w:val="14"/>
                <w:szCs w:val="14"/>
                <w:color w:val="auto"/>
              </w:rPr>
              <w:t>April 30, 2005</w:t>
            </w:r>
          </w:p>
        </w:tc>
        <w:tc>
          <w:tcPr>
            <w:tcW w:w="6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8,719</w:t>
            </w:r>
          </w:p>
        </w:tc>
        <w:tc>
          <w:tcPr>
            <w:tcW w:w="12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866</w:t>
            </w:r>
          </w:p>
        </w:tc>
        <w:tc>
          <w:tcPr>
            <w:tcW w:w="10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4"/>
                <w:szCs w:val="14"/>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4"/>
                <w:szCs w:val="14"/>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9,585</w:t>
            </w:r>
          </w:p>
        </w:tc>
        <w:tc>
          <w:tcPr>
            <w:tcW w:w="8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420" w:type="dxa"/>
            <w:vAlign w:val="bottom"/>
          </w:tcPr>
          <w:p>
            <w:pPr>
              <w:spacing w:after="0" w:line="130" w:lineRule="exact"/>
              <w:rPr>
                <w:sz w:val="20"/>
                <w:szCs w:val="20"/>
                <w:color w:val="auto"/>
              </w:rPr>
            </w:pPr>
            <w:r>
              <w:rPr>
                <w:rFonts w:ascii="Arial" w:cs="Arial" w:eastAsia="Arial" w:hAnsi="Arial"/>
                <w:sz w:val="14"/>
                <w:szCs w:val="14"/>
                <w:color w:val="auto"/>
              </w:rPr>
              <w:t>Three months ended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420" w:type="dxa"/>
            <w:vAlign w:val="bottom"/>
          </w:tcPr>
          <w:p>
            <w:pPr>
              <w:ind w:left="180"/>
              <w:spacing w:after="0"/>
              <w:rPr>
                <w:sz w:val="20"/>
                <w:szCs w:val="20"/>
                <w:color w:val="auto"/>
              </w:rPr>
            </w:pPr>
            <w:r>
              <w:rPr>
                <w:rFonts w:ascii="Arial" w:cs="Arial" w:eastAsia="Arial" w:hAnsi="Arial"/>
                <w:sz w:val="14"/>
                <w:szCs w:val="14"/>
                <w:color w:val="auto"/>
              </w:rPr>
              <w:t>July 30, 2005</w:t>
            </w: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29,120</w:t>
            </w: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1,083</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6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26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0" w:type="dxa"/>
            <w:vAlign w:val="bottom"/>
          </w:tcPr>
          <w:p>
            <w:pPr>
              <w:jc w:val="right"/>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30,203</w:t>
            </w: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42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w:t>
            </w:r>
          </w:p>
        </w:tc>
        <w:tc>
          <w:tcPr>
            <w:tcW w:w="6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4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420" w:type="dxa"/>
            <w:vAlign w:val="bottom"/>
            <w:shd w:val="clear" w:color="auto" w:fill="CCEEFF"/>
          </w:tcPr>
          <w:p>
            <w:pPr>
              <w:ind w:left="180"/>
              <w:spacing w:after="0"/>
              <w:rPr>
                <w:sz w:val="20"/>
                <w:szCs w:val="20"/>
                <w:color w:val="auto"/>
              </w:rPr>
            </w:pPr>
            <w:r>
              <w:rPr>
                <w:rFonts w:ascii="Arial" w:cs="Arial" w:eastAsia="Arial" w:hAnsi="Arial"/>
                <w:sz w:val="14"/>
                <w:szCs w:val="14"/>
                <w:color w:val="auto"/>
              </w:rPr>
              <w:t>October 29, 2005</w:t>
            </w:r>
          </w:p>
        </w:tc>
        <w:tc>
          <w:tcPr>
            <w:tcW w:w="6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9,102</w:t>
            </w:r>
          </w:p>
        </w:tc>
        <w:tc>
          <w:tcPr>
            <w:tcW w:w="12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589</w:t>
            </w:r>
          </w:p>
        </w:tc>
        <w:tc>
          <w:tcPr>
            <w:tcW w:w="10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4"/>
                <w:szCs w:val="14"/>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4"/>
                <w:szCs w:val="14"/>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9,691</w:t>
            </w:r>
          </w:p>
        </w:tc>
        <w:tc>
          <w:tcPr>
            <w:tcW w:w="8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420" w:type="dxa"/>
            <w:vAlign w:val="bottom"/>
          </w:tcPr>
          <w:p>
            <w:pPr>
              <w:spacing w:after="0" w:line="130" w:lineRule="exact"/>
              <w:rPr>
                <w:sz w:val="20"/>
                <w:szCs w:val="20"/>
                <w:color w:val="auto"/>
              </w:rPr>
            </w:pPr>
            <w:r>
              <w:rPr>
                <w:rFonts w:ascii="Arial" w:cs="Arial" w:eastAsia="Arial" w:hAnsi="Arial"/>
                <w:sz w:val="14"/>
                <w:szCs w:val="14"/>
                <w:color w:val="auto"/>
              </w:rPr>
              <w:t>Three months ended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420" w:type="dxa"/>
            <w:vAlign w:val="bottom"/>
          </w:tcPr>
          <w:p>
            <w:pPr>
              <w:ind w:left="180"/>
              <w:spacing w:after="0"/>
              <w:rPr>
                <w:sz w:val="20"/>
                <w:szCs w:val="20"/>
                <w:color w:val="auto"/>
              </w:rPr>
            </w:pPr>
            <w:r>
              <w:rPr>
                <w:rFonts w:ascii="Arial" w:cs="Arial" w:eastAsia="Arial" w:hAnsi="Arial"/>
                <w:sz w:val="14"/>
                <w:szCs w:val="14"/>
                <w:color w:val="auto"/>
              </w:rPr>
              <w:t>January 28, 2006</w:t>
            </w: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51,915</w:t>
            </w: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1,846</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4"/>
                <w:szCs w:val="14"/>
                <w:color w:val="auto"/>
              </w:rPr>
              <w:t>(1,822)</w:t>
            </w:r>
          </w:p>
        </w:tc>
        <w:tc>
          <w:tcPr>
            <w:tcW w:w="26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Arial" w:cs="Arial" w:eastAsia="Arial" w:hAnsi="Arial"/>
                <w:sz w:val="14"/>
                <w:szCs w:val="14"/>
                <w:color w:val="auto"/>
              </w:rPr>
              <w:t>3,249</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0" w:type="dxa"/>
            <w:vAlign w:val="bottom"/>
          </w:tcPr>
          <w:p>
            <w:pPr>
              <w:jc w:val="right"/>
              <w:spacing w:after="0"/>
              <w:rPr>
                <w:sz w:val="20"/>
                <w:szCs w:val="20"/>
                <w:color w:val="auto"/>
              </w:rPr>
            </w:pPr>
            <w:r>
              <w:rPr>
                <w:rFonts w:ascii="Arial" w:cs="Arial" w:eastAsia="Arial" w:hAnsi="Arial"/>
                <w:sz w:val="14"/>
                <w:szCs w:val="14"/>
                <w:color w:val="auto"/>
              </w:rPr>
              <w:t>27,206</w:t>
            </w: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82,394</w:t>
            </w: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42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Total for Fiscal 2006</w:t>
            </w:r>
          </w:p>
        </w:tc>
        <w:tc>
          <w:tcPr>
            <w:tcW w:w="60" w:type="dxa"/>
            <w:vAlign w:val="bottom"/>
            <w:tcBorders>
              <w:top w:val="single" w:sz="8" w:color="CCEEFF"/>
            </w:tcBorders>
            <w:shd w:val="clear" w:color="auto" w:fill="CCEEFF"/>
          </w:tcPr>
          <w:p>
            <w:pPr>
              <w:spacing w:after="0"/>
              <w:rPr>
                <w:sz w:val="12"/>
                <w:szCs w:val="12"/>
                <w:color w:val="auto"/>
              </w:rPr>
            </w:pPr>
          </w:p>
        </w:tc>
        <w:tc>
          <w:tcPr>
            <w:tcW w:w="72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331,363</w:t>
            </w:r>
          </w:p>
        </w:tc>
        <w:tc>
          <w:tcPr>
            <w:tcW w:w="100" w:type="dxa"/>
            <w:vAlign w:val="bottom"/>
            <w:tcBorders>
              <w:top w:val="single" w:sz="8" w:color="CCEEFF"/>
            </w:tcBorders>
            <w:shd w:val="clear" w:color="auto" w:fill="CCEEFF"/>
          </w:tcPr>
          <w:p>
            <w:pPr>
              <w:spacing w:after="0"/>
              <w:rPr>
                <w:sz w:val="12"/>
                <w:szCs w:val="12"/>
                <w:color w:val="auto"/>
              </w:rPr>
            </w:pPr>
          </w:p>
        </w:tc>
        <w:tc>
          <w:tcPr>
            <w:tcW w:w="200" w:type="dxa"/>
            <w:vAlign w:val="bottom"/>
            <w:tcBorders>
              <w:top w:val="single" w:sz="8" w:color="auto"/>
              <w:bottom w:val="single" w:sz="8" w:color="auto"/>
            </w:tcBorders>
            <w:shd w:val="clear" w:color="auto" w:fill="CCEEFF"/>
          </w:tcPr>
          <w:p>
            <w:pPr>
              <w:spacing w:after="0"/>
              <w:rPr>
                <w:sz w:val="12"/>
                <w:szCs w:val="12"/>
                <w:color w:val="auto"/>
              </w:rPr>
            </w:pPr>
          </w:p>
        </w:tc>
        <w:tc>
          <w:tcPr>
            <w:tcW w:w="58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98,856</w:t>
            </w:r>
          </w:p>
        </w:tc>
        <w:tc>
          <w:tcPr>
            <w:tcW w:w="120" w:type="dxa"/>
            <w:vAlign w:val="bottom"/>
            <w:tcBorders>
              <w:top w:val="single" w:sz="8" w:color="CCEEFF"/>
            </w:tcBorders>
            <w:shd w:val="clear" w:color="auto" w:fill="CCEEFF"/>
          </w:tcPr>
          <w:p>
            <w:pPr>
              <w:spacing w:after="0"/>
              <w:rPr>
                <w:sz w:val="12"/>
                <w:szCs w:val="12"/>
                <w:color w:val="auto"/>
              </w:rPr>
            </w:pPr>
          </w:p>
        </w:tc>
        <w:tc>
          <w:tcPr>
            <w:tcW w:w="260" w:type="dxa"/>
            <w:vAlign w:val="bottom"/>
            <w:tcBorders>
              <w:top w:val="single" w:sz="8" w:color="auto"/>
              <w:bottom w:val="single" w:sz="8" w:color="auto"/>
            </w:tcBorders>
            <w:shd w:val="clear" w:color="auto" w:fill="CCEEFF"/>
          </w:tcPr>
          <w:p>
            <w:pPr>
              <w:spacing w:after="0"/>
              <w:rPr>
                <w:sz w:val="12"/>
                <w:szCs w:val="12"/>
                <w:color w:val="auto"/>
              </w:rPr>
            </w:pPr>
          </w:p>
        </w:tc>
        <w:tc>
          <w:tcPr>
            <w:tcW w:w="52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4,384</w:t>
            </w:r>
          </w:p>
        </w:tc>
        <w:tc>
          <w:tcPr>
            <w:tcW w:w="100" w:type="dxa"/>
            <w:vAlign w:val="bottom"/>
            <w:tcBorders>
              <w:top w:val="single" w:sz="8" w:color="CCEEFF"/>
            </w:tcBorders>
            <w:shd w:val="clear" w:color="auto" w:fill="CCEEFF"/>
          </w:tcPr>
          <w:p>
            <w:pPr>
              <w:spacing w:after="0"/>
              <w:rPr>
                <w:sz w:val="12"/>
                <w:szCs w:val="12"/>
                <w:color w:val="auto"/>
              </w:rPr>
            </w:pPr>
          </w:p>
        </w:tc>
        <w:tc>
          <w:tcPr>
            <w:tcW w:w="240" w:type="dxa"/>
            <w:vAlign w:val="bottom"/>
            <w:tcBorders>
              <w:top w:val="single" w:sz="8" w:color="auto"/>
              <w:bottom w:val="single" w:sz="8" w:color="auto"/>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(1,822)</w:t>
            </w:r>
          </w:p>
        </w:tc>
        <w:tc>
          <w:tcPr>
            <w:tcW w:w="120" w:type="dxa"/>
            <w:vAlign w:val="bottom"/>
            <w:tcBorders>
              <w:top w:val="single" w:sz="8" w:color="CCEEFF"/>
            </w:tcBorders>
            <w:shd w:val="clear" w:color="auto" w:fill="CCEEFF"/>
          </w:tcPr>
          <w:p>
            <w:pPr>
              <w:spacing w:after="0"/>
              <w:rPr>
                <w:sz w:val="12"/>
                <w:szCs w:val="12"/>
                <w:color w:val="auto"/>
              </w:rPr>
            </w:pPr>
          </w:p>
        </w:tc>
        <w:tc>
          <w:tcPr>
            <w:tcW w:w="260" w:type="dxa"/>
            <w:vAlign w:val="bottom"/>
            <w:tcBorders>
              <w:top w:val="single" w:sz="8" w:color="auto"/>
              <w:bottom w:val="single" w:sz="8" w:color="auto"/>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3,249</w:t>
            </w:r>
          </w:p>
        </w:tc>
        <w:tc>
          <w:tcPr>
            <w:tcW w:w="100" w:type="dxa"/>
            <w:vAlign w:val="bottom"/>
            <w:tcBorders>
              <w:top w:val="single" w:sz="8" w:color="CCEEFF"/>
            </w:tcBorders>
            <w:shd w:val="clear" w:color="auto" w:fill="CCEEFF"/>
          </w:tcPr>
          <w:p>
            <w:pPr>
              <w:spacing w:after="0"/>
              <w:rPr>
                <w:sz w:val="12"/>
                <w:szCs w:val="12"/>
                <w:color w:val="auto"/>
              </w:rPr>
            </w:pPr>
          </w:p>
        </w:tc>
        <w:tc>
          <w:tcPr>
            <w:tcW w:w="240" w:type="dxa"/>
            <w:vAlign w:val="bottom"/>
            <w:tcBorders>
              <w:top w:val="single" w:sz="8" w:color="auto"/>
              <w:bottom w:val="single" w:sz="8" w:color="auto"/>
            </w:tcBorders>
            <w:shd w:val="clear" w:color="auto" w:fill="CCEEFF"/>
          </w:tcPr>
          <w:p>
            <w:pPr>
              <w:spacing w:after="0"/>
              <w:rPr>
                <w:sz w:val="12"/>
                <w:szCs w:val="12"/>
                <w:color w:val="auto"/>
              </w:rPr>
            </w:pPr>
          </w:p>
        </w:tc>
        <w:tc>
          <w:tcPr>
            <w:tcW w:w="56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27,206</w:t>
            </w:r>
          </w:p>
        </w:tc>
        <w:tc>
          <w:tcPr>
            <w:tcW w:w="100" w:type="dxa"/>
            <w:vAlign w:val="bottom"/>
            <w:tcBorders>
              <w:top w:val="single" w:sz="8" w:color="CCEEFF"/>
            </w:tcBorders>
            <w:shd w:val="clear" w:color="auto" w:fill="CCEEFF"/>
          </w:tcPr>
          <w:p>
            <w:pPr>
              <w:spacing w:after="0"/>
              <w:rPr>
                <w:sz w:val="12"/>
                <w:szCs w:val="12"/>
                <w:color w:val="auto"/>
              </w:rPr>
            </w:pPr>
          </w:p>
        </w:tc>
        <w:tc>
          <w:tcPr>
            <w:tcW w:w="260" w:type="dxa"/>
            <w:vAlign w:val="bottom"/>
            <w:tcBorders>
              <w:top w:val="single" w:sz="8" w:color="auto"/>
              <w:bottom w:val="single" w:sz="8" w:color="auto"/>
            </w:tcBorders>
            <w:shd w:val="clear" w:color="auto" w:fill="CCEEFF"/>
          </w:tcPr>
          <w:p>
            <w:pPr>
              <w:spacing w:after="0"/>
              <w:rPr>
                <w:sz w:val="12"/>
                <w:szCs w:val="12"/>
                <w:color w:val="auto"/>
              </w:rPr>
            </w:pPr>
          </w:p>
        </w:tc>
        <w:tc>
          <w:tcPr>
            <w:tcW w:w="54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120" w:type="dxa"/>
            <w:vAlign w:val="bottom"/>
            <w:tcBorders>
              <w:top w:val="single" w:sz="8" w:color="CCEEFF"/>
            </w:tcBorders>
            <w:shd w:val="clear" w:color="auto" w:fill="CCEEFF"/>
          </w:tcPr>
          <w:p>
            <w:pPr>
              <w:spacing w:after="0"/>
              <w:rPr>
                <w:sz w:val="12"/>
                <w:szCs w:val="12"/>
                <w:color w:val="auto"/>
              </w:rPr>
            </w:pPr>
          </w:p>
        </w:tc>
        <w:tc>
          <w:tcPr>
            <w:tcW w:w="200" w:type="dxa"/>
            <w:vAlign w:val="bottom"/>
            <w:tcBorders>
              <w:top w:val="single" w:sz="8" w:color="auto"/>
              <w:bottom w:val="single" w:sz="8" w:color="auto"/>
            </w:tcBorders>
            <w:shd w:val="clear" w:color="auto" w:fill="CCEEFF"/>
          </w:tcPr>
          <w:p>
            <w:pPr>
              <w:spacing w:after="0"/>
              <w:rPr>
                <w:sz w:val="12"/>
                <w:szCs w:val="12"/>
                <w:color w:val="auto"/>
              </w:rPr>
            </w:pPr>
          </w:p>
        </w:tc>
        <w:tc>
          <w:tcPr>
            <w:tcW w:w="600" w:type="dxa"/>
            <w:vAlign w:val="bottom"/>
            <w:tcBorders>
              <w:top w:val="single" w:sz="8" w:color="auto"/>
              <w:bottom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131,873</w:t>
            </w:r>
          </w:p>
        </w:tc>
        <w:tc>
          <w:tcPr>
            <w:tcW w:w="80" w:type="dxa"/>
            <w:vAlign w:val="bottom"/>
            <w:tcBorders>
              <w:top w:val="single" w:sz="8" w:color="CCEEFF"/>
            </w:tcBorders>
            <w:shd w:val="clear" w:color="auto" w:fill="CCEEFF"/>
          </w:tcPr>
          <w:p>
            <w:pPr>
              <w:spacing w:after="0"/>
              <w:rPr>
                <w:sz w:val="12"/>
                <w:szCs w:val="12"/>
                <w:color w:val="auto"/>
              </w:rPr>
            </w:pPr>
          </w:p>
        </w:tc>
        <w:tc>
          <w:tcPr>
            <w:tcW w:w="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740" w:type="dxa"/>
            <w:vAlign w:val="bottom"/>
            <w:tcBorders>
              <w:top w:val="single" w:sz="8" w:color="CCEEFF"/>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199,490</w:t>
            </w:r>
          </w:p>
        </w:tc>
        <w:tc>
          <w:tcPr>
            <w:tcW w:w="4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10"/>
        </w:trPr>
        <w:tc>
          <w:tcPr>
            <w:tcW w:w="1420" w:type="dxa"/>
            <w:vAlign w:val="bottom"/>
          </w:tcPr>
          <w:p>
            <w:pPr>
              <w:spacing w:after="0" w:line="110" w:lineRule="exact"/>
              <w:rPr>
                <w:sz w:val="20"/>
                <w:szCs w:val="20"/>
                <w:color w:val="auto"/>
              </w:rPr>
            </w:pPr>
            <w:r>
              <w:rPr>
                <w:rFonts w:ascii="Arial" w:cs="Arial" w:eastAsia="Arial" w:hAnsi="Arial"/>
                <w:sz w:val="12"/>
                <w:szCs w:val="12"/>
                <w:color w:val="auto"/>
              </w:rPr>
              <w:t>Cumulative effect at</w:t>
            </w:r>
          </w:p>
        </w:tc>
        <w:tc>
          <w:tcPr>
            <w:tcW w:w="60" w:type="dxa"/>
            <w:vAlign w:val="bottom"/>
          </w:tcPr>
          <w:p>
            <w:pPr>
              <w:spacing w:after="0"/>
              <w:rPr>
                <w:sz w:val="9"/>
                <w:szCs w:val="9"/>
                <w:color w:val="auto"/>
              </w:rPr>
            </w:pPr>
          </w:p>
        </w:tc>
        <w:tc>
          <w:tcPr>
            <w:tcW w:w="7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540" w:type="dxa"/>
            <w:vAlign w:val="bottom"/>
          </w:tcPr>
          <w:p>
            <w:pPr>
              <w:spacing w:after="0"/>
              <w:rPr>
                <w:sz w:val="9"/>
                <w:szCs w:val="9"/>
                <w:color w:val="auto"/>
              </w:rPr>
            </w:pPr>
          </w:p>
        </w:tc>
        <w:tc>
          <w:tcPr>
            <w:tcW w:w="1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67"/>
        </w:trPr>
        <w:tc>
          <w:tcPr>
            <w:tcW w:w="1420" w:type="dxa"/>
            <w:vAlign w:val="bottom"/>
          </w:tcPr>
          <w:p>
            <w:pPr>
              <w:ind w:left="180"/>
              <w:spacing w:after="0"/>
              <w:rPr>
                <w:sz w:val="20"/>
                <w:szCs w:val="20"/>
                <w:color w:val="auto"/>
              </w:rPr>
            </w:pPr>
            <w:r>
              <w:rPr>
                <w:rFonts w:ascii="Arial" w:cs="Arial" w:eastAsia="Arial" w:hAnsi="Arial"/>
                <w:sz w:val="14"/>
                <w:szCs w:val="14"/>
                <w:color w:val="auto"/>
              </w:rPr>
              <w:t>January 28, 2006</w:t>
            </w: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327,375</w:t>
            </w: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Arial" w:cs="Arial" w:eastAsia="Arial" w:hAnsi="Arial"/>
                <w:sz w:val="14"/>
                <w:szCs w:val="14"/>
                <w:color w:val="auto"/>
              </w:rPr>
              <w:t>7,628</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4"/>
                <w:szCs w:val="14"/>
                <w:color w:val="auto"/>
              </w:rPr>
              <w:t>(4,806)</w:t>
            </w:r>
          </w:p>
        </w:tc>
        <w:tc>
          <w:tcPr>
            <w:tcW w:w="26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Arial" w:cs="Arial" w:eastAsia="Arial" w:hAnsi="Arial"/>
                <w:sz w:val="14"/>
                <w:szCs w:val="14"/>
                <w:color w:val="auto"/>
              </w:rPr>
              <w:t>5,275</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60" w:type="dxa"/>
            <w:vAlign w:val="bottom"/>
          </w:tcPr>
          <w:p>
            <w:pPr>
              <w:jc w:val="right"/>
              <w:spacing w:after="0"/>
              <w:rPr>
                <w:sz w:val="20"/>
                <w:szCs w:val="20"/>
                <w:color w:val="auto"/>
              </w:rPr>
            </w:pPr>
            <w:r>
              <w:rPr>
                <w:rFonts w:ascii="Arial" w:cs="Arial" w:eastAsia="Arial" w:hAnsi="Arial"/>
                <w:sz w:val="14"/>
                <w:szCs w:val="14"/>
                <w:color w:val="auto"/>
              </w:rPr>
              <w:t>27,206</w:t>
            </w: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14"/>
                <w:szCs w:val="14"/>
                <w:color w:val="auto"/>
              </w:rPr>
            </w:pPr>
          </w:p>
        </w:tc>
        <w:tc>
          <w:tcPr>
            <w:tcW w:w="600" w:type="dxa"/>
            <w:vAlign w:val="bottom"/>
          </w:tcPr>
          <w:p>
            <w:pPr>
              <w:jc w:val="right"/>
              <w:spacing w:after="0"/>
              <w:rPr>
                <w:sz w:val="20"/>
                <w:szCs w:val="20"/>
                <w:color w:val="auto"/>
              </w:rPr>
            </w:pPr>
            <w:r>
              <w:rPr>
                <w:rFonts w:ascii="Arial" w:cs="Arial" w:eastAsia="Arial" w:hAnsi="Arial"/>
                <w:sz w:val="14"/>
                <w:szCs w:val="14"/>
                <w:color w:val="auto"/>
              </w:rPr>
              <w:t>362,678</w:t>
            </w: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142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Three months ended</w:t>
            </w:r>
          </w:p>
        </w:tc>
        <w:tc>
          <w:tcPr>
            <w:tcW w:w="6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6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40" w:type="dxa"/>
            <w:vAlign w:val="bottom"/>
            <w:shd w:val="clear" w:color="auto" w:fill="CCEEFF"/>
          </w:tcPr>
          <w:p>
            <w:pPr>
              <w:spacing w:after="0"/>
              <w:rPr>
                <w:sz w:val="11"/>
                <w:szCs w:val="11"/>
                <w:color w:val="auto"/>
              </w:rPr>
            </w:pPr>
          </w:p>
        </w:tc>
        <w:tc>
          <w:tcPr>
            <w:tcW w:w="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1420" w:type="dxa"/>
            <w:vAlign w:val="bottom"/>
            <w:shd w:val="clear" w:color="auto" w:fill="CCEEFF"/>
          </w:tcPr>
          <w:p>
            <w:pPr>
              <w:ind w:left="180"/>
              <w:spacing w:after="0"/>
              <w:rPr>
                <w:sz w:val="20"/>
                <w:szCs w:val="20"/>
                <w:color w:val="auto"/>
              </w:rPr>
            </w:pPr>
            <w:r>
              <w:rPr>
                <w:rFonts w:ascii="Arial" w:cs="Arial" w:eastAsia="Arial" w:hAnsi="Arial"/>
                <w:sz w:val="14"/>
                <w:szCs w:val="14"/>
                <w:color w:val="auto"/>
              </w:rPr>
              <w:t>April 29, 2006</w:t>
            </w:r>
          </w:p>
        </w:tc>
        <w:tc>
          <w:tcPr>
            <w:tcW w:w="60" w:type="dxa"/>
            <w:vAlign w:val="bottom"/>
            <w:shd w:val="clear" w:color="auto" w:fill="CCEEFF"/>
          </w:tcPr>
          <w:p>
            <w:pPr>
              <w:spacing w:after="0"/>
              <w:rPr>
                <w:sz w:val="14"/>
                <w:szCs w:val="14"/>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75,297</w:t>
            </w:r>
          </w:p>
        </w:tc>
        <w:tc>
          <w:tcPr>
            <w:tcW w:w="1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4"/>
                <w:szCs w:val="14"/>
                <w:color w:val="auto"/>
              </w:rPr>
              <w:t>4,225</w:t>
            </w:r>
          </w:p>
        </w:tc>
        <w:tc>
          <w:tcPr>
            <w:tcW w:w="12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4"/>
                <w:szCs w:val="14"/>
                <w:color w:val="auto"/>
              </w:rPr>
              <w:t>2,170</w:t>
            </w:r>
          </w:p>
        </w:tc>
        <w:tc>
          <w:tcPr>
            <w:tcW w:w="10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(3,325)</w:t>
            </w:r>
          </w:p>
        </w:tc>
        <w:tc>
          <w:tcPr>
            <w:tcW w:w="260" w:type="dxa"/>
            <w:vAlign w:val="bottom"/>
            <w:shd w:val="clear" w:color="auto" w:fill="CCEEFF"/>
          </w:tcPr>
          <w:p>
            <w:pPr>
              <w:spacing w:after="0"/>
              <w:rPr>
                <w:sz w:val="14"/>
                <w:szCs w:val="14"/>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3,510</w:t>
            </w: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(8,846)</w:t>
            </w:r>
          </w:p>
        </w:tc>
        <w:tc>
          <w:tcPr>
            <w:tcW w:w="200" w:type="dxa"/>
            <w:vAlign w:val="bottom"/>
            <w:shd w:val="clear" w:color="auto" w:fill="CCEEFF"/>
          </w:tcPr>
          <w:p>
            <w:pPr>
              <w:spacing w:after="0"/>
              <w:rPr>
                <w:sz w:val="14"/>
                <w:szCs w:val="14"/>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4"/>
                <w:szCs w:val="14"/>
                <w:color w:val="auto"/>
              </w:rPr>
              <w:t>(2,266)</w:t>
            </w:r>
          </w:p>
        </w:tc>
        <w:tc>
          <w:tcPr>
            <w:tcW w:w="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77,563</w:t>
            </w: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420" w:type="dxa"/>
            <w:vAlign w:val="bottom"/>
            <w:vMerge w:val="restart"/>
          </w:tcPr>
          <w:p>
            <w:pPr>
              <w:spacing w:after="0" w:line="130" w:lineRule="exact"/>
              <w:rPr>
                <w:sz w:val="20"/>
                <w:szCs w:val="20"/>
                <w:color w:val="auto"/>
              </w:rPr>
            </w:pPr>
            <w:r>
              <w:rPr>
                <w:rFonts w:ascii="Arial" w:cs="Arial" w:eastAsia="Arial" w:hAnsi="Arial"/>
                <w:sz w:val="14"/>
                <w:szCs w:val="14"/>
                <w:color w:val="auto"/>
              </w:rPr>
              <w:t>Cumulative effect at</w:t>
            </w:r>
          </w:p>
        </w:tc>
        <w:tc>
          <w:tcPr>
            <w:tcW w:w="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0"/>
        </w:trPr>
        <w:tc>
          <w:tcPr>
            <w:tcW w:w="14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7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vMerge w:val="restart"/>
          </w:tcPr>
          <w:p>
            <w:pPr>
              <w:jc w:val="right"/>
              <w:ind w:right="48"/>
              <w:spacing w:after="0"/>
              <w:rPr>
                <w:sz w:val="20"/>
                <w:szCs w:val="20"/>
                <w:color w:val="auto"/>
              </w:rPr>
            </w:pPr>
            <w:r>
              <w:rPr>
                <w:rFonts w:ascii="Arial" w:cs="Arial" w:eastAsia="Arial" w:hAnsi="Arial"/>
                <w:sz w:val="14"/>
                <w:szCs w:val="14"/>
                <w:color w:val="auto"/>
                <w:w w:val="76"/>
              </w:rPr>
              <w:t>$</w:t>
            </w:r>
          </w:p>
        </w:tc>
        <w:tc>
          <w:tcPr>
            <w:tcW w:w="580" w:type="dxa"/>
            <w:vAlign w:val="bottom"/>
            <w:vMerge w:val="restart"/>
          </w:tcPr>
          <w:p>
            <w:pPr>
              <w:jc w:val="right"/>
              <w:spacing w:after="0"/>
              <w:rPr>
                <w:sz w:val="20"/>
                <w:szCs w:val="20"/>
                <w:color w:val="auto"/>
              </w:rPr>
            </w:pPr>
            <w:r>
              <w:rPr>
                <w:rFonts w:ascii="Arial" w:cs="Arial" w:eastAsia="Arial" w:hAnsi="Arial"/>
                <w:sz w:val="14"/>
                <w:szCs w:val="14"/>
                <w:color w:val="auto"/>
              </w:rPr>
              <w:t>331,600</w:t>
            </w:r>
          </w:p>
        </w:tc>
        <w:tc>
          <w:tcPr>
            <w:tcW w:w="38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w:t>
            </w:r>
          </w:p>
        </w:tc>
        <w:tc>
          <w:tcPr>
            <w:tcW w:w="520" w:type="dxa"/>
            <w:vAlign w:val="bottom"/>
            <w:vMerge w:val="restart"/>
          </w:tcPr>
          <w:p>
            <w:pPr>
              <w:jc w:val="right"/>
              <w:spacing w:after="0"/>
              <w:rPr>
                <w:sz w:val="20"/>
                <w:szCs w:val="20"/>
                <w:color w:val="auto"/>
              </w:rPr>
            </w:pPr>
            <w:r>
              <w:rPr>
                <w:rFonts w:ascii="Arial" w:cs="Arial" w:eastAsia="Arial" w:hAnsi="Arial"/>
                <w:sz w:val="14"/>
                <w:szCs w:val="14"/>
                <w:color w:val="auto"/>
              </w:rPr>
              <w:t>9,798</w:t>
            </w:r>
          </w:p>
        </w:tc>
        <w:tc>
          <w:tcPr>
            <w:tcW w:w="340" w:type="dxa"/>
            <w:vAlign w:val="bottom"/>
            <w:gridSpan w:val="2"/>
            <w:vMerge w:val="restart"/>
          </w:tcPr>
          <w:p>
            <w:pPr>
              <w:jc w:val="right"/>
              <w:ind w:right="160"/>
              <w:spacing w:after="0"/>
              <w:rPr>
                <w:sz w:val="20"/>
                <w:szCs w:val="20"/>
                <w:color w:val="auto"/>
              </w:rPr>
            </w:pPr>
            <w:r>
              <w:rPr>
                <w:rFonts w:ascii="Arial" w:cs="Arial" w:eastAsia="Arial" w:hAnsi="Arial"/>
                <w:sz w:val="14"/>
                <w:szCs w:val="14"/>
                <w:color w:val="auto"/>
              </w:rPr>
              <w:t>$</w:t>
            </w:r>
          </w:p>
        </w:tc>
        <w:tc>
          <w:tcPr>
            <w:tcW w:w="660" w:type="dxa"/>
            <w:vAlign w:val="bottom"/>
            <w:gridSpan w:val="2"/>
            <w:vMerge w:val="restart"/>
          </w:tcPr>
          <w:p>
            <w:pPr>
              <w:jc w:val="right"/>
              <w:ind w:right="60"/>
              <w:spacing w:after="0"/>
              <w:rPr>
                <w:sz w:val="20"/>
                <w:szCs w:val="20"/>
                <w:color w:val="auto"/>
              </w:rPr>
            </w:pPr>
            <w:r>
              <w:rPr>
                <w:rFonts w:ascii="Arial" w:cs="Arial" w:eastAsia="Arial" w:hAnsi="Arial"/>
                <w:sz w:val="14"/>
                <w:szCs w:val="14"/>
                <w:color w:val="auto"/>
              </w:rPr>
              <w:t>(8,131)</w:t>
            </w:r>
          </w:p>
        </w:tc>
        <w:tc>
          <w:tcPr>
            <w:tcW w:w="260" w:type="dxa"/>
            <w:vAlign w:val="bottom"/>
            <w:vMerge w:val="restart"/>
          </w:tcPr>
          <w:p>
            <w:pPr>
              <w:jc w:val="right"/>
              <w:ind w:right="108"/>
              <w:spacing w:after="0"/>
              <w:rPr>
                <w:sz w:val="20"/>
                <w:szCs w:val="20"/>
                <w:color w:val="auto"/>
              </w:rPr>
            </w:pPr>
            <w:r>
              <w:rPr>
                <w:rFonts w:ascii="Arial" w:cs="Arial" w:eastAsia="Arial" w:hAnsi="Arial"/>
                <w:sz w:val="14"/>
                <w:szCs w:val="14"/>
                <w:color w:val="auto"/>
                <w:w w:val="76"/>
              </w:rPr>
              <w:t>$</w:t>
            </w:r>
          </w:p>
        </w:tc>
        <w:tc>
          <w:tcPr>
            <w:tcW w:w="540" w:type="dxa"/>
            <w:vAlign w:val="bottom"/>
            <w:vMerge w:val="restart"/>
          </w:tcPr>
          <w:p>
            <w:pPr>
              <w:jc w:val="right"/>
              <w:spacing w:after="0"/>
              <w:rPr>
                <w:sz w:val="20"/>
                <w:szCs w:val="20"/>
                <w:color w:val="auto"/>
              </w:rPr>
            </w:pPr>
            <w:r>
              <w:rPr>
                <w:rFonts w:ascii="Arial" w:cs="Arial" w:eastAsia="Arial" w:hAnsi="Arial"/>
                <w:sz w:val="14"/>
                <w:szCs w:val="14"/>
                <w:color w:val="auto"/>
              </w:rPr>
              <w:t>5,275</w:t>
            </w:r>
          </w:p>
        </w:tc>
        <w:tc>
          <w:tcPr>
            <w:tcW w:w="340" w:type="dxa"/>
            <w:vAlign w:val="bottom"/>
            <w:gridSpan w:val="2"/>
            <w:vMerge w:val="restart"/>
          </w:tcPr>
          <w:p>
            <w:pPr>
              <w:jc w:val="right"/>
              <w:ind w:right="160"/>
              <w:spacing w:after="0"/>
              <w:rPr>
                <w:sz w:val="20"/>
                <w:szCs w:val="20"/>
                <w:color w:val="auto"/>
              </w:rPr>
            </w:pPr>
            <w:r>
              <w:rPr>
                <w:rFonts w:ascii="Arial" w:cs="Arial" w:eastAsia="Arial" w:hAnsi="Arial"/>
                <w:sz w:val="14"/>
                <w:szCs w:val="14"/>
                <w:color w:val="auto"/>
              </w:rPr>
              <w:t>$</w:t>
            </w:r>
          </w:p>
        </w:tc>
        <w:tc>
          <w:tcPr>
            <w:tcW w:w="560" w:type="dxa"/>
            <w:vAlign w:val="bottom"/>
            <w:vMerge w:val="restart"/>
          </w:tcPr>
          <w:p>
            <w:pPr>
              <w:jc w:val="right"/>
              <w:spacing w:after="0"/>
              <w:rPr>
                <w:sz w:val="20"/>
                <w:szCs w:val="20"/>
                <w:color w:val="auto"/>
              </w:rPr>
            </w:pPr>
            <w:r>
              <w:rPr>
                <w:rFonts w:ascii="Arial" w:cs="Arial" w:eastAsia="Arial" w:hAnsi="Arial"/>
                <w:sz w:val="14"/>
                <w:szCs w:val="14"/>
                <w:color w:val="auto"/>
              </w:rPr>
              <w:t>30,716</w:t>
            </w:r>
          </w:p>
        </w:tc>
        <w:tc>
          <w:tcPr>
            <w:tcW w:w="36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660" w:type="dxa"/>
            <w:vAlign w:val="bottom"/>
            <w:gridSpan w:val="2"/>
            <w:vMerge w:val="restart"/>
          </w:tcPr>
          <w:p>
            <w:pPr>
              <w:jc w:val="right"/>
              <w:ind w:right="60"/>
              <w:spacing w:after="0"/>
              <w:rPr>
                <w:sz w:val="20"/>
                <w:szCs w:val="20"/>
                <w:color w:val="auto"/>
              </w:rPr>
            </w:pPr>
            <w:r>
              <w:rPr>
                <w:rFonts w:ascii="Arial" w:cs="Arial" w:eastAsia="Arial" w:hAnsi="Arial"/>
                <w:sz w:val="14"/>
                <w:szCs w:val="14"/>
                <w:color w:val="auto"/>
              </w:rPr>
              <w:t>(8,846)</w:t>
            </w:r>
          </w:p>
        </w:tc>
        <w:tc>
          <w:tcPr>
            <w:tcW w:w="200" w:type="dxa"/>
            <w:vAlign w:val="bottom"/>
            <w:vMerge w:val="restart"/>
          </w:tcPr>
          <w:p>
            <w:pPr>
              <w:jc w:val="right"/>
              <w:ind w:right="89"/>
              <w:spacing w:after="0"/>
              <w:rPr>
                <w:sz w:val="20"/>
                <w:szCs w:val="20"/>
                <w:color w:val="auto"/>
              </w:rPr>
            </w:pPr>
            <w:r>
              <w:rPr>
                <w:rFonts w:ascii="Arial" w:cs="Arial" w:eastAsia="Arial" w:hAnsi="Arial"/>
                <w:sz w:val="10"/>
                <w:szCs w:val="10"/>
                <w:color w:val="auto"/>
                <w:w w:val="71"/>
              </w:rPr>
              <w:t>$</w:t>
            </w:r>
          </w:p>
        </w:tc>
        <w:tc>
          <w:tcPr>
            <w:tcW w:w="600" w:type="dxa"/>
            <w:vAlign w:val="bottom"/>
            <w:vMerge w:val="restart"/>
          </w:tcPr>
          <w:p>
            <w:pPr>
              <w:jc w:val="right"/>
              <w:spacing w:after="0"/>
              <w:rPr>
                <w:sz w:val="20"/>
                <w:szCs w:val="20"/>
                <w:color w:val="auto"/>
              </w:rPr>
            </w:pPr>
            <w:r>
              <w:rPr>
                <w:rFonts w:ascii="Arial" w:cs="Arial" w:eastAsia="Arial" w:hAnsi="Arial"/>
                <w:sz w:val="14"/>
                <w:szCs w:val="14"/>
                <w:color w:val="auto"/>
              </w:rPr>
              <w:t>360,412</w:t>
            </w: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4"/>
        </w:trPr>
        <w:tc>
          <w:tcPr>
            <w:tcW w:w="1420" w:type="dxa"/>
            <w:vAlign w:val="bottom"/>
          </w:tcPr>
          <w:p>
            <w:pPr>
              <w:ind w:left="180"/>
              <w:spacing w:after="0" w:line="154" w:lineRule="exact"/>
              <w:rPr>
                <w:sz w:val="20"/>
                <w:szCs w:val="20"/>
                <w:color w:val="auto"/>
              </w:rPr>
            </w:pPr>
            <w:r>
              <w:rPr>
                <w:rFonts w:ascii="Arial" w:cs="Arial" w:eastAsia="Arial" w:hAnsi="Arial"/>
                <w:sz w:val="14"/>
                <w:szCs w:val="14"/>
                <w:color w:val="auto"/>
              </w:rPr>
              <w:t>April 29, 2006</w:t>
            </w:r>
          </w:p>
        </w:tc>
        <w:tc>
          <w:tcPr>
            <w:tcW w:w="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vMerge w:val="continue"/>
          </w:tcPr>
          <w:p>
            <w:pPr>
              <w:spacing w:after="0"/>
              <w:rPr>
                <w:sz w:val="13"/>
                <w:szCs w:val="13"/>
                <w:color w:val="auto"/>
              </w:rPr>
            </w:pPr>
          </w:p>
        </w:tc>
        <w:tc>
          <w:tcPr>
            <w:tcW w:w="580" w:type="dxa"/>
            <w:vAlign w:val="bottom"/>
            <w:vMerge w:val="continue"/>
          </w:tcPr>
          <w:p>
            <w:pPr>
              <w:spacing w:after="0"/>
              <w:rPr>
                <w:sz w:val="13"/>
                <w:szCs w:val="13"/>
                <w:color w:val="auto"/>
              </w:rPr>
            </w:pPr>
          </w:p>
        </w:tc>
        <w:tc>
          <w:tcPr>
            <w:tcW w:w="380" w:type="dxa"/>
            <w:vAlign w:val="bottom"/>
            <w:gridSpan w:val="2"/>
            <w:vMerge w:val="continue"/>
          </w:tcPr>
          <w:p>
            <w:pPr>
              <w:spacing w:after="0"/>
              <w:rPr>
                <w:sz w:val="13"/>
                <w:szCs w:val="13"/>
                <w:color w:val="auto"/>
              </w:rPr>
            </w:pPr>
          </w:p>
        </w:tc>
        <w:tc>
          <w:tcPr>
            <w:tcW w:w="520" w:type="dxa"/>
            <w:vAlign w:val="bottom"/>
            <w:vMerge w:val="continue"/>
          </w:tcPr>
          <w:p>
            <w:pPr>
              <w:spacing w:after="0"/>
              <w:rPr>
                <w:sz w:val="13"/>
                <w:szCs w:val="13"/>
                <w:color w:val="auto"/>
              </w:rPr>
            </w:pPr>
          </w:p>
        </w:tc>
        <w:tc>
          <w:tcPr>
            <w:tcW w:w="340" w:type="dxa"/>
            <w:vAlign w:val="bottom"/>
            <w:gridSpan w:val="2"/>
            <w:vMerge w:val="continue"/>
          </w:tcPr>
          <w:p>
            <w:pPr>
              <w:spacing w:after="0"/>
              <w:rPr>
                <w:sz w:val="13"/>
                <w:szCs w:val="13"/>
                <w:color w:val="auto"/>
              </w:rPr>
            </w:pPr>
          </w:p>
        </w:tc>
        <w:tc>
          <w:tcPr>
            <w:tcW w:w="660" w:type="dxa"/>
            <w:vAlign w:val="bottom"/>
            <w:gridSpan w:val="2"/>
            <w:vMerge w:val="continue"/>
          </w:tcPr>
          <w:p>
            <w:pPr>
              <w:spacing w:after="0"/>
              <w:rPr>
                <w:sz w:val="13"/>
                <w:szCs w:val="13"/>
                <w:color w:val="auto"/>
              </w:rPr>
            </w:pPr>
          </w:p>
        </w:tc>
        <w:tc>
          <w:tcPr>
            <w:tcW w:w="260" w:type="dxa"/>
            <w:vAlign w:val="bottom"/>
            <w:vMerge w:val="continue"/>
          </w:tcPr>
          <w:p>
            <w:pPr>
              <w:spacing w:after="0"/>
              <w:rPr>
                <w:sz w:val="13"/>
                <w:szCs w:val="13"/>
                <w:color w:val="auto"/>
              </w:rPr>
            </w:pPr>
          </w:p>
        </w:tc>
        <w:tc>
          <w:tcPr>
            <w:tcW w:w="540" w:type="dxa"/>
            <w:vAlign w:val="bottom"/>
            <w:vMerge w:val="continue"/>
          </w:tcPr>
          <w:p>
            <w:pPr>
              <w:spacing w:after="0"/>
              <w:rPr>
                <w:sz w:val="13"/>
                <w:szCs w:val="13"/>
                <w:color w:val="auto"/>
              </w:rPr>
            </w:pPr>
          </w:p>
        </w:tc>
        <w:tc>
          <w:tcPr>
            <w:tcW w:w="340" w:type="dxa"/>
            <w:vAlign w:val="bottom"/>
            <w:gridSpan w:val="2"/>
            <w:vMerge w:val="continue"/>
          </w:tcPr>
          <w:p>
            <w:pPr>
              <w:spacing w:after="0"/>
              <w:rPr>
                <w:sz w:val="13"/>
                <w:szCs w:val="13"/>
                <w:color w:val="auto"/>
              </w:rPr>
            </w:pPr>
          </w:p>
        </w:tc>
        <w:tc>
          <w:tcPr>
            <w:tcW w:w="560" w:type="dxa"/>
            <w:vAlign w:val="bottom"/>
            <w:vMerge w:val="continue"/>
          </w:tcPr>
          <w:p>
            <w:pPr>
              <w:spacing w:after="0"/>
              <w:rPr>
                <w:sz w:val="13"/>
                <w:szCs w:val="13"/>
                <w:color w:val="auto"/>
              </w:rPr>
            </w:pPr>
          </w:p>
        </w:tc>
        <w:tc>
          <w:tcPr>
            <w:tcW w:w="360" w:type="dxa"/>
            <w:vAlign w:val="bottom"/>
            <w:gridSpan w:val="2"/>
            <w:vMerge w:val="continue"/>
          </w:tcPr>
          <w:p>
            <w:pPr>
              <w:spacing w:after="0"/>
              <w:rPr>
                <w:sz w:val="13"/>
                <w:szCs w:val="13"/>
                <w:color w:val="auto"/>
              </w:rPr>
            </w:pPr>
          </w:p>
        </w:tc>
        <w:tc>
          <w:tcPr>
            <w:tcW w:w="660" w:type="dxa"/>
            <w:vAlign w:val="bottom"/>
            <w:gridSpan w:val="2"/>
            <w:vMerge w:val="continue"/>
          </w:tcPr>
          <w:p>
            <w:pPr>
              <w:spacing w:after="0"/>
              <w:rPr>
                <w:sz w:val="13"/>
                <w:szCs w:val="13"/>
                <w:color w:val="auto"/>
              </w:rPr>
            </w:pPr>
          </w:p>
        </w:tc>
        <w:tc>
          <w:tcPr>
            <w:tcW w:w="200" w:type="dxa"/>
            <w:vAlign w:val="bottom"/>
            <w:vMerge w:val="continue"/>
          </w:tcPr>
          <w:p>
            <w:pPr>
              <w:spacing w:after="0"/>
              <w:rPr>
                <w:sz w:val="13"/>
                <w:szCs w:val="13"/>
                <w:color w:val="auto"/>
              </w:rPr>
            </w:pPr>
          </w:p>
        </w:tc>
        <w:tc>
          <w:tcPr>
            <w:tcW w:w="600" w:type="dxa"/>
            <w:vAlign w:val="bottom"/>
            <w:vMerge w:val="continue"/>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1420" w:type="dxa"/>
            <w:vAlign w:val="bottom"/>
            <w:tcBorders>
              <w:bottom w:val="single" w:sz="8" w:color="auto"/>
            </w:tcBorders>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720" w:type="dxa"/>
            <w:vAlign w:val="bottom"/>
            <w:tcBorders>
              <w:bottom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200" w:type="dxa"/>
            <w:vAlign w:val="bottom"/>
          </w:tcPr>
          <w:p>
            <w:pPr>
              <w:spacing w:after="0"/>
              <w:rPr>
                <w:sz w:val="7"/>
                <w:szCs w:val="7"/>
                <w:color w:val="auto"/>
              </w:rPr>
            </w:pPr>
          </w:p>
        </w:tc>
        <w:tc>
          <w:tcPr>
            <w:tcW w:w="580" w:type="dxa"/>
            <w:vAlign w:val="bottom"/>
          </w:tcPr>
          <w:p>
            <w:pPr>
              <w:spacing w:after="0"/>
              <w:rPr>
                <w:sz w:val="7"/>
                <w:szCs w:val="7"/>
                <w:color w:val="auto"/>
              </w:rPr>
            </w:pPr>
          </w:p>
        </w:tc>
        <w:tc>
          <w:tcPr>
            <w:tcW w:w="120" w:type="dxa"/>
            <w:vAlign w:val="bottom"/>
          </w:tcPr>
          <w:p>
            <w:pPr>
              <w:spacing w:after="0"/>
              <w:rPr>
                <w:sz w:val="7"/>
                <w:szCs w:val="7"/>
                <w:color w:val="auto"/>
              </w:rPr>
            </w:pPr>
          </w:p>
        </w:tc>
        <w:tc>
          <w:tcPr>
            <w:tcW w:w="260" w:type="dxa"/>
            <w:vAlign w:val="bottom"/>
          </w:tcPr>
          <w:p>
            <w:pPr>
              <w:spacing w:after="0"/>
              <w:rPr>
                <w:sz w:val="7"/>
                <w:szCs w:val="7"/>
                <w:color w:val="auto"/>
              </w:rPr>
            </w:pPr>
          </w:p>
        </w:tc>
        <w:tc>
          <w:tcPr>
            <w:tcW w:w="5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540" w:type="dxa"/>
            <w:vAlign w:val="bottom"/>
          </w:tcPr>
          <w:p>
            <w:pPr>
              <w:spacing w:after="0"/>
              <w:rPr>
                <w:sz w:val="7"/>
                <w:szCs w:val="7"/>
                <w:color w:val="auto"/>
              </w:rPr>
            </w:pPr>
          </w:p>
        </w:tc>
        <w:tc>
          <w:tcPr>
            <w:tcW w:w="120" w:type="dxa"/>
            <w:vAlign w:val="bottom"/>
          </w:tcPr>
          <w:p>
            <w:pPr>
              <w:spacing w:after="0"/>
              <w:rPr>
                <w:sz w:val="7"/>
                <w:szCs w:val="7"/>
                <w:color w:val="auto"/>
              </w:rPr>
            </w:pPr>
          </w:p>
        </w:tc>
        <w:tc>
          <w:tcPr>
            <w:tcW w:w="260" w:type="dxa"/>
            <w:vAlign w:val="bottom"/>
          </w:tcPr>
          <w:p>
            <w:pPr>
              <w:spacing w:after="0"/>
              <w:rPr>
                <w:sz w:val="7"/>
                <w:szCs w:val="7"/>
                <w:color w:val="auto"/>
              </w:rPr>
            </w:pPr>
          </w:p>
        </w:tc>
        <w:tc>
          <w:tcPr>
            <w:tcW w:w="540" w:type="dxa"/>
            <w:vAlign w:val="bottom"/>
          </w:tcPr>
          <w:p>
            <w:pPr>
              <w:spacing w:after="0"/>
              <w:rPr>
                <w:sz w:val="7"/>
                <w:szCs w:val="7"/>
                <w:color w:val="auto"/>
              </w:rPr>
            </w:pP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56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540" w:type="dxa"/>
            <w:vAlign w:val="bottom"/>
          </w:tcPr>
          <w:p>
            <w:pPr>
              <w:spacing w:after="0"/>
              <w:rPr>
                <w:sz w:val="7"/>
                <w:szCs w:val="7"/>
                <w:color w:val="auto"/>
              </w:rPr>
            </w:pPr>
          </w:p>
        </w:tc>
        <w:tc>
          <w:tcPr>
            <w:tcW w:w="120" w:type="dxa"/>
            <w:vAlign w:val="bottom"/>
          </w:tcPr>
          <w:p>
            <w:pPr>
              <w:spacing w:after="0"/>
              <w:rPr>
                <w:sz w:val="7"/>
                <w:szCs w:val="7"/>
                <w:color w:val="auto"/>
              </w:rPr>
            </w:pPr>
          </w:p>
        </w:tc>
        <w:tc>
          <w:tcPr>
            <w:tcW w:w="200" w:type="dxa"/>
            <w:vAlign w:val="bottom"/>
          </w:tcPr>
          <w:p>
            <w:pPr>
              <w:spacing w:after="0"/>
              <w:rPr>
                <w:sz w:val="7"/>
                <w:szCs w:val="7"/>
                <w:color w:val="auto"/>
              </w:rPr>
            </w:pPr>
          </w:p>
        </w:tc>
        <w:tc>
          <w:tcPr>
            <w:tcW w:w="600" w:type="dxa"/>
            <w:vAlign w:val="bottom"/>
          </w:tcPr>
          <w:p>
            <w:pPr>
              <w:spacing w:after="0"/>
              <w:rPr>
                <w:sz w:val="7"/>
                <w:szCs w:val="7"/>
                <w:color w:val="auto"/>
              </w:rPr>
            </w:pPr>
          </w:p>
        </w:tc>
        <w:tc>
          <w:tcPr>
            <w:tcW w:w="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tcPr>
          <w:p>
            <w:pPr>
              <w:spacing w:after="0"/>
              <w:rPr>
                <w:sz w:val="7"/>
                <w:szCs w:val="7"/>
                <w:color w:val="auto"/>
              </w:rPr>
            </w:pPr>
          </w:p>
        </w:tc>
        <w:tc>
          <w:tcPr>
            <w:tcW w:w="740" w:type="dxa"/>
            <w:vAlign w:val="bottom"/>
          </w:tcPr>
          <w:p>
            <w:pPr>
              <w:spacing w:after="0"/>
              <w:rPr>
                <w:sz w:val="7"/>
                <w:szCs w:val="7"/>
                <w:color w:val="auto"/>
              </w:rPr>
            </w:pP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5620" w:right="800" w:hanging="5612"/>
        <w:spacing w:after="0" w:line="778" w:lineRule="auto"/>
        <w:tabs>
          <w:tab w:leader="none" w:pos="324" w:val="left"/>
        </w:tabs>
        <w:numPr>
          <w:ilvl w:val="0"/>
          <w:numId w:val="28"/>
        </w:numPr>
        <w:rPr>
          <w:rFonts w:ascii="Arial" w:cs="Arial" w:eastAsia="Arial" w:hAnsi="Arial"/>
          <w:sz w:val="18"/>
          <w:szCs w:val="18"/>
          <w:color w:val="auto"/>
        </w:rPr>
      </w:pPr>
      <w:r>
        <w:rPr>
          <w:rFonts w:ascii="Arial" w:cs="Arial" w:eastAsia="Arial" w:hAnsi="Arial"/>
          <w:sz w:val="18"/>
          <w:szCs w:val="18"/>
          <w:color w:val="auto"/>
        </w:rPr>
        <w:t>Comprised $1,062,000 for fiscal 2000, $139,000 for fiscal 1999, $41,000 for fiscal 1998, $12,000 for fiscal 1997 and $1,000 for fiscal 1996. 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-72390</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45"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The restatement adjustments decreased previously reported basic net income per share by $0.48 and $0.28 for fiscal 2006 and 2005, respectively and diluted net income per share by $0.40 and $0.26 for fiscal 2006 and fiscal 2005, respectively.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Cashflows Impact of Equity Award Review</w:t>
      </w:r>
    </w:p>
    <w:p>
      <w:pPr>
        <w:spacing w:after="0" w:line="225" w:lineRule="exact"/>
        <w:rPr>
          <w:sz w:val="20"/>
          <w:szCs w:val="20"/>
          <w:color w:val="auto"/>
        </w:rPr>
      </w:pPr>
    </w:p>
    <w:p>
      <w:pPr>
        <w:jc w:val="both"/>
        <w:ind w:firstLine="324"/>
        <w:spacing w:after="0" w:line="286" w:lineRule="auto"/>
        <w:rPr>
          <w:sz w:val="20"/>
          <w:szCs w:val="20"/>
          <w:color w:val="auto"/>
        </w:rPr>
      </w:pPr>
      <w:r>
        <w:rPr>
          <w:rFonts w:ascii="Arial" w:cs="Arial" w:eastAsia="Arial" w:hAnsi="Arial"/>
          <w:sz w:val="17"/>
          <w:szCs w:val="17"/>
          <w:color w:val="auto"/>
        </w:rPr>
        <w:t>The additional payable for payroll taxes associated with these stock option grants of approximately $10.6 million, additional Section 409A expenses for the adverse tax consequences of the re-measured options exercised during calendar year 2006 of approximately $24.2 million, and Section 162(m) liabilities of $26.5 million for cumulative period from fiscal 2001 through 2007, represents future cash outflow totaling $61.3 million.</w:t>
      </w:r>
    </w:p>
    <w:p>
      <w:pPr>
        <w:spacing w:after="0" w:line="166" w:lineRule="exact"/>
        <w:rPr>
          <w:sz w:val="20"/>
          <w:szCs w:val="20"/>
          <w:color w:val="auto"/>
        </w:rPr>
      </w:pPr>
    </w:p>
    <w:p>
      <w:pPr>
        <w:ind w:right="60" w:firstLine="324"/>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Statement of Operations for the first quarter of fiscal 2007 and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0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900" w:type="dxa"/>
            <w:vAlign w:val="bottom"/>
            <w:tcBorders>
              <w:bottom w:val="single" w:sz="8" w:color="auto"/>
            </w:tcBorders>
            <w:gridSpan w:val="8"/>
          </w:tcPr>
          <w:p>
            <w:pPr>
              <w:jc w:val="right"/>
              <w:ind w:right="511"/>
              <w:spacing w:after="0"/>
              <w:rPr>
                <w:sz w:val="20"/>
                <w:szCs w:val="20"/>
                <w:color w:val="auto"/>
              </w:rPr>
            </w:pPr>
            <w:r>
              <w:rPr>
                <w:rFonts w:ascii="Arial" w:cs="Arial" w:eastAsia="Arial" w:hAnsi="Arial"/>
                <w:sz w:val="14"/>
                <w:szCs w:val="14"/>
                <w:b w:val="1"/>
                <w:bCs w:val="1"/>
                <w:color w:val="auto"/>
              </w:rPr>
              <w:t>Quarter Ended April 29, 2006</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940" w:type="dxa"/>
            <w:vAlign w:val="bottom"/>
            <w:tcBorders>
              <w:bottom w:val="single" w:sz="8" w:color="auto"/>
            </w:tcBorders>
            <w:gridSpan w:val="7"/>
          </w:tcPr>
          <w:p>
            <w:pPr>
              <w:jc w:val="right"/>
              <w:ind w:right="511"/>
              <w:spacing w:after="0"/>
              <w:rPr>
                <w:sz w:val="20"/>
                <w:szCs w:val="20"/>
                <w:color w:val="auto"/>
              </w:rPr>
            </w:pPr>
            <w:r>
              <w:rPr>
                <w:rFonts w:ascii="Arial" w:cs="Arial" w:eastAsia="Arial" w:hAnsi="Arial"/>
                <w:sz w:val="14"/>
                <w:szCs w:val="14"/>
                <w:b w:val="1"/>
                <w:bCs w:val="1"/>
                <w:color w:val="auto"/>
              </w:rPr>
              <w:t>Quarter Ended April 30, 2005</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04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gridSpan w:val="2"/>
          </w:tcPr>
          <w:p>
            <w:pPr>
              <w:jc w:val="center"/>
              <w:ind w:right="22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220" w:type="dxa"/>
            <w:vAlign w:val="bottom"/>
          </w:tcPr>
          <w:p>
            <w:pPr>
              <w:spacing w:after="0"/>
              <w:rPr>
                <w:sz w:val="8"/>
                <w:szCs w:val="8"/>
                <w:color w:val="auto"/>
              </w:rPr>
            </w:pPr>
          </w:p>
        </w:tc>
        <w:tc>
          <w:tcPr>
            <w:tcW w:w="62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2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9"/>
              </w:rPr>
              <w:t>As</w:t>
            </w: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940" w:type="dxa"/>
            <w:vAlign w:val="bottom"/>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As</w:t>
            </w: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20" w:type="dxa"/>
            <w:vAlign w:val="bottom"/>
          </w:tcPr>
          <w:p>
            <w:pPr>
              <w:spacing w:after="0"/>
              <w:rPr>
                <w:sz w:val="8"/>
                <w:szCs w:val="8"/>
                <w:color w:val="auto"/>
              </w:rPr>
            </w:pPr>
          </w:p>
        </w:tc>
        <w:tc>
          <w:tcPr>
            <w:tcW w:w="80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9"/>
              </w:rPr>
              <w:t>As</w:t>
            </w:r>
          </w:p>
        </w:tc>
        <w:tc>
          <w:tcPr>
            <w:tcW w:w="0" w:type="dxa"/>
            <w:vAlign w:val="bottom"/>
          </w:tcPr>
          <w:p>
            <w:pPr>
              <w:spacing w:after="0"/>
              <w:rPr>
                <w:sz w:val="1"/>
                <w:szCs w:val="1"/>
                <w:color w:val="auto"/>
              </w:rPr>
            </w:pPr>
          </w:p>
        </w:tc>
      </w:tr>
      <w:tr>
        <w:trPr>
          <w:trHeight w:val="135"/>
        </w:trPr>
        <w:tc>
          <w:tcPr>
            <w:tcW w:w="3040" w:type="dxa"/>
            <w:vAlign w:val="bottom"/>
          </w:tcPr>
          <w:p>
            <w:pPr>
              <w:spacing w:after="0"/>
              <w:rPr>
                <w:sz w:val="11"/>
                <w:szCs w:val="11"/>
                <w:color w:val="auto"/>
              </w:rPr>
            </w:pP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Previously</w:t>
            </w:r>
          </w:p>
        </w:tc>
        <w:tc>
          <w:tcPr>
            <w:tcW w:w="100" w:type="dxa"/>
            <w:vAlign w:val="bottom"/>
          </w:tcPr>
          <w:p>
            <w:pPr>
              <w:spacing w:after="0"/>
              <w:rPr>
                <w:sz w:val="11"/>
                <w:szCs w:val="11"/>
                <w:color w:val="auto"/>
              </w:rPr>
            </w:pPr>
          </w:p>
        </w:tc>
        <w:tc>
          <w:tcPr>
            <w:tcW w:w="116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Adjustments</w:t>
            </w:r>
          </w:p>
        </w:tc>
        <w:tc>
          <w:tcPr>
            <w:tcW w:w="10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1040" w:type="dxa"/>
            <w:vAlign w:val="bottom"/>
            <w:gridSpan w:val="3"/>
          </w:tcPr>
          <w:p>
            <w:pPr>
              <w:jc w:val="center"/>
              <w:ind w:right="24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16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Adjustments</w:t>
            </w:r>
          </w:p>
        </w:tc>
        <w:tc>
          <w:tcPr>
            <w:tcW w:w="12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0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160" w:type="dxa"/>
            <w:vAlign w:val="bottom"/>
            <w:gridSpan w:val="3"/>
            <w:vMerge w:val="continue"/>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Restated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1"/>
              </w:rPr>
              <w:t>Reported</w:t>
            </w:r>
          </w:p>
        </w:tc>
        <w:tc>
          <w:tcPr>
            <w:tcW w:w="1160" w:type="dxa"/>
            <w:vAlign w:val="bottom"/>
            <w:gridSpan w:val="3"/>
            <w:vMerge w:val="continue"/>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Restated</w:t>
            </w:r>
          </w:p>
        </w:tc>
        <w:tc>
          <w:tcPr>
            <w:tcW w:w="0" w:type="dxa"/>
            <w:vAlign w:val="bottom"/>
          </w:tcPr>
          <w:p>
            <w:pPr>
              <w:spacing w:after="0"/>
              <w:rPr>
                <w:sz w:val="1"/>
                <w:szCs w:val="1"/>
                <w:color w:val="auto"/>
              </w:rPr>
            </w:pPr>
          </w:p>
        </w:tc>
      </w:tr>
      <w:tr>
        <w:trPr>
          <w:trHeight w:val="129"/>
        </w:trPr>
        <w:tc>
          <w:tcPr>
            <w:tcW w:w="30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2640" w:type="dxa"/>
            <w:vAlign w:val="bottom"/>
            <w:tcBorders>
              <w:top w:val="single" w:sz="8" w:color="auto"/>
            </w:tcBorders>
            <w:gridSpan w:val="9"/>
          </w:tcPr>
          <w:p>
            <w:pPr>
              <w:spacing w:after="0" w:line="129" w:lineRule="exact"/>
              <w:rPr>
                <w:sz w:val="20"/>
                <w:szCs w:val="20"/>
                <w:color w:val="auto"/>
              </w:rPr>
            </w:pPr>
            <w:r>
              <w:rPr>
                <w:rFonts w:ascii="Arial" w:cs="Arial" w:eastAsia="Arial" w:hAnsi="Arial"/>
                <w:sz w:val="14"/>
                <w:szCs w:val="14"/>
                <w:b w:val="1"/>
                <w:bCs w:val="1"/>
                <w:color w:val="auto"/>
                <w:w w:val="94"/>
              </w:rPr>
              <w:t>(In thousands, except per share amounts)</w:t>
            </w:r>
          </w:p>
        </w:tc>
        <w:tc>
          <w:tcPr>
            <w:tcW w:w="60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521,196</w:t>
            </w:r>
          </w:p>
        </w:tc>
        <w:tc>
          <w:tcPr>
            <w:tcW w:w="1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521,196</w:t>
            </w:r>
          </w:p>
        </w:tc>
        <w:tc>
          <w:tcPr>
            <w:tcW w:w="1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364,770</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364,770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240,664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(431)A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240,233</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175,251</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534C</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175,785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124,831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128"/>
              <w:spacing w:after="0"/>
              <w:rPr>
                <w:sz w:val="20"/>
                <w:szCs w:val="20"/>
                <w:color w:val="auto"/>
              </w:rPr>
            </w:pPr>
            <w:r>
              <w:rPr>
                <w:rFonts w:ascii="Arial" w:cs="Arial" w:eastAsia="Arial" w:hAnsi="Arial"/>
                <w:sz w:val="18"/>
                <w:szCs w:val="18"/>
                <w:color w:val="auto"/>
              </w:rPr>
              <w:t>4,397A</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129,228</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72,409</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5,541C</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77,950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38,133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28"/>
              <w:spacing w:after="0"/>
              <w:rPr>
                <w:sz w:val="20"/>
                <w:szCs w:val="20"/>
                <w:color w:val="auto"/>
              </w:rPr>
            </w:pPr>
            <w:r>
              <w:rPr>
                <w:rFonts w:ascii="Arial" w:cs="Arial" w:eastAsia="Arial" w:hAnsi="Arial"/>
                <w:sz w:val="18"/>
                <w:szCs w:val="18"/>
                <w:color w:val="auto"/>
              </w:rPr>
              <w:t>729A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38,862</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21,203</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819C</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22,022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16,858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128"/>
              <w:spacing w:after="0"/>
              <w:rPr>
                <w:sz w:val="20"/>
                <w:szCs w:val="20"/>
                <w:color w:val="auto"/>
              </w:rPr>
            </w:pPr>
            <w:r>
              <w:rPr>
                <w:rFonts w:ascii="Arial" w:cs="Arial" w:eastAsia="Arial" w:hAnsi="Arial"/>
                <w:sz w:val="18"/>
                <w:szCs w:val="18"/>
                <w:color w:val="auto"/>
              </w:rPr>
              <w:t>1,700A</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18,558</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6,877</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2,691C</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9,568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04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Amortization and write-off of</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goodwill and acquired intangible</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0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assets and other</w:t>
            </w:r>
          </w:p>
        </w:tc>
        <w:tc>
          <w:tcPr>
            <w:tcW w:w="1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26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2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3040" w:type="dxa"/>
            <w:vAlign w:val="bottom"/>
          </w:tcPr>
          <w:p>
            <w:pPr>
              <w:ind w:left="360"/>
              <w:spacing w:after="0" w:line="182" w:lineRule="exact"/>
              <w:rPr>
                <w:sz w:val="20"/>
                <w:szCs w:val="20"/>
                <w:color w:val="auto"/>
              </w:rPr>
            </w:pPr>
            <w:r>
              <w:rPr>
                <w:rFonts w:ascii="Arial" w:cs="Arial" w:eastAsia="Arial" w:hAnsi="Arial"/>
                <w:sz w:val="18"/>
                <w:szCs w:val="18"/>
                <w:color w:val="auto"/>
              </w:rPr>
              <w:t>Total operating costs and</w:t>
            </w:r>
          </w:p>
        </w:tc>
        <w:tc>
          <w:tcPr>
            <w:tcW w:w="120" w:type="dxa"/>
            <w:vAlign w:val="bottom"/>
            <w:tcBorders>
              <w:top w:val="single" w:sz="8" w:color="auto"/>
            </w:tcBorders>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spacing w:after="0"/>
              <w:rPr>
                <w:sz w:val="15"/>
                <w:szCs w:val="15"/>
                <w:color w:val="auto"/>
              </w:rPr>
            </w:pPr>
          </w:p>
        </w:tc>
        <w:tc>
          <w:tcPr>
            <w:tcW w:w="32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Borders>
              <w:top w:val="single" w:sz="8" w:color="auto"/>
            </w:tcBorders>
          </w:tcPr>
          <w:p>
            <w:pPr>
              <w:spacing w:after="0"/>
              <w:rPr>
                <w:sz w:val="15"/>
                <w:szCs w:val="15"/>
                <w:color w:val="auto"/>
              </w:rPr>
            </w:pPr>
          </w:p>
        </w:tc>
        <w:tc>
          <w:tcPr>
            <w:tcW w:w="600" w:type="dxa"/>
            <w:vAlign w:val="bottom"/>
            <w:tcBorders>
              <w:top w:val="single" w:sz="8" w:color="auto"/>
            </w:tcBorders>
          </w:tcPr>
          <w:p>
            <w:pPr>
              <w:spacing w:after="0"/>
              <w:rPr>
                <w:sz w:val="15"/>
                <w:szCs w:val="15"/>
                <w:color w:val="auto"/>
              </w:rPr>
            </w:pPr>
          </w:p>
        </w:tc>
        <w:tc>
          <w:tcPr>
            <w:tcW w:w="3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72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04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expenses</w:t>
            </w:r>
          </w:p>
        </w:tc>
        <w:tc>
          <w:tcPr>
            <w:tcW w:w="12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437,837</w:t>
            </w:r>
          </w:p>
        </w:tc>
        <w:tc>
          <w:tcPr>
            <w:tcW w:w="100" w:type="dxa"/>
            <w:vAlign w:val="bottom"/>
            <w:tcBorders>
              <w:bottom w:val="single" w:sz="8" w:color="CCEEFF"/>
            </w:tcBorders>
          </w:tcPr>
          <w:p>
            <w:pPr>
              <w:spacing w:after="0"/>
              <w:rPr>
                <w:sz w:val="20"/>
                <w:szCs w:val="20"/>
                <w:color w:val="auto"/>
              </w:rPr>
            </w:pPr>
          </w:p>
        </w:tc>
        <w:tc>
          <w:tcPr>
            <w:tcW w:w="100" w:type="dxa"/>
            <w:vAlign w:val="bottom"/>
            <w:tcBorders>
              <w:bottom w:val="single" w:sz="8" w:color="CCEEFF"/>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6,395</w:t>
            </w:r>
          </w:p>
        </w:tc>
        <w:tc>
          <w:tcPr>
            <w:tcW w:w="320" w:type="dxa"/>
            <w:vAlign w:val="bottom"/>
            <w:tcBorders>
              <w:bottom w:val="single" w:sz="8" w:color="CCEEFF"/>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444,232</w:t>
            </w:r>
          </w:p>
        </w:tc>
        <w:tc>
          <w:tcPr>
            <w:tcW w:w="100" w:type="dxa"/>
            <w:vAlign w:val="bottom"/>
            <w:tcBorders>
              <w:bottom w:val="single" w:sz="8" w:color="CCEEFF"/>
            </w:tcBorders>
          </w:tcPr>
          <w:p>
            <w:pPr>
              <w:spacing w:after="0"/>
              <w:rPr>
                <w:sz w:val="20"/>
                <w:szCs w:val="20"/>
                <w:color w:val="auto"/>
              </w:rPr>
            </w:pPr>
          </w:p>
        </w:tc>
        <w:tc>
          <w:tcPr>
            <w:tcW w:w="120" w:type="dxa"/>
            <w:vAlign w:val="bottom"/>
            <w:tcBorders>
              <w:bottom w:val="single" w:sz="8" w:color="CCEEFF"/>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295,499</w:t>
            </w:r>
          </w:p>
        </w:tc>
        <w:tc>
          <w:tcPr>
            <w:tcW w:w="220" w:type="dxa"/>
            <w:vAlign w:val="bottom"/>
            <w:tcBorders>
              <w:bottom w:val="single" w:sz="8" w:color="CCEEFF"/>
            </w:tcBorders>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9,585</w:t>
            </w:r>
          </w:p>
        </w:tc>
        <w:tc>
          <w:tcPr>
            <w:tcW w:w="320" w:type="dxa"/>
            <w:vAlign w:val="bottom"/>
            <w:tcBorders>
              <w:bottom w:val="single" w:sz="8" w:color="CCEEFF"/>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305,084</w:t>
            </w:r>
          </w:p>
        </w:tc>
        <w:tc>
          <w:tcPr>
            <w:tcW w:w="80" w:type="dxa"/>
            <w:vAlign w:val="bottom"/>
            <w:tcBorders>
              <w:bottom w:val="single" w:sz="8" w:color="CCEEFF"/>
            </w:tcBorders>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83,359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(6,395)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76,964</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69,271</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(9,585)</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59,686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7,616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jc w:val="right"/>
              <w:ind w:right="26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7,616</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3,612</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3,612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0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90,975</w:t>
            </w: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(6,395)</w:t>
            </w:r>
          </w:p>
        </w:tc>
        <w:tc>
          <w:tcPr>
            <w:tcW w:w="3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84,580</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72,883</w:t>
            </w:r>
          </w:p>
        </w:tc>
        <w:tc>
          <w:tcPr>
            <w:tcW w:w="2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(9,585)</w:t>
            </w:r>
          </w:p>
        </w:tc>
        <w:tc>
          <w:tcPr>
            <w:tcW w:w="3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63,298</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15,678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gridSpan w:val="2"/>
          </w:tcPr>
          <w:p>
            <w:pPr>
              <w:ind w:left="260"/>
              <w:spacing w:after="0"/>
              <w:rPr>
                <w:sz w:val="20"/>
                <w:szCs w:val="20"/>
                <w:color w:val="auto"/>
              </w:rPr>
            </w:pPr>
            <w:r>
              <w:rPr>
                <w:rFonts w:ascii="Arial" w:cs="Arial" w:eastAsia="Arial" w:hAnsi="Arial"/>
                <w:sz w:val="18"/>
                <w:szCs w:val="18"/>
                <w:color w:val="auto"/>
              </w:rPr>
              <w:t>(185)B</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15,863</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9,351</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9,351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304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Income before change in accounting</w:t>
            </w:r>
          </w:p>
        </w:tc>
        <w:tc>
          <w:tcPr>
            <w:tcW w:w="12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auto"/>
            </w:tcBorders>
            <w:shd w:val="clear" w:color="auto" w:fill="CCEEFF"/>
          </w:tcPr>
          <w:p>
            <w:pPr>
              <w:spacing w:after="0"/>
              <w:rPr>
                <w:sz w:val="15"/>
                <w:szCs w:val="15"/>
                <w:color w:val="auto"/>
              </w:rPr>
            </w:pPr>
          </w:p>
        </w:tc>
        <w:tc>
          <w:tcPr>
            <w:tcW w:w="620" w:type="dxa"/>
            <w:vAlign w:val="bottom"/>
            <w:tcBorders>
              <w:top w:val="single" w:sz="8" w:color="auto"/>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240" w:type="dxa"/>
            <w:vAlign w:val="bottom"/>
            <w:tcBorders>
              <w:top w:val="single" w:sz="8" w:color="auto"/>
            </w:tcBorders>
            <w:shd w:val="clear" w:color="auto" w:fill="CCEEFF"/>
          </w:tcPr>
          <w:p>
            <w:pPr>
              <w:spacing w:after="0"/>
              <w:rPr>
                <w:sz w:val="15"/>
                <w:szCs w:val="15"/>
                <w:color w:val="auto"/>
              </w:rPr>
            </w:pPr>
          </w:p>
        </w:tc>
        <w:tc>
          <w:tcPr>
            <w:tcW w:w="600" w:type="dxa"/>
            <w:vAlign w:val="bottom"/>
            <w:tcBorders>
              <w:top w:val="single" w:sz="8" w:color="auto"/>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principle</w:t>
            </w:r>
          </w:p>
        </w:tc>
        <w:tc>
          <w:tcPr>
            <w:tcW w:w="1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75,297</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188"/>
              <w:spacing w:after="0"/>
              <w:rPr>
                <w:sz w:val="20"/>
                <w:szCs w:val="20"/>
                <w:color w:val="auto"/>
              </w:rPr>
            </w:pPr>
            <w:r>
              <w:rPr>
                <w:rFonts w:ascii="Arial" w:cs="Arial" w:eastAsia="Arial" w:hAnsi="Arial"/>
                <w:sz w:val="18"/>
                <w:szCs w:val="18"/>
                <w:color w:val="auto"/>
              </w:rPr>
              <w:t>(6,580)</w:t>
            </w: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68,717</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63,532</w:t>
            </w:r>
          </w:p>
        </w:tc>
        <w:tc>
          <w:tcPr>
            <w:tcW w:w="2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(9,585)</w:t>
            </w:r>
          </w:p>
        </w:tc>
        <w:tc>
          <w:tcPr>
            <w:tcW w:w="1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53,947</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040" w:type="dxa"/>
            <w:vAlign w:val="bottom"/>
          </w:tcPr>
          <w:p>
            <w:pPr>
              <w:spacing w:after="0" w:line="201" w:lineRule="exact"/>
              <w:rPr>
                <w:sz w:val="20"/>
                <w:szCs w:val="20"/>
                <w:color w:val="auto"/>
              </w:rPr>
            </w:pPr>
            <w:r>
              <w:rPr>
                <w:rFonts w:ascii="Arial" w:cs="Arial" w:eastAsia="Arial" w:hAnsi="Arial"/>
                <w:sz w:val="18"/>
                <w:szCs w:val="18"/>
                <w:color w:val="auto"/>
              </w:rPr>
              <w:t>Cumulative effect of change in</w:t>
            </w: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accounting principle, net of tax</w:t>
            </w: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040" w:type="dxa"/>
            <w:vAlign w:val="bottom"/>
          </w:tcPr>
          <w:p>
            <w:pPr>
              <w:ind w:left="180"/>
              <w:spacing w:after="0"/>
              <w:rPr>
                <w:sz w:val="20"/>
                <w:szCs w:val="20"/>
                <w:color w:val="auto"/>
              </w:rPr>
            </w:pPr>
            <w:r>
              <w:rPr>
                <w:rFonts w:ascii="Arial" w:cs="Arial" w:eastAsia="Arial" w:hAnsi="Arial"/>
                <w:sz w:val="18"/>
                <w:szCs w:val="18"/>
                <w:color w:val="auto"/>
              </w:rPr>
              <w:t>effect</w:t>
            </w:r>
          </w:p>
        </w:tc>
        <w:tc>
          <w:tcPr>
            <w:tcW w:w="120" w:type="dxa"/>
            <w:vAlign w:val="bottom"/>
          </w:tcPr>
          <w:p>
            <w:pPr>
              <w:spacing w:after="0"/>
              <w:rPr>
                <w:sz w:val="20"/>
                <w:szCs w:val="20"/>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40" w:type="dxa"/>
            <w:vAlign w:val="bottom"/>
            <w:gridSpan w:val="2"/>
          </w:tcPr>
          <w:p>
            <w:pPr>
              <w:jc w:val="right"/>
              <w:ind w:right="128"/>
              <w:spacing w:after="0"/>
              <w:rPr>
                <w:sz w:val="20"/>
                <w:szCs w:val="20"/>
                <w:color w:val="auto"/>
              </w:rPr>
            </w:pPr>
            <w:r>
              <w:rPr>
                <w:rFonts w:ascii="Arial" w:cs="Arial" w:eastAsia="Arial" w:hAnsi="Arial"/>
                <w:sz w:val="18"/>
                <w:szCs w:val="18"/>
                <w:color w:val="auto"/>
              </w:rPr>
              <w:t>8,846D</w:t>
            </w: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8,846</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30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75,297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2,266</w:t>
            </w: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77,563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63,532</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(9,585</w:t>
            </w:r>
          </w:p>
        </w:tc>
        <w:tc>
          <w:tcPr>
            <w:tcW w:w="320" w:type="dxa"/>
            <w:vAlign w:val="bottom"/>
            <w:tcBorders>
              <w:top w:val="single" w:sz="8" w:color="CCEEFF"/>
              <w:bottom w:val="single" w:sz="8" w:color="CCEEFF"/>
            </w:tcBorders>
            <w:shd w:val="clear" w:color="auto" w:fill="CCEEFF"/>
          </w:tcPr>
          <w:p>
            <w:pPr>
              <w:jc w:val="right"/>
              <w:ind w:right="18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53,947</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040" w:type="dxa"/>
            <w:vAlign w:val="bottom"/>
            <w:vMerge w:val="restart"/>
          </w:tcPr>
          <w:p>
            <w:pPr>
              <w:spacing w:after="0"/>
              <w:rPr>
                <w:sz w:val="20"/>
                <w:szCs w:val="20"/>
                <w:color w:val="auto"/>
              </w:rPr>
            </w:pPr>
            <w:r>
              <w:rPr>
                <w:rFonts w:ascii="Arial" w:cs="Arial" w:eastAsia="Arial" w:hAnsi="Arial"/>
                <w:sz w:val="18"/>
                <w:szCs w:val="18"/>
                <w:color w:val="auto"/>
              </w:rPr>
              <w:t>Basic income per share:</w:t>
            </w: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304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2"/>
        </w:trPr>
        <w:tc>
          <w:tcPr>
            <w:tcW w:w="304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w w:val="97"/>
              </w:rPr>
              <w:t>Income before change in accounting</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0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principle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0.26</w:t>
            </w:r>
          </w:p>
        </w:tc>
        <w:tc>
          <w:tcPr>
            <w:tcW w:w="100" w:type="dxa"/>
            <w:vAlign w:val="bottom"/>
            <w:shd w:val="clear" w:color="auto" w:fill="CCEEFF"/>
          </w:tcPr>
          <w:p>
            <w:pPr>
              <w:spacing w:after="0"/>
              <w:rPr>
                <w:sz w:val="20"/>
                <w:szCs w:val="20"/>
                <w:color w:val="auto"/>
              </w:rPr>
            </w:pPr>
          </w:p>
        </w:tc>
        <w:tc>
          <w:tcPr>
            <w:tcW w:w="3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320" w:type="dxa"/>
            <w:vAlign w:val="bottom"/>
            <w:shd w:val="clear" w:color="auto" w:fill="CCEEFF"/>
          </w:tcPr>
          <w:p>
            <w:pPr>
              <w:spacing w:after="0"/>
              <w:rPr>
                <w:sz w:val="20"/>
                <w:szCs w:val="20"/>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00" w:type="dxa"/>
            <w:vAlign w:val="bottom"/>
            <w:shd w:val="clear" w:color="auto" w:fill="CCEEFF"/>
          </w:tcPr>
          <w:p>
            <w:pPr>
              <w:spacing w:after="0"/>
              <w:rPr>
                <w:sz w:val="20"/>
                <w:szCs w:val="20"/>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2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(0.04)</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040" w:type="dxa"/>
            <w:vAlign w:val="bottom"/>
          </w:tcPr>
          <w:p>
            <w:pPr>
              <w:ind w:left="180"/>
              <w:spacing w:after="0" w:line="201" w:lineRule="exact"/>
              <w:rPr>
                <w:sz w:val="20"/>
                <w:szCs w:val="20"/>
                <w:color w:val="auto"/>
              </w:rPr>
            </w:pPr>
            <w:r>
              <w:rPr>
                <w:rFonts w:ascii="Arial" w:cs="Arial" w:eastAsia="Arial" w:hAnsi="Arial"/>
                <w:sz w:val="18"/>
                <w:szCs w:val="18"/>
                <w:color w:val="auto"/>
              </w:rPr>
              <w:t>Cumulative effect of change in</w:t>
            </w: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040" w:type="dxa"/>
            <w:vAlign w:val="bottom"/>
          </w:tcPr>
          <w:p>
            <w:pPr>
              <w:ind w:left="360"/>
              <w:spacing w:after="0"/>
              <w:rPr>
                <w:sz w:val="20"/>
                <w:szCs w:val="20"/>
                <w:color w:val="auto"/>
              </w:rPr>
            </w:pPr>
            <w:r>
              <w:rPr>
                <w:rFonts w:ascii="Arial" w:cs="Arial" w:eastAsia="Arial" w:hAnsi="Arial"/>
                <w:sz w:val="18"/>
                <w:szCs w:val="18"/>
                <w:color w:val="auto"/>
              </w:rPr>
              <w:t>accounting principle</w:t>
            </w:r>
          </w:p>
        </w:tc>
        <w:tc>
          <w:tcPr>
            <w:tcW w:w="120" w:type="dxa"/>
            <w:vAlign w:val="bottom"/>
          </w:tcPr>
          <w:p>
            <w:pPr>
              <w:spacing w:after="0"/>
              <w:rPr>
                <w:sz w:val="20"/>
                <w:szCs w:val="20"/>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0.03</w:t>
            </w:r>
          </w:p>
        </w:tc>
        <w:tc>
          <w:tcPr>
            <w:tcW w:w="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0.03</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30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0.26</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20" w:type="dxa"/>
            <w:vAlign w:val="bottom"/>
            <w:tcBorders>
              <w:top w:val="single" w:sz="8" w:color="CCEEFF"/>
              <w:bottom w:val="single" w:sz="8" w:color="CCEEFF"/>
            </w:tcBorders>
            <w:shd w:val="clear" w:color="auto" w:fill="CCEEFF"/>
          </w:tcPr>
          <w:p>
            <w:pPr>
              <w:spacing w:after="0"/>
              <w:rPr>
                <w:sz w:val="18"/>
                <w:szCs w:val="18"/>
                <w:color w:val="auto"/>
              </w:rPr>
            </w:pP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600" w:type="dxa"/>
            <w:vAlign w:val="bottom"/>
            <w:tcBorders>
              <w:top w:val="single" w:sz="8" w:color="CCEEFF"/>
              <w:bottom w:val="single" w:sz="8" w:color="CCEEFF"/>
            </w:tcBorders>
            <w:shd w:val="clear" w:color="auto" w:fill="CCEEFF"/>
          </w:tcPr>
          <w:p>
            <w:pPr>
              <w:spacing w:after="0"/>
              <w:rPr>
                <w:sz w:val="18"/>
                <w:szCs w:val="18"/>
                <w:color w:val="auto"/>
              </w:rPr>
            </w:pP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040" w:type="dxa"/>
            <w:vAlign w:val="bottom"/>
            <w:vMerge w:val="restart"/>
          </w:tcPr>
          <w:p>
            <w:pPr>
              <w:spacing w:after="0" w:line="195" w:lineRule="exact"/>
              <w:rPr>
                <w:sz w:val="20"/>
                <w:szCs w:val="20"/>
                <w:color w:val="auto"/>
              </w:rPr>
            </w:pPr>
            <w:r>
              <w:rPr>
                <w:rFonts w:ascii="Arial" w:cs="Arial" w:eastAsia="Arial" w:hAnsi="Arial"/>
                <w:sz w:val="18"/>
                <w:szCs w:val="18"/>
                <w:color w:val="auto"/>
              </w:rPr>
              <w:t>Shares used in basic per share</w:t>
            </w: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304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3040" w:type="dxa"/>
            <w:vAlign w:val="bottom"/>
          </w:tcPr>
          <w:p>
            <w:pPr>
              <w:ind w:left="180"/>
              <w:spacing w:after="0"/>
              <w:rPr>
                <w:sz w:val="20"/>
                <w:szCs w:val="20"/>
                <w:color w:val="auto"/>
              </w:rPr>
            </w:pPr>
            <w:r>
              <w:rPr>
                <w:rFonts w:ascii="Arial" w:cs="Arial" w:eastAsia="Arial" w:hAnsi="Arial"/>
                <w:sz w:val="18"/>
                <w:szCs w:val="18"/>
                <w:color w:val="auto"/>
              </w:rPr>
              <w:t>computation</w:t>
            </w:r>
          </w:p>
        </w:tc>
        <w:tc>
          <w:tcPr>
            <w:tcW w:w="12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291,851</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291,851</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278,793</w:t>
            </w:r>
          </w:p>
        </w:tc>
        <w:tc>
          <w:tcPr>
            <w:tcW w:w="2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278,793</w:t>
            </w: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Diluted income per share:</w:t>
            </w: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040" w:type="dxa"/>
            <w:vAlign w:val="bottom"/>
          </w:tcPr>
          <w:p>
            <w:pPr>
              <w:ind w:left="180"/>
              <w:spacing w:after="0" w:line="201" w:lineRule="exact"/>
              <w:rPr>
                <w:sz w:val="20"/>
                <w:szCs w:val="20"/>
                <w:color w:val="auto"/>
              </w:rPr>
            </w:pPr>
            <w:r>
              <w:rPr>
                <w:rFonts w:ascii="Arial" w:cs="Arial" w:eastAsia="Arial" w:hAnsi="Arial"/>
                <w:sz w:val="18"/>
                <w:szCs w:val="18"/>
                <w:color w:val="auto"/>
                <w:w w:val="97"/>
              </w:rPr>
              <w:t>Income before change in accounting</w:t>
            </w: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040" w:type="dxa"/>
            <w:vAlign w:val="bottom"/>
          </w:tcPr>
          <w:p>
            <w:pPr>
              <w:ind w:left="360"/>
              <w:spacing w:after="0"/>
              <w:rPr>
                <w:sz w:val="20"/>
                <w:szCs w:val="20"/>
                <w:color w:val="auto"/>
              </w:rPr>
            </w:pPr>
            <w:r>
              <w:rPr>
                <w:rFonts w:ascii="Arial" w:cs="Arial" w:eastAsia="Arial" w:hAnsi="Arial"/>
                <w:sz w:val="18"/>
                <w:szCs w:val="18"/>
                <w:color w:val="auto"/>
              </w:rPr>
              <w:t>principle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20"/>
                <w:szCs w:val="20"/>
                <w:color w:val="auto"/>
              </w:rPr>
            </w:pPr>
          </w:p>
        </w:tc>
        <w:tc>
          <w:tcPr>
            <w:tcW w:w="32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88"/>
              <w:spacing w:after="0"/>
              <w:rPr>
                <w:sz w:val="20"/>
                <w:szCs w:val="20"/>
                <w:color w:val="auto"/>
              </w:rPr>
            </w:pPr>
            <w:r>
              <w:rPr>
                <w:rFonts w:ascii="Arial" w:cs="Arial" w:eastAsia="Arial" w:hAnsi="Arial"/>
                <w:sz w:val="18"/>
                <w:szCs w:val="18"/>
                <w:color w:val="auto"/>
              </w:rPr>
              <w:t>(0.02)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0.21</w:t>
            </w:r>
          </w:p>
        </w:tc>
        <w:tc>
          <w:tcPr>
            <w:tcW w:w="100" w:type="dxa"/>
            <w:vAlign w:val="bottom"/>
          </w:tcPr>
          <w:p>
            <w:pPr>
              <w:spacing w:after="0"/>
              <w:rPr>
                <w:sz w:val="20"/>
                <w:szCs w:val="20"/>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0.20</w:t>
            </w: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(0.03)</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0.17</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0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Cumulative effect of change in</w:t>
            </w: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accounting principle</w:t>
            </w:r>
          </w:p>
        </w:tc>
        <w:tc>
          <w:tcPr>
            <w:tcW w:w="120" w:type="dxa"/>
            <w:vAlign w:val="bottom"/>
            <w:shd w:val="clear" w:color="auto" w:fill="CCEEFF"/>
          </w:tcPr>
          <w:p>
            <w:pPr>
              <w:spacing w:after="0"/>
              <w:rPr>
                <w:sz w:val="20"/>
                <w:szCs w:val="20"/>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3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50"/>
        </w:trPr>
        <w:tc>
          <w:tcPr>
            <w:tcW w:w="30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Diluted net income per share</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0.23</w:t>
            </w:r>
          </w:p>
        </w:tc>
        <w:tc>
          <w:tcPr>
            <w:tcW w:w="10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220" w:type="dxa"/>
            <w:vAlign w:val="bottom"/>
            <w:tcBorders>
              <w:bottom w:val="single" w:sz="8" w:color="CCEEFF"/>
            </w:tcBorders>
          </w:tcPr>
          <w:p>
            <w:pPr>
              <w:spacing w:after="0"/>
              <w:rPr>
                <w:sz w:val="21"/>
                <w:szCs w:val="21"/>
                <w:color w:val="auto"/>
              </w:rPr>
            </w:pPr>
          </w:p>
        </w:tc>
        <w:tc>
          <w:tcPr>
            <w:tcW w:w="620" w:type="dxa"/>
            <w:vAlign w:val="bottom"/>
            <w:tcBorders>
              <w:bottom w:val="single" w:sz="8" w:color="CCEEFF"/>
            </w:tcBorders>
          </w:tcPr>
          <w:p>
            <w:pPr>
              <w:spacing w:after="0"/>
              <w:rPr>
                <w:sz w:val="21"/>
                <w:szCs w:val="21"/>
                <w:color w:val="auto"/>
              </w:rPr>
            </w:pPr>
          </w:p>
        </w:tc>
        <w:tc>
          <w:tcPr>
            <w:tcW w:w="32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0.24</w:t>
            </w:r>
          </w:p>
        </w:tc>
        <w:tc>
          <w:tcPr>
            <w:tcW w:w="10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220" w:type="dxa"/>
            <w:vAlign w:val="bottom"/>
            <w:tcBorders>
              <w:bottom w:val="single" w:sz="8" w:color="CCEEFF"/>
            </w:tcBorders>
          </w:tcPr>
          <w:p>
            <w:pPr>
              <w:spacing w:after="0"/>
              <w:rPr>
                <w:sz w:val="21"/>
                <w:szCs w:val="21"/>
                <w:color w:val="auto"/>
              </w:rPr>
            </w:pPr>
          </w:p>
        </w:tc>
        <w:tc>
          <w:tcPr>
            <w:tcW w:w="240" w:type="dxa"/>
            <w:vAlign w:val="bottom"/>
            <w:tcBorders>
              <w:bottom w:val="single" w:sz="8" w:color="CCEEFF"/>
            </w:tcBorders>
          </w:tcPr>
          <w:p>
            <w:pPr>
              <w:spacing w:after="0"/>
              <w:rPr>
                <w:sz w:val="21"/>
                <w:szCs w:val="21"/>
                <w:color w:val="auto"/>
              </w:rPr>
            </w:pPr>
          </w:p>
        </w:tc>
        <w:tc>
          <w:tcPr>
            <w:tcW w:w="600" w:type="dxa"/>
            <w:vAlign w:val="bottom"/>
            <w:tcBorders>
              <w:bottom w:val="single" w:sz="8" w:color="CCEEFF"/>
            </w:tcBorders>
          </w:tcPr>
          <w:p>
            <w:pPr>
              <w:spacing w:after="0"/>
              <w:rPr>
                <w:sz w:val="21"/>
                <w:szCs w:val="21"/>
                <w:color w:val="auto"/>
              </w:rPr>
            </w:pPr>
          </w:p>
        </w:tc>
        <w:tc>
          <w:tcPr>
            <w:tcW w:w="320" w:type="dxa"/>
            <w:vAlign w:val="bottom"/>
            <w:tcBorders>
              <w:bottom w:val="single" w:sz="8" w:color="CCEEFF"/>
            </w:tcBorders>
          </w:tcPr>
          <w:p>
            <w:pPr>
              <w:spacing w:after="0"/>
              <w:rPr>
                <w:sz w:val="21"/>
                <w:szCs w:val="21"/>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0.17</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55"/>
        </w:trPr>
        <w:tc>
          <w:tcPr>
            <w:tcW w:w="3040" w:type="dxa"/>
            <w:vAlign w:val="bottom"/>
            <w:shd w:val="clear" w:color="auto" w:fill="CCEEFF"/>
          </w:tcPr>
          <w:p>
            <w:pPr>
              <w:spacing w:after="0" w:line="156" w:lineRule="exact"/>
              <w:rPr>
                <w:sz w:val="20"/>
                <w:szCs w:val="20"/>
                <w:color w:val="auto"/>
              </w:rPr>
            </w:pPr>
            <w:r>
              <w:rPr>
                <w:rFonts w:ascii="Arial" w:cs="Arial" w:eastAsia="Arial" w:hAnsi="Arial"/>
                <w:sz w:val="18"/>
                <w:szCs w:val="18"/>
                <w:color w:val="auto"/>
              </w:rPr>
              <w:t>Shares used in diluted per share</w:t>
            </w:r>
          </w:p>
        </w:tc>
        <w:tc>
          <w:tcPr>
            <w:tcW w:w="120" w:type="dxa"/>
            <w:vAlign w:val="bottom"/>
            <w:shd w:val="clear" w:color="auto" w:fill="CCEEFF"/>
          </w:tcPr>
          <w:p>
            <w:pPr>
              <w:spacing w:after="0"/>
              <w:rPr>
                <w:sz w:val="13"/>
                <w:szCs w:val="13"/>
                <w:color w:val="auto"/>
              </w:rPr>
            </w:pPr>
          </w:p>
        </w:tc>
        <w:tc>
          <w:tcPr>
            <w:tcW w:w="7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620" w:type="dxa"/>
            <w:vAlign w:val="bottom"/>
            <w:shd w:val="clear" w:color="auto" w:fill="CCEEFF"/>
          </w:tcPr>
          <w:p>
            <w:pPr>
              <w:spacing w:after="0"/>
              <w:rPr>
                <w:sz w:val="13"/>
                <w:szCs w:val="13"/>
                <w:color w:val="auto"/>
              </w:rPr>
            </w:pPr>
          </w:p>
        </w:tc>
        <w:tc>
          <w:tcPr>
            <w:tcW w:w="3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7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72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600" w:type="dxa"/>
            <w:vAlign w:val="bottom"/>
            <w:shd w:val="clear" w:color="auto" w:fill="CCEEFF"/>
          </w:tcPr>
          <w:p>
            <w:pPr>
              <w:spacing w:after="0"/>
              <w:rPr>
                <w:sz w:val="13"/>
                <w:szCs w:val="13"/>
                <w:color w:val="auto"/>
              </w:rPr>
            </w:pPr>
          </w:p>
        </w:tc>
        <w:tc>
          <w:tcPr>
            <w:tcW w:w="3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72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computation</w:t>
            </w:r>
          </w:p>
        </w:tc>
        <w:tc>
          <w:tcPr>
            <w:tcW w:w="1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320,415</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62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319,758</w:t>
            </w:r>
          </w:p>
        </w:tc>
        <w:tc>
          <w:tcPr>
            <w:tcW w:w="1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310,736</w:t>
            </w:r>
          </w:p>
        </w:tc>
        <w:tc>
          <w:tcPr>
            <w:tcW w:w="2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6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310,695</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260"/>
          </w:cols>
          <w:pgMar w:left="240" w:top="323" w:right="399" w:bottom="0" w:gutter="0" w:footer="0" w:header="0"/>
        </w:sectPr>
      </w:pPr>
    </w:p>
    <w:bookmarkStart w:id="33" w:name="page34"/>
    <w:bookmarkEnd w:id="33"/>
    <w:p>
      <w:pPr>
        <w:ind w:left="360" w:right="500" w:hanging="352"/>
        <w:spacing w:after="0" w:line="258" w:lineRule="auto"/>
        <w:tabs>
          <w:tab w:leader="none" w:pos="400" w:val="left"/>
        </w:tabs>
        <w:numPr>
          <w:ilvl w:val="0"/>
          <w:numId w:val="2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157480</wp:posOffset>
            </wp:positionH>
            <wp:positionV relativeFrom="page">
              <wp:posOffset>294640</wp:posOffset>
            </wp:positionV>
            <wp:extent cx="138938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389380" cy="8890"/>
                    </a:xfrm>
                    <a:prstGeom prst="rect">
                      <a:avLst/>
                    </a:prstGeom>
                    <a:noFill/>
                  </pic:spPr>
                </pic:pic>
              </a:graphicData>
            </a:graphic>
          </wp:anchor>
        </w:drawing>
        <w:t>Adjustments for stock-based compensation expense under SFAS 123R for the impact of remeasured grants and the effect of revisions to fair value assumptions, and additional payroll tax expenses.</w:t>
      </w:r>
    </w:p>
    <w:p>
      <w:pPr>
        <w:spacing w:after="0" w:line="1" w:lineRule="exact"/>
        <w:rPr>
          <w:rFonts w:ascii="Arial" w:cs="Arial" w:eastAsia="Arial" w:hAnsi="Arial"/>
          <w:sz w:val="18"/>
          <w:szCs w:val="18"/>
          <w:color w:val="auto"/>
        </w:rPr>
      </w:pPr>
    </w:p>
    <w:p>
      <w:pPr>
        <w:ind w:left="400" w:hanging="392"/>
        <w:spacing w:after="0"/>
        <w:tabs>
          <w:tab w:leader="none" w:pos="400" w:val="left"/>
        </w:tabs>
        <w:numPr>
          <w:ilvl w:val="0"/>
          <w:numId w:val="29"/>
        </w:numPr>
        <w:rPr>
          <w:rFonts w:ascii="Arial" w:cs="Arial" w:eastAsia="Arial" w:hAnsi="Arial"/>
          <w:sz w:val="16"/>
          <w:szCs w:val="16"/>
          <w:color w:val="auto"/>
        </w:rPr>
      </w:pPr>
      <w:r>
        <w:rPr>
          <w:rFonts w:ascii="Arial" w:cs="Arial" w:eastAsia="Arial" w:hAnsi="Arial"/>
          <w:sz w:val="16"/>
          <w:szCs w:val="16"/>
          <w:color w:val="auto"/>
        </w:rPr>
        <w:t>Accrual of penalty and interest associated with Section 162(m), net of adjustments to provision for income taxes arising from stock option exercises.</w:t>
      </w:r>
    </w:p>
    <w:p>
      <w:pPr>
        <w:spacing w:after="0" w:line="32" w:lineRule="exact"/>
        <w:rPr>
          <w:rFonts w:ascii="Arial" w:cs="Arial" w:eastAsia="Arial" w:hAnsi="Arial"/>
          <w:sz w:val="16"/>
          <w:szCs w:val="16"/>
          <w:color w:val="auto"/>
        </w:rPr>
      </w:pPr>
    </w:p>
    <w:p>
      <w:pPr>
        <w:ind w:left="360" w:right="40" w:hanging="352"/>
        <w:spacing w:after="0" w:line="250" w:lineRule="auto"/>
        <w:tabs>
          <w:tab w:leader="none" w:pos="39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 and reclassification of previously reported stock-based compensation expenses to the respective functional cost and expense line items.</w:t>
      </w:r>
    </w:p>
    <w:p>
      <w:pPr>
        <w:ind w:left="400" w:hanging="392"/>
        <w:spacing w:after="0"/>
        <w:tabs>
          <w:tab w:leader="none" w:pos="4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Adjustments for the cumulative effect of change in accounting principle related to estimating forfeitures in the adoption of SFAS 123R.</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Consolidated Balance Sheets as of April 29, 2006 and January 28,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gridSpan w:val="2"/>
          </w:tcPr>
          <w:p>
            <w:pPr>
              <w:jc w:val="right"/>
              <w:ind w:right="260"/>
              <w:spacing w:after="0"/>
              <w:rPr>
                <w:sz w:val="20"/>
                <w:szCs w:val="20"/>
                <w:color w:val="auto"/>
              </w:rPr>
            </w:pPr>
            <w:r>
              <w:rPr>
                <w:rFonts w:ascii="Arial" w:cs="Arial" w:eastAsia="Arial" w:hAnsi="Arial"/>
                <w:sz w:val="14"/>
                <w:szCs w:val="14"/>
                <w:b w:val="1"/>
                <w:bCs w:val="1"/>
                <w:color w:val="auto"/>
              </w:rPr>
              <w:t>April 29, 2006</w:t>
            </w:r>
          </w:p>
        </w:tc>
        <w:tc>
          <w:tcPr>
            <w:tcW w:w="2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w w:val="92"/>
              </w:rPr>
              <w:t>January 28, 2006</w:t>
            </w:r>
          </w:p>
        </w:tc>
        <w:tc>
          <w:tcPr>
            <w:tcW w:w="1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2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180" w:type="dxa"/>
            <w:vAlign w:val="bottom"/>
            <w:gridSpan w:val="2"/>
          </w:tcPr>
          <w:p>
            <w:pPr>
              <w:jc w:val="center"/>
              <w:ind w:right="42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gridSpan w:val="2"/>
            <w:vMerge w:val="restart"/>
          </w:tcPr>
          <w:p>
            <w:pPr>
              <w:jc w:val="right"/>
              <w:ind w:right="720"/>
              <w:spacing w:after="0"/>
              <w:rPr>
                <w:sz w:val="20"/>
                <w:szCs w:val="20"/>
                <w:color w:val="auto"/>
              </w:rPr>
            </w:pPr>
            <w:r>
              <w:rPr>
                <w:rFonts w:ascii="Arial" w:cs="Arial" w:eastAsia="Arial" w:hAnsi="Arial"/>
                <w:sz w:val="14"/>
                <w:szCs w:val="14"/>
                <w:b w:val="1"/>
                <w:bCs w:val="1"/>
                <w:color w:val="auto"/>
              </w:rPr>
              <w:t>As</w:t>
            </w:r>
          </w:p>
        </w:tc>
        <w:tc>
          <w:tcPr>
            <w:tcW w:w="140" w:type="dxa"/>
            <w:vAlign w:val="bottom"/>
          </w:tcPr>
          <w:p>
            <w:pPr>
              <w:spacing w:after="0"/>
              <w:rPr>
                <w:sz w:val="8"/>
                <w:szCs w:val="8"/>
                <w:color w:val="auto"/>
              </w:rPr>
            </w:pPr>
          </w:p>
        </w:tc>
        <w:tc>
          <w:tcPr>
            <w:tcW w:w="1160" w:type="dxa"/>
            <w:vAlign w:val="bottom"/>
            <w:gridSpan w:val="2"/>
          </w:tcPr>
          <w:p>
            <w:pPr>
              <w:jc w:val="center"/>
              <w:ind w:right="44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40" w:type="dxa"/>
            <w:vAlign w:val="bottom"/>
          </w:tcPr>
          <w:p>
            <w:pPr>
              <w:spacing w:after="0"/>
              <w:rPr>
                <w:sz w:val="8"/>
                <w:szCs w:val="8"/>
                <w:color w:val="auto"/>
              </w:rPr>
            </w:pPr>
          </w:p>
        </w:tc>
        <w:tc>
          <w:tcPr>
            <w:tcW w:w="3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60" w:type="dxa"/>
            <w:vAlign w:val="bottom"/>
          </w:tcPr>
          <w:p>
            <w:pPr>
              <w:spacing w:after="0"/>
              <w:rPr>
                <w:sz w:val="8"/>
                <w:szCs w:val="8"/>
                <w:color w:val="auto"/>
              </w:rPr>
            </w:pPr>
          </w:p>
        </w:tc>
        <w:tc>
          <w:tcPr>
            <w:tcW w:w="980" w:type="dxa"/>
            <w:vAlign w:val="bottom"/>
            <w:gridSpan w:val="2"/>
            <w:vMerge w:val="restart"/>
          </w:tcPr>
          <w:p>
            <w:pPr>
              <w:jc w:val="right"/>
              <w:ind w:right="540"/>
              <w:spacing w:after="0"/>
              <w:rPr>
                <w:sz w:val="20"/>
                <w:szCs w:val="20"/>
                <w:color w:val="auto"/>
              </w:rPr>
            </w:pPr>
            <w:r>
              <w:rPr>
                <w:rFonts w:ascii="Arial" w:cs="Arial" w:eastAsia="Arial" w:hAnsi="Arial"/>
                <w:sz w:val="14"/>
                <w:szCs w:val="14"/>
                <w:b w:val="1"/>
                <w:bCs w:val="1"/>
                <w:color w:val="auto"/>
              </w:rPr>
              <w:t>As</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jc w:val="center"/>
              <w:ind w:right="42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0" w:type="dxa"/>
            <w:vAlign w:val="bottom"/>
          </w:tcPr>
          <w:p>
            <w:pPr>
              <w:spacing w:after="0"/>
              <w:rPr>
                <w:sz w:val="11"/>
                <w:szCs w:val="11"/>
                <w:color w:val="auto"/>
              </w:rPr>
            </w:pPr>
          </w:p>
        </w:tc>
        <w:tc>
          <w:tcPr>
            <w:tcW w:w="120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w w:val="89"/>
              </w:rPr>
              <w:t>Adjustments</w:t>
            </w:r>
          </w:p>
        </w:tc>
        <w:tc>
          <w:tcPr>
            <w:tcW w:w="2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40" w:type="dxa"/>
            <w:vAlign w:val="bottom"/>
            <w:gridSpan w:val="2"/>
            <w:vMerge w:val="continue"/>
          </w:tcPr>
          <w:p>
            <w:pPr>
              <w:spacing w:after="0"/>
              <w:rPr>
                <w:sz w:val="11"/>
                <w:szCs w:val="11"/>
                <w:color w:val="auto"/>
              </w:rPr>
            </w:pPr>
          </w:p>
        </w:tc>
        <w:tc>
          <w:tcPr>
            <w:tcW w:w="140" w:type="dxa"/>
            <w:vAlign w:val="bottom"/>
          </w:tcPr>
          <w:p>
            <w:pPr>
              <w:spacing w:after="0"/>
              <w:rPr>
                <w:sz w:val="11"/>
                <w:szCs w:val="11"/>
                <w:color w:val="auto"/>
              </w:rPr>
            </w:pPr>
          </w:p>
        </w:tc>
        <w:tc>
          <w:tcPr>
            <w:tcW w:w="1160" w:type="dxa"/>
            <w:vAlign w:val="bottom"/>
            <w:gridSpan w:val="2"/>
          </w:tcPr>
          <w:p>
            <w:pPr>
              <w:jc w:val="center"/>
              <w:ind w:right="420"/>
              <w:spacing w:after="0" w:line="135" w:lineRule="exact"/>
              <w:rPr>
                <w:sz w:val="20"/>
                <w:szCs w:val="20"/>
                <w:color w:val="auto"/>
              </w:rPr>
            </w:pPr>
            <w:r>
              <w:rPr>
                <w:rFonts w:ascii="Arial" w:cs="Arial" w:eastAsia="Arial" w:hAnsi="Arial"/>
                <w:sz w:val="14"/>
                <w:szCs w:val="14"/>
                <w:b w:val="1"/>
                <w:bCs w:val="1"/>
                <w:color w:val="auto"/>
                <w:w w:val="93"/>
              </w:rPr>
              <w:t>Previously</w:t>
            </w:r>
          </w:p>
        </w:tc>
        <w:tc>
          <w:tcPr>
            <w:tcW w:w="100" w:type="dxa"/>
            <w:vAlign w:val="bottom"/>
          </w:tcPr>
          <w:p>
            <w:pPr>
              <w:spacing w:after="0"/>
              <w:rPr>
                <w:sz w:val="11"/>
                <w:szCs w:val="11"/>
                <w:color w:val="auto"/>
              </w:rPr>
            </w:pPr>
          </w:p>
        </w:tc>
        <w:tc>
          <w:tcPr>
            <w:tcW w:w="1280" w:type="dxa"/>
            <w:vAlign w:val="bottom"/>
            <w:gridSpan w:val="2"/>
            <w:vMerge w:val="restart"/>
          </w:tcPr>
          <w:p>
            <w:pPr>
              <w:jc w:val="right"/>
              <w:ind w:right="480"/>
              <w:spacing w:after="0"/>
              <w:rPr>
                <w:sz w:val="20"/>
                <w:szCs w:val="20"/>
                <w:color w:val="auto"/>
              </w:rPr>
            </w:pPr>
            <w:r>
              <w:rPr>
                <w:rFonts w:ascii="Arial" w:cs="Arial" w:eastAsia="Arial" w:hAnsi="Arial"/>
                <w:sz w:val="14"/>
                <w:szCs w:val="14"/>
                <w:b w:val="1"/>
                <w:bCs w:val="1"/>
                <w:color w:val="auto"/>
                <w:w w:val="91"/>
              </w:rPr>
              <w:t>Adjustments</w:t>
            </w:r>
          </w:p>
        </w:tc>
        <w:tc>
          <w:tcPr>
            <w:tcW w:w="1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8"/>
              </w:rPr>
              <w:t>Restated</w:t>
            </w:r>
          </w:p>
        </w:tc>
        <w:tc>
          <w:tcPr>
            <w:tcW w:w="140" w:type="dxa"/>
            <w:vAlign w:val="bottom"/>
          </w:tcPr>
          <w:p>
            <w:pPr>
              <w:spacing w:after="0"/>
              <w:rPr>
                <w:sz w:val="14"/>
                <w:szCs w:val="14"/>
                <w:color w:val="auto"/>
              </w:rPr>
            </w:pPr>
          </w:p>
        </w:tc>
        <w:tc>
          <w:tcPr>
            <w:tcW w:w="11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28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Restated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28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2820" w:type="dxa"/>
            <w:vAlign w:val="bottom"/>
            <w:tcBorders>
              <w:top w:val="single" w:sz="8" w:color="auto"/>
            </w:tcBorders>
            <w:gridSpan w:val="7"/>
          </w:tcPr>
          <w:p>
            <w:pPr>
              <w:jc w:val="right"/>
              <w:ind w:right="160"/>
              <w:spacing w:after="0" w:line="129" w:lineRule="exact"/>
              <w:rPr>
                <w:sz w:val="20"/>
                <w:szCs w:val="20"/>
                <w:color w:val="auto"/>
              </w:rPr>
            </w:pPr>
            <w:r>
              <w:rPr>
                <w:rFonts w:ascii="Arial" w:cs="Arial" w:eastAsia="Arial" w:hAnsi="Arial"/>
                <w:sz w:val="14"/>
                <w:szCs w:val="14"/>
                <w:b w:val="1"/>
                <w:bCs w:val="1"/>
                <w:color w:val="auto"/>
                <w:w w:val="95"/>
              </w:rPr>
              <w:t>(In thousands, except per share amounts)</w:t>
            </w:r>
          </w:p>
        </w:tc>
        <w:tc>
          <w:tcPr>
            <w:tcW w:w="10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34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spacing w:after="0"/>
              <w:rPr>
                <w:sz w:val="20"/>
                <w:szCs w:val="20"/>
                <w:color w:val="auto"/>
              </w:rPr>
            </w:pPr>
            <w:r>
              <w:rPr>
                <w:rFonts w:ascii="Arial" w:cs="Arial" w:eastAsia="Arial" w:hAnsi="Arial"/>
                <w:sz w:val="18"/>
                <w:szCs w:val="18"/>
                <w:color w:val="auto"/>
              </w:rPr>
              <w:t>Current assets:</w:t>
            </w: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529,389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529,389</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160"/>
              <w:spacing w:after="0"/>
              <w:rPr>
                <w:sz w:val="20"/>
                <w:szCs w:val="20"/>
                <w:color w:val="auto"/>
              </w:rPr>
            </w:pPr>
            <w:r>
              <w:rPr>
                <w:rFonts w:ascii="Arial" w:cs="Arial" w:eastAsia="Arial" w:hAnsi="Arial"/>
                <w:sz w:val="18"/>
                <w:szCs w:val="18"/>
                <w:color w:val="auto"/>
              </w:rPr>
              <w:t>Short-term investments</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392,021</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392,021</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572,591</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572,591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Accounts receivable, net of allowance</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293,536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293,536</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160"/>
              <w:spacing w:after="0"/>
              <w:rPr>
                <w:sz w:val="20"/>
                <w:szCs w:val="20"/>
                <w:color w:val="auto"/>
              </w:rPr>
            </w:pPr>
            <w:r>
              <w:rPr>
                <w:rFonts w:ascii="Arial" w:cs="Arial" w:eastAsia="Arial" w:hAnsi="Arial"/>
                <w:sz w:val="18"/>
                <w:szCs w:val="18"/>
                <w:color w:val="auto"/>
              </w:rPr>
              <w:t>Inventories</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204,839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715D</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205,554</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211,374</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211,374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28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rPr>
              <w:t>Prepaid expenses and other current</w:t>
            </w: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2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assets</w:t>
            </w: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116,854</w:t>
            </w: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116,854</w:t>
            </w:r>
          </w:p>
        </w:tc>
        <w:tc>
          <w:tcPr>
            <w:tcW w:w="2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104,307</w:t>
            </w:r>
          </w:p>
        </w:tc>
        <w:tc>
          <w:tcPr>
            <w:tcW w:w="1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160"/>
              <w:spacing w:after="0"/>
              <w:rPr>
                <w:sz w:val="20"/>
                <w:szCs w:val="20"/>
                <w:color w:val="auto"/>
              </w:rPr>
            </w:pPr>
            <w:r>
              <w:rPr>
                <w:rFonts w:ascii="Arial" w:cs="Arial" w:eastAsia="Arial" w:hAnsi="Arial"/>
                <w:sz w:val="18"/>
                <w:szCs w:val="18"/>
                <w:color w:val="auto"/>
              </w:rPr>
              <w:t>Deferred income taxes</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18,007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120"/>
              <w:spacing w:after="0"/>
              <w:rPr>
                <w:sz w:val="20"/>
                <w:szCs w:val="20"/>
                <w:color w:val="auto"/>
              </w:rPr>
            </w:pPr>
            <w:r>
              <w:rPr>
                <w:rFonts w:ascii="Arial" w:cs="Arial" w:eastAsia="Arial" w:hAnsi="Arial"/>
                <w:sz w:val="18"/>
                <w:szCs w:val="18"/>
                <w:color w:val="auto"/>
              </w:rPr>
              <w:t>(14,062)B</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3,945</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18,007</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ind w:left="360"/>
              <w:spacing w:after="0"/>
              <w:rPr>
                <w:sz w:val="20"/>
                <w:szCs w:val="20"/>
                <w:color w:val="auto"/>
              </w:rPr>
            </w:pPr>
            <w:r>
              <w:rPr>
                <w:rFonts w:ascii="Arial" w:cs="Arial" w:eastAsia="Arial" w:hAnsi="Arial"/>
                <w:sz w:val="18"/>
                <w:szCs w:val="18"/>
                <w:color w:val="auto"/>
              </w:rPr>
              <w:t>(14,062)B</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3,945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28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1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1,554,646</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(13,347)</w:t>
            </w:r>
          </w:p>
        </w:tc>
        <w:tc>
          <w:tcPr>
            <w:tcW w:w="3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1,541,299</w:t>
            </w: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1,499,874</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(14,062)</w:t>
            </w:r>
          </w:p>
        </w:tc>
        <w:tc>
          <w:tcPr>
            <w:tcW w:w="3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1,485,812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279,398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279,398</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260,921</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260,921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1,558,209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125,379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125,379</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111,973</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111,973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94,544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5,279B</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99,823</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82,312</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5,279B</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3280" w:type="dxa"/>
            <w:vAlign w:val="bottom"/>
          </w:tcPr>
          <w:p>
            <w:pPr>
              <w:ind w:left="340"/>
              <w:spacing w:after="0"/>
              <w:rPr>
                <w:sz w:val="20"/>
                <w:szCs w:val="20"/>
                <w:color w:val="auto"/>
              </w:rPr>
            </w:pPr>
            <w:r>
              <w:rPr>
                <w:rFonts w:ascii="Arial" w:cs="Arial" w:eastAsia="Arial" w:hAnsi="Arial"/>
                <w:sz w:val="18"/>
                <w:szCs w:val="18"/>
                <w:color w:val="auto"/>
              </w:rPr>
              <w:t>Total assets</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3,612,176</w:t>
            </w:r>
          </w:p>
        </w:tc>
        <w:tc>
          <w:tcPr>
            <w:tcW w:w="280" w:type="dxa"/>
            <w:vAlign w:val="bottom"/>
          </w:tcPr>
          <w:p>
            <w:pPr>
              <w:spacing w:after="0"/>
              <w:rPr>
                <w:sz w:val="21"/>
                <w:szCs w:val="21"/>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(8,068)</w:t>
            </w:r>
          </w:p>
        </w:tc>
        <w:tc>
          <w:tcPr>
            <w:tcW w:w="3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3,604,108</w:t>
            </w:r>
          </w:p>
        </w:tc>
        <w:tc>
          <w:tcPr>
            <w:tcW w:w="280" w:type="dxa"/>
            <w:vAlign w:val="bottom"/>
          </w:tcPr>
          <w:p>
            <w:pPr>
              <w:spacing w:after="0"/>
              <w:rPr>
                <w:sz w:val="21"/>
                <w:szCs w:val="21"/>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3,513,289</w:t>
            </w:r>
          </w:p>
        </w:tc>
        <w:tc>
          <w:tcPr>
            <w:tcW w:w="260" w:type="dxa"/>
            <w:vAlign w:val="bottom"/>
          </w:tcPr>
          <w:p>
            <w:pPr>
              <w:spacing w:after="0"/>
              <w:rPr>
                <w:sz w:val="21"/>
                <w:szCs w:val="21"/>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tcBorders>
              <w:top w:val="single" w:sz="8" w:color="auto"/>
            </w:tcBorders>
            <w:gridSpan w:val="2"/>
          </w:tcPr>
          <w:p>
            <w:pPr>
              <w:jc w:val="right"/>
              <w:ind w:right="280"/>
              <w:spacing w:after="0"/>
              <w:rPr>
                <w:sz w:val="20"/>
                <w:szCs w:val="20"/>
                <w:color w:val="auto"/>
              </w:rPr>
            </w:pPr>
            <w:r>
              <w:rPr>
                <w:rFonts w:ascii="Arial" w:cs="Arial" w:eastAsia="Arial" w:hAnsi="Arial"/>
                <w:sz w:val="18"/>
                <w:szCs w:val="18"/>
                <w:color w:val="auto"/>
              </w:rPr>
              <w:t>(8,783)</w:t>
            </w:r>
          </w:p>
        </w:tc>
        <w:tc>
          <w:tcPr>
            <w:tcW w:w="320" w:type="dxa"/>
            <w:vAlign w:val="bottom"/>
            <w:tcBorders>
              <w:top w:val="single" w:sz="8" w:color="auto"/>
            </w:tcBorders>
            <w:gridSpan w:val="2"/>
          </w:tcPr>
          <w:p>
            <w:pPr>
              <w:jc w:val="right"/>
              <w:ind w:right="80"/>
              <w:spacing w:after="0"/>
              <w:rPr>
                <w:sz w:val="20"/>
                <w:szCs w:val="20"/>
                <w:color w:val="auto"/>
              </w:rPr>
            </w:pPr>
            <w:r>
              <w:rPr>
                <w:rFonts w:ascii="Arial" w:cs="Arial" w:eastAsia="Arial" w:hAnsi="Arial"/>
                <w:sz w:val="18"/>
                <w:szCs w:val="18"/>
                <w:color w:val="auto"/>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3,504,506</w:t>
            </w: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32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94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198"/>
        </w:trPr>
        <w:tc>
          <w:tcPr>
            <w:tcW w:w="20" w:type="dxa"/>
            <w:vAlign w:val="bottom"/>
            <w:vMerge w:val="continue"/>
          </w:tcPr>
          <w:p>
            <w:pPr>
              <w:spacing w:after="0"/>
              <w:rPr>
                <w:sz w:val="17"/>
                <w:szCs w:val="17"/>
                <w:color w:val="auto"/>
              </w:rPr>
            </w:pPr>
          </w:p>
        </w:tc>
        <w:tc>
          <w:tcPr>
            <w:tcW w:w="3280" w:type="dxa"/>
            <w:vAlign w:val="bottom"/>
          </w:tcPr>
          <w:p>
            <w:pPr>
              <w:spacing w:after="0" w:line="198" w:lineRule="exact"/>
              <w:rPr>
                <w:sz w:val="20"/>
                <w:szCs w:val="20"/>
                <w:color w:val="auto"/>
              </w:rPr>
            </w:pPr>
            <w:r>
              <w:rPr>
                <w:rFonts w:ascii="Arial" w:cs="Arial" w:eastAsia="Arial" w:hAnsi="Arial"/>
                <w:sz w:val="18"/>
                <w:szCs w:val="18"/>
                <w:b w:val="1"/>
                <w:bCs w:val="1"/>
                <w:color w:val="auto"/>
              </w:rPr>
              <w:t>LIABILITIES AND</w:t>
            </w: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3280" w:type="dxa"/>
            <w:vAlign w:val="bottom"/>
          </w:tcPr>
          <w:p>
            <w:pPr>
              <w:ind w:left="160"/>
              <w:spacing w:after="0"/>
              <w:rPr>
                <w:sz w:val="20"/>
                <w:szCs w:val="20"/>
                <w:color w:val="auto"/>
              </w:rPr>
            </w:pPr>
            <w:r>
              <w:rPr>
                <w:rFonts w:ascii="Arial" w:cs="Arial" w:eastAsia="Arial" w:hAnsi="Arial"/>
                <w:sz w:val="18"/>
                <w:szCs w:val="18"/>
                <w:b w:val="1"/>
                <w:bCs w:val="1"/>
                <w:color w:val="auto"/>
              </w:rPr>
              <w:t>SHAREHOLDERS’ EQUITY</w:t>
            </w:r>
          </w:p>
        </w:tc>
        <w:tc>
          <w:tcPr>
            <w:tcW w:w="14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150,738</w:t>
            </w: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150,738</w:t>
            </w:r>
          </w:p>
        </w:tc>
        <w:tc>
          <w:tcPr>
            <w:tcW w:w="28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196,606</w:t>
            </w:r>
          </w:p>
        </w:tc>
        <w:tc>
          <w:tcPr>
            <w:tcW w:w="2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196,606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44,482</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44,482</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160"/>
              <w:spacing w:after="0"/>
              <w:rPr>
                <w:sz w:val="20"/>
                <w:szCs w:val="20"/>
                <w:color w:val="auto"/>
              </w:rPr>
            </w:pPr>
            <w:r>
              <w:rPr>
                <w:rFonts w:ascii="Arial" w:cs="Arial" w:eastAsia="Arial" w:hAnsi="Arial"/>
                <w:sz w:val="18"/>
                <w:szCs w:val="18"/>
                <w:color w:val="auto"/>
              </w:rPr>
              <w:t>Accrued employee compensation</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41,158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180"/>
              <w:spacing w:after="0"/>
              <w:rPr>
                <w:sz w:val="20"/>
                <w:szCs w:val="20"/>
                <w:color w:val="auto"/>
              </w:rPr>
            </w:pPr>
            <w:r>
              <w:rPr>
                <w:rFonts w:ascii="Arial" w:cs="Arial" w:eastAsia="Arial" w:hAnsi="Arial"/>
                <w:sz w:val="18"/>
                <w:szCs w:val="18"/>
                <w:color w:val="auto"/>
              </w:rPr>
              <w:t>9,798C</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50,956</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51,549</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7,628C</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59,177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24,551B</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27,847</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3,352</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21,042B</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28,640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28,640</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29,773</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29,773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28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rPr>
              <w:t>Current portion of capital lease</w:t>
            </w: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2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obligations</w:t>
            </w: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17,032</w:t>
            </w: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17,032</w:t>
            </w:r>
          </w:p>
        </w:tc>
        <w:tc>
          <w:tcPr>
            <w:tcW w:w="2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16,563</w:t>
            </w:r>
          </w:p>
        </w:tc>
        <w:tc>
          <w:tcPr>
            <w:tcW w:w="1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280" w:type="dxa"/>
            <w:vAlign w:val="bottom"/>
          </w:tcPr>
          <w:p>
            <w:pPr>
              <w:ind w:left="340"/>
              <w:spacing w:after="0"/>
              <w:rPr>
                <w:sz w:val="20"/>
                <w:szCs w:val="20"/>
                <w:color w:val="auto"/>
              </w:rPr>
            </w:pPr>
            <w:r>
              <w:rPr>
                <w:rFonts w:ascii="Arial" w:cs="Arial" w:eastAsia="Arial" w:hAnsi="Arial"/>
                <w:sz w:val="18"/>
                <w:szCs w:val="18"/>
                <w:color w:val="auto"/>
              </w:rPr>
              <w:t>Total current liabilities</w:t>
            </w:r>
          </w:p>
        </w:tc>
        <w:tc>
          <w:tcPr>
            <w:tcW w:w="14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285,346</w:t>
            </w:r>
          </w:p>
        </w:tc>
        <w:tc>
          <w:tcPr>
            <w:tcW w:w="2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34,349</w:t>
            </w: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319,695</w:t>
            </w:r>
          </w:p>
        </w:tc>
        <w:tc>
          <w:tcPr>
            <w:tcW w:w="2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332,748</w:t>
            </w:r>
          </w:p>
        </w:tc>
        <w:tc>
          <w:tcPr>
            <w:tcW w:w="26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28,670</w:t>
            </w: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361,418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28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w w:val="99"/>
              </w:rPr>
              <w:t>Capital lease obligations, net of current</w:t>
            </w: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2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portion</w:t>
            </w: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22,561</w:t>
            </w: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22,561</w:t>
            </w:r>
          </w:p>
        </w:tc>
        <w:tc>
          <w:tcPr>
            <w:tcW w:w="2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1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160"/>
              <w:spacing w:after="0"/>
              <w:rPr>
                <w:sz w:val="20"/>
                <w:szCs w:val="20"/>
                <w:color w:val="auto"/>
              </w:rPr>
            </w:pPr>
            <w:r>
              <w:rPr>
                <w:rFonts w:ascii="Arial" w:cs="Arial" w:eastAsia="Arial" w:hAnsi="Arial"/>
                <w:sz w:val="18"/>
                <w:szCs w:val="18"/>
                <w:color w:val="auto"/>
              </w:rPr>
              <w:t>Non-current income taxes payable</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100,097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120"/>
              <w:spacing w:after="0"/>
              <w:rPr>
                <w:sz w:val="20"/>
                <w:szCs w:val="20"/>
                <w:color w:val="auto"/>
              </w:rPr>
            </w:pPr>
            <w:r>
              <w:rPr>
                <w:rFonts w:ascii="Arial" w:cs="Arial" w:eastAsia="Arial" w:hAnsi="Arial"/>
                <w:sz w:val="18"/>
                <w:szCs w:val="18"/>
                <w:color w:val="auto"/>
              </w:rPr>
              <w:t>(1,906)B</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98,191</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85,126</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1,419B</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86,545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Other long-term liabilities</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26,835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26,835</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28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liabilities</w:t>
            </w:r>
          </w:p>
        </w:tc>
        <w:tc>
          <w:tcPr>
            <w:tcW w:w="1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434,839</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32,443</w:t>
            </w:r>
          </w:p>
        </w:tc>
        <w:tc>
          <w:tcPr>
            <w:tcW w:w="30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467,282</w:t>
            </w:r>
          </w:p>
        </w:tc>
        <w:tc>
          <w:tcPr>
            <w:tcW w:w="28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467,192</w:t>
            </w:r>
          </w:p>
        </w:tc>
        <w:tc>
          <w:tcPr>
            <w:tcW w:w="26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30,089</w:t>
            </w:r>
          </w:p>
        </w:tc>
        <w:tc>
          <w:tcPr>
            <w:tcW w:w="34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497,281</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2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Shareholders’ equity:</w:t>
            </w: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280" w:type="dxa"/>
            <w:vAlign w:val="bottom"/>
          </w:tcPr>
          <w:p>
            <w:pPr>
              <w:ind w:left="160"/>
              <w:spacing w:after="0" w:line="201" w:lineRule="exact"/>
              <w:rPr>
                <w:sz w:val="20"/>
                <w:szCs w:val="20"/>
                <w:color w:val="auto"/>
              </w:rPr>
            </w:pPr>
            <w:r>
              <w:rPr>
                <w:rFonts w:ascii="Arial" w:cs="Arial" w:eastAsia="Arial" w:hAnsi="Arial"/>
                <w:sz w:val="18"/>
                <w:szCs w:val="18"/>
                <w:color w:val="auto"/>
              </w:rPr>
              <w:t>Preferred stock, $0.002 par value;</w:t>
            </w: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340"/>
              <w:spacing w:after="0"/>
              <w:rPr>
                <w:sz w:val="20"/>
                <w:szCs w:val="20"/>
                <w:color w:val="auto"/>
              </w:rPr>
            </w:pPr>
            <w:r>
              <w:rPr>
                <w:rFonts w:ascii="Arial" w:cs="Arial" w:eastAsia="Arial" w:hAnsi="Arial"/>
                <w:sz w:val="18"/>
                <w:szCs w:val="18"/>
                <w:color w:val="auto"/>
              </w:rPr>
              <w:t>8,000 shares authorized; no shares</w:t>
            </w: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280" w:type="dxa"/>
            <w:vAlign w:val="bottom"/>
          </w:tcPr>
          <w:p>
            <w:pPr>
              <w:ind w:left="340"/>
              <w:spacing w:after="0"/>
              <w:rPr>
                <w:sz w:val="20"/>
                <w:szCs w:val="20"/>
                <w:color w:val="auto"/>
              </w:rPr>
            </w:pPr>
            <w:r>
              <w:rPr>
                <w:rFonts w:ascii="Arial" w:cs="Arial" w:eastAsia="Arial" w:hAnsi="Arial"/>
                <w:sz w:val="18"/>
                <w:szCs w:val="18"/>
                <w:color w:val="auto"/>
              </w:rPr>
              <w:t>issued and outstanding</w:t>
            </w:r>
          </w:p>
        </w:tc>
        <w:tc>
          <w:tcPr>
            <w:tcW w:w="140" w:type="dxa"/>
            <w:vAlign w:val="bottom"/>
          </w:tcPr>
          <w:p>
            <w:pPr>
              <w:spacing w:after="0"/>
              <w:rPr>
                <w:sz w:val="20"/>
                <w:szCs w:val="20"/>
                <w:color w:val="auto"/>
              </w:rPr>
            </w:pPr>
          </w:p>
        </w:tc>
        <w:tc>
          <w:tcPr>
            <w:tcW w:w="11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1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2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28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rPr>
              <w:t>Common stock, $0.002 par value;</w:t>
            </w: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492,000 shares authorized; 292,381</w:t>
            </w: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2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shares issued and outstanding</w:t>
            </w: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w:t>
            </w: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w:t>
            </w:r>
          </w:p>
        </w:tc>
        <w:tc>
          <w:tcPr>
            <w:tcW w:w="2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583</w:t>
            </w: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583</w:t>
            </w:r>
          </w:p>
        </w:tc>
        <w:tc>
          <w:tcPr>
            <w:tcW w:w="1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tcPr>
          <w:p>
            <w:pPr>
              <w:ind w:left="160"/>
              <w:spacing w:after="0"/>
              <w:rPr>
                <w:sz w:val="20"/>
                <w:szCs w:val="20"/>
                <w:color w:val="auto"/>
              </w:rPr>
            </w:pPr>
            <w:r>
              <w:rPr>
                <w:rFonts w:ascii="Arial" w:cs="Arial" w:eastAsia="Arial" w:hAnsi="Arial"/>
                <w:sz w:val="18"/>
                <w:szCs w:val="18"/>
                <w:color w:val="auto"/>
              </w:rPr>
              <w:t>Additional paid-in capital</w:t>
            </w: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3,304,563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319,901A</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3,624,464</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3,250,169</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384,652A</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3,634,821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stock-based compensation</w:t>
            </w:r>
          </w:p>
        </w:tc>
        <w:tc>
          <w:tcPr>
            <w:tcW w:w="1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(1,141)</w:t>
            </w: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(60,846)A</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(61,987)</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280" w:type="dxa"/>
            <w:vAlign w:val="bottom"/>
          </w:tcPr>
          <w:p>
            <w:pPr>
              <w:ind w:left="160"/>
              <w:spacing w:after="0" w:line="201" w:lineRule="exact"/>
              <w:rPr>
                <w:sz w:val="20"/>
                <w:szCs w:val="20"/>
                <w:color w:val="auto"/>
              </w:rPr>
            </w:pPr>
            <w:r>
              <w:rPr>
                <w:rFonts w:ascii="Arial" w:cs="Arial" w:eastAsia="Arial" w:hAnsi="Arial"/>
                <w:sz w:val="18"/>
                <w:szCs w:val="18"/>
                <w:color w:val="auto"/>
              </w:rPr>
              <w:t>Accumulated other comprehensive</w:t>
            </w: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280" w:type="dxa"/>
            <w:vAlign w:val="bottom"/>
          </w:tcPr>
          <w:p>
            <w:pPr>
              <w:ind w:left="340"/>
              <w:spacing w:after="0"/>
              <w:rPr>
                <w:sz w:val="20"/>
                <w:szCs w:val="20"/>
                <w:color w:val="auto"/>
              </w:rPr>
            </w:pPr>
            <w:r>
              <w:rPr>
                <w:rFonts w:ascii="Arial" w:cs="Arial" w:eastAsia="Arial" w:hAnsi="Arial"/>
                <w:sz w:val="18"/>
                <w:szCs w:val="18"/>
                <w:color w:val="auto"/>
              </w:rPr>
              <w:t>loss</w:t>
            </w:r>
          </w:p>
        </w:tc>
        <w:tc>
          <w:tcPr>
            <w:tcW w:w="140" w:type="dxa"/>
            <w:vAlign w:val="bottom"/>
          </w:tcPr>
          <w:p>
            <w:pPr>
              <w:spacing w:after="0"/>
              <w:rPr>
                <w:sz w:val="20"/>
                <w:szCs w:val="20"/>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(1,353)</w:t>
            </w:r>
          </w:p>
        </w:tc>
        <w:tc>
          <w:tcPr>
            <w:tcW w:w="100" w:type="dxa"/>
            <w:vAlign w:val="bottom"/>
          </w:tcPr>
          <w:p>
            <w:pPr>
              <w:spacing w:after="0"/>
              <w:rPr>
                <w:sz w:val="20"/>
                <w:szCs w:val="20"/>
                <w:color w:val="auto"/>
              </w:rPr>
            </w:pP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(1,353)</w:t>
            </w:r>
          </w:p>
        </w:tc>
        <w:tc>
          <w:tcPr>
            <w:tcW w:w="140" w:type="dxa"/>
            <w:vAlign w:val="bottom"/>
          </w:tcPr>
          <w:p>
            <w:pPr>
              <w:spacing w:after="0"/>
              <w:rPr>
                <w:sz w:val="20"/>
                <w:szCs w:val="20"/>
                <w:color w:val="auto"/>
              </w:rPr>
            </w:pP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rPr>
              <w:t>(1,759)</w:t>
            </w:r>
          </w:p>
        </w:tc>
        <w:tc>
          <w:tcPr>
            <w:tcW w:w="100" w:type="dxa"/>
            <w:vAlign w:val="bottom"/>
          </w:tcPr>
          <w:p>
            <w:pPr>
              <w:spacing w:after="0"/>
              <w:rPr>
                <w:sz w:val="20"/>
                <w:szCs w:val="20"/>
                <w:color w:val="auto"/>
              </w:rPr>
            </w:pPr>
          </w:p>
        </w:tc>
        <w:tc>
          <w:tcPr>
            <w:tcW w:w="12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(1,759)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1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(126,458)</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(360,412)E</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(486,870)</w:t>
            </w: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(201,755)</w:t>
            </w: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(362,678)E</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(564,433)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28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shareholders’ equity</w:t>
            </w:r>
          </w:p>
        </w:tc>
        <w:tc>
          <w:tcPr>
            <w:tcW w:w="1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3,177,337</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(40,511)</w:t>
            </w:r>
          </w:p>
        </w:tc>
        <w:tc>
          <w:tcPr>
            <w:tcW w:w="30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3,136,826</w:t>
            </w:r>
          </w:p>
        </w:tc>
        <w:tc>
          <w:tcPr>
            <w:tcW w:w="28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3,046,097</w:t>
            </w:r>
          </w:p>
        </w:tc>
        <w:tc>
          <w:tcPr>
            <w:tcW w:w="26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(38,872)</w:t>
            </w:r>
          </w:p>
        </w:tc>
        <w:tc>
          <w:tcPr>
            <w:tcW w:w="34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3,007,225</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3280" w:type="dxa"/>
            <w:vAlign w:val="bottom"/>
            <w:shd w:val="clear" w:color="auto" w:fill="CCEEFF"/>
          </w:tcPr>
          <w:p>
            <w:pPr>
              <w:ind w:left="340"/>
              <w:spacing w:after="0" w:line="182" w:lineRule="exact"/>
              <w:rPr>
                <w:sz w:val="20"/>
                <w:szCs w:val="20"/>
                <w:color w:val="auto"/>
              </w:rPr>
            </w:pPr>
            <w:r>
              <w:rPr>
                <w:rFonts w:ascii="Arial" w:cs="Arial" w:eastAsia="Arial" w:hAnsi="Arial"/>
                <w:sz w:val="18"/>
                <w:szCs w:val="18"/>
                <w:color w:val="auto"/>
              </w:rPr>
              <w:t>Total liabilities and shareholders’</w:t>
            </w: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3,612,176</w:t>
            </w:r>
          </w:p>
        </w:tc>
        <w:tc>
          <w:tcPr>
            <w:tcW w:w="280" w:type="dxa"/>
            <w:vAlign w:val="bottom"/>
            <w:shd w:val="clear" w:color="auto" w:fill="CCEEFF"/>
          </w:tcPr>
          <w:p>
            <w:pPr>
              <w:spacing w:after="0"/>
              <w:rPr>
                <w:sz w:val="15"/>
                <w:szCs w:val="15"/>
                <w:color w:val="auto"/>
              </w:rPr>
            </w:pPr>
          </w:p>
        </w:tc>
        <w:tc>
          <w:tcPr>
            <w:tcW w:w="1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00" w:type="dxa"/>
            <w:vAlign w:val="bottom"/>
            <w:gridSpan w:val="2"/>
            <w:vMerge w:val="restart"/>
            <w:shd w:val="clear" w:color="auto" w:fill="CCEEFF"/>
          </w:tcPr>
          <w:p>
            <w:pPr>
              <w:jc w:val="right"/>
              <w:ind w:right="240"/>
              <w:spacing w:after="0"/>
              <w:rPr>
                <w:sz w:val="20"/>
                <w:szCs w:val="20"/>
                <w:color w:val="auto"/>
              </w:rPr>
            </w:pPr>
            <w:r>
              <w:rPr>
                <w:rFonts w:ascii="Arial" w:cs="Arial" w:eastAsia="Arial" w:hAnsi="Arial"/>
                <w:sz w:val="18"/>
                <w:szCs w:val="18"/>
                <w:color w:val="auto"/>
              </w:rPr>
              <w:t>(8,068)</w:t>
            </w:r>
          </w:p>
        </w:tc>
        <w:tc>
          <w:tcPr>
            <w:tcW w:w="38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3,604,108</w:t>
            </w:r>
          </w:p>
        </w:tc>
        <w:tc>
          <w:tcPr>
            <w:tcW w:w="280" w:type="dxa"/>
            <w:vAlign w:val="bottom"/>
            <w:shd w:val="clear" w:color="auto" w:fill="CCEEFF"/>
          </w:tcPr>
          <w:p>
            <w:pPr>
              <w:spacing w:after="0"/>
              <w:rPr>
                <w:sz w:val="15"/>
                <w:szCs w:val="15"/>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3,513,289</w:t>
            </w:r>
          </w:p>
        </w:tc>
        <w:tc>
          <w:tcPr>
            <w:tcW w:w="260" w:type="dxa"/>
            <w:vAlign w:val="bottom"/>
            <w:shd w:val="clear" w:color="auto" w:fill="CCEEFF"/>
          </w:tcPr>
          <w:p>
            <w:pPr>
              <w:spacing w:after="0"/>
              <w:rPr>
                <w:sz w:val="15"/>
                <w:szCs w:val="15"/>
                <w:color w:val="auto"/>
              </w:rPr>
            </w:pPr>
          </w:p>
        </w:tc>
        <w:tc>
          <w:tcPr>
            <w:tcW w:w="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gridSpan w:val="2"/>
            <w:vMerge w:val="restart"/>
            <w:shd w:val="clear" w:color="auto" w:fill="CCEEFF"/>
          </w:tcPr>
          <w:p>
            <w:pPr>
              <w:jc w:val="right"/>
              <w:ind w:right="280"/>
              <w:spacing w:after="0"/>
              <w:rPr>
                <w:sz w:val="20"/>
                <w:szCs w:val="20"/>
                <w:color w:val="auto"/>
              </w:rPr>
            </w:pPr>
            <w:r>
              <w:rPr>
                <w:rFonts w:ascii="Arial" w:cs="Arial" w:eastAsia="Arial" w:hAnsi="Arial"/>
                <w:sz w:val="18"/>
                <w:szCs w:val="18"/>
                <w:color w:val="auto"/>
              </w:rPr>
              <w:t>(8,783)</w:t>
            </w:r>
          </w:p>
        </w:tc>
        <w:tc>
          <w:tcPr>
            <w:tcW w:w="32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3,504,506</w:t>
            </w:r>
          </w:p>
        </w:tc>
        <w:tc>
          <w:tcPr>
            <w:tcW w:w="10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3280" w:type="dxa"/>
            <w:vAlign w:val="bottom"/>
            <w:shd w:val="clear" w:color="auto" w:fill="CCEEFF"/>
          </w:tcPr>
          <w:p>
            <w:pPr>
              <w:ind w:left="520"/>
              <w:spacing w:after="0"/>
              <w:rPr>
                <w:sz w:val="20"/>
                <w:szCs w:val="20"/>
                <w:color w:val="auto"/>
              </w:rPr>
            </w:pPr>
            <w:r>
              <w:rPr>
                <w:rFonts w:ascii="Arial" w:cs="Arial" w:eastAsia="Arial" w:hAnsi="Arial"/>
                <w:sz w:val="18"/>
                <w:szCs w:val="18"/>
                <w:color w:val="auto"/>
              </w:rPr>
              <w:t>equity</w:t>
            </w:r>
          </w:p>
        </w:tc>
        <w:tc>
          <w:tcPr>
            <w:tcW w:w="140" w:type="dxa"/>
            <w:vAlign w:val="bottom"/>
            <w:vMerge w:val="continue"/>
            <w:shd w:val="clear" w:color="auto" w:fill="CCEEFF"/>
          </w:tcPr>
          <w:p>
            <w:pPr>
              <w:spacing w:after="0"/>
              <w:rPr>
                <w:sz w:val="18"/>
                <w:szCs w:val="18"/>
                <w:color w:val="auto"/>
              </w:rPr>
            </w:pPr>
          </w:p>
        </w:tc>
        <w:tc>
          <w:tcPr>
            <w:tcW w:w="900" w:type="dxa"/>
            <w:vAlign w:val="bottom"/>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vMerge w:val="continue"/>
            <w:shd w:val="clear" w:color="auto" w:fill="CCEEFF"/>
          </w:tcPr>
          <w:p>
            <w:pPr>
              <w:spacing w:after="0"/>
              <w:rPr>
                <w:sz w:val="18"/>
                <w:szCs w:val="18"/>
                <w:color w:val="auto"/>
              </w:rPr>
            </w:pPr>
          </w:p>
        </w:tc>
        <w:tc>
          <w:tcPr>
            <w:tcW w:w="1200" w:type="dxa"/>
            <w:vAlign w:val="bottom"/>
            <w:gridSpan w:val="2"/>
            <w:vMerge w:val="continue"/>
            <w:shd w:val="clear" w:color="auto" w:fill="CCEEFF"/>
          </w:tcPr>
          <w:p>
            <w:pPr>
              <w:spacing w:after="0"/>
              <w:rPr>
                <w:sz w:val="18"/>
                <w:szCs w:val="18"/>
                <w:color w:val="auto"/>
              </w:rPr>
            </w:pPr>
          </w:p>
        </w:tc>
        <w:tc>
          <w:tcPr>
            <w:tcW w:w="380" w:type="dxa"/>
            <w:vAlign w:val="bottom"/>
            <w:gridSpan w:val="2"/>
            <w:vMerge w:val="continue"/>
            <w:shd w:val="clear" w:color="auto" w:fill="CCEEFF"/>
          </w:tcPr>
          <w:p>
            <w:pPr>
              <w:spacing w:after="0"/>
              <w:rPr>
                <w:sz w:val="18"/>
                <w:szCs w:val="18"/>
                <w:color w:val="auto"/>
              </w:rPr>
            </w:pPr>
          </w:p>
        </w:tc>
        <w:tc>
          <w:tcPr>
            <w:tcW w:w="860" w:type="dxa"/>
            <w:vAlign w:val="bottom"/>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900" w:type="dxa"/>
            <w:vAlign w:val="bottom"/>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vMerge w:val="continue"/>
            <w:shd w:val="clear" w:color="auto" w:fill="CCEEFF"/>
          </w:tcPr>
          <w:p>
            <w:pPr>
              <w:spacing w:after="0"/>
              <w:rPr>
                <w:sz w:val="18"/>
                <w:szCs w:val="18"/>
                <w:color w:val="auto"/>
              </w:rPr>
            </w:pPr>
          </w:p>
        </w:tc>
        <w:tc>
          <w:tcPr>
            <w:tcW w:w="1280" w:type="dxa"/>
            <w:vAlign w:val="bottom"/>
            <w:gridSpan w:val="2"/>
            <w:vMerge w:val="continue"/>
            <w:shd w:val="clear" w:color="auto" w:fill="CCEEFF"/>
          </w:tcPr>
          <w:p>
            <w:pPr>
              <w:spacing w:after="0"/>
              <w:rPr>
                <w:sz w:val="18"/>
                <w:szCs w:val="18"/>
                <w:color w:val="auto"/>
              </w:rPr>
            </w:pPr>
          </w:p>
        </w:tc>
        <w:tc>
          <w:tcPr>
            <w:tcW w:w="320" w:type="dxa"/>
            <w:vAlign w:val="bottom"/>
            <w:gridSpan w:val="2"/>
            <w:vMerge w:val="continue"/>
            <w:shd w:val="clear" w:color="auto" w:fill="CCEEFF"/>
          </w:tcPr>
          <w:p>
            <w:pPr>
              <w:spacing w:after="0"/>
              <w:rPr>
                <w:sz w:val="18"/>
                <w:szCs w:val="18"/>
                <w:color w:val="auto"/>
              </w:rPr>
            </w:pPr>
          </w:p>
        </w:tc>
        <w:tc>
          <w:tcPr>
            <w:tcW w:w="8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2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60" w:right="180" w:hanging="352"/>
        <w:spacing w:after="0" w:line="258" w:lineRule="auto"/>
        <w:tabs>
          <w:tab w:leader="none" w:pos="328" w:val="left"/>
        </w:tabs>
        <w:numPr>
          <w:ilvl w:val="0"/>
          <w:numId w:val="30"/>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 net of tax benefit from employee stock transactions and cumulative effect of change in accounting principle related to estimating forfeitures in the adoption of SFAS 123R.</w:t>
      </w:r>
    </w:p>
    <w:p>
      <w:pPr>
        <w:spacing w:after="0" w:line="1" w:lineRule="exact"/>
        <w:rPr>
          <w:rFonts w:ascii="Arial" w:cs="Arial" w:eastAsia="Arial" w:hAnsi="Arial"/>
          <w:sz w:val="18"/>
          <w:szCs w:val="18"/>
          <w:color w:val="auto"/>
        </w:rPr>
      </w:pPr>
    </w:p>
    <w:p>
      <w:pPr>
        <w:ind w:left="360" w:hanging="352"/>
        <w:spacing w:after="0"/>
        <w:tabs>
          <w:tab w:leader="none" w:pos="360" w:val="left"/>
        </w:tabs>
        <w:numPr>
          <w:ilvl w:val="0"/>
          <w:numId w:val="30"/>
        </w:numPr>
        <w:rPr>
          <w:rFonts w:ascii="Arial" w:cs="Arial" w:eastAsia="Arial" w:hAnsi="Arial"/>
          <w:sz w:val="16"/>
          <w:szCs w:val="16"/>
          <w:color w:val="auto"/>
        </w:rPr>
      </w:pPr>
      <w:r>
        <w:rPr>
          <w:rFonts w:ascii="Arial" w:cs="Arial" w:eastAsia="Arial" w:hAnsi="Arial"/>
          <w:sz w:val="16"/>
          <w:szCs w:val="16"/>
          <w:color w:val="auto"/>
        </w:rPr>
        <w:t>Adjustments to deferred tax assets arising from the stock-based compensation charge and accrual of penalty and interest associated with Section 162(m).</w:t>
      </w:r>
    </w:p>
    <w:p>
      <w:pPr>
        <w:spacing w:after="0" w:line="32" w:lineRule="exact"/>
        <w:rPr>
          <w:rFonts w:ascii="Arial" w:cs="Arial" w:eastAsia="Arial" w:hAnsi="Arial"/>
          <w:sz w:val="16"/>
          <w:szCs w:val="16"/>
          <w:color w:val="auto"/>
        </w:rPr>
      </w:pPr>
    </w:p>
    <w:p>
      <w:pPr>
        <w:ind w:left="360" w:hanging="352"/>
        <w:spacing w:after="0"/>
        <w:tabs>
          <w:tab w:leader="none" w:pos="3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Adjustments for additional payroll taxes.</w:t>
      </w:r>
    </w:p>
    <w:p>
      <w:pPr>
        <w:spacing w:after="0" w:line="9" w:lineRule="exact"/>
        <w:rPr>
          <w:rFonts w:ascii="Arial" w:cs="Arial" w:eastAsia="Arial" w:hAnsi="Arial"/>
          <w:sz w:val="18"/>
          <w:szCs w:val="18"/>
          <w:color w:val="auto"/>
        </w:rPr>
      </w:pPr>
    </w:p>
    <w:p>
      <w:pPr>
        <w:ind w:left="340" w:hanging="332"/>
        <w:spacing w:after="0"/>
        <w:tabs>
          <w:tab w:leader="none" w:pos="3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Adjustments to inventory arising from amount of stock-based compensation capitalized to inventory.</w:t>
      </w:r>
    </w:p>
    <w:p>
      <w:pPr>
        <w:sectPr>
          <w:pgSz w:w="11900" w:h="16838" w:orient="portrait"/>
          <w:cols w:equalWidth="0" w:num="1">
            <w:col w:w="11420"/>
          </w:cols>
          <w:pgMar w:left="240" w:top="571" w:right="239" w:bottom="0" w:gutter="0" w:footer="0" w:header="0"/>
        </w:sectPr>
      </w:pPr>
    </w:p>
    <w:bookmarkStart w:id="34" w:name="page35"/>
    <w:bookmarkEnd w:id="34"/>
    <w:p>
      <w:pPr>
        <w:ind w:left="360" w:right="220" w:hanging="352"/>
        <w:spacing w:after="0" w:line="277" w:lineRule="auto"/>
        <w:tabs>
          <w:tab w:leader="none" w:pos="3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payroll tax, deferred income tax benefit and cumulative effect of change in accounting principle.</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The following tables present the impact of the financial statement adjustments on the previously reported Statements of Cash Flows for first quarter of fiscal 2007 and fiscal 2006:</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9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420" w:type="dxa"/>
            <w:vAlign w:val="bottom"/>
            <w:tcBorders>
              <w:bottom w:val="single" w:sz="8" w:color="auto"/>
            </w:tcBorders>
            <w:gridSpan w:val="7"/>
          </w:tcPr>
          <w:p>
            <w:pPr>
              <w:jc w:val="right"/>
              <w:ind w:right="572"/>
              <w:spacing w:after="0"/>
              <w:rPr>
                <w:sz w:val="20"/>
                <w:szCs w:val="20"/>
                <w:color w:val="auto"/>
              </w:rPr>
            </w:pPr>
            <w:r>
              <w:rPr>
                <w:rFonts w:ascii="Arial" w:cs="Arial" w:eastAsia="Arial" w:hAnsi="Arial"/>
                <w:sz w:val="14"/>
                <w:szCs w:val="14"/>
                <w:b w:val="1"/>
                <w:bCs w:val="1"/>
                <w:color w:val="auto"/>
              </w:rPr>
              <w:t>Three Months Ended April 29, 2006</w:t>
            </w:r>
          </w:p>
        </w:tc>
        <w:tc>
          <w:tcPr>
            <w:tcW w:w="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320" w:type="dxa"/>
            <w:vAlign w:val="bottom"/>
            <w:tcBorders>
              <w:bottom w:val="single" w:sz="8" w:color="auto"/>
            </w:tcBorders>
            <w:gridSpan w:val="7"/>
          </w:tcPr>
          <w:p>
            <w:pPr>
              <w:jc w:val="right"/>
              <w:ind w:right="531"/>
              <w:spacing w:after="0"/>
              <w:rPr>
                <w:sz w:val="20"/>
                <w:szCs w:val="20"/>
                <w:color w:val="auto"/>
              </w:rPr>
            </w:pPr>
            <w:r>
              <w:rPr>
                <w:rFonts w:ascii="Arial" w:cs="Arial" w:eastAsia="Arial" w:hAnsi="Arial"/>
                <w:sz w:val="14"/>
                <w:szCs w:val="14"/>
                <w:b w:val="1"/>
                <w:bCs w:val="1"/>
                <w:color w:val="auto"/>
              </w:rPr>
              <w:t>Three Months Ended April 30, 2005</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9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80" w:type="dxa"/>
            <w:vAlign w:val="bottom"/>
            <w:gridSpan w:val="2"/>
          </w:tcPr>
          <w:p>
            <w:pPr>
              <w:jc w:val="center"/>
              <w:ind w:right="40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4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20" w:type="dxa"/>
            <w:vAlign w:val="bottom"/>
            <w:gridSpan w:val="2"/>
            <w:vMerge w:val="restart"/>
          </w:tcPr>
          <w:p>
            <w:pPr>
              <w:jc w:val="right"/>
              <w:ind w:right="640"/>
              <w:spacing w:after="0"/>
              <w:rPr>
                <w:sz w:val="20"/>
                <w:szCs w:val="20"/>
                <w:color w:val="auto"/>
              </w:rPr>
            </w:pPr>
            <w:r>
              <w:rPr>
                <w:rFonts w:ascii="Arial" w:cs="Arial" w:eastAsia="Arial" w:hAnsi="Arial"/>
                <w:sz w:val="14"/>
                <w:szCs w:val="14"/>
                <w:b w:val="1"/>
                <w:bCs w:val="1"/>
                <w:color w:val="auto"/>
              </w:rPr>
              <w:t>As</w:t>
            </w:r>
          </w:p>
        </w:tc>
        <w:tc>
          <w:tcPr>
            <w:tcW w:w="100" w:type="dxa"/>
            <w:vAlign w:val="bottom"/>
          </w:tcPr>
          <w:p>
            <w:pPr>
              <w:spacing w:after="0"/>
              <w:rPr>
                <w:sz w:val="8"/>
                <w:szCs w:val="8"/>
                <w:color w:val="auto"/>
              </w:rPr>
            </w:pPr>
          </w:p>
        </w:tc>
        <w:tc>
          <w:tcPr>
            <w:tcW w:w="1040" w:type="dxa"/>
            <w:vAlign w:val="bottom"/>
            <w:gridSpan w:val="2"/>
          </w:tcPr>
          <w:p>
            <w:pPr>
              <w:jc w:val="center"/>
              <w:ind w:right="400"/>
              <w:spacing w:after="0" w:line="102" w:lineRule="exact"/>
              <w:rPr>
                <w:sz w:val="20"/>
                <w:szCs w:val="20"/>
                <w:color w:val="auto"/>
              </w:rPr>
            </w:pPr>
            <w:r>
              <w:rPr>
                <w:rFonts w:ascii="Arial" w:cs="Arial" w:eastAsia="Arial" w:hAnsi="Arial"/>
                <w:sz w:val="11"/>
                <w:szCs w:val="11"/>
                <w:b w:val="1"/>
                <w:bCs w:val="1"/>
                <w:color w:val="auto"/>
              </w:rPr>
              <w:t>As</w:t>
            </w:r>
          </w:p>
        </w:tc>
        <w:tc>
          <w:tcPr>
            <w:tcW w:w="100" w:type="dxa"/>
            <w:vAlign w:val="bottom"/>
          </w:tcPr>
          <w:p>
            <w:pPr>
              <w:spacing w:after="0"/>
              <w:rPr>
                <w:sz w:val="8"/>
                <w:szCs w:val="8"/>
                <w:color w:val="auto"/>
              </w:rPr>
            </w:pPr>
          </w:p>
        </w:tc>
        <w:tc>
          <w:tcPr>
            <w:tcW w:w="9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gridSpan w:val="2"/>
            <w:vMerge w:val="restart"/>
          </w:tcPr>
          <w:p>
            <w:pPr>
              <w:jc w:val="right"/>
              <w:ind w:right="440"/>
              <w:spacing w:after="0"/>
              <w:rPr>
                <w:sz w:val="20"/>
                <w:szCs w:val="20"/>
                <w:color w:val="auto"/>
              </w:rPr>
            </w:pPr>
            <w:r>
              <w:rPr>
                <w:rFonts w:ascii="Arial" w:cs="Arial" w:eastAsia="Arial" w:hAnsi="Arial"/>
                <w:sz w:val="14"/>
                <w:szCs w:val="14"/>
                <w:b w:val="1"/>
                <w:bCs w:val="1"/>
                <w:color w:val="auto"/>
              </w:rPr>
              <w:t>As</w:t>
            </w:r>
          </w:p>
        </w:tc>
        <w:tc>
          <w:tcPr>
            <w:tcW w:w="0" w:type="dxa"/>
            <w:vAlign w:val="bottom"/>
          </w:tcPr>
          <w:p>
            <w:pPr>
              <w:spacing w:after="0"/>
              <w:rPr>
                <w:sz w:val="1"/>
                <w:szCs w:val="1"/>
                <w:color w:val="auto"/>
              </w:rPr>
            </w:pPr>
          </w:p>
        </w:tc>
      </w:tr>
      <w:tr>
        <w:trPr>
          <w:trHeight w:val="135"/>
        </w:trPr>
        <w:tc>
          <w:tcPr>
            <w:tcW w:w="39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0"/>
              </w:rPr>
              <w:t>Previously</w:t>
            </w:r>
          </w:p>
        </w:tc>
        <w:tc>
          <w:tcPr>
            <w:tcW w:w="100" w:type="dxa"/>
            <w:vAlign w:val="bottom"/>
          </w:tcPr>
          <w:p>
            <w:pPr>
              <w:spacing w:after="0"/>
              <w:rPr>
                <w:sz w:val="11"/>
                <w:szCs w:val="11"/>
                <w:color w:val="auto"/>
              </w:rPr>
            </w:pPr>
          </w:p>
        </w:tc>
        <w:tc>
          <w:tcPr>
            <w:tcW w:w="1360" w:type="dxa"/>
            <w:vAlign w:val="bottom"/>
            <w:gridSpan w:val="2"/>
            <w:vMerge w:val="restart"/>
          </w:tcPr>
          <w:p>
            <w:pPr>
              <w:jc w:val="right"/>
              <w:ind w:right="560"/>
              <w:spacing w:after="0"/>
              <w:rPr>
                <w:sz w:val="20"/>
                <w:szCs w:val="20"/>
                <w:color w:val="auto"/>
              </w:rPr>
            </w:pPr>
            <w:r>
              <w:rPr>
                <w:rFonts w:ascii="Arial" w:cs="Arial" w:eastAsia="Arial" w:hAnsi="Arial"/>
                <w:sz w:val="14"/>
                <w:szCs w:val="14"/>
                <w:b w:val="1"/>
                <w:bCs w:val="1"/>
                <w:color w:val="auto"/>
                <w:w w:val="91"/>
              </w:rPr>
              <w:t>Adjustments</w:t>
            </w:r>
          </w:p>
        </w:tc>
        <w:tc>
          <w:tcPr>
            <w:tcW w:w="12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3"/>
              </w:rPr>
              <w:t>Previously</w:t>
            </w:r>
          </w:p>
        </w:tc>
        <w:tc>
          <w:tcPr>
            <w:tcW w:w="100" w:type="dxa"/>
            <w:vAlign w:val="bottom"/>
          </w:tcPr>
          <w:p>
            <w:pPr>
              <w:spacing w:after="0"/>
              <w:rPr>
                <w:sz w:val="11"/>
                <w:szCs w:val="11"/>
                <w:color w:val="auto"/>
              </w:rPr>
            </w:pPr>
          </w:p>
        </w:tc>
        <w:tc>
          <w:tcPr>
            <w:tcW w:w="1320" w:type="dxa"/>
            <w:vAlign w:val="bottom"/>
            <w:gridSpan w:val="2"/>
            <w:vMerge w:val="restart"/>
          </w:tcPr>
          <w:p>
            <w:pPr>
              <w:jc w:val="right"/>
              <w:ind w:right="540"/>
              <w:spacing w:after="0"/>
              <w:rPr>
                <w:sz w:val="20"/>
                <w:szCs w:val="20"/>
                <w:color w:val="auto"/>
              </w:rPr>
            </w:pPr>
            <w:r>
              <w:rPr>
                <w:rFonts w:ascii="Arial" w:cs="Arial" w:eastAsia="Arial" w:hAnsi="Arial"/>
                <w:sz w:val="14"/>
                <w:szCs w:val="14"/>
                <w:b w:val="1"/>
                <w:bCs w:val="1"/>
                <w:color w:val="auto"/>
                <w:w w:val="89"/>
              </w:rPr>
              <w:t>Adjustments</w:t>
            </w:r>
          </w:p>
        </w:tc>
        <w:tc>
          <w:tcPr>
            <w:tcW w:w="1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9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1"/>
              </w:rPr>
              <w:t>Reported</w:t>
            </w:r>
          </w:p>
        </w:tc>
        <w:tc>
          <w:tcPr>
            <w:tcW w:w="100" w:type="dxa"/>
            <w:vAlign w:val="bottom"/>
          </w:tcPr>
          <w:p>
            <w:pPr>
              <w:spacing w:after="0"/>
              <w:rPr>
                <w:sz w:val="14"/>
                <w:szCs w:val="14"/>
                <w:color w:val="auto"/>
              </w:rPr>
            </w:pPr>
          </w:p>
        </w:tc>
        <w:tc>
          <w:tcPr>
            <w:tcW w:w="136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4"/>
              </w:rPr>
              <w:t>Restated</w:t>
            </w:r>
          </w:p>
        </w:tc>
        <w:tc>
          <w:tcPr>
            <w:tcW w:w="100" w:type="dxa"/>
            <w:vAlign w:val="bottom"/>
          </w:tcPr>
          <w:p>
            <w:pPr>
              <w:spacing w:after="0"/>
              <w:rPr>
                <w:sz w:val="14"/>
                <w:szCs w:val="14"/>
                <w:color w:val="auto"/>
              </w:rPr>
            </w:pPr>
          </w:p>
        </w:tc>
        <w:tc>
          <w:tcPr>
            <w:tcW w:w="10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4"/>
              </w:rPr>
              <w:t>Reported</w:t>
            </w:r>
          </w:p>
        </w:tc>
        <w:tc>
          <w:tcPr>
            <w:tcW w:w="100" w:type="dxa"/>
            <w:vAlign w:val="bottom"/>
          </w:tcPr>
          <w:p>
            <w:pPr>
              <w:spacing w:after="0"/>
              <w:rPr>
                <w:sz w:val="14"/>
                <w:szCs w:val="14"/>
                <w:color w:val="auto"/>
              </w:rPr>
            </w:pPr>
          </w:p>
        </w:tc>
        <w:tc>
          <w:tcPr>
            <w:tcW w:w="132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1"/>
              </w:rPr>
              <w:t>Restated</w:t>
            </w:r>
          </w:p>
        </w:tc>
        <w:tc>
          <w:tcPr>
            <w:tcW w:w="0" w:type="dxa"/>
            <w:vAlign w:val="bottom"/>
          </w:tcPr>
          <w:p>
            <w:pPr>
              <w:spacing w:after="0"/>
              <w:rPr>
                <w:sz w:val="1"/>
                <w:szCs w:val="1"/>
                <w:color w:val="auto"/>
              </w:rPr>
            </w:pPr>
          </w:p>
        </w:tc>
      </w:tr>
      <w:tr>
        <w:trPr>
          <w:trHeight w:val="129"/>
        </w:trPr>
        <w:tc>
          <w:tcPr>
            <w:tcW w:w="39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2160" w:type="dxa"/>
            <w:vAlign w:val="bottom"/>
            <w:tcBorders>
              <w:top w:val="single" w:sz="8" w:color="auto"/>
            </w:tcBorders>
            <w:gridSpan w:val="5"/>
          </w:tcPr>
          <w:p>
            <w:pPr>
              <w:jc w:val="right"/>
              <w:ind w:right="880"/>
              <w:spacing w:after="0" w:line="129" w:lineRule="exact"/>
              <w:rPr>
                <w:sz w:val="20"/>
                <w:szCs w:val="20"/>
                <w:color w:val="auto"/>
              </w:rPr>
            </w:pPr>
            <w:r>
              <w:rPr>
                <w:rFonts w:ascii="Arial" w:cs="Arial" w:eastAsia="Arial" w:hAnsi="Arial"/>
                <w:sz w:val="14"/>
                <w:szCs w:val="14"/>
                <w:b w:val="1"/>
                <w:bCs w:val="1"/>
                <w:color w:val="auto"/>
              </w:rPr>
              <w:t>(In thousands)</w:t>
            </w: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180"/>
              <w:spacing w:after="0"/>
              <w:rPr>
                <w:sz w:val="20"/>
                <w:szCs w:val="20"/>
                <w:color w:val="auto"/>
              </w:rPr>
            </w:pPr>
            <w:r>
              <w:rPr>
                <w:rFonts w:ascii="Arial" w:cs="Arial" w:eastAsia="Arial" w:hAnsi="Arial"/>
                <w:sz w:val="18"/>
                <w:szCs w:val="18"/>
                <w:color w:val="auto"/>
              </w:rPr>
              <w:t>Net income</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75,297</w:t>
            </w: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2,266</w:t>
            </w:r>
          </w:p>
        </w:tc>
        <w:tc>
          <w:tcPr>
            <w:tcW w:w="4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77,563</w:t>
            </w:r>
          </w:p>
        </w:tc>
        <w:tc>
          <w:tcPr>
            <w:tcW w:w="2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63,532</w:t>
            </w: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320" w:type="dxa"/>
            <w:vAlign w:val="bottom"/>
            <w:gridSpan w:val="2"/>
          </w:tcPr>
          <w:p>
            <w:pPr>
              <w:jc w:val="right"/>
              <w:ind w:right="360"/>
              <w:spacing w:after="0"/>
              <w:rPr>
                <w:sz w:val="20"/>
                <w:szCs w:val="20"/>
                <w:color w:val="auto"/>
              </w:rPr>
            </w:pPr>
            <w:r>
              <w:rPr>
                <w:rFonts w:ascii="Arial" w:cs="Arial" w:eastAsia="Arial" w:hAnsi="Arial"/>
                <w:sz w:val="18"/>
                <w:szCs w:val="18"/>
                <w:color w:val="auto"/>
              </w:rPr>
              <w:t>(9,585)</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53,947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96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w w:val="98"/>
              </w:rPr>
              <w:t>Adjustments to reconcile net income to net cash</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9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provided by operating activities:</w:t>
            </w:r>
          </w:p>
        </w:tc>
        <w:tc>
          <w:tcPr>
            <w:tcW w:w="1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960" w:type="dxa"/>
            <w:vAlign w:val="bottom"/>
          </w:tcPr>
          <w:p>
            <w:pPr>
              <w:ind w:left="540"/>
              <w:spacing w:after="0" w:line="201" w:lineRule="exact"/>
              <w:rPr>
                <w:sz w:val="20"/>
                <w:szCs w:val="20"/>
                <w:color w:val="auto"/>
              </w:rPr>
            </w:pPr>
            <w:r>
              <w:rPr>
                <w:rFonts w:ascii="Arial" w:cs="Arial" w:eastAsia="Arial" w:hAnsi="Arial"/>
                <w:sz w:val="18"/>
                <w:szCs w:val="18"/>
                <w:color w:val="auto"/>
              </w:rPr>
              <w:t>Cumulative effect of change in accounting</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960" w:type="dxa"/>
            <w:vAlign w:val="bottom"/>
          </w:tcPr>
          <w:p>
            <w:pPr>
              <w:ind w:left="720"/>
              <w:spacing w:after="0"/>
              <w:rPr>
                <w:sz w:val="20"/>
                <w:szCs w:val="20"/>
                <w:color w:val="auto"/>
              </w:rPr>
            </w:pPr>
            <w:r>
              <w:rPr>
                <w:rFonts w:ascii="Arial" w:cs="Arial" w:eastAsia="Arial" w:hAnsi="Arial"/>
                <w:sz w:val="18"/>
                <w:szCs w:val="18"/>
                <w:color w:val="auto"/>
              </w:rPr>
              <w:t>principle</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360" w:type="dxa"/>
            <w:vAlign w:val="bottom"/>
            <w:gridSpan w:val="2"/>
          </w:tcPr>
          <w:p>
            <w:pPr>
              <w:jc w:val="right"/>
              <w:ind w:right="360"/>
              <w:spacing w:after="0"/>
              <w:rPr>
                <w:sz w:val="20"/>
                <w:szCs w:val="20"/>
                <w:color w:val="auto"/>
              </w:rPr>
            </w:pPr>
            <w:r>
              <w:rPr>
                <w:rFonts w:ascii="Arial" w:cs="Arial" w:eastAsia="Arial" w:hAnsi="Arial"/>
                <w:sz w:val="18"/>
                <w:szCs w:val="18"/>
                <w:color w:val="auto"/>
              </w:rPr>
              <w:t>(8,846)</w:t>
            </w:r>
          </w:p>
        </w:tc>
        <w:tc>
          <w:tcPr>
            <w:tcW w:w="120" w:type="dxa"/>
            <w:vAlign w:val="bottom"/>
          </w:tcPr>
          <w:p>
            <w:pPr>
              <w:spacing w:after="0"/>
              <w:rPr>
                <w:sz w:val="20"/>
                <w:szCs w:val="20"/>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(8,846)</w:t>
            </w:r>
          </w:p>
        </w:tc>
        <w:tc>
          <w:tcPr>
            <w:tcW w:w="100" w:type="dxa"/>
            <w:vAlign w:val="bottom"/>
          </w:tcPr>
          <w:p>
            <w:pPr>
              <w:spacing w:after="0"/>
              <w:rPr>
                <w:sz w:val="20"/>
                <w:szCs w:val="20"/>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Depreciation and amortization</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15,615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15,615</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540"/>
              <w:spacing w:after="0"/>
              <w:rPr>
                <w:sz w:val="20"/>
                <w:szCs w:val="20"/>
                <w:color w:val="auto"/>
              </w:rPr>
            </w:pPr>
            <w:r>
              <w:rPr>
                <w:rFonts w:ascii="Arial" w:cs="Arial" w:eastAsia="Arial" w:hAnsi="Arial"/>
                <w:sz w:val="18"/>
                <w:szCs w:val="18"/>
                <w:color w:val="auto"/>
              </w:rPr>
              <w:t>Stock-based compensation</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44,536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gridSpan w:val="2"/>
          </w:tcPr>
          <w:p>
            <w:pPr>
              <w:jc w:val="right"/>
              <w:ind w:right="300"/>
              <w:spacing w:after="0"/>
              <w:rPr>
                <w:sz w:val="20"/>
                <w:szCs w:val="20"/>
                <w:color w:val="auto"/>
              </w:rPr>
            </w:pPr>
            <w:r>
              <w:rPr>
                <w:rFonts w:ascii="Arial" w:cs="Arial" w:eastAsia="Arial" w:hAnsi="Arial"/>
                <w:sz w:val="18"/>
                <w:szCs w:val="18"/>
                <w:color w:val="auto"/>
              </w:rPr>
              <w:t>4,226A</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48,762</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871</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8,719A</w:t>
            </w: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9,590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17,351</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960" w:type="dxa"/>
            <w:vAlign w:val="bottom"/>
          </w:tcPr>
          <w:p>
            <w:pPr>
              <w:ind w:left="540"/>
              <w:spacing w:after="0" w:line="201" w:lineRule="exact"/>
              <w:rPr>
                <w:sz w:val="20"/>
                <w:szCs w:val="20"/>
                <w:color w:val="auto"/>
              </w:rPr>
            </w:pPr>
            <w:r>
              <w:rPr>
                <w:rFonts w:ascii="Arial" w:cs="Arial" w:eastAsia="Arial" w:hAnsi="Arial"/>
                <w:sz w:val="18"/>
                <w:szCs w:val="18"/>
                <w:color w:val="auto"/>
              </w:rPr>
              <w:t>Excess tax benefits from stock-based</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960" w:type="dxa"/>
            <w:vAlign w:val="bottom"/>
          </w:tcPr>
          <w:p>
            <w:pPr>
              <w:ind w:left="720"/>
              <w:spacing w:after="0"/>
              <w:rPr>
                <w:sz w:val="20"/>
                <w:szCs w:val="20"/>
                <w:color w:val="auto"/>
              </w:rPr>
            </w:pPr>
            <w:r>
              <w:rPr>
                <w:rFonts w:ascii="Arial" w:cs="Arial" w:eastAsia="Arial" w:hAnsi="Arial"/>
                <w:sz w:val="18"/>
                <w:szCs w:val="18"/>
                <w:color w:val="auto"/>
              </w:rPr>
              <w:t>compensation</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(697)</w:t>
            </w:r>
          </w:p>
        </w:tc>
        <w:tc>
          <w:tcPr>
            <w:tcW w:w="100" w:type="dxa"/>
            <w:vAlign w:val="bottom"/>
          </w:tcPr>
          <w:p>
            <w:pPr>
              <w:spacing w:after="0"/>
              <w:rPr>
                <w:sz w:val="20"/>
                <w:szCs w:val="20"/>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(697)</w:t>
            </w:r>
          </w:p>
        </w:tc>
        <w:tc>
          <w:tcPr>
            <w:tcW w:w="100" w:type="dxa"/>
            <w:vAlign w:val="bottom"/>
          </w:tcPr>
          <w:p>
            <w:pPr>
              <w:spacing w:after="0"/>
              <w:rPr>
                <w:sz w:val="20"/>
                <w:szCs w:val="20"/>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3960" w:type="dxa"/>
            <w:vAlign w:val="bottom"/>
            <w:shd w:val="clear" w:color="auto" w:fill="CCEEFF"/>
          </w:tcPr>
          <w:p>
            <w:pPr>
              <w:ind w:left="540"/>
              <w:spacing w:after="0" w:line="201" w:lineRule="exact"/>
              <w:rPr>
                <w:sz w:val="20"/>
                <w:szCs w:val="20"/>
                <w:color w:val="auto"/>
              </w:rPr>
            </w:pPr>
            <w:r>
              <w:rPr>
                <w:rFonts w:ascii="Arial" w:cs="Arial" w:eastAsia="Arial" w:hAnsi="Arial"/>
                <w:sz w:val="18"/>
                <w:szCs w:val="18"/>
                <w:color w:val="auto"/>
              </w:rPr>
              <w:t>Changes in assets and liabilities, net of</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9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acquisition:</w:t>
            </w:r>
          </w:p>
        </w:tc>
        <w:tc>
          <w:tcPr>
            <w:tcW w:w="1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4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720"/>
              <w:spacing w:after="0"/>
              <w:rPr>
                <w:sz w:val="20"/>
                <w:szCs w:val="20"/>
                <w:color w:val="auto"/>
              </w:rPr>
            </w:pPr>
            <w:r>
              <w:rPr>
                <w:rFonts w:ascii="Arial" w:cs="Arial" w:eastAsia="Arial" w:hAnsi="Arial"/>
                <w:sz w:val="18"/>
                <w:szCs w:val="18"/>
                <w:color w:val="auto"/>
              </w:rPr>
              <w:t>Accounts receivable</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(48,372)</w:t>
            </w:r>
          </w:p>
        </w:tc>
        <w:tc>
          <w:tcPr>
            <w:tcW w:w="100" w:type="dxa"/>
            <w:vAlign w:val="bottom"/>
          </w:tcPr>
          <w:p>
            <w:pPr>
              <w:spacing w:after="0"/>
              <w:rPr>
                <w:sz w:val="18"/>
                <w:szCs w:val="18"/>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(48,372)</w:t>
            </w:r>
          </w:p>
        </w:tc>
        <w:tc>
          <w:tcPr>
            <w:tcW w:w="100" w:type="dxa"/>
            <w:vAlign w:val="bottom"/>
          </w:tcPr>
          <w:p>
            <w:pPr>
              <w:spacing w:after="0"/>
              <w:rPr>
                <w:sz w:val="18"/>
                <w:szCs w:val="18"/>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(4,189)</w:t>
            </w:r>
          </w:p>
        </w:tc>
        <w:tc>
          <w:tcPr>
            <w:tcW w:w="100" w:type="dxa"/>
            <w:vAlign w:val="bottom"/>
          </w:tcPr>
          <w:p>
            <w:pPr>
              <w:spacing w:after="0"/>
              <w:rPr>
                <w:sz w:val="18"/>
                <w:szCs w:val="18"/>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(4,189)</w:t>
            </w: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Inventories</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8,729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8,729</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15,664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15,664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720"/>
              <w:spacing w:after="0"/>
              <w:rPr>
                <w:sz w:val="20"/>
                <w:szCs w:val="20"/>
                <w:color w:val="auto"/>
              </w:rPr>
            </w:pPr>
            <w:r>
              <w:rPr>
                <w:rFonts w:ascii="Arial" w:cs="Arial" w:eastAsia="Arial" w:hAnsi="Arial"/>
                <w:sz w:val="18"/>
                <w:szCs w:val="18"/>
                <w:color w:val="auto"/>
              </w:rPr>
              <w:t>Prepaid expenses and other assets</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(25,799)</w:t>
            </w:r>
          </w:p>
        </w:tc>
        <w:tc>
          <w:tcPr>
            <w:tcW w:w="100" w:type="dxa"/>
            <w:vAlign w:val="bottom"/>
          </w:tcPr>
          <w:p>
            <w:pPr>
              <w:spacing w:after="0"/>
              <w:rPr>
                <w:sz w:val="18"/>
                <w:szCs w:val="18"/>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(25,799)</w:t>
            </w:r>
          </w:p>
        </w:tc>
        <w:tc>
          <w:tcPr>
            <w:tcW w:w="100" w:type="dxa"/>
            <w:vAlign w:val="bottom"/>
          </w:tcPr>
          <w:p>
            <w:pPr>
              <w:spacing w:after="0"/>
              <w:rPr>
                <w:sz w:val="18"/>
                <w:szCs w:val="18"/>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(43,800)</w:t>
            </w:r>
          </w:p>
        </w:tc>
        <w:tc>
          <w:tcPr>
            <w:tcW w:w="100" w:type="dxa"/>
            <w:vAlign w:val="bottom"/>
          </w:tcPr>
          <w:p>
            <w:pPr>
              <w:spacing w:after="0"/>
              <w:rPr>
                <w:sz w:val="18"/>
                <w:szCs w:val="18"/>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(43,800)</w:t>
            </w: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Accounts payable</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(45,868)</w:t>
            </w: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(45,868)</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(7,428)</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(7,428)</w:t>
            </w:r>
          </w:p>
        </w:tc>
        <w:tc>
          <w:tcPr>
            <w:tcW w:w="0" w:type="dxa"/>
            <w:vAlign w:val="bottom"/>
          </w:tcPr>
          <w:p>
            <w:pPr>
              <w:spacing w:after="0"/>
              <w:rPr>
                <w:sz w:val="1"/>
                <w:szCs w:val="1"/>
                <w:color w:val="auto"/>
              </w:rPr>
            </w:pPr>
          </w:p>
        </w:tc>
      </w:tr>
      <w:tr>
        <w:trPr>
          <w:trHeight w:val="216"/>
        </w:trPr>
        <w:tc>
          <w:tcPr>
            <w:tcW w:w="3960" w:type="dxa"/>
            <w:vAlign w:val="bottom"/>
          </w:tcPr>
          <w:p>
            <w:pPr>
              <w:ind w:left="720"/>
              <w:spacing w:after="0"/>
              <w:rPr>
                <w:sz w:val="20"/>
                <w:szCs w:val="20"/>
                <w:color w:val="auto"/>
              </w:rPr>
            </w:pPr>
            <w:r>
              <w:rPr>
                <w:rFonts w:ascii="Arial" w:cs="Arial" w:eastAsia="Arial" w:hAnsi="Arial"/>
                <w:sz w:val="18"/>
                <w:szCs w:val="18"/>
                <w:color w:val="auto"/>
              </w:rPr>
              <w:t>Accrued liabilities and other</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2,500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2,500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763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763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Accrued employee compensation</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(10,391)</w:t>
            </w: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2,169B</w:t>
            </w: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(8,222)</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(360)</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866B</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720"/>
              <w:spacing w:after="0"/>
              <w:rPr>
                <w:sz w:val="20"/>
                <w:szCs w:val="20"/>
                <w:color w:val="auto"/>
              </w:rPr>
            </w:pPr>
            <w:r>
              <w:rPr>
                <w:rFonts w:ascii="Arial" w:cs="Arial" w:eastAsia="Arial" w:hAnsi="Arial"/>
                <w:sz w:val="18"/>
                <w:szCs w:val="18"/>
                <w:color w:val="auto"/>
              </w:rPr>
              <w:t>Income taxes payable</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14,915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gridSpan w:val="2"/>
          </w:tcPr>
          <w:p>
            <w:pPr>
              <w:jc w:val="right"/>
              <w:ind w:right="300"/>
              <w:spacing w:after="0"/>
              <w:rPr>
                <w:sz w:val="20"/>
                <w:szCs w:val="20"/>
                <w:color w:val="auto"/>
              </w:rPr>
            </w:pPr>
            <w:r>
              <w:rPr>
                <w:rFonts w:ascii="Arial" w:cs="Arial" w:eastAsia="Arial" w:hAnsi="Arial"/>
                <w:sz w:val="18"/>
                <w:szCs w:val="18"/>
                <w:color w:val="auto"/>
              </w:rPr>
              <w:t>185C</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15,100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8,086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8,086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Deferred income</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(1,133)</w:t>
            </w: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(1,133)</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96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1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46,683</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46,683</w:t>
            </w:r>
          </w:p>
        </w:tc>
        <w:tc>
          <w:tcPr>
            <w:tcW w:w="26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68,904</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68,904</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39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180"/>
              <w:spacing w:after="0"/>
              <w:rPr>
                <w:sz w:val="20"/>
                <w:szCs w:val="20"/>
                <w:color w:val="auto"/>
              </w:rPr>
            </w:pPr>
            <w:r>
              <w:rPr>
                <w:rFonts w:ascii="Arial" w:cs="Arial" w:eastAsia="Arial" w:hAnsi="Arial"/>
                <w:sz w:val="18"/>
                <w:szCs w:val="18"/>
                <w:color w:val="auto"/>
              </w:rPr>
              <w:t>Cash paid for acquisition</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(24,008)</w:t>
            </w:r>
          </w:p>
        </w:tc>
        <w:tc>
          <w:tcPr>
            <w:tcW w:w="100" w:type="dxa"/>
            <w:vAlign w:val="bottom"/>
          </w:tcPr>
          <w:p>
            <w:pPr>
              <w:spacing w:after="0"/>
              <w:rPr>
                <w:sz w:val="18"/>
                <w:szCs w:val="18"/>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(24,008)</w:t>
            </w:r>
          </w:p>
        </w:tc>
        <w:tc>
          <w:tcPr>
            <w:tcW w:w="10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short-term</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180"/>
              <w:spacing w:after="0"/>
              <w:rPr>
                <w:sz w:val="20"/>
                <w:szCs w:val="20"/>
                <w:color w:val="auto"/>
              </w:rPr>
            </w:pPr>
            <w:r>
              <w:rPr>
                <w:rFonts w:ascii="Arial" w:cs="Arial" w:eastAsia="Arial" w:hAnsi="Arial"/>
                <w:sz w:val="18"/>
                <w:szCs w:val="18"/>
                <w:color w:val="auto"/>
              </w:rPr>
              <w:t>investments</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(57,405)</w:t>
            </w:r>
          </w:p>
        </w:tc>
        <w:tc>
          <w:tcPr>
            <w:tcW w:w="100" w:type="dxa"/>
            <w:vAlign w:val="bottom"/>
          </w:tcPr>
          <w:p>
            <w:pPr>
              <w:spacing w:after="0"/>
              <w:rPr>
                <w:sz w:val="18"/>
                <w:szCs w:val="18"/>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(57,405)</w:t>
            </w:r>
          </w:p>
        </w:tc>
        <w:tc>
          <w:tcPr>
            <w:tcW w:w="100" w:type="dxa"/>
            <w:vAlign w:val="bottom"/>
          </w:tcPr>
          <w:p>
            <w:pPr>
              <w:spacing w:after="0"/>
              <w:rPr>
                <w:sz w:val="18"/>
                <w:szCs w:val="18"/>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(99,018)</w:t>
            </w:r>
          </w:p>
        </w:tc>
        <w:tc>
          <w:tcPr>
            <w:tcW w:w="100" w:type="dxa"/>
            <w:vAlign w:val="bottom"/>
          </w:tcPr>
          <w:p>
            <w:pPr>
              <w:spacing w:after="0"/>
              <w:rPr>
                <w:sz w:val="18"/>
                <w:szCs w:val="18"/>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(99,018)</w:t>
            </w: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investments</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238,124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238,124</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48,051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48,051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180"/>
              <w:spacing w:after="0"/>
              <w:rPr>
                <w:sz w:val="20"/>
                <w:szCs w:val="20"/>
                <w:color w:val="auto"/>
              </w:rPr>
            </w:pPr>
            <w:r>
              <w:rPr>
                <w:rFonts w:ascii="Arial" w:cs="Arial" w:eastAsia="Arial" w:hAnsi="Arial"/>
                <w:sz w:val="18"/>
                <w:szCs w:val="18"/>
                <w:color w:val="auto"/>
              </w:rPr>
              <w:t>Acquisition costs</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(461)</w:t>
            </w:r>
          </w:p>
        </w:tc>
        <w:tc>
          <w:tcPr>
            <w:tcW w:w="100" w:type="dxa"/>
            <w:vAlign w:val="bottom"/>
          </w:tcPr>
          <w:p>
            <w:pPr>
              <w:spacing w:after="0"/>
              <w:rPr>
                <w:sz w:val="18"/>
                <w:szCs w:val="18"/>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(461)</w:t>
            </w:r>
          </w:p>
        </w:tc>
        <w:tc>
          <w:tcPr>
            <w:tcW w:w="10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property and equipment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(28,948)</w:t>
            </w: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(28,948)</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(18,395)</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(18,395)</w:t>
            </w:r>
          </w:p>
        </w:tc>
        <w:tc>
          <w:tcPr>
            <w:tcW w:w="0" w:type="dxa"/>
            <w:vAlign w:val="bottom"/>
          </w:tcPr>
          <w:p>
            <w:pPr>
              <w:spacing w:after="0"/>
              <w:rPr>
                <w:sz w:val="1"/>
                <w:szCs w:val="1"/>
                <w:color w:val="auto"/>
              </w:rPr>
            </w:pPr>
          </w:p>
        </w:tc>
      </w:tr>
      <w:tr>
        <w:trPr>
          <w:trHeight w:val="182"/>
        </w:trPr>
        <w:tc>
          <w:tcPr>
            <w:tcW w:w="3960" w:type="dxa"/>
            <w:vAlign w:val="bottom"/>
          </w:tcPr>
          <w:p>
            <w:pPr>
              <w:ind w:left="360"/>
              <w:spacing w:after="0" w:line="182" w:lineRule="exact"/>
              <w:rPr>
                <w:sz w:val="20"/>
                <w:szCs w:val="20"/>
                <w:color w:val="auto"/>
              </w:rPr>
            </w:pPr>
            <w:r>
              <w:rPr>
                <w:rFonts w:ascii="Arial" w:cs="Arial" w:eastAsia="Arial" w:hAnsi="Arial"/>
                <w:sz w:val="18"/>
                <w:szCs w:val="18"/>
                <w:color w:val="auto"/>
              </w:rPr>
              <w:t>Net cash provided by (used in) investing</w:t>
            </w:r>
          </w:p>
        </w:tc>
        <w:tc>
          <w:tcPr>
            <w:tcW w:w="18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800" w:type="dxa"/>
            <w:vAlign w:val="bottom"/>
            <w:tcBorders>
              <w:top w:val="single" w:sz="8" w:color="auto"/>
            </w:tcBorders>
          </w:tcPr>
          <w:p>
            <w:pPr>
              <w:spacing w:after="0"/>
              <w:rPr>
                <w:sz w:val="15"/>
                <w:szCs w:val="15"/>
                <w:color w:val="auto"/>
              </w:rPr>
            </w:pPr>
          </w:p>
        </w:tc>
        <w:tc>
          <w:tcPr>
            <w:tcW w:w="28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940" w:type="dxa"/>
            <w:vAlign w:val="bottom"/>
            <w:tcBorders>
              <w:top w:val="single" w:sz="8" w:color="auto"/>
            </w:tcBorders>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26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760" w:type="dxa"/>
            <w:vAlign w:val="bottom"/>
            <w:tcBorders>
              <w:top w:val="single" w:sz="8" w:color="auto"/>
            </w:tcBorders>
          </w:tcPr>
          <w:p>
            <w:pPr>
              <w:spacing w:after="0"/>
              <w:rPr>
                <w:sz w:val="15"/>
                <w:szCs w:val="15"/>
                <w:color w:val="auto"/>
              </w:rPr>
            </w:pPr>
          </w:p>
        </w:tc>
        <w:tc>
          <w:tcPr>
            <w:tcW w:w="280" w:type="dxa"/>
            <w:vAlign w:val="bottom"/>
          </w:tcPr>
          <w:p>
            <w:pPr>
              <w:spacing w:after="0"/>
              <w:rPr>
                <w:sz w:val="15"/>
                <w:szCs w:val="15"/>
                <w:color w:val="auto"/>
              </w:rPr>
            </w:pPr>
          </w:p>
        </w:tc>
        <w:tc>
          <w:tcPr>
            <w:tcW w:w="100" w:type="dxa"/>
            <w:vAlign w:val="bottom"/>
            <w:tcBorders>
              <w:top w:val="single" w:sz="8" w:color="auto"/>
            </w:tcBorders>
          </w:tcPr>
          <w:p>
            <w:pPr>
              <w:spacing w:after="0"/>
              <w:rPr>
                <w:sz w:val="15"/>
                <w:szCs w:val="15"/>
                <w:color w:val="auto"/>
              </w:rPr>
            </w:pPr>
          </w:p>
        </w:tc>
        <w:tc>
          <w:tcPr>
            <w:tcW w:w="900" w:type="dxa"/>
            <w:vAlign w:val="bottom"/>
            <w:tcBorders>
              <w:top w:val="single" w:sz="8" w:color="auto"/>
            </w:tcBorders>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Borders>
              <w:top w:val="single" w:sz="8" w:color="auto"/>
            </w:tcBorders>
          </w:tcPr>
          <w:p>
            <w:pPr>
              <w:spacing w:after="0"/>
              <w:rPr>
                <w:sz w:val="15"/>
                <w:szCs w:val="15"/>
                <w:color w:val="auto"/>
              </w:rPr>
            </w:pPr>
          </w:p>
        </w:tc>
        <w:tc>
          <w:tcPr>
            <w:tcW w:w="740" w:type="dxa"/>
            <w:vAlign w:val="bottom"/>
            <w:tcBorders>
              <w:top w:val="single" w:sz="8" w:color="auto"/>
            </w:tcBorders>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960" w:type="dxa"/>
            <w:vAlign w:val="bottom"/>
          </w:tcPr>
          <w:p>
            <w:pPr>
              <w:ind w:left="540"/>
              <w:spacing w:after="0"/>
              <w:rPr>
                <w:sz w:val="20"/>
                <w:szCs w:val="20"/>
                <w:color w:val="auto"/>
              </w:rPr>
            </w:pPr>
            <w:r>
              <w:rPr>
                <w:rFonts w:ascii="Arial" w:cs="Arial" w:eastAsia="Arial" w:hAnsi="Arial"/>
                <w:sz w:val="18"/>
                <w:szCs w:val="18"/>
                <w:color w:val="auto"/>
              </w:rPr>
              <w:t>activities</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127,302</w:t>
            </w: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127,302</w:t>
            </w:r>
          </w:p>
        </w:tc>
        <w:tc>
          <w:tcPr>
            <w:tcW w:w="2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(69,362)</w:t>
            </w:r>
          </w:p>
        </w:tc>
        <w:tc>
          <w:tcPr>
            <w:tcW w:w="100" w:type="dxa"/>
            <w:vAlign w:val="bottom"/>
          </w:tcPr>
          <w:p>
            <w:pPr>
              <w:spacing w:after="0"/>
              <w:rPr>
                <w:sz w:val="20"/>
                <w:szCs w:val="20"/>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(69,362)</w:t>
            </w:r>
          </w:p>
        </w:tc>
        <w:tc>
          <w:tcPr>
            <w:tcW w:w="0" w:type="dxa"/>
            <w:vAlign w:val="bottom"/>
          </w:tcPr>
          <w:p>
            <w:pPr>
              <w:spacing w:after="0"/>
              <w:rPr>
                <w:sz w:val="1"/>
                <w:szCs w:val="1"/>
                <w:color w:val="auto"/>
              </w:rPr>
            </w:pPr>
          </w:p>
        </w:tc>
      </w:tr>
      <w:tr>
        <w:trPr>
          <w:trHeight w:val="196"/>
        </w:trPr>
        <w:tc>
          <w:tcPr>
            <w:tcW w:w="39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94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180"/>
              <w:spacing w:after="0"/>
              <w:rPr>
                <w:sz w:val="20"/>
                <w:szCs w:val="20"/>
                <w:color w:val="auto"/>
              </w:rPr>
            </w:pPr>
            <w:r>
              <w:rPr>
                <w:rFonts w:ascii="Arial" w:cs="Arial" w:eastAsia="Arial" w:hAnsi="Arial"/>
                <w:sz w:val="18"/>
                <w:szCs w:val="18"/>
                <w:color w:val="auto"/>
              </w:rPr>
              <w:t>Proceeds from the issuance of common stock</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10,904</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10,904</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20,119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20,119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obligations</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(4,628)</w:t>
            </w: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(4,628)</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(3,156)</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(3,156)</w:t>
            </w:r>
          </w:p>
        </w:tc>
        <w:tc>
          <w:tcPr>
            <w:tcW w:w="0" w:type="dxa"/>
            <w:vAlign w:val="bottom"/>
          </w:tcPr>
          <w:p>
            <w:pPr>
              <w:spacing w:after="0"/>
              <w:rPr>
                <w:sz w:val="1"/>
                <w:szCs w:val="1"/>
                <w:color w:val="auto"/>
              </w:rPr>
            </w:pPr>
          </w:p>
        </w:tc>
      </w:tr>
      <w:tr>
        <w:trPr>
          <w:trHeight w:val="202"/>
        </w:trPr>
        <w:tc>
          <w:tcPr>
            <w:tcW w:w="3960" w:type="dxa"/>
            <w:vAlign w:val="bottom"/>
          </w:tcPr>
          <w:p>
            <w:pPr>
              <w:ind w:left="180"/>
              <w:spacing w:after="0" w:line="201" w:lineRule="exact"/>
              <w:rPr>
                <w:sz w:val="20"/>
                <w:szCs w:val="20"/>
                <w:color w:val="auto"/>
              </w:rPr>
            </w:pPr>
            <w:r>
              <w:rPr>
                <w:rFonts w:ascii="Arial" w:cs="Arial" w:eastAsia="Arial" w:hAnsi="Arial"/>
                <w:sz w:val="18"/>
                <w:szCs w:val="18"/>
                <w:color w:val="auto"/>
              </w:rPr>
              <w:t>Excess tax benefits from stock- based</w:t>
            </w: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960" w:type="dxa"/>
            <w:vAlign w:val="bottom"/>
          </w:tcPr>
          <w:p>
            <w:pPr>
              <w:ind w:left="360"/>
              <w:spacing w:after="0"/>
              <w:rPr>
                <w:sz w:val="20"/>
                <w:szCs w:val="20"/>
                <w:color w:val="auto"/>
              </w:rPr>
            </w:pPr>
            <w:r>
              <w:rPr>
                <w:rFonts w:ascii="Arial" w:cs="Arial" w:eastAsia="Arial" w:hAnsi="Arial"/>
                <w:sz w:val="18"/>
                <w:szCs w:val="18"/>
                <w:color w:val="auto"/>
              </w:rPr>
              <w:t>compensation</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697</w:t>
            </w: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6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697</w:t>
            </w:r>
          </w:p>
        </w:tc>
        <w:tc>
          <w:tcPr>
            <w:tcW w:w="2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3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396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Net cash provided by financing activities</w:t>
            </w: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6,973</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6,973</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16,963</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16,963</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960" w:type="dxa"/>
            <w:vAlign w:val="bottom"/>
          </w:tcPr>
          <w:p>
            <w:pPr>
              <w:spacing w:after="0"/>
              <w:rPr>
                <w:sz w:val="20"/>
                <w:szCs w:val="20"/>
                <w:color w:val="auto"/>
              </w:rPr>
            </w:pPr>
            <w:r>
              <w:rPr>
                <w:rFonts w:ascii="Arial" w:cs="Arial" w:eastAsia="Arial" w:hAnsi="Arial"/>
                <w:sz w:val="18"/>
                <w:szCs w:val="18"/>
                <w:color w:val="auto"/>
                <w:w w:val="92"/>
              </w:rPr>
              <w:t>Net increase (decrease) in cash and cash equivalents</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180,958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180,958</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16,505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16,505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w w:val="99"/>
              </w:rPr>
              <w:t>Cash and cash equivalents at beginning of period</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166,471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96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8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529,389</w:t>
            </w:r>
          </w:p>
        </w:tc>
        <w:tc>
          <w:tcPr>
            <w:tcW w:w="28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529,389</w:t>
            </w:r>
          </w:p>
        </w:tc>
        <w:tc>
          <w:tcPr>
            <w:tcW w:w="26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182,976</w:t>
            </w:r>
          </w:p>
        </w:tc>
        <w:tc>
          <w:tcPr>
            <w:tcW w:w="28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182,976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171450</wp:posOffset>
            </wp:positionV>
            <wp:extent cx="138938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357" w:lineRule="exact"/>
        <w:rPr>
          <w:sz w:val="20"/>
          <w:szCs w:val="20"/>
          <w:color w:val="auto"/>
        </w:rPr>
      </w:pPr>
    </w:p>
    <w:p>
      <w:pPr>
        <w:ind w:left="340" w:hanging="332"/>
        <w:spacing w:after="0"/>
        <w:tabs>
          <w:tab w:leader="none" w:pos="3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Adjustments for additional stock-based compensation expense pursuant to APB 25.</w:t>
      </w:r>
    </w:p>
    <w:p>
      <w:pPr>
        <w:spacing w:after="0" w:line="23" w:lineRule="exact"/>
        <w:rPr>
          <w:rFonts w:ascii="Arial" w:cs="Arial" w:eastAsia="Arial" w:hAnsi="Arial"/>
          <w:sz w:val="18"/>
          <w:szCs w:val="18"/>
          <w:color w:val="auto"/>
        </w:rPr>
      </w:pPr>
    </w:p>
    <w:p>
      <w:pPr>
        <w:ind w:left="320" w:hanging="312"/>
        <w:spacing w:after="0"/>
        <w:tabs>
          <w:tab w:leader="none" w:pos="3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Adjustments for additional payroll tax.</w:t>
      </w:r>
    </w:p>
    <w:p>
      <w:pPr>
        <w:spacing w:after="0" w:line="9" w:lineRule="exact"/>
        <w:rPr>
          <w:rFonts w:ascii="Arial" w:cs="Arial" w:eastAsia="Arial" w:hAnsi="Arial"/>
          <w:sz w:val="18"/>
          <w:szCs w:val="18"/>
          <w:color w:val="auto"/>
        </w:rPr>
      </w:pPr>
    </w:p>
    <w:p>
      <w:pPr>
        <w:ind w:left="320" w:hanging="312"/>
        <w:spacing w:after="0"/>
        <w:tabs>
          <w:tab w:leader="none" w:pos="3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Adjustments for income taxes payable.</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60"/>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140" w:firstLine="324"/>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27, 2007, as filed concurrently with this Form 10-Q/A with the U.S. Securities and Exchange Commission. There have been no material changes in any of our accounting policies during fiscal 2007.</w:t>
      </w:r>
    </w:p>
    <w:p>
      <w:pPr>
        <w:sectPr>
          <w:pgSz w:w="11900" w:h="16838" w:orient="portrait"/>
          <w:cols w:equalWidth="0" w:num="1">
            <w:col w:w="11420"/>
          </w:cols>
          <w:pgMar w:left="240" w:top="125" w:right="239" w:bottom="0" w:gutter="0" w:footer="0" w:header="0"/>
        </w:sectPr>
      </w:pPr>
    </w:p>
    <w:bookmarkStart w:id="35" w:name="page36"/>
    <w:bookmarkEnd w:id="35"/>
    <w:p>
      <w:pPr>
        <w:ind w:right="20" w:firstLine="324"/>
        <w:spacing w:after="0" w:line="290" w:lineRule="auto"/>
        <w:rPr>
          <w:sz w:val="20"/>
          <w:szCs w:val="20"/>
          <w:color w:val="auto"/>
        </w:rPr>
      </w:pPr>
      <w:r>
        <w:rPr>
          <w:rFonts w:ascii="Arial" w:cs="Arial" w:eastAsia="Arial" w:hAnsi="Arial"/>
          <w:sz w:val="16"/>
          <w:szCs w:val="16"/>
          <w:i w:val="1"/>
          <w:iCs w:val="1"/>
          <w:color w:val="auto"/>
        </w:rPr>
        <w:t xml:space="preserve">Stock-Based Compensation. </w:t>
      </w:r>
      <w:r>
        <w:rPr>
          <w:rFonts w:ascii="Arial" w:cs="Arial" w:eastAsia="Arial" w:hAnsi="Arial"/>
          <w:sz w:val="16"/>
          <w:szCs w:val="16"/>
          <w:color w:val="auto"/>
        </w:rPr>
        <w:t>Effective January 29, 2006, we adopted FASB Statement of Financial Accounting Standards No. 123 (revised 2004), “Share</w:t>
      </w:r>
      <w:r>
        <w:rPr>
          <w:rFonts w:ascii="Arial" w:cs="Arial" w:eastAsia="Arial" w:hAnsi="Arial"/>
          <w:sz w:val="16"/>
          <w:szCs w:val="16"/>
          <w:i w:val="1"/>
          <w:iCs w:val="1"/>
          <w:color w:val="auto"/>
        </w:rPr>
        <w:t xml:space="preserve"> </w:t>
      </w:r>
      <w:r>
        <w:rPr>
          <w:rFonts w:ascii="Arial" w:cs="Arial" w:eastAsia="Arial" w:hAnsi="Arial"/>
          <w:sz w:val="16"/>
          <w:szCs w:val="16"/>
          <w:color w:val="auto"/>
        </w:rPr>
        <w:t>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We have applied the provisions of SAB 107 in our adoption of SFAS 123R.</w:t>
      </w:r>
    </w:p>
    <w:p>
      <w:pPr>
        <w:spacing w:after="0" w:line="166"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Prior to January 29, 2006, we accounted for our stock based compensation plans using the intrinsic value method under the provisions of APB 25 and related guidance, under the accelerated method of amortization. We adopted SFAS 123R using the modified prospective method. Under the modified prospective method, our results of operations include compensation costs of unvested options granted prior to January 29, 2006, and options granted subsequent to that date. For grants prior to January 29, 2006, we amortize stock-based compensation expense under the accelerated method. For grants from January 29, 2006, we amortize stock-based compensation expense ratably over the vest term.</w:t>
      </w:r>
    </w:p>
    <w:p>
      <w:pPr>
        <w:spacing w:after="0" w:line="188" w:lineRule="exact"/>
        <w:rPr>
          <w:sz w:val="20"/>
          <w:szCs w:val="20"/>
          <w:color w:val="auto"/>
        </w:rPr>
      </w:pPr>
    </w:p>
    <w:p>
      <w:pPr>
        <w:ind w:firstLine="324"/>
        <w:spacing w:after="0" w:line="264" w:lineRule="auto"/>
        <w:rPr>
          <w:sz w:val="20"/>
          <w:szCs w:val="20"/>
          <w:color w:val="auto"/>
        </w:rPr>
      </w:pPr>
      <w:r>
        <w:rPr>
          <w:rFonts w:ascii="Arial" w:cs="Arial" w:eastAsia="Arial" w:hAnsi="Arial"/>
          <w:sz w:val="18"/>
          <w:szCs w:val="18"/>
          <w:color w:val="auto"/>
        </w:rPr>
        <w:t>As a result of the adoption of SFAS 123R, our stock-based compensation increased from $9.6 million in the first quarter of fiscal 2006 to $48.8 million in the first quarter of fiscal 2007. In accordance with the modified prospective method, the consolidated financial statements for prior periods have not been restated to reflect, and do not include, the impact of SFAS 123R.</w:t>
      </w:r>
    </w:p>
    <w:p>
      <w:pPr>
        <w:spacing w:after="0" w:line="181" w:lineRule="exact"/>
        <w:rPr>
          <w:sz w:val="20"/>
          <w:szCs w:val="20"/>
          <w:color w:val="auto"/>
        </w:rPr>
      </w:pPr>
    </w:p>
    <w:p>
      <w:pPr>
        <w:ind w:right="80" w:firstLine="324"/>
        <w:spacing w:after="0" w:line="272" w:lineRule="auto"/>
        <w:rPr>
          <w:sz w:val="20"/>
          <w:szCs w:val="20"/>
          <w:color w:val="auto"/>
        </w:rPr>
      </w:pPr>
      <w:r>
        <w:rPr>
          <w:rFonts w:ascii="Arial" w:cs="Arial" w:eastAsia="Arial" w:hAnsi="Arial"/>
          <w:sz w:val="17"/>
          <w:szCs w:val="17"/>
          <w:color w:val="auto"/>
        </w:rPr>
        <w:t>SFAS 123R requires companies to estimate the fair value of share-based payment awards on the date of grant using an option-pricing model. The value of the portion of the award that is ultimately expected to vest is recognized as expense over the requisite service periods. We have estimated the fair value of each award as of the date of grant using the Black-Scholes option pricing model, which was developed for use in estimating the value of traded options that have no vesting restrictions and that are freely transferable. The Black-Scholes model considers, among other factors, the expected life of the award and the expected volatility of our stock price. Although the Black-Scholes model meets the requirements of SFAS 123R and SAB 107, the fair values generated by the model may not be indicative of the actual fair values of our awards as it does not consider other factors important to those share-based payment awards, such as continued employment, periodic vesting requirements, and limited transferability.</w:t>
      </w:r>
    </w:p>
    <w:p>
      <w:pPr>
        <w:spacing w:after="0" w:line="178" w:lineRule="exact"/>
        <w:rPr>
          <w:sz w:val="20"/>
          <w:szCs w:val="20"/>
          <w:color w:val="auto"/>
        </w:rPr>
      </w:pPr>
    </w:p>
    <w:p>
      <w:pPr>
        <w:ind w:right="180" w:firstLine="324"/>
        <w:spacing w:after="0" w:line="259"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Prior to the adoption of SFAS 123R, we presented deferred compensation as a separate component of shareholders’ equity. In accordance with the provisions of SFAS 123R, on January 29, 2006, we eliminated unamortized deferred compensation totaling $62.0 million on that date with a corresponding reduction in additional paid-in capital.</w:t>
      </w:r>
    </w:p>
    <w:p>
      <w:pPr>
        <w:spacing w:after="0" w:line="181" w:lineRule="exact"/>
        <w:rPr>
          <w:sz w:val="20"/>
          <w:szCs w:val="20"/>
          <w:color w:val="auto"/>
        </w:rPr>
      </w:pPr>
    </w:p>
    <w:p>
      <w:pPr>
        <w:ind w:right="140" w:firstLine="324"/>
        <w:spacing w:after="0" w:line="257"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w:t>
      </w:r>
      <w:r>
        <w:rPr>
          <w:rFonts w:ascii="Arial" w:cs="Arial" w:eastAsia="Arial" w:hAnsi="Arial"/>
          <w:sz w:val="18"/>
          <w:szCs w:val="18"/>
          <w:i w:val="1"/>
          <w:iCs w:val="1"/>
          <w:color w:val="auto"/>
        </w:rPr>
        <w:t xml:space="preserve"> </w:t>
      </w:r>
      <w:r>
        <w:rPr>
          <w:rFonts w:ascii="Arial" w:cs="Arial" w:eastAsia="Arial" w:hAnsi="Arial"/>
          <w:sz w:val="18"/>
          <w:szCs w:val="18"/>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188"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Significant management judgment is required in determining current and long-term tax payable, deferred tax assets and liabilities and any valuation allowance recorded against net deferred tax assets. We have recorded a valuation allowance against our net deferred tax assets due to uncertainties related to our ability to realize some of our deferred tax assets before the underlying tax attributes expire primarily related to our ability to utilize research and development tax credits and certain acquired net operating losses. The valuation allowance determination is based on an evaluation of all available positive and negative evidence in determining our estimates of taxable income in the jurisdictions in which we operate and the period over which our deferred tax assets will be recoverable.</w:t>
      </w:r>
    </w:p>
    <w:p>
      <w:pPr>
        <w:spacing w:after="0" w:line="193" w:lineRule="exact"/>
        <w:rPr>
          <w:sz w:val="20"/>
          <w:szCs w:val="20"/>
          <w:color w:val="auto"/>
        </w:rPr>
      </w:pPr>
    </w:p>
    <w:p>
      <w:pPr>
        <w:ind w:right="40" w:firstLine="324"/>
        <w:spacing w:after="0" w:line="276" w:lineRule="auto"/>
        <w:rPr>
          <w:sz w:val="20"/>
          <w:szCs w:val="20"/>
          <w:color w:val="auto"/>
        </w:rPr>
      </w:pPr>
      <w:r>
        <w:rPr>
          <w:rFonts w:ascii="Arial" w:cs="Arial" w:eastAsia="Arial" w:hAnsi="Arial"/>
          <w:sz w:val="17"/>
          <w:szCs w:val="17"/>
          <w:color w:val="auto"/>
        </w:rPr>
        <w:t>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73" w:lineRule="exact"/>
        <w:rPr>
          <w:sz w:val="20"/>
          <w:szCs w:val="20"/>
          <w:color w:val="auto"/>
        </w:rPr>
      </w:pPr>
    </w:p>
    <w:p>
      <w:pPr>
        <w:ind w:right="320" w:firstLine="324"/>
        <w:spacing w:after="0" w:line="308" w:lineRule="auto"/>
        <w:rPr>
          <w:sz w:val="20"/>
          <w:szCs w:val="20"/>
          <w:color w:val="auto"/>
        </w:rPr>
      </w:pPr>
      <w:r>
        <w:rPr>
          <w:rFonts w:ascii="Arial" w:cs="Arial" w:eastAsia="Arial" w:hAnsi="Arial"/>
          <w:sz w:val="17"/>
          <w:szCs w:val="17"/>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49"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240" w:type="dxa"/>
            <w:vAlign w:val="bottom"/>
          </w:tcPr>
          <w:p>
            <w:pPr>
              <w:spacing w:after="0"/>
              <w:rPr>
                <w:sz w:val="14"/>
                <w:szCs w:val="14"/>
                <w:color w:val="auto"/>
              </w:rPr>
            </w:pPr>
          </w:p>
        </w:tc>
        <w:tc>
          <w:tcPr>
            <w:tcW w:w="3080" w:type="dxa"/>
            <w:vAlign w:val="bottom"/>
            <w:tcBorders>
              <w:bottom w:val="single" w:sz="8" w:color="auto"/>
            </w:tcBorders>
            <w:gridSpan w:val="4"/>
          </w:tcPr>
          <w:p>
            <w:pPr>
              <w:ind w:left="112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02"/>
        </w:trPr>
        <w:tc>
          <w:tcPr>
            <w:tcW w:w="20" w:type="dxa"/>
            <w:vAlign w:val="bottom"/>
          </w:tcPr>
          <w:p>
            <w:pPr>
              <w:spacing w:after="0"/>
              <w:rPr>
                <w:sz w:val="8"/>
                <w:szCs w:val="8"/>
                <w:color w:val="auto"/>
              </w:rPr>
            </w:pPr>
          </w:p>
        </w:tc>
        <w:tc>
          <w:tcPr>
            <w:tcW w:w="3240" w:type="dxa"/>
            <w:vAlign w:val="bottom"/>
          </w:tcPr>
          <w:p>
            <w:pPr>
              <w:spacing w:after="0"/>
              <w:rPr>
                <w:sz w:val="8"/>
                <w:szCs w:val="8"/>
                <w:color w:val="auto"/>
              </w:rPr>
            </w:pPr>
          </w:p>
        </w:tc>
        <w:tc>
          <w:tcPr>
            <w:tcW w:w="1200" w:type="dxa"/>
            <w:vAlign w:val="bottom"/>
          </w:tcPr>
          <w:p>
            <w:pPr>
              <w:jc w:val="center"/>
              <w:ind w:left="393"/>
              <w:spacing w:after="0" w:line="102" w:lineRule="exact"/>
              <w:rPr>
                <w:sz w:val="20"/>
                <w:szCs w:val="20"/>
                <w:color w:val="auto"/>
              </w:rPr>
            </w:pPr>
            <w:r>
              <w:rPr>
                <w:rFonts w:ascii="Arial" w:cs="Arial" w:eastAsia="Arial" w:hAnsi="Arial"/>
                <w:sz w:val="11"/>
                <w:szCs w:val="11"/>
                <w:b w:val="1"/>
                <w:bCs w:val="1"/>
                <w:color w:val="auto"/>
              </w:rPr>
              <w:t>April 29,</w:t>
            </w: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180" w:type="dxa"/>
            <w:vAlign w:val="bottom"/>
          </w:tcPr>
          <w:p>
            <w:pPr>
              <w:jc w:val="center"/>
              <w:ind w:left="416"/>
              <w:spacing w:after="0" w:line="102" w:lineRule="exact"/>
              <w:rPr>
                <w:sz w:val="20"/>
                <w:szCs w:val="20"/>
                <w:color w:val="auto"/>
              </w:rPr>
            </w:pPr>
            <w:r>
              <w:rPr>
                <w:rFonts w:ascii="Arial" w:cs="Arial" w:eastAsia="Arial" w:hAnsi="Arial"/>
                <w:sz w:val="11"/>
                <w:szCs w:val="11"/>
                <w:b w:val="1"/>
                <w:bCs w:val="1"/>
                <w:color w:val="auto"/>
              </w:rPr>
              <w:t>April 30,</w:t>
            </w: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r>
      <w:tr>
        <w:trPr>
          <w:trHeight w:val="162"/>
        </w:trPr>
        <w:tc>
          <w:tcPr>
            <w:tcW w:w="4460" w:type="dxa"/>
            <w:vAlign w:val="bottom"/>
            <w:gridSpan w:val="3"/>
          </w:tcPr>
          <w:p>
            <w:pPr>
              <w:jc w:val="center"/>
              <w:ind w:left="3648"/>
              <w:spacing w:after="0"/>
              <w:rPr>
                <w:sz w:val="20"/>
                <w:szCs w:val="20"/>
                <w:color w:val="auto"/>
              </w:rPr>
            </w:pPr>
            <w:r>
              <w:rPr>
                <w:rFonts w:ascii="Arial" w:cs="Arial" w:eastAsia="Arial" w:hAnsi="Arial"/>
                <w:sz w:val="14"/>
                <w:szCs w:val="14"/>
                <w:b w:val="1"/>
                <w:bCs w:val="1"/>
                <w:color w:val="auto"/>
                <w:w w:val="96"/>
              </w:rPr>
              <w:t>2006</w:t>
            </w:r>
          </w:p>
        </w:tc>
        <w:tc>
          <w:tcPr>
            <w:tcW w:w="1880" w:type="dxa"/>
            <w:vAlign w:val="bottom"/>
            <w:gridSpan w:val="3"/>
          </w:tcPr>
          <w:p>
            <w:pPr>
              <w:jc w:val="center"/>
              <w:ind w:left="1074"/>
              <w:spacing w:after="0"/>
              <w:rPr>
                <w:sz w:val="20"/>
                <w:szCs w:val="20"/>
                <w:color w:val="auto"/>
              </w:rPr>
            </w:pPr>
            <w:r>
              <w:rPr>
                <w:rFonts w:ascii="Arial" w:cs="Arial" w:eastAsia="Arial" w:hAnsi="Arial"/>
                <w:sz w:val="14"/>
                <w:szCs w:val="14"/>
                <w:b w:val="1"/>
                <w:bCs w:val="1"/>
                <w:color w:val="auto"/>
                <w:w w:val="89"/>
              </w:rPr>
              <w:t>2005</w:t>
            </w: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3240" w:type="dxa"/>
            <w:vAlign w:val="bottom"/>
          </w:tcPr>
          <w:p>
            <w:pPr>
              <w:spacing w:after="0"/>
              <w:rPr>
                <w:sz w:val="11"/>
                <w:szCs w:val="11"/>
                <w:color w:val="auto"/>
              </w:rPr>
            </w:pPr>
          </w:p>
        </w:tc>
        <w:tc>
          <w:tcPr>
            <w:tcW w:w="1200" w:type="dxa"/>
            <w:vAlign w:val="bottom"/>
            <w:tcBorders>
              <w:top w:val="single" w:sz="8" w:color="auto"/>
            </w:tcBorders>
          </w:tcPr>
          <w:p>
            <w:pPr>
              <w:jc w:val="center"/>
              <w:ind w:left="393"/>
              <w:spacing w:after="0" w:line="129" w:lineRule="exact"/>
              <w:rPr>
                <w:sz w:val="20"/>
                <w:szCs w:val="20"/>
                <w:color w:val="auto"/>
              </w:rPr>
            </w:pPr>
            <w:r>
              <w:rPr>
                <w:rFonts w:ascii="Arial" w:cs="Arial" w:eastAsia="Arial" w:hAnsi="Arial"/>
                <w:sz w:val="14"/>
                <w:szCs w:val="14"/>
                <w:b w:val="1"/>
                <w:bCs w:val="1"/>
                <w:color w:val="auto"/>
                <w:w w:val="90"/>
              </w:rPr>
              <w:t>(restated)</w:t>
            </w:r>
          </w:p>
        </w:tc>
        <w:tc>
          <w:tcPr>
            <w:tcW w:w="4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180" w:type="dxa"/>
            <w:vAlign w:val="bottom"/>
            <w:tcBorders>
              <w:top w:val="single" w:sz="8" w:color="auto"/>
            </w:tcBorders>
          </w:tcPr>
          <w:p>
            <w:pPr>
              <w:jc w:val="center"/>
              <w:ind w:left="416"/>
              <w:spacing w:after="0" w:line="129" w:lineRule="exact"/>
              <w:rPr>
                <w:sz w:val="20"/>
                <w:szCs w:val="20"/>
                <w:color w:val="auto"/>
              </w:rPr>
            </w:pPr>
            <w:r>
              <w:rPr>
                <w:rFonts w:ascii="Arial" w:cs="Arial" w:eastAsia="Arial" w:hAnsi="Arial"/>
                <w:sz w:val="14"/>
                <w:szCs w:val="14"/>
                <w:b w:val="1"/>
                <w:bCs w:val="1"/>
                <w:color w:val="auto"/>
                <w:w w:val="90"/>
              </w:rPr>
              <w:t>(restated)</w:t>
            </w:r>
          </w:p>
        </w:tc>
        <w:tc>
          <w:tcPr>
            <w:tcW w:w="50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7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8"/>
              </w:rPr>
              <w:t>100.0%</w:t>
            </w:r>
          </w:p>
        </w:tc>
        <w:tc>
          <w:tcPr>
            <w:tcW w:w="1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r>
      <w:tr>
        <w:trPr>
          <w:trHeight w:val="216"/>
        </w:trPr>
        <w:tc>
          <w:tcPr>
            <w:tcW w:w="20" w:type="dxa"/>
            <w:vAlign w:val="bottom"/>
          </w:tcPr>
          <w:p>
            <w:pPr>
              <w:spacing w:after="0"/>
              <w:rPr>
                <w:sz w:val="18"/>
                <w:szCs w:val="18"/>
                <w:color w:val="auto"/>
              </w:rPr>
            </w:pPr>
          </w:p>
        </w:tc>
        <w:tc>
          <w:tcPr>
            <w:tcW w:w="444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w:t>
            </w: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48.2</w:t>
            </w:r>
          </w:p>
        </w:tc>
        <w:tc>
          <w:tcPr>
            <w:tcW w:w="2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tcPr>
          <w:p>
            <w:pPr>
              <w:ind w:left="160"/>
              <w:spacing w:after="0"/>
              <w:rPr>
                <w:sz w:val="20"/>
                <w:szCs w:val="20"/>
                <w:color w:val="auto"/>
              </w:rPr>
            </w:pPr>
            <w:r>
              <w:rPr>
                <w:rFonts w:ascii="Arial" w:cs="Arial" w:eastAsia="Arial" w:hAnsi="Arial"/>
                <w:sz w:val="18"/>
                <w:szCs w:val="18"/>
                <w:color w:val="auto"/>
              </w:rPr>
              <w:t>Research and development</w:t>
            </w:r>
          </w:p>
        </w:tc>
        <w:tc>
          <w:tcPr>
            <w:tcW w:w="480" w:type="dxa"/>
            <w:vAlign w:val="bottom"/>
          </w:tcPr>
          <w:p>
            <w:pPr>
              <w:jc w:val="right"/>
              <w:spacing w:after="0"/>
              <w:rPr>
                <w:sz w:val="20"/>
                <w:szCs w:val="20"/>
                <w:color w:val="auto"/>
              </w:rPr>
            </w:pPr>
            <w:r>
              <w:rPr>
                <w:rFonts w:ascii="Arial" w:cs="Arial" w:eastAsia="Arial" w:hAnsi="Arial"/>
                <w:sz w:val="18"/>
                <w:szCs w:val="18"/>
                <w:color w:val="auto"/>
              </w:rPr>
              <w:t>24.8</w:t>
            </w: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21.4</w:t>
            </w:r>
          </w:p>
        </w:tc>
        <w:tc>
          <w:tcPr>
            <w:tcW w:w="2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w:t>
            </w: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w:t>
            </w:r>
          </w:p>
        </w:tc>
        <w:tc>
          <w:tcPr>
            <w:tcW w:w="200" w:type="dxa"/>
            <w:vAlign w:val="bottom"/>
            <w:shd w:val="clear" w:color="auto" w:fill="CCEEFF"/>
          </w:tcPr>
          <w:p>
            <w:pPr>
              <w:spacing w:after="0"/>
              <w:rPr>
                <w:sz w:val="18"/>
                <w:szCs w:val="18"/>
                <w:color w:val="auto"/>
              </w:rPr>
            </w:pPr>
          </w:p>
        </w:tc>
      </w:tr>
    </w:tbl>
    <w:p>
      <w:pPr>
        <w:sectPr>
          <w:pgSz w:w="11900" w:h="16838" w:orient="portrait"/>
          <w:cols w:equalWidth="0" w:num="1">
            <w:col w:w="11400"/>
          </w:cols>
          <w:pgMar w:left="240" w:top="125" w:right="259" w:bottom="0" w:gutter="0" w:footer="0" w:header="0"/>
        </w:sectPr>
      </w:pPr>
    </w:p>
    <w:bookmarkStart w:id="36" w:name="page37"/>
    <w:bookmarkEnd w:id="36"/>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80" w:type="dxa"/>
            <w:vAlign w:val="bottom"/>
          </w:tcPr>
          <w:p>
            <w:pPr>
              <w:spacing w:after="0"/>
              <w:rPr>
                <w:sz w:val="20"/>
                <w:szCs w:val="20"/>
                <w:color w:val="auto"/>
              </w:rPr>
            </w:pPr>
          </w:p>
        </w:tc>
        <w:tc>
          <w:tcPr>
            <w:tcW w:w="4220" w:type="dxa"/>
            <w:vAlign w:val="bottom"/>
            <w:gridSpan w:val="2"/>
          </w:tcPr>
          <w:p>
            <w:pPr>
              <w:ind w:left="160"/>
              <w:spacing w:after="0"/>
              <w:rPr>
                <w:sz w:val="20"/>
                <w:szCs w:val="20"/>
                <w:color w:val="auto"/>
              </w:rPr>
            </w:pPr>
            <w:r>
              <w:rPr>
                <w:rFonts w:ascii="Arial" w:cs="Arial" w:eastAsia="Arial" w:hAnsi="Arial"/>
                <w:sz w:val="18"/>
                <w:szCs w:val="18"/>
                <w:color w:val="auto"/>
              </w:rPr>
              <w:t>General and administrative</w:t>
            </w:r>
          </w:p>
        </w:tc>
        <w:tc>
          <w:tcPr>
            <w:tcW w:w="700" w:type="dxa"/>
            <w:vAlign w:val="bottom"/>
          </w:tcPr>
          <w:p>
            <w:pPr>
              <w:jc w:val="right"/>
              <w:spacing w:after="0"/>
              <w:rPr>
                <w:sz w:val="20"/>
                <w:szCs w:val="20"/>
                <w:color w:val="auto"/>
              </w:rPr>
            </w:pPr>
            <w:r>
              <w:rPr>
                <w:rFonts w:ascii="Arial" w:cs="Arial" w:eastAsia="Arial" w:hAnsi="Arial"/>
                <w:sz w:val="18"/>
                <w:szCs w:val="18"/>
                <w:color w:val="auto"/>
              </w:rPr>
              <w:t>3.6</w:t>
            </w:r>
          </w:p>
        </w:tc>
        <w:tc>
          <w:tcPr>
            <w:tcW w:w="220" w:type="dxa"/>
            <w:vAlign w:val="bottom"/>
          </w:tcPr>
          <w:p>
            <w:pPr>
              <w:spacing w:after="0"/>
              <w:rPr>
                <w:sz w:val="20"/>
                <w:szCs w:val="20"/>
                <w:color w:val="auto"/>
              </w:rPr>
            </w:pP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2.6</w:t>
            </w: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80" w:type="dxa"/>
            <w:vAlign w:val="bottom"/>
          </w:tcPr>
          <w:p>
            <w:pPr>
              <w:spacing w:after="0"/>
              <w:rPr>
                <w:sz w:val="17"/>
                <w:szCs w:val="17"/>
                <w:color w:val="auto"/>
              </w:rPr>
            </w:pPr>
          </w:p>
        </w:tc>
        <w:tc>
          <w:tcPr>
            <w:tcW w:w="4220" w:type="dxa"/>
            <w:vAlign w:val="bottom"/>
            <w:gridSpan w:val="2"/>
            <w:shd w:val="clear" w:color="auto" w:fill="CCEEFF"/>
          </w:tcPr>
          <w:p>
            <w:pPr>
              <w:ind w:left="160"/>
              <w:spacing w:after="0" w:line="201" w:lineRule="exact"/>
              <w:rPr>
                <w:sz w:val="20"/>
                <w:szCs w:val="20"/>
                <w:color w:val="auto"/>
              </w:rPr>
            </w:pPr>
            <w:r>
              <w:rPr>
                <w:rFonts w:ascii="Arial" w:cs="Arial" w:eastAsia="Arial" w:hAnsi="Arial"/>
                <w:sz w:val="18"/>
                <w:szCs w:val="18"/>
                <w:color w:val="auto"/>
              </w:rPr>
              <w:t>Amortization of acquired intangible</w:t>
            </w: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80" w:type="dxa"/>
            <w:vAlign w:val="bottom"/>
          </w:tcPr>
          <w:p>
            <w:pPr>
              <w:spacing w:after="0"/>
              <w:rPr>
                <w:sz w:val="20"/>
                <w:szCs w:val="20"/>
                <w:color w:val="auto"/>
              </w:rPr>
            </w:pPr>
          </w:p>
        </w:tc>
        <w:tc>
          <w:tcPr>
            <w:tcW w:w="42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assets</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220" w:type="dxa"/>
            <w:vAlign w:val="bottom"/>
            <w:shd w:val="clear" w:color="auto" w:fill="CCEEFF"/>
          </w:tcPr>
          <w:p>
            <w:pPr>
              <w:spacing w:after="0"/>
              <w:rPr>
                <w:sz w:val="20"/>
                <w:szCs w:val="20"/>
                <w:color w:val="auto"/>
              </w:rPr>
            </w:pP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380" w:type="dxa"/>
            <w:vAlign w:val="bottom"/>
          </w:tcPr>
          <w:p>
            <w:pPr>
              <w:spacing w:after="0"/>
              <w:rPr>
                <w:sz w:val="18"/>
                <w:szCs w:val="18"/>
                <w:color w:val="auto"/>
              </w:rPr>
            </w:pPr>
          </w:p>
        </w:tc>
        <w:tc>
          <w:tcPr>
            <w:tcW w:w="32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costs and expenses</w:t>
            </w:r>
          </w:p>
        </w:tc>
        <w:tc>
          <w:tcPr>
            <w:tcW w:w="980" w:type="dxa"/>
            <w:vAlign w:val="bottom"/>
            <w:tcBorders>
              <w:top w:val="single" w:sz="8" w:color="auto"/>
              <w:bottom w:val="single" w:sz="8" w:color="auto"/>
            </w:tcBorders>
          </w:tcPr>
          <w:p>
            <w:pPr>
              <w:spacing w:after="0"/>
              <w:rPr>
                <w:sz w:val="18"/>
                <w:szCs w:val="18"/>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85.2</w:t>
            </w:r>
          </w:p>
        </w:tc>
        <w:tc>
          <w:tcPr>
            <w:tcW w:w="220" w:type="dxa"/>
            <w:vAlign w:val="bottom"/>
            <w:tcBorders>
              <w:bottom w:val="single" w:sz="8" w:color="CCEEFF"/>
            </w:tcBorders>
          </w:tcPr>
          <w:p>
            <w:pPr>
              <w:spacing w:after="0"/>
              <w:rPr>
                <w:sz w:val="18"/>
                <w:szCs w:val="18"/>
                <w:color w:val="auto"/>
              </w:rPr>
            </w:pPr>
          </w:p>
        </w:tc>
        <w:tc>
          <w:tcPr>
            <w:tcW w:w="16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83.6</w:t>
            </w:r>
          </w:p>
        </w:tc>
        <w:tc>
          <w:tcPr>
            <w:tcW w:w="2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80" w:type="dxa"/>
            <w:vAlign w:val="bottom"/>
          </w:tcPr>
          <w:p>
            <w:pPr>
              <w:spacing w:after="0"/>
              <w:rPr>
                <w:sz w:val="18"/>
                <w:szCs w:val="18"/>
                <w:color w:val="auto"/>
              </w:rPr>
            </w:pPr>
          </w:p>
        </w:tc>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9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220" w:type="dxa"/>
            <w:vAlign w:val="bottom"/>
            <w:shd w:val="clear" w:color="auto" w:fill="CCEEFF"/>
          </w:tcPr>
          <w:p>
            <w:pPr>
              <w:spacing w:after="0"/>
              <w:rPr>
                <w:sz w:val="18"/>
                <w:szCs w:val="18"/>
                <w:color w:val="auto"/>
              </w:rPr>
            </w:pP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16.4</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tcPr>
          <w:p>
            <w:pPr>
              <w:spacing w:after="0"/>
              <w:rPr>
                <w:sz w:val="18"/>
                <w:szCs w:val="18"/>
                <w:color w:val="auto"/>
              </w:rPr>
            </w:pPr>
          </w:p>
        </w:tc>
        <w:tc>
          <w:tcPr>
            <w:tcW w:w="422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700" w:type="dxa"/>
            <w:vAlign w:val="bottom"/>
          </w:tcPr>
          <w:p>
            <w:pPr>
              <w:jc w:val="right"/>
              <w:spacing w:after="0"/>
              <w:rPr>
                <w:sz w:val="20"/>
                <w:szCs w:val="20"/>
                <w:color w:val="auto"/>
              </w:rPr>
            </w:pPr>
            <w:r>
              <w:rPr>
                <w:rFonts w:ascii="Arial" w:cs="Arial" w:eastAsia="Arial" w:hAnsi="Arial"/>
                <w:sz w:val="18"/>
                <w:szCs w:val="18"/>
                <w:color w:val="auto"/>
              </w:rPr>
              <w:t>1.4</w:t>
            </w:r>
          </w:p>
        </w:tc>
        <w:tc>
          <w:tcPr>
            <w:tcW w:w="220" w:type="dxa"/>
            <w:vAlign w:val="bottom"/>
          </w:tcPr>
          <w:p>
            <w:pPr>
              <w:spacing w:after="0"/>
              <w:rPr>
                <w:sz w:val="18"/>
                <w:szCs w:val="18"/>
                <w:color w:val="auto"/>
              </w:rPr>
            </w:pP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1.0</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80" w:type="dxa"/>
            <w:vAlign w:val="bottom"/>
          </w:tcPr>
          <w:p>
            <w:pPr>
              <w:spacing w:after="0"/>
              <w:rPr>
                <w:sz w:val="18"/>
                <w:szCs w:val="18"/>
                <w:color w:val="auto"/>
              </w:rPr>
            </w:pPr>
          </w:p>
        </w:tc>
        <w:tc>
          <w:tcPr>
            <w:tcW w:w="3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98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16.2</w:t>
            </w:r>
          </w:p>
        </w:tc>
        <w:tc>
          <w:tcPr>
            <w:tcW w:w="220" w:type="dxa"/>
            <w:vAlign w:val="bottom"/>
            <w:tcBorders>
              <w:top w:val="single" w:sz="8" w:color="CCEEFF"/>
            </w:tcBorders>
            <w:shd w:val="clear" w:color="auto" w:fill="CCEEFF"/>
          </w:tcPr>
          <w:p>
            <w:pPr>
              <w:spacing w:after="0"/>
              <w:rPr>
                <w:sz w:val="18"/>
                <w:szCs w:val="18"/>
                <w:color w:val="auto"/>
              </w:rPr>
            </w:pPr>
          </w:p>
        </w:tc>
        <w:tc>
          <w:tcPr>
            <w:tcW w:w="16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17.4</w:t>
            </w:r>
          </w:p>
        </w:tc>
        <w:tc>
          <w:tcPr>
            <w:tcW w:w="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tcPr>
          <w:p>
            <w:pPr>
              <w:spacing w:after="0"/>
              <w:rPr>
                <w:sz w:val="18"/>
                <w:szCs w:val="18"/>
                <w:color w:val="auto"/>
              </w:rPr>
            </w:pPr>
          </w:p>
        </w:tc>
        <w:tc>
          <w:tcPr>
            <w:tcW w:w="422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700" w:type="dxa"/>
            <w:vAlign w:val="bottom"/>
          </w:tcPr>
          <w:p>
            <w:pPr>
              <w:jc w:val="right"/>
              <w:spacing w:after="0"/>
              <w:rPr>
                <w:sz w:val="20"/>
                <w:szCs w:val="20"/>
                <w:color w:val="auto"/>
              </w:rPr>
            </w:pPr>
            <w:r>
              <w:rPr>
                <w:rFonts w:ascii="Arial" w:cs="Arial" w:eastAsia="Arial" w:hAnsi="Arial"/>
                <w:sz w:val="18"/>
                <w:szCs w:val="18"/>
                <w:color w:val="auto"/>
              </w:rPr>
              <w:t>3.0</w:t>
            </w:r>
          </w:p>
        </w:tc>
        <w:tc>
          <w:tcPr>
            <w:tcW w:w="220" w:type="dxa"/>
            <w:vAlign w:val="bottom"/>
          </w:tcPr>
          <w:p>
            <w:pPr>
              <w:spacing w:after="0"/>
              <w:rPr>
                <w:sz w:val="18"/>
                <w:szCs w:val="18"/>
                <w:color w:val="auto"/>
              </w:rPr>
            </w:pP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2.6</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380" w:type="dxa"/>
            <w:vAlign w:val="bottom"/>
          </w:tcPr>
          <w:p>
            <w:pPr>
              <w:spacing w:after="0"/>
              <w:rPr>
                <w:sz w:val="15"/>
                <w:szCs w:val="15"/>
                <w:color w:val="auto"/>
              </w:rPr>
            </w:pPr>
          </w:p>
        </w:tc>
        <w:tc>
          <w:tcPr>
            <w:tcW w:w="324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Income before change in accounting</w:t>
            </w:r>
          </w:p>
        </w:tc>
        <w:tc>
          <w:tcPr>
            <w:tcW w:w="98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980" w:type="dxa"/>
            <w:vAlign w:val="bottom"/>
            <w:tcBorders>
              <w:top w:val="single" w:sz="8" w:color="auto"/>
            </w:tcBorders>
            <w:shd w:val="clear" w:color="auto" w:fill="CCEEFF"/>
          </w:tcPr>
          <w:p>
            <w:pPr>
              <w:spacing w:after="0"/>
              <w:rPr>
                <w:sz w:val="15"/>
                <w:szCs w:val="15"/>
                <w:color w:val="auto"/>
              </w:rPr>
            </w:pPr>
          </w:p>
        </w:tc>
        <w:tc>
          <w:tcPr>
            <w:tcW w:w="700" w:type="dxa"/>
            <w:vAlign w:val="bottom"/>
            <w:tcBorders>
              <w:top w:val="single" w:sz="8" w:color="auto"/>
            </w:tcBorders>
            <w:shd w:val="clear" w:color="auto" w:fill="CCEEFF"/>
          </w:tcPr>
          <w:p>
            <w:pPr>
              <w:spacing w:after="0"/>
              <w:rPr>
                <w:sz w:val="15"/>
                <w:szCs w:val="15"/>
                <w:color w:val="auto"/>
              </w:rPr>
            </w:pPr>
          </w:p>
        </w:tc>
        <w:tc>
          <w:tcPr>
            <w:tcW w:w="2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CCEEFF"/>
            </w:tcBorders>
            <w:shd w:val="clear" w:color="auto" w:fill="CCEEFF"/>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80" w:type="dxa"/>
            <w:vAlign w:val="bottom"/>
          </w:tcPr>
          <w:p>
            <w:pPr>
              <w:spacing w:after="0"/>
              <w:rPr>
                <w:sz w:val="20"/>
                <w:szCs w:val="20"/>
                <w:color w:val="auto"/>
              </w:rPr>
            </w:pPr>
          </w:p>
        </w:tc>
        <w:tc>
          <w:tcPr>
            <w:tcW w:w="422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principle</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w:t>
            </w:r>
          </w:p>
        </w:tc>
        <w:tc>
          <w:tcPr>
            <w:tcW w:w="220" w:type="dxa"/>
            <w:vAlign w:val="bottom"/>
            <w:shd w:val="clear" w:color="auto" w:fill="CCEEFF"/>
          </w:tcPr>
          <w:p>
            <w:pPr>
              <w:spacing w:after="0"/>
              <w:rPr>
                <w:sz w:val="20"/>
                <w:szCs w:val="20"/>
                <w:color w:val="auto"/>
              </w:rPr>
            </w:pP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380" w:type="dxa"/>
            <w:vAlign w:val="bottom"/>
          </w:tcPr>
          <w:p>
            <w:pPr>
              <w:spacing w:after="0"/>
              <w:rPr>
                <w:sz w:val="17"/>
                <w:szCs w:val="17"/>
                <w:color w:val="auto"/>
              </w:rPr>
            </w:pPr>
          </w:p>
        </w:tc>
        <w:tc>
          <w:tcPr>
            <w:tcW w:w="4220" w:type="dxa"/>
            <w:vAlign w:val="bottom"/>
            <w:gridSpan w:val="2"/>
          </w:tcPr>
          <w:p>
            <w:pPr>
              <w:spacing w:after="0" w:line="201" w:lineRule="exact"/>
              <w:rPr>
                <w:sz w:val="20"/>
                <w:szCs w:val="20"/>
                <w:color w:val="auto"/>
              </w:rPr>
            </w:pPr>
            <w:r>
              <w:rPr>
                <w:rFonts w:ascii="Arial" w:cs="Arial" w:eastAsia="Arial" w:hAnsi="Arial"/>
                <w:sz w:val="18"/>
                <w:szCs w:val="18"/>
                <w:color w:val="auto"/>
              </w:rPr>
              <w:t>Cumulative effect of change in</w:t>
            </w:r>
          </w:p>
        </w:tc>
        <w:tc>
          <w:tcPr>
            <w:tcW w:w="7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80" w:type="dxa"/>
            <w:vAlign w:val="bottom"/>
          </w:tcPr>
          <w:p>
            <w:pPr>
              <w:spacing w:after="0"/>
              <w:rPr>
                <w:sz w:val="20"/>
                <w:szCs w:val="20"/>
                <w:color w:val="auto"/>
              </w:rPr>
            </w:pPr>
          </w:p>
        </w:tc>
        <w:tc>
          <w:tcPr>
            <w:tcW w:w="4220" w:type="dxa"/>
            <w:vAlign w:val="bottom"/>
            <w:gridSpan w:val="2"/>
          </w:tcPr>
          <w:p>
            <w:pPr>
              <w:ind w:left="160"/>
              <w:spacing w:after="0"/>
              <w:rPr>
                <w:sz w:val="20"/>
                <w:szCs w:val="20"/>
                <w:color w:val="auto"/>
              </w:rPr>
            </w:pPr>
            <w:r>
              <w:rPr>
                <w:rFonts w:ascii="Arial" w:cs="Arial" w:eastAsia="Arial" w:hAnsi="Arial"/>
                <w:sz w:val="18"/>
                <w:szCs w:val="18"/>
                <w:color w:val="auto"/>
              </w:rPr>
              <w:t>accounting principle, net of tax effect</w:t>
            </w:r>
          </w:p>
        </w:tc>
        <w:tc>
          <w:tcPr>
            <w:tcW w:w="700" w:type="dxa"/>
            <w:vAlign w:val="bottom"/>
          </w:tcPr>
          <w:p>
            <w:pPr>
              <w:jc w:val="right"/>
              <w:spacing w:after="0"/>
              <w:rPr>
                <w:sz w:val="20"/>
                <w:szCs w:val="20"/>
                <w:color w:val="auto"/>
              </w:rPr>
            </w:pPr>
            <w:r>
              <w:rPr>
                <w:rFonts w:ascii="Arial" w:cs="Arial" w:eastAsia="Arial" w:hAnsi="Arial"/>
                <w:sz w:val="18"/>
                <w:szCs w:val="18"/>
                <w:color w:val="auto"/>
              </w:rPr>
              <w:t>1.7</w:t>
            </w:r>
          </w:p>
        </w:tc>
        <w:tc>
          <w:tcPr>
            <w:tcW w:w="2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90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380" w:type="dxa"/>
            <w:vAlign w:val="bottom"/>
          </w:tcPr>
          <w:p>
            <w:pPr>
              <w:spacing w:after="0"/>
              <w:rPr>
                <w:sz w:val="18"/>
                <w:szCs w:val="18"/>
                <w:color w:val="auto"/>
              </w:rPr>
            </w:pPr>
          </w:p>
        </w:tc>
        <w:tc>
          <w:tcPr>
            <w:tcW w:w="3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w:t>
            </w:r>
          </w:p>
        </w:tc>
        <w:tc>
          <w:tcPr>
            <w:tcW w:w="98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w:t>
            </w:r>
          </w:p>
        </w:tc>
        <w:tc>
          <w:tcPr>
            <w:tcW w:w="22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16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200" w:type="dxa"/>
            <w:vAlign w:val="bottom"/>
            <w:tcBorders>
              <w:top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74"/>
              </w:rPr>
              <w:t>%</w:t>
            </w:r>
          </w:p>
        </w:tc>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58"/>
        </w:trPr>
        <w:tc>
          <w:tcPr>
            <w:tcW w:w="380" w:type="dxa"/>
            <w:vAlign w:val="bottom"/>
          </w:tcPr>
          <w:p>
            <w:pPr>
              <w:spacing w:after="0"/>
              <w:rPr>
                <w:sz w:val="24"/>
                <w:szCs w:val="24"/>
                <w:color w:val="auto"/>
              </w:rPr>
            </w:pPr>
          </w:p>
        </w:tc>
        <w:tc>
          <w:tcPr>
            <w:tcW w:w="32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80" w:type="dxa"/>
            <w:vAlign w:val="bottom"/>
          </w:tcPr>
          <w:p>
            <w:pPr>
              <w:jc w:val="right"/>
              <w:ind w:right="610"/>
              <w:spacing w:after="0"/>
              <w:rPr>
                <w:sz w:val="20"/>
                <w:szCs w:val="20"/>
                <w:color w:val="auto"/>
              </w:rPr>
            </w:pPr>
            <w:r>
              <w:rPr>
                <w:rFonts w:ascii="Arial" w:cs="Arial" w:eastAsia="Arial" w:hAnsi="Arial"/>
                <w:sz w:val="18"/>
                <w:szCs w:val="18"/>
                <w:color w:val="auto"/>
              </w:rPr>
              <w:t>51</w:t>
            </w: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4600" w:type="dxa"/>
            <w:vAlign w:val="bottom"/>
            <w:tcBorders>
              <w:bottom w:val="single" w:sz="8" w:color="010101"/>
            </w:tcBorders>
            <w:gridSpan w:val="3"/>
          </w:tcPr>
          <w:p>
            <w:pPr>
              <w:spacing w:after="0"/>
              <w:rPr>
                <w:sz w:val="24"/>
                <w:szCs w:val="24"/>
                <w:color w:val="auto"/>
              </w:rPr>
            </w:pPr>
          </w:p>
        </w:tc>
        <w:tc>
          <w:tcPr>
            <w:tcW w:w="70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980" w:type="dxa"/>
            <w:vAlign w:val="bottom"/>
            <w:tcBorders>
              <w:bottom w:val="single" w:sz="8" w:color="010101"/>
            </w:tcBorders>
          </w:tcPr>
          <w:p>
            <w:pPr>
              <w:spacing w:after="0"/>
              <w:rPr>
                <w:sz w:val="24"/>
                <w:szCs w:val="24"/>
                <w:color w:val="auto"/>
              </w:rPr>
            </w:pPr>
          </w:p>
        </w:tc>
        <w:tc>
          <w:tcPr>
            <w:tcW w:w="70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74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220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4600" w:type="dxa"/>
            <w:vAlign w:val="bottom"/>
            <w:gridSpan w:val="3"/>
          </w:tcPr>
          <w:p>
            <w:pPr>
              <w:spacing w:after="0"/>
              <w:rPr>
                <w:sz w:val="20"/>
                <w:szCs w:val="20"/>
                <w:color w:val="auto"/>
              </w:rPr>
            </w:pPr>
            <w:r>
              <w:rPr>
                <w:rFonts w:ascii="Arial" w:cs="Arial" w:eastAsia="Arial" w:hAnsi="Arial"/>
                <w:sz w:val="18"/>
                <w:szCs w:val="18"/>
                <w:b w:val="1"/>
                <w:bCs w:val="1"/>
                <w:color w:val="auto"/>
              </w:rPr>
              <w:t>Three Months Ended April 29, 2006 and April 30, 2005</w:t>
            </w: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4600" w:type="dxa"/>
            <w:vAlign w:val="bottom"/>
            <w:gridSpan w:val="3"/>
          </w:tcPr>
          <w:p>
            <w:pPr>
              <w:spacing w:after="0"/>
              <w:rPr>
                <w:sz w:val="20"/>
                <w:szCs w:val="20"/>
                <w:color w:val="auto"/>
              </w:rPr>
            </w:pPr>
            <w:r>
              <w:rPr>
                <w:rFonts w:ascii="Arial" w:cs="Arial" w:eastAsia="Arial" w:hAnsi="Arial"/>
                <w:sz w:val="18"/>
                <w:szCs w:val="18"/>
                <w:i w:val="1"/>
                <w:iCs w:val="1"/>
                <w:color w:val="auto"/>
              </w:rPr>
              <w:t>Net Revenue</w:t>
            </w: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380" w:type="dxa"/>
            <w:vAlign w:val="bottom"/>
          </w:tcPr>
          <w:p>
            <w:pPr>
              <w:spacing w:after="0"/>
              <w:rPr>
                <w:sz w:val="24"/>
                <w:szCs w:val="24"/>
                <w:color w:val="auto"/>
              </w:rPr>
            </w:pPr>
          </w:p>
        </w:tc>
        <w:tc>
          <w:tcPr>
            <w:tcW w:w="32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860" w:type="dxa"/>
            <w:vAlign w:val="bottom"/>
            <w:gridSpan w:val="6"/>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380" w:type="dxa"/>
            <w:vAlign w:val="bottom"/>
          </w:tcPr>
          <w:p>
            <w:pPr>
              <w:spacing w:after="0"/>
              <w:rPr>
                <w:sz w:val="8"/>
                <w:szCs w:val="8"/>
                <w:color w:val="auto"/>
              </w:rPr>
            </w:pPr>
          </w:p>
        </w:tc>
        <w:tc>
          <w:tcPr>
            <w:tcW w:w="3240" w:type="dxa"/>
            <w:vAlign w:val="bottom"/>
          </w:tcPr>
          <w:p>
            <w:pPr>
              <w:spacing w:after="0"/>
              <w:rPr>
                <w:sz w:val="8"/>
                <w:szCs w:val="8"/>
                <w:color w:val="auto"/>
              </w:rPr>
            </w:pPr>
          </w:p>
        </w:tc>
        <w:tc>
          <w:tcPr>
            <w:tcW w:w="9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980" w:type="dxa"/>
            <w:vAlign w:val="bottom"/>
          </w:tcPr>
          <w:p>
            <w:pPr>
              <w:spacing w:after="0"/>
              <w:rPr>
                <w:sz w:val="8"/>
                <w:szCs w:val="8"/>
                <w:color w:val="auto"/>
              </w:rPr>
            </w:pPr>
          </w:p>
        </w:tc>
        <w:tc>
          <w:tcPr>
            <w:tcW w:w="900" w:type="dxa"/>
            <w:vAlign w:val="bottom"/>
            <w:tcBorders>
              <w:top w:val="single" w:sz="8" w:color="auto"/>
            </w:tcBorders>
            <w:gridSpan w:val="3"/>
          </w:tcPr>
          <w:p>
            <w:pPr>
              <w:jc w:val="center"/>
              <w:ind w:right="240"/>
              <w:spacing w:after="0" w:line="102" w:lineRule="exact"/>
              <w:rPr>
                <w:sz w:val="20"/>
                <w:szCs w:val="20"/>
                <w:color w:val="auto"/>
              </w:rPr>
            </w:pPr>
            <w:r>
              <w:rPr>
                <w:rFonts w:ascii="Arial" w:cs="Arial" w:eastAsia="Arial" w:hAnsi="Arial"/>
                <w:sz w:val="11"/>
                <w:szCs w:val="11"/>
                <w:b w:val="1"/>
                <w:bCs w:val="1"/>
                <w:color w:val="auto"/>
              </w:rPr>
              <w:t>April 29,</w:t>
            </w:r>
          </w:p>
        </w:tc>
        <w:tc>
          <w:tcPr>
            <w:tcW w:w="2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ind w:left="80"/>
              <w:spacing w:after="0" w:line="102" w:lineRule="exact"/>
              <w:rPr>
                <w:sz w:val="20"/>
                <w:szCs w:val="20"/>
                <w:color w:val="auto"/>
              </w:rPr>
            </w:pPr>
            <w:r>
              <w:rPr>
                <w:rFonts w:ascii="Arial" w:cs="Arial" w:eastAsia="Arial" w:hAnsi="Arial"/>
                <w:sz w:val="11"/>
                <w:szCs w:val="11"/>
                <w:b w:val="1"/>
                <w:bCs w:val="1"/>
                <w:color w:val="auto"/>
              </w:rPr>
              <w:t>April 30,</w:t>
            </w:r>
          </w:p>
        </w:tc>
        <w:tc>
          <w:tcPr>
            <w:tcW w:w="200" w:type="dxa"/>
            <w:vAlign w:val="bottom"/>
          </w:tcPr>
          <w:p>
            <w:pPr>
              <w:spacing w:after="0"/>
              <w:rPr>
                <w:sz w:val="8"/>
                <w:szCs w:val="8"/>
                <w:color w:val="auto"/>
              </w:rPr>
            </w:pPr>
          </w:p>
        </w:tc>
        <w:tc>
          <w:tcPr>
            <w:tcW w:w="720" w:type="dxa"/>
            <w:vAlign w:val="bottom"/>
            <w:vMerge w:val="restart"/>
          </w:tcPr>
          <w:p>
            <w:pPr>
              <w:ind w:left="20"/>
              <w:spacing w:after="0"/>
              <w:rPr>
                <w:sz w:val="20"/>
                <w:szCs w:val="20"/>
                <w:color w:val="auto"/>
              </w:rPr>
            </w:pPr>
            <w:r>
              <w:rPr>
                <w:rFonts w:ascii="Arial" w:cs="Arial" w:eastAsia="Arial" w:hAnsi="Arial"/>
                <w:sz w:val="14"/>
                <w:szCs w:val="14"/>
                <w:b w:val="1"/>
                <w:bCs w:val="1"/>
                <w:color w:val="auto"/>
              </w:rPr>
              <w:t>% Change</w:t>
            </w:r>
          </w:p>
        </w:tc>
        <w:tc>
          <w:tcPr>
            <w:tcW w:w="180" w:type="dxa"/>
            <w:vAlign w:val="bottom"/>
            <w:vMerge w:val="restart"/>
          </w:tcPr>
          <w:p>
            <w:pPr>
              <w:spacing w:after="0"/>
              <w:rPr>
                <w:sz w:val="8"/>
                <w:szCs w:val="8"/>
                <w:color w:val="auto"/>
              </w:rPr>
            </w:pPr>
          </w:p>
        </w:tc>
        <w:tc>
          <w:tcPr>
            <w:tcW w:w="220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80" w:type="dxa"/>
            <w:vAlign w:val="bottom"/>
          </w:tcPr>
          <w:p>
            <w:pPr>
              <w:spacing w:after="0"/>
              <w:rPr>
                <w:sz w:val="14"/>
                <w:szCs w:val="14"/>
                <w:color w:val="auto"/>
              </w:rPr>
            </w:pPr>
          </w:p>
        </w:tc>
        <w:tc>
          <w:tcPr>
            <w:tcW w:w="3240" w:type="dxa"/>
            <w:vAlign w:val="bottom"/>
            <w:tcBorders>
              <w:bottom w:val="single" w:sz="8" w:color="CCEEFF"/>
            </w:tcBorders>
          </w:tcPr>
          <w:p>
            <w:pPr>
              <w:spacing w:after="0"/>
              <w:rPr>
                <w:sz w:val="14"/>
                <w:szCs w:val="14"/>
                <w:color w:val="auto"/>
              </w:rPr>
            </w:pPr>
          </w:p>
        </w:tc>
        <w:tc>
          <w:tcPr>
            <w:tcW w:w="98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98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2006</w:t>
            </w:r>
          </w:p>
        </w:tc>
        <w:tc>
          <w:tcPr>
            <w:tcW w:w="20" w:type="dxa"/>
            <w:vAlign w:val="bottom"/>
            <w:tcBorders>
              <w:bottom w:val="single" w:sz="8" w:color="auto"/>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67"/>
              <w:spacing w:after="0"/>
              <w:rPr>
                <w:sz w:val="20"/>
                <w:szCs w:val="20"/>
                <w:color w:val="auto"/>
              </w:rPr>
            </w:pPr>
            <w:r>
              <w:rPr>
                <w:rFonts w:ascii="Arial" w:cs="Arial" w:eastAsia="Arial" w:hAnsi="Arial"/>
                <w:sz w:val="14"/>
                <w:szCs w:val="14"/>
                <w:b w:val="1"/>
                <w:bCs w:val="1"/>
                <w:color w:val="auto"/>
              </w:rPr>
              <w:t>2005</w:t>
            </w:r>
          </w:p>
        </w:tc>
        <w:tc>
          <w:tcPr>
            <w:tcW w:w="200" w:type="dxa"/>
            <w:vAlign w:val="bottom"/>
            <w:tcBorders>
              <w:bottom w:val="single" w:sz="8" w:color="CCEEFF"/>
            </w:tcBorders>
          </w:tcPr>
          <w:p>
            <w:pPr>
              <w:spacing w:after="0"/>
              <w:rPr>
                <w:sz w:val="14"/>
                <w:szCs w:val="14"/>
                <w:color w:val="auto"/>
              </w:rPr>
            </w:pPr>
          </w:p>
        </w:tc>
        <w:tc>
          <w:tcPr>
            <w:tcW w:w="720" w:type="dxa"/>
            <w:vAlign w:val="bottom"/>
            <w:tcBorders>
              <w:bottom w:val="single" w:sz="8" w:color="auto"/>
            </w:tcBorders>
            <w:vMerge w:val="continue"/>
          </w:tcPr>
          <w:p>
            <w:pPr>
              <w:spacing w:after="0"/>
              <w:rPr>
                <w:sz w:val="14"/>
                <w:szCs w:val="14"/>
                <w:color w:val="auto"/>
              </w:rPr>
            </w:pPr>
          </w:p>
        </w:tc>
        <w:tc>
          <w:tcPr>
            <w:tcW w:w="180" w:type="dxa"/>
            <w:vAlign w:val="bottom"/>
            <w:tcBorders>
              <w:bottom w:val="single" w:sz="8" w:color="CCEEFF"/>
            </w:tcBorders>
            <w:vMerge w:val="continue"/>
          </w:tcPr>
          <w:p>
            <w:pPr>
              <w:spacing w:after="0"/>
              <w:rPr>
                <w:sz w:val="14"/>
                <w:szCs w:val="14"/>
                <w:color w:val="auto"/>
              </w:rPr>
            </w:pPr>
          </w:p>
        </w:tc>
        <w:tc>
          <w:tcPr>
            <w:tcW w:w="22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80" w:type="dxa"/>
            <w:vAlign w:val="bottom"/>
          </w:tcPr>
          <w:p>
            <w:pPr>
              <w:spacing w:after="0"/>
              <w:rPr>
                <w:sz w:val="18"/>
                <w:szCs w:val="18"/>
                <w:color w:val="auto"/>
              </w:rPr>
            </w:pPr>
          </w:p>
        </w:tc>
        <w:tc>
          <w:tcPr>
            <w:tcW w:w="4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4"/>
              </w:rPr>
              <w:t>$ 521,196</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$ 364,770</w:t>
            </w: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42.9%</w:t>
            </w:r>
          </w:p>
        </w:tc>
        <w:tc>
          <w:tcPr>
            <w:tcW w:w="22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-1210310</wp:posOffset>
            </wp:positionV>
            <wp:extent cx="12700"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-1210310</wp:posOffset>
            </wp:positionV>
            <wp:extent cx="12700"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36" w:lineRule="exact"/>
        <w:rPr>
          <w:sz w:val="20"/>
          <w:szCs w:val="20"/>
          <w:color w:val="auto"/>
        </w:rPr>
      </w:pPr>
    </w:p>
    <w:p>
      <w:pPr>
        <w:ind w:right="160" w:firstLine="324"/>
        <w:spacing w:after="0" w:line="290"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the first quarter of fiscal 2007 compared to the first quarter of fiscal 2006 reflected a significant increase in volume shipments of our storage System-on-Chips, or SOCs, which increased $85.8 million, local area network (LAN) on motherboard and wireless products, which increased $28.7 million, and hard disk drive controller products, which increased $22.6 million. The increases in net revenue were primarily due to increased acceptance of our storage SOC and LAN on motherboard products, increased market share gains in the PC desktop segment with our storage SOC products and volume shipments of our wireless products and from new design wins. Revenue derived from development contracts decreased in absolute dollars during the first quarter of fiscal 2007 as compared to the first quarter of fiscal 2006, but represented less than 10% of net revenue for each period.</w:t>
      </w:r>
    </w:p>
    <w:p>
      <w:pPr>
        <w:spacing w:after="0" w:line="166"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We expect that revenue for fiscal 2007 will increase from the level of revenue we reported in fiscal 2006 due to increases in shipments and volume production of our storage SOCs into the PC desktop segment and consumer storage electronics. Also, we expect additional growth in fiscal 2007 compared to fiscal 2006 due to increases in shipments of our WLAN products from new design wins, our Gigabit Ethernet products as well as incremental revenue from the products acquired from QLogic, UTStarcom and Avago Technologies.</w:t>
      </w:r>
    </w:p>
    <w:p>
      <w:pPr>
        <w:spacing w:after="0" w:line="187"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quarter ended April 29, 2006, four customers each represented more than 10% of our net revenues, for a combined total of 53% of our net revenue. For the quarter ended April 30, 2005, four customers each represented more than 10% of our net revenue, for a combined total of 54% of our net revenue. In addition, no distributor accounted for more than 10% of our net revenue in the quarter ended April 29, 2006 but one distributor accounted for approximately 11% of our net revenue in the quarter ended April 30, 2005.</w:t>
      </w:r>
    </w:p>
    <w:p>
      <w:pPr>
        <w:spacing w:after="0" w:line="188" w:lineRule="exact"/>
        <w:rPr>
          <w:sz w:val="20"/>
          <w:szCs w:val="20"/>
          <w:color w:val="auto"/>
        </w:rPr>
      </w:pPr>
    </w:p>
    <w:p>
      <w:pPr>
        <w:ind w:right="180" w:firstLine="324"/>
        <w:spacing w:after="0" w:line="257"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94% of our net revenue for each of the three months ended April 29, 2006 and April 30, 2005.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Cost of Goods Sold</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226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400" w:type="dxa"/>
            <w:vAlign w:val="bottom"/>
          </w:tcPr>
          <w:p>
            <w:pPr>
              <w:spacing w:after="0"/>
              <w:rPr>
                <w:sz w:val="8"/>
                <w:szCs w:val="8"/>
                <w:color w:val="auto"/>
              </w:rPr>
            </w:pPr>
          </w:p>
        </w:tc>
        <w:tc>
          <w:tcPr>
            <w:tcW w:w="2060" w:type="dxa"/>
            <w:vAlign w:val="bottom"/>
          </w:tcPr>
          <w:p>
            <w:pPr>
              <w:spacing w:after="0"/>
              <w:rPr>
                <w:sz w:val="8"/>
                <w:szCs w:val="8"/>
                <w:color w:val="auto"/>
              </w:rPr>
            </w:pPr>
          </w:p>
        </w:tc>
        <w:tc>
          <w:tcPr>
            <w:tcW w:w="1080" w:type="dxa"/>
            <w:vAlign w:val="bottom"/>
            <w:tcBorders>
              <w:top w:val="single" w:sz="8" w:color="auto"/>
            </w:tcBorders>
            <w:gridSpan w:val="2"/>
          </w:tcPr>
          <w:p>
            <w:pPr>
              <w:jc w:val="center"/>
              <w:ind w:right="180"/>
              <w:spacing w:after="0" w:line="102" w:lineRule="exact"/>
              <w:rPr>
                <w:sz w:val="20"/>
                <w:szCs w:val="20"/>
                <w:color w:val="auto"/>
              </w:rPr>
            </w:pPr>
            <w:r>
              <w:rPr>
                <w:rFonts w:ascii="Arial" w:cs="Arial" w:eastAsia="Arial" w:hAnsi="Arial"/>
                <w:sz w:val="11"/>
                <w:szCs w:val="11"/>
                <w:b w:val="1"/>
                <w:bCs w:val="1"/>
                <w:color w:val="auto"/>
              </w:rPr>
              <w:t>April 29,</w:t>
            </w:r>
          </w:p>
        </w:tc>
        <w:tc>
          <w:tcPr>
            <w:tcW w:w="4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62"/>
              <w:spacing w:after="0" w:line="102" w:lineRule="exact"/>
              <w:rPr>
                <w:sz w:val="20"/>
                <w:szCs w:val="20"/>
                <w:color w:val="auto"/>
              </w:rPr>
            </w:pPr>
            <w:r>
              <w:rPr>
                <w:rFonts w:ascii="Arial" w:cs="Arial" w:eastAsia="Arial" w:hAnsi="Arial"/>
                <w:sz w:val="11"/>
                <w:szCs w:val="11"/>
                <w:b w:val="1"/>
                <w:bCs w:val="1"/>
                <w:color w:val="auto"/>
              </w:rPr>
              <w:t>April 30,</w:t>
            </w:r>
          </w:p>
        </w:tc>
        <w:tc>
          <w:tcPr>
            <w:tcW w:w="220" w:type="dxa"/>
            <w:vAlign w:val="bottom"/>
          </w:tcPr>
          <w:p>
            <w:pPr>
              <w:spacing w:after="0"/>
              <w:rPr>
                <w:sz w:val="8"/>
                <w:szCs w:val="8"/>
                <w:color w:val="auto"/>
              </w:rPr>
            </w:pPr>
          </w:p>
        </w:tc>
        <w:tc>
          <w:tcPr>
            <w:tcW w:w="1120" w:type="dxa"/>
            <w:vAlign w:val="bottom"/>
            <w:gridSpan w:val="2"/>
            <w:vMerge w:val="restart"/>
          </w:tcPr>
          <w:p>
            <w:pPr>
              <w:jc w:val="right"/>
              <w:ind w:right="34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2960" w:type="dxa"/>
            <w:vAlign w:val="bottom"/>
            <w:gridSpan w:val="2"/>
          </w:tcPr>
          <w:p>
            <w:pPr>
              <w:jc w:val="center"/>
              <w:ind w:left="1954"/>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tcPr>
          <w:p>
            <w:pPr>
              <w:jc w:val="center"/>
              <w:ind w:right="62"/>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40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9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center"/>
              <w:ind w:right="62"/>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240,233</w:t>
            </w:r>
          </w:p>
        </w:tc>
        <w:tc>
          <w:tcPr>
            <w:tcW w:w="1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175,785</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0" w:type="dxa"/>
            <w:vAlign w:val="bottom"/>
          </w:tcPr>
          <w:p>
            <w:pPr>
              <w:spacing w:after="0"/>
              <w:rPr>
                <w:sz w:val="20"/>
                <w:szCs w:val="20"/>
                <w:color w:val="auto"/>
              </w:rPr>
            </w:pPr>
            <w:r>
              <w:rPr>
                <w:rFonts w:ascii="Arial" w:cs="Arial" w:eastAsia="Arial" w:hAnsi="Arial"/>
                <w:sz w:val="18"/>
                <w:szCs w:val="18"/>
                <w:color w:val="auto"/>
              </w:rPr>
              <w:t>% of net revenue</w:t>
            </w:r>
          </w:p>
        </w:tc>
        <w:tc>
          <w:tcPr>
            <w:tcW w:w="3140" w:type="dxa"/>
            <w:vAlign w:val="bottom"/>
            <w:gridSpan w:val="3"/>
          </w:tcPr>
          <w:p>
            <w:pPr>
              <w:jc w:val="right"/>
              <w:ind w:right="20"/>
              <w:spacing w:after="0"/>
              <w:rPr>
                <w:sz w:val="20"/>
                <w:szCs w:val="20"/>
                <w:color w:val="auto"/>
              </w:rPr>
            </w:pPr>
            <w:r>
              <w:rPr>
                <w:rFonts w:ascii="Arial" w:cs="Arial" w:eastAsia="Arial" w:hAnsi="Arial"/>
                <w:sz w:val="18"/>
                <w:szCs w:val="18"/>
                <w:color w:val="auto"/>
              </w:rPr>
              <w:t>46.1%</w:t>
            </w: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48.2%</w:t>
            </w:r>
          </w:p>
        </w:tc>
        <w:tc>
          <w:tcPr>
            <w:tcW w:w="9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314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53.9%</w:t>
            </w: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51.8%</w:t>
            </w:r>
          </w:p>
        </w:tc>
        <w:tc>
          <w:tcPr>
            <w:tcW w:w="9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40" w:firstLine="324"/>
        <w:spacing w:after="0" w:line="269" w:lineRule="auto"/>
        <w:rPr>
          <w:sz w:val="20"/>
          <w:szCs w:val="20"/>
          <w:color w:val="auto"/>
        </w:rPr>
      </w:pPr>
      <w:r>
        <w:rPr>
          <w:rFonts w:ascii="Arial" w:cs="Arial" w:eastAsia="Arial" w:hAnsi="Arial"/>
          <w:sz w:val="17"/>
          <w:szCs w:val="17"/>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costs. Gross margin is calculated as net revenue less cost of goods sold as a percentage of net revenue. The increase in gross margin percentage for the three months ended April 29, 2006 compared to the three months ended April 30, 2005 was primarily due to manufacturing efficiencies and product cost savings resulting from the benefits of favorable foundry pricing. Partially offsetting the increase in gross margins were higher inventory excess and obsolescence provisions, higher products costs associated with inventory that was acquired from our acquisitions, stock-based compensation costs and higher royalties. The increase in inventory excess and obsolescence provisions was for older or slow-moving products. The increase in stock-based compensation expense was a result of our adoption of SFAS 123R. The increase in royalties in the first quarter of fiscal 2007 compared to the first quarter of fiscal 2006 was due to higher sales of products that integrated licensed technology. The costs associated with contracted development work are included in research and development expense. Our gross margins may fluctuate in future periods due to, among other things, changes in the mix of products sold, the timing of production</w:t>
      </w:r>
    </w:p>
    <w:p>
      <w:pPr>
        <w:sectPr>
          <w:pgSz w:w="11900" w:h="16838" w:orient="portrait"/>
          <w:cols w:equalWidth="0" w:num="1">
            <w:col w:w="11460"/>
          </w:cols>
          <w:pgMar w:left="240" w:top="125" w:right="199" w:bottom="0" w:gutter="0" w:footer="0" w:header="0"/>
        </w:sectPr>
      </w:pPr>
    </w:p>
    <w:bookmarkStart w:id="37" w:name="page38"/>
    <w:bookmarkEnd w:id="37"/>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120"/>
        <w:spacing w:after="0" w:line="264" w:lineRule="auto"/>
        <w:rPr>
          <w:sz w:val="20"/>
          <w:szCs w:val="20"/>
          <w:color w:val="auto"/>
        </w:rPr>
      </w:pPr>
      <w:r>
        <w:rPr>
          <w:rFonts w:ascii="Arial" w:cs="Arial" w:eastAsia="Arial" w:hAnsi="Arial"/>
          <w:sz w:val="18"/>
          <w:szCs w:val="18"/>
          <w:color w:val="auto"/>
        </w:rPr>
        <w:t>ramps of new products, increased pricing pressures from our customers and competitors, particularly in the consumer product markets that we are targeting, charges for obsolete or potentially excess inventory, changes in the costs charged by our manufacturing and test subcontractors and changes in the amount of development revenue recognized.</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Research and Development and other</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06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226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060" w:type="dxa"/>
            <w:vAlign w:val="bottom"/>
          </w:tcPr>
          <w:p>
            <w:pPr>
              <w:spacing w:after="0"/>
              <w:rPr>
                <w:sz w:val="8"/>
                <w:szCs w:val="8"/>
                <w:color w:val="auto"/>
              </w:rPr>
            </w:pPr>
          </w:p>
        </w:tc>
        <w:tc>
          <w:tcPr>
            <w:tcW w:w="1400" w:type="dxa"/>
            <w:vAlign w:val="bottom"/>
          </w:tcPr>
          <w:p>
            <w:pPr>
              <w:spacing w:after="0"/>
              <w:rPr>
                <w:sz w:val="8"/>
                <w:szCs w:val="8"/>
                <w:color w:val="auto"/>
              </w:rPr>
            </w:pPr>
          </w:p>
        </w:tc>
        <w:tc>
          <w:tcPr>
            <w:tcW w:w="1080" w:type="dxa"/>
            <w:vAlign w:val="bottom"/>
            <w:tcBorders>
              <w:top w:val="single" w:sz="8" w:color="auto"/>
            </w:tcBorders>
            <w:gridSpan w:val="2"/>
          </w:tcPr>
          <w:p>
            <w:pPr>
              <w:jc w:val="center"/>
              <w:ind w:right="180"/>
              <w:spacing w:after="0" w:line="102" w:lineRule="exact"/>
              <w:rPr>
                <w:sz w:val="20"/>
                <w:szCs w:val="20"/>
                <w:color w:val="auto"/>
              </w:rPr>
            </w:pPr>
            <w:r>
              <w:rPr>
                <w:rFonts w:ascii="Arial" w:cs="Arial" w:eastAsia="Arial" w:hAnsi="Arial"/>
                <w:sz w:val="11"/>
                <w:szCs w:val="11"/>
                <w:b w:val="1"/>
                <w:bCs w:val="1"/>
                <w:color w:val="auto"/>
              </w:rPr>
              <w:t>April 29,</w:t>
            </w:r>
          </w:p>
        </w:tc>
        <w:tc>
          <w:tcPr>
            <w:tcW w:w="4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64"/>
              <w:spacing w:after="0" w:line="102" w:lineRule="exact"/>
              <w:rPr>
                <w:sz w:val="20"/>
                <w:szCs w:val="20"/>
                <w:color w:val="auto"/>
              </w:rPr>
            </w:pPr>
            <w:r>
              <w:rPr>
                <w:rFonts w:ascii="Arial" w:cs="Arial" w:eastAsia="Arial" w:hAnsi="Arial"/>
                <w:sz w:val="11"/>
                <w:szCs w:val="11"/>
                <w:b w:val="1"/>
                <w:bCs w:val="1"/>
                <w:color w:val="auto"/>
              </w:rPr>
              <w:t>April 30,</w:t>
            </w:r>
          </w:p>
        </w:tc>
        <w:tc>
          <w:tcPr>
            <w:tcW w:w="220" w:type="dxa"/>
            <w:vAlign w:val="bottom"/>
          </w:tcPr>
          <w:p>
            <w:pPr>
              <w:spacing w:after="0"/>
              <w:rPr>
                <w:sz w:val="8"/>
                <w:szCs w:val="8"/>
                <w:color w:val="auto"/>
              </w:rPr>
            </w:pPr>
          </w:p>
        </w:tc>
        <w:tc>
          <w:tcPr>
            <w:tcW w:w="1120" w:type="dxa"/>
            <w:vAlign w:val="bottom"/>
            <w:gridSpan w:val="2"/>
            <w:vMerge w:val="restart"/>
          </w:tcPr>
          <w:p>
            <w:pPr>
              <w:jc w:val="right"/>
              <w:ind w:right="34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4060" w:type="dxa"/>
            <w:vAlign w:val="bottom"/>
          </w:tcPr>
          <w:p>
            <w:pPr>
              <w:spacing w:after="0"/>
              <w:rPr>
                <w:sz w:val="14"/>
                <w:szCs w:val="14"/>
                <w:color w:val="auto"/>
              </w:rPr>
            </w:pPr>
          </w:p>
        </w:tc>
        <w:tc>
          <w:tcPr>
            <w:tcW w:w="2300" w:type="dxa"/>
            <w:vAlign w:val="bottom"/>
            <w:gridSpan w:val="2"/>
          </w:tcPr>
          <w:p>
            <w:pPr>
              <w:jc w:val="center"/>
              <w:ind w:left="1296"/>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tcPr>
          <w:p>
            <w:pPr>
              <w:jc w:val="center"/>
              <w:ind w:right="64"/>
              <w:spacing w:after="0"/>
              <w:rPr>
                <w:sz w:val="20"/>
                <w:szCs w:val="20"/>
                <w:color w:val="auto"/>
              </w:rPr>
            </w:pPr>
            <w:r>
              <w:rPr>
                <w:rFonts w:ascii="Arial" w:cs="Arial" w:eastAsia="Arial" w:hAnsi="Arial"/>
                <w:sz w:val="14"/>
                <w:szCs w:val="14"/>
                <w:b w:val="1"/>
                <w:bCs w:val="1"/>
                <w:color w:val="auto"/>
                <w:w w:val="96"/>
              </w:rPr>
              <w:t>2005</w:t>
            </w:r>
          </w:p>
        </w:tc>
        <w:tc>
          <w:tcPr>
            <w:tcW w:w="22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0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9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(restated)</w:t>
            </w: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center"/>
              <w:ind w:right="64"/>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2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129,228</w:t>
            </w:r>
          </w:p>
        </w:tc>
        <w:tc>
          <w:tcPr>
            <w:tcW w:w="1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77,950</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65.8%</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060" w:type="dxa"/>
            <w:vAlign w:val="bottom"/>
          </w:tcPr>
          <w:p>
            <w:pPr>
              <w:spacing w:after="0"/>
              <w:rPr>
                <w:sz w:val="20"/>
                <w:szCs w:val="20"/>
                <w:color w:val="auto"/>
              </w:rPr>
            </w:pPr>
            <w:r>
              <w:rPr>
                <w:rFonts w:ascii="Arial" w:cs="Arial" w:eastAsia="Arial" w:hAnsi="Arial"/>
                <w:sz w:val="18"/>
                <w:szCs w:val="18"/>
                <w:color w:val="auto"/>
              </w:rPr>
              <w:t>% of net revenue</w:t>
            </w:r>
          </w:p>
        </w:tc>
        <w:tc>
          <w:tcPr>
            <w:tcW w:w="2480" w:type="dxa"/>
            <w:vAlign w:val="bottom"/>
            <w:gridSpan w:val="3"/>
          </w:tcPr>
          <w:p>
            <w:pPr>
              <w:jc w:val="right"/>
              <w:ind w:right="20"/>
              <w:spacing w:after="0"/>
              <w:rPr>
                <w:sz w:val="20"/>
                <w:szCs w:val="20"/>
                <w:color w:val="auto"/>
              </w:rPr>
            </w:pPr>
            <w:r>
              <w:rPr>
                <w:rFonts w:ascii="Arial" w:cs="Arial" w:eastAsia="Arial" w:hAnsi="Arial"/>
                <w:sz w:val="18"/>
                <w:szCs w:val="18"/>
                <w:color w:val="auto"/>
              </w:rPr>
              <w:t>24.8%</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21.4%</w:t>
            </w:r>
          </w:p>
        </w:tc>
        <w:tc>
          <w:tcPr>
            <w:tcW w:w="9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firstLine="324"/>
        <w:spacing w:after="0" w:line="269" w:lineRule="auto"/>
        <w:rPr>
          <w:sz w:val="20"/>
          <w:szCs w:val="20"/>
          <w:color w:val="auto"/>
        </w:rPr>
      </w:pPr>
      <w:r>
        <w:rPr>
          <w:rFonts w:ascii="Arial" w:cs="Arial" w:eastAsia="Arial" w:hAnsi="Arial"/>
          <w:sz w:val="17"/>
          <w:szCs w:val="17"/>
          <w:color w:val="auto"/>
        </w:rPr>
        <w:t>Research and development expense consists primarily of compensation and associated costs relating to development personnel, including stock-based compensation expenses, prototype costs, depreciation and amortization expense, and allocated occupancy costs for these operations. The increase in research and development expense in absolute dollars in the first quarter of fiscal 2007 compared to the first quarter of fiscal 2006 was primarily due to stock-based compensation expenses of $30.4 million as a result of our adoption of SFAS 123R. In addition, research and development expenses increased due to the net hiring of additional development personnel including personnel related to our acquisitions of the hard disk and tape drive controller business of QLogic Corporation in November 2005 and the semiconductor division of UTStarcom, Inc. in February 2006, which resulted in an increase in salary and related costs of $17.8 million. Additionally, we incurred increased costs for depreciation and amortization expense of $1.3 million arising from purchases of property, equipment and technology licenses, increased costs of $1.2 million for prototype and related product tape-out costs for new product initiatives, increased costs of $1.2 million for patent filing fees to protect newly developed intellectual property and other allocated expenses of $2.6 million related to our expanding operations. Research and development related costs for the first quarter of fiscal 2007 were $126.9 million, as compared to $76.8 million for the first quarter of fiscal 2006, an increase of $50.1 million or 65.2%.</w:t>
      </w:r>
    </w:p>
    <w:p>
      <w:pPr>
        <w:spacing w:after="0" w:line="183" w:lineRule="exact"/>
        <w:rPr>
          <w:sz w:val="20"/>
          <w:szCs w:val="20"/>
          <w:color w:val="auto"/>
        </w:rPr>
      </w:pPr>
    </w:p>
    <w:p>
      <w:pPr>
        <w:ind w:right="220" w:firstLine="324"/>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 including those from our acquisitions.</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Selling and Marketing</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96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60" w:type="dxa"/>
            <w:vAlign w:val="bottom"/>
            <w:tcBorders>
              <w:top w:val="single" w:sz="8" w:color="auto"/>
            </w:tcBorders>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April 29,</w:t>
            </w:r>
          </w:p>
        </w:tc>
        <w:tc>
          <w:tcPr>
            <w:tcW w:w="4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64"/>
              <w:spacing w:after="0" w:line="102" w:lineRule="exact"/>
              <w:rPr>
                <w:sz w:val="20"/>
                <w:szCs w:val="20"/>
                <w:color w:val="auto"/>
              </w:rPr>
            </w:pPr>
            <w:r>
              <w:rPr>
                <w:rFonts w:ascii="Arial" w:cs="Arial" w:eastAsia="Arial" w:hAnsi="Arial"/>
                <w:sz w:val="11"/>
                <w:szCs w:val="11"/>
                <w:b w:val="1"/>
                <w:bCs w:val="1"/>
                <w:color w:val="auto"/>
              </w:rPr>
              <w:t>April 30,</w:t>
            </w:r>
          </w:p>
        </w:tc>
        <w:tc>
          <w:tcPr>
            <w:tcW w:w="220" w:type="dxa"/>
            <w:vAlign w:val="bottom"/>
          </w:tcPr>
          <w:p>
            <w:pPr>
              <w:spacing w:after="0"/>
              <w:rPr>
                <w:sz w:val="8"/>
                <w:szCs w:val="8"/>
                <w:color w:val="auto"/>
              </w:rPr>
            </w:pPr>
          </w:p>
        </w:tc>
        <w:tc>
          <w:tcPr>
            <w:tcW w:w="1120" w:type="dxa"/>
            <w:vAlign w:val="bottom"/>
            <w:gridSpan w:val="2"/>
            <w:vMerge w:val="restart"/>
          </w:tcPr>
          <w:p>
            <w:pPr>
              <w:jc w:val="right"/>
              <w:ind w:right="34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jc w:val="center"/>
              <w:ind w:right="65"/>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tcPr>
          <w:p>
            <w:pPr>
              <w:jc w:val="center"/>
              <w:ind w:right="84"/>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5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center"/>
              <w:ind w:right="65"/>
              <w:spacing w:after="0" w:line="129" w:lineRule="exact"/>
              <w:rPr>
                <w:sz w:val="20"/>
                <w:szCs w:val="20"/>
                <w:color w:val="auto"/>
              </w:rPr>
            </w:pPr>
            <w:r>
              <w:rPr>
                <w:rFonts w:ascii="Arial" w:cs="Arial" w:eastAsia="Arial" w:hAnsi="Arial"/>
                <w:sz w:val="14"/>
                <w:szCs w:val="14"/>
                <w:b w:val="1"/>
                <w:bCs w:val="1"/>
                <w:color w:val="auto"/>
                <w:w w:val="93"/>
              </w:rPr>
              <w:t>(restated)</w:t>
            </w: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center"/>
              <w:ind w:right="64"/>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38,862</w:t>
            </w:r>
          </w:p>
        </w:tc>
        <w:tc>
          <w:tcPr>
            <w:tcW w:w="1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22,022</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76.5%</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520" w:type="dxa"/>
            <w:vAlign w:val="bottom"/>
          </w:tcPr>
          <w:p>
            <w:pPr>
              <w:spacing w:after="0"/>
              <w:rPr>
                <w:sz w:val="20"/>
                <w:szCs w:val="20"/>
                <w:color w:val="auto"/>
              </w:rPr>
            </w:pPr>
            <w:r>
              <w:rPr>
                <w:rFonts w:ascii="Arial" w:cs="Arial" w:eastAsia="Arial" w:hAnsi="Arial"/>
                <w:sz w:val="18"/>
                <w:szCs w:val="18"/>
                <w:color w:val="auto"/>
              </w:rPr>
              <w:t>% of net revenue</w:t>
            </w: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7.4%</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6.0%</w:t>
            </w:r>
          </w:p>
        </w:tc>
        <w:tc>
          <w:tcPr>
            <w:tcW w:w="9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120" w:firstLine="324"/>
        <w:spacing w:after="0" w:line="293"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the first quarter of fiscal 2007 compared to the first quarter of fiscal 2006 was primarily due to stock-based compensation expenses of $8.2 million as a result of our adoption of SFAS 123R. In addition, selling and marketing expenses increased due to the net hiring of additional sales and marketing personnel, which resulted in an increase in salary and related costs of $4.1 million. Additionally, we incurred other variable sales and marketing costs of $3.3 million related to expanding our sales and marketing activities as we broadened our customer and product base.</w:t>
      </w:r>
    </w:p>
    <w:p>
      <w:pPr>
        <w:spacing w:after="0" w:line="165" w:lineRule="exact"/>
        <w:rPr>
          <w:sz w:val="20"/>
          <w:szCs w:val="20"/>
          <w:color w:val="auto"/>
        </w:rPr>
      </w:pPr>
    </w:p>
    <w:p>
      <w:pPr>
        <w:ind w:right="180" w:firstLine="324"/>
        <w:spacing w:after="0" w:line="308" w:lineRule="auto"/>
        <w:rPr>
          <w:sz w:val="20"/>
          <w:szCs w:val="20"/>
          <w:color w:val="auto"/>
        </w:rPr>
      </w:pPr>
      <w:r>
        <w:rPr>
          <w:rFonts w:ascii="Arial" w:cs="Arial" w:eastAsia="Arial" w:hAnsi="Arial"/>
          <w:sz w:val="17"/>
          <w:szCs w:val="17"/>
          <w:color w:val="auto"/>
        </w:rPr>
        <w:t>We expect that selling and marketing expense will increase in absolute dollars in future periods as we hire additional sales and marketing personnel and expand our sales and marketing efforts into product markets such as consumer applications for our wireless and storage products.</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600" w:type="dxa"/>
            <w:vAlign w:val="bottom"/>
          </w:tcPr>
          <w:p>
            <w:pPr>
              <w:spacing w:after="0"/>
              <w:rPr>
                <w:sz w:val="8"/>
                <w:szCs w:val="8"/>
                <w:color w:val="auto"/>
              </w:rPr>
            </w:pPr>
          </w:p>
        </w:tc>
        <w:tc>
          <w:tcPr>
            <w:tcW w:w="188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60" w:type="dxa"/>
            <w:vAlign w:val="bottom"/>
            <w:tcBorders>
              <w:top w:val="single" w:sz="8" w:color="auto"/>
            </w:tcBorders>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April 29,</w:t>
            </w:r>
          </w:p>
        </w:tc>
        <w:tc>
          <w:tcPr>
            <w:tcW w:w="4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64"/>
              <w:spacing w:after="0" w:line="102" w:lineRule="exact"/>
              <w:rPr>
                <w:sz w:val="20"/>
                <w:szCs w:val="20"/>
                <w:color w:val="auto"/>
              </w:rPr>
            </w:pPr>
            <w:r>
              <w:rPr>
                <w:rFonts w:ascii="Arial" w:cs="Arial" w:eastAsia="Arial" w:hAnsi="Arial"/>
                <w:sz w:val="11"/>
                <w:szCs w:val="11"/>
                <w:b w:val="1"/>
                <w:bCs w:val="1"/>
                <w:color w:val="auto"/>
              </w:rPr>
              <w:t>April 30,</w:t>
            </w:r>
          </w:p>
        </w:tc>
        <w:tc>
          <w:tcPr>
            <w:tcW w:w="220" w:type="dxa"/>
            <w:vAlign w:val="bottom"/>
          </w:tcPr>
          <w:p>
            <w:pPr>
              <w:spacing w:after="0"/>
              <w:rPr>
                <w:sz w:val="8"/>
                <w:szCs w:val="8"/>
                <w:color w:val="auto"/>
              </w:rPr>
            </w:pPr>
          </w:p>
        </w:tc>
        <w:tc>
          <w:tcPr>
            <w:tcW w:w="112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jc w:val="center"/>
              <w:ind w:right="65"/>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tcPr>
          <w:p>
            <w:pPr>
              <w:jc w:val="center"/>
              <w:ind w:right="84"/>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center"/>
              <w:ind w:right="65"/>
              <w:spacing w:after="0" w:line="129" w:lineRule="exact"/>
              <w:rPr>
                <w:sz w:val="20"/>
                <w:szCs w:val="20"/>
                <w:color w:val="auto"/>
              </w:rPr>
            </w:pPr>
            <w:r>
              <w:rPr>
                <w:rFonts w:ascii="Arial" w:cs="Arial" w:eastAsia="Arial" w:hAnsi="Arial"/>
                <w:sz w:val="14"/>
                <w:szCs w:val="14"/>
                <w:b w:val="1"/>
                <w:bCs w:val="1"/>
                <w:color w:val="auto"/>
                <w:w w:val="93"/>
              </w:rPr>
              <w:t>(restated)</w:t>
            </w: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center"/>
              <w:ind w:right="64"/>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0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18,558</w:t>
            </w:r>
          </w:p>
        </w:tc>
        <w:tc>
          <w:tcPr>
            <w:tcW w:w="1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9,568</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94.0%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 of net revenue</w:t>
            </w:r>
          </w:p>
        </w:tc>
        <w:tc>
          <w:tcPr>
            <w:tcW w:w="18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3.6%</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2.6%</w:t>
            </w:r>
          </w:p>
        </w:tc>
        <w:tc>
          <w:tcPr>
            <w:tcW w:w="9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850"/>
        </w:trPr>
        <w:tc>
          <w:tcPr>
            <w:tcW w:w="2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180" w:firstLine="324"/>
        <w:spacing w:after="0" w:line="291"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absolute dollars in general and administrative expense in the first quarter of fiscal 2007 compared to the first quarter of fiscal 2006 was primarily due to stock-based compensation expenses of $7.7 million as a result of our adoption of SFAS 123R. In addition, general and administrative expense increased due to the net hiring of additional administrative personnel, which resulted in an increase in salary and related costs of $1.4 million. Our expenses also increased due to higher professional fees of $1.4 million due to attorney fees associated with our on-going legal proceedings and $1.0 million due to higher professional fees as a result of our expanding operations and costs to comply with the regulatory requirements of the Sarbanes-Oxley Act of 2002.</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3" w:lineRule="exact"/>
        <w:rPr>
          <w:sz w:val="20"/>
          <w:szCs w:val="20"/>
          <w:color w:val="auto"/>
        </w:rPr>
      </w:pPr>
    </w:p>
    <w:tbl>
      <w:tblPr>
        <w:tblLayout w:type="fixed"/>
        <w:tblInd w:w="5740" w:type="dxa"/>
        <w:tblCellMar>
          <w:top w:w="0" w:type="dxa"/>
          <w:left w:w="0" w:type="dxa"/>
          <w:bottom w:w="0" w:type="dxa"/>
          <w:right w:w="0" w:type="dxa"/>
        </w:tblCellMar>
      </w:tblPr>
      <w:tr>
        <w:trPr>
          <w:trHeight w:val="171"/>
        </w:trPr>
        <w:tc>
          <w:tcPr>
            <w:tcW w:w="2260" w:type="dxa"/>
            <w:vAlign w:val="bottom"/>
            <w:gridSpan w:val="4"/>
          </w:tcPr>
          <w:p>
            <w:pPr>
              <w:ind w:left="360"/>
              <w:spacing w:after="0"/>
              <w:rPr>
                <w:sz w:val="20"/>
                <w:szCs w:val="20"/>
                <w:color w:val="auto"/>
              </w:rPr>
            </w:pPr>
            <w:r>
              <w:rPr>
                <w:rFonts w:ascii="Arial" w:cs="Arial" w:eastAsia="Arial" w:hAnsi="Arial"/>
                <w:sz w:val="14"/>
                <w:szCs w:val="14"/>
                <w:b w:val="1"/>
                <w:bCs w:val="1"/>
                <w:color w:val="auto"/>
              </w:rPr>
              <w:t>Three Months Ended</w:t>
            </w: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120" w:type="dxa"/>
            <w:vAlign w:val="bottom"/>
            <w:tcBorders>
              <w:top w:val="single" w:sz="8" w:color="auto"/>
            </w:tcBorders>
            <w:gridSpan w:val="2"/>
          </w:tcPr>
          <w:p>
            <w:pPr>
              <w:jc w:val="center"/>
              <w:ind w:right="220"/>
              <w:spacing w:after="0" w:line="102" w:lineRule="exact"/>
              <w:rPr>
                <w:sz w:val="20"/>
                <w:szCs w:val="20"/>
                <w:color w:val="auto"/>
              </w:rPr>
            </w:pPr>
            <w:r>
              <w:rPr>
                <w:rFonts w:ascii="Arial" w:cs="Arial" w:eastAsia="Arial" w:hAnsi="Arial"/>
                <w:sz w:val="11"/>
                <w:szCs w:val="11"/>
                <w:b w:val="1"/>
                <w:bCs w:val="1"/>
                <w:color w:val="auto"/>
              </w:rPr>
              <w:t>April 29,</w:t>
            </w:r>
          </w:p>
        </w:tc>
        <w:tc>
          <w:tcPr>
            <w:tcW w:w="92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April 30,</w:t>
            </w:r>
          </w:p>
        </w:tc>
        <w:tc>
          <w:tcPr>
            <w:tcW w:w="220" w:type="dxa"/>
            <w:vAlign w:val="bottom"/>
          </w:tcPr>
          <w:p>
            <w:pPr>
              <w:spacing w:after="0"/>
              <w:rPr>
                <w:sz w:val="8"/>
                <w:szCs w:val="8"/>
                <w:color w:val="auto"/>
              </w:rPr>
            </w:pPr>
          </w:p>
        </w:tc>
        <w:tc>
          <w:tcPr>
            <w:tcW w:w="9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62"/>
        </w:trPr>
        <w:tc>
          <w:tcPr>
            <w:tcW w:w="920" w:type="dxa"/>
            <w:vAlign w:val="bottom"/>
            <w:tcBorders>
              <w:bottom w:val="single" w:sz="8" w:color="auto"/>
            </w:tcBorders>
          </w:tcPr>
          <w:p>
            <w:pPr>
              <w:jc w:val="right"/>
              <w:ind w:right="253"/>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920" w:type="dxa"/>
            <w:vAlign w:val="bottom"/>
            <w:tcBorders>
              <w:bottom w:val="single" w:sz="8" w:color="auto"/>
            </w:tcBorders>
          </w:tcPr>
          <w:p>
            <w:pPr>
              <w:jc w:val="right"/>
              <w:ind w:right="256"/>
              <w:spacing w:after="0"/>
              <w:rPr>
                <w:sz w:val="20"/>
                <w:szCs w:val="20"/>
                <w:color w:val="auto"/>
              </w:rPr>
            </w:pPr>
            <w:r>
              <w:rPr>
                <w:rFonts w:ascii="Arial" w:cs="Arial" w:eastAsia="Arial" w:hAnsi="Arial"/>
                <w:sz w:val="14"/>
                <w:szCs w:val="14"/>
                <w:b w:val="1"/>
                <w:bCs w:val="1"/>
                <w:color w:val="auto"/>
              </w:rPr>
              <w:t>2005</w:t>
            </w:r>
          </w:p>
        </w:tc>
        <w:tc>
          <w:tcPr>
            <w:tcW w:w="220" w:type="dxa"/>
            <w:vAlign w:val="bottom"/>
          </w:tcPr>
          <w:p>
            <w:pPr>
              <w:spacing w:after="0"/>
              <w:rPr>
                <w:sz w:val="14"/>
                <w:szCs w:val="14"/>
                <w:color w:val="auto"/>
              </w:rPr>
            </w:pPr>
          </w:p>
        </w:tc>
        <w:tc>
          <w:tcPr>
            <w:tcW w:w="94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38" w:name="page39"/>
    <w:bookmarkEnd w:id="38"/>
    <w:p>
      <w:pPr>
        <w:spacing w:after="0" w:line="1" w:lineRule="exact"/>
        <w:rPr>
          <w:sz w:val="20"/>
          <w:szCs w:val="20"/>
          <w:color w:val="auto"/>
        </w:rPr>
      </w:pPr>
    </w:p>
    <w:tbl>
      <w:tblPr>
        <w:tblLayout w:type="fixed"/>
        <w:tblInd w:w="3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2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160" w:type="dxa"/>
            <w:vAlign w:val="bottom"/>
            <w:vMerge w:val="restart"/>
            <w:shd w:val="clear" w:color="auto" w:fill="CCEEFF"/>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28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200" w:type="dxa"/>
            <w:vAlign w:val="bottom"/>
            <w:vMerge w:val="continue"/>
            <w:shd w:val="clear" w:color="auto" w:fill="CCEEFF"/>
          </w:tcPr>
          <w:p>
            <w:pPr>
              <w:spacing w:after="0"/>
              <w:rPr>
                <w:sz w:val="18"/>
                <w:szCs w:val="18"/>
                <w:color w:val="auto"/>
              </w:rPr>
            </w:pPr>
          </w:p>
        </w:tc>
        <w:tc>
          <w:tcPr>
            <w:tcW w:w="1160" w:type="dxa"/>
            <w:vAlign w:val="bottom"/>
            <w:vMerge w:val="continue"/>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17,351</w:t>
            </w:r>
          </w:p>
        </w:tc>
        <w:tc>
          <w:tcPr>
            <w:tcW w:w="200" w:type="dxa"/>
            <w:vAlign w:val="bottom"/>
            <w:vMerge w:val="continue"/>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19,759</w:t>
            </w:r>
          </w:p>
        </w:tc>
        <w:tc>
          <w:tcPr>
            <w:tcW w:w="220" w:type="dxa"/>
            <w:vAlign w:val="bottom"/>
            <w:vMerge w:val="continue"/>
            <w:shd w:val="clear" w:color="auto" w:fill="CCEEFF"/>
          </w:tcPr>
          <w:p>
            <w:pPr>
              <w:spacing w:after="0"/>
              <w:rPr>
                <w:sz w:val="18"/>
                <w:szCs w:val="18"/>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200" w:type="dxa"/>
            <w:vAlign w:val="bottom"/>
          </w:tcPr>
          <w:p>
            <w:pPr>
              <w:spacing w:after="0"/>
              <w:rPr>
                <w:sz w:val="20"/>
                <w:szCs w:val="20"/>
                <w:color w:val="auto"/>
              </w:rPr>
            </w:pPr>
            <w:r>
              <w:rPr>
                <w:rFonts w:ascii="Arial" w:cs="Arial" w:eastAsia="Arial" w:hAnsi="Arial"/>
                <w:sz w:val="18"/>
                <w:szCs w:val="18"/>
                <w:color w:val="auto"/>
              </w:rPr>
              <w:t>% of net revenue</w:t>
            </w:r>
          </w:p>
        </w:tc>
        <w:tc>
          <w:tcPr>
            <w:tcW w:w="2280" w:type="dxa"/>
            <w:vAlign w:val="bottom"/>
            <w:gridSpan w:val="3"/>
          </w:tcPr>
          <w:p>
            <w:pPr>
              <w:jc w:val="right"/>
              <w:ind w:right="60"/>
              <w:spacing w:after="0"/>
              <w:rPr>
                <w:sz w:val="20"/>
                <w:szCs w:val="20"/>
                <w:color w:val="auto"/>
              </w:rPr>
            </w:pPr>
            <w:r>
              <w:rPr>
                <w:rFonts w:ascii="Arial" w:cs="Arial" w:eastAsia="Arial" w:hAnsi="Arial"/>
                <w:sz w:val="18"/>
                <w:szCs w:val="18"/>
                <w:color w:val="auto"/>
              </w:rPr>
              <w:t>3.3%</w:t>
            </w:r>
          </w:p>
        </w:tc>
        <w:tc>
          <w:tcPr>
            <w:tcW w:w="260" w:type="dxa"/>
            <w:vAlign w:val="bottom"/>
          </w:tcPr>
          <w:p>
            <w:pPr>
              <w:spacing w:after="0"/>
              <w:rPr>
                <w:sz w:val="20"/>
                <w:szCs w:val="20"/>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5.4%</w:t>
            </w:r>
          </w:p>
        </w:tc>
        <w:tc>
          <w:tcPr>
            <w:tcW w:w="9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In connection with various acquisitions, we have recorded acquired intangible assets which are being amortized over their estimated economic lives of one to five years. The decrease in amortization of acquired intangible assets in the first quarter of fiscal 2007 compared to the first quarter of fiscal 2006 was due to acquired intangible assets from the acquisition of MSIL being fully amortized at the end of fiscal 2006, offset by additional amortization of intangibles assets from other acquisitions.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48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gridSpan w:val="2"/>
          </w:tcPr>
          <w:p>
            <w:pPr>
              <w:jc w:val="right"/>
              <w:ind w:right="420"/>
              <w:spacing w:after="0" w:line="102" w:lineRule="exact"/>
              <w:rPr>
                <w:sz w:val="20"/>
                <w:szCs w:val="20"/>
                <w:color w:val="auto"/>
              </w:rPr>
            </w:pPr>
            <w:r>
              <w:rPr>
                <w:rFonts w:ascii="Arial" w:cs="Arial" w:eastAsia="Arial" w:hAnsi="Arial"/>
                <w:sz w:val="11"/>
                <w:szCs w:val="11"/>
                <w:b w:val="1"/>
                <w:bCs w:val="1"/>
                <w:color w:val="auto"/>
              </w:rPr>
              <w:t>April 29,</w:t>
            </w:r>
          </w:p>
        </w:tc>
        <w:tc>
          <w:tcPr>
            <w:tcW w:w="1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right"/>
              <w:ind w:right="123"/>
              <w:spacing w:after="0" w:line="102" w:lineRule="exact"/>
              <w:rPr>
                <w:sz w:val="20"/>
                <w:szCs w:val="20"/>
                <w:color w:val="auto"/>
              </w:rPr>
            </w:pPr>
            <w:r>
              <w:rPr>
                <w:rFonts w:ascii="Arial" w:cs="Arial" w:eastAsia="Arial" w:hAnsi="Arial"/>
                <w:sz w:val="11"/>
                <w:szCs w:val="11"/>
                <w:b w:val="1"/>
                <w:bCs w:val="1"/>
                <w:color w:val="auto"/>
              </w:rPr>
              <w:t>April 30,</w:t>
            </w:r>
          </w:p>
        </w:tc>
        <w:tc>
          <w:tcPr>
            <w:tcW w:w="220" w:type="dxa"/>
            <w:vAlign w:val="bottom"/>
          </w:tcPr>
          <w:p>
            <w:pPr>
              <w:spacing w:after="0"/>
              <w:rPr>
                <w:sz w:val="8"/>
                <w:szCs w:val="8"/>
                <w:color w:val="auto"/>
              </w:rPr>
            </w:pPr>
          </w:p>
        </w:tc>
        <w:tc>
          <w:tcPr>
            <w:tcW w:w="920" w:type="dxa"/>
            <w:vAlign w:val="bottom"/>
            <w:vMerge w:val="restart"/>
          </w:tcPr>
          <w:p>
            <w:pPr>
              <w:ind w:left="12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54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44"/>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63"/>
              <w:spacing w:after="0"/>
              <w:rPr>
                <w:sz w:val="20"/>
                <w:szCs w:val="20"/>
                <w:color w:val="auto"/>
              </w:rPr>
            </w:pPr>
            <w:r>
              <w:rPr>
                <w:rFonts w:ascii="Arial" w:cs="Arial" w:eastAsia="Arial" w:hAnsi="Arial"/>
                <w:sz w:val="14"/>
                <w:szCs w:val="14"/>
                <w:b w:val="1"/>
                <w:bCs w:val="1"/>
                <w:color w:val="auto"/>
              </w:rPr>
              <w:t>2005</w:t>
            </w:r>
          </w:p>
        </w:tc>
        <w:tc>
          <w:tcPr>
            <w:tcW w:w="220" w:type="dxa"/>
            <w:vAlign w:val="bottom"/>
            <w:tcBorders>
              <w:bottom w:val="single" w:sz="8" w:color="CCEEFF"/>
            </w:tcBorders>
          </w:tcPr>
          <w:p>
            <w:pPr>
              <w:spacing w:after="0"/>
              <w:rPr>
                <w:sz w:val="14"/>
                <w:szCs w:val="14"/>
                <w:color w:val="auto"/>
              </w:rPr>
            </w:pPr>
          </w:p>
        </w:tc>
        <w:tc>
          <w:tcPr>
            <w:tcW w:w="920" w:type="dxa"/>
            <w:vAlign w:val="bottom"/>
            <w:tcBorders>
              <w:bottom w:val="single" w:sz="8" w:color="auto"/>
            </w:tcBorders>
            <w:vMerge w:val="continue"/>
          </w:tcPr>
          <w:p>
            <w:pPr>
              <w:spacing w:after="0"/>
              <w:rPr>
                <w:sz w:val="14"/>
                <w:szCs w:val="14"/>
                <w:color w:val="auto"/>
              </w:rPr>
            </w:pPr>
          </w:p>
        </w:tc>
        <w:tc>
          <w:tcPr>
            <w:tcW w:w="20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7,616</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3,612</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110.9%</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480" w:type="dxa"/>
            <w:vAlign w:val="bottom"/>
          </w:tcPr>
          <w:p>
            <w:pPr>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0"/>
                <w:szCs w:val="20"/>
                <w:color w:val="auto"/>
              </w:rPr>
            </w:pP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20"/>
                <w:szCs w:val="20"/>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1.0%</w:t>
            </w:r>
          </w:p>
        </w:tc>
        <w:tc>
          <w:tcPr>
            <w:tcW w:w="9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 w:firstLine="259"/>
        <w:spacing w:after="0" w:line="273" w:lineRule="auto"/>
        <w:rPr>
          <w:sz w:val="20"/>
          <w:szCs w:val="20"/>
          <w:color w:val="auto"/>
        </w:rPr>
      </w:pPr>
      <w:r>
        <w:rPr>
          <w:rFonts w:ascii="Arial" w:cs="Arial" w:eastAsia="Arial" w:hAnsi="Arial"/>
          <w:sz w:val="17"/>
          <w:szCs w:val="17"/>
          <w:color w:val="auto"/>
        </w:rPr>
        <w:t>Interest and other income, net consists primarily of interest earned on cash, cash equivalents and short-term investment balances, offset by interest paid on capital lease obligations. The increase in interest and other income, net for the first quarter of fiscal 2007 compared to the first quarter of fiscal 2006 was primarily due to higher interest income due to higher comparable invested cash balances and higher yields on our investments. Although combined cash and short-term investment balances increased from April 29, 2006 compared to April 30, 2005, the short-term investment balance as of April 29, 2006 decreased compared to the short-term investment balance as of April 30, 2005 due to sales of short-term investments prior to the end of the quarter ended April 29, 2006 to fund the Avago Technologies acquisition which closed on May 1, 2006.</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7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960" w:type="dxa"/>
            <w:vAlign w:val="bottom"/>
            <w:tcBorders>
              <w:top w:val="single" w:sz="8" w:color="auto"/>
            </w:tcBorders>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April 29,</w:t>
            </w:r>
          </w:p>
        </w:tc>
        <w:tc>
          <w:tcPr>
            <w:tcW w:w="4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00" w:type="dxa"/>
            <w:vAlign w:val="bottom"/>
            <w:tcBorders>
              <w:top w:val="single" w:sz="8" w:color="auto"/>
            </w:tcBorders>
          </w:tcPr>
          <w:p>
            <w:pPr>
              <w:jc w:val="center"/>
              <w:ind w:right="64"/>
              <w:spacing w:after="0" w:line="102" w:lineRule="exact"/>
              <w:rPr>
                <w:sz w:val="20"/>
                <w:szCs w:val="20"/>
                <w:color w:val="auto"/>
              </w:rPr>
            </w:pPr>
            <w:r>
              <w:rPr>
                <w:rFonts w:ascii="Arial" w:cs="Arial" w:eastAsia="Arial" w:hAnsi="Arial"/>
                <w:sz w:val="11"/>
                <w:szCs w:val="11"/>
                <w:b w:val="1"/>
                <w:bCs w:val="1"/>
                <w:color w:val="auto"/>
              </w:rPr>
              <w:t>April 30,</w:t>
            </w:r>
          </w:p>
        </w:tc>
        <w:tc>
          <w:tcPr>
            <w:tcW w:w="220" w:type="dxa"/>
            <w:vAlign w:val="bottom"/>
          </w:tcPr>
          <w:p>
            <w:pPr>
              <w:spacing w:after="0"/>
              <w:rPr>
                <w:sz w:val="8"/>
                <w:szCs w:val="8"/>
                <w:color w:val="auto"/>
              </w:rPr>
            </w:pPr>
          </w:p>
        </w:tc>
        <w:tc>
          <w:tcPr>
            <w:tcW w:w="1120" w:type="dxa"/>
            <w:vAlign w:val="bottom"/>
            <w:gridSpan w:val="2"/>
            <w:vMerge w:val="restart"/>
          </w:tcPr>
          <w:p>
            <w:pPr>
              <w:jc w:val="right"/>
              <w:ind w:right="34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jc w:val="center"/>
              <w:ind w:right="65"/>
              <w:spacing w:after="0"/>
              <w:rPr>
                <w:sz w:val="20"/>
                <w:szCs w:val="20"/>
                <w:color w:val="auto"/>
              </w:rPr>
            </w:pPr>
            <w:r>
              <w:rPr>
                <w:rFonts w:ascii="Arial" w:cs="Arial" w:eastAsia="Arial" w:hAnsi="Arial"/>
                <w:sz w:val="14"/>
                <w:szCs w:val="14"/>
                <w:b w:val="1"/>
                <w:bCs w:val="1"/>
                <w:color w:val="auto"/>
                <w:w w:val="89"/>
              </w:rPr>
              <w:t>2006</w:t>
            </w: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tcPr>
          <w:p>
            <w:pPr>
              <w:jc w:val="center"/>
              <w:ind w:right="84"/>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70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center"/>
              <w:ind w:right="65"/>
              <w:spacing w:after="0" w:line="129" w:lineRule="exact"/>
              <w:rPr>
                <w:sz w:val="20"/>
                <w:szCs w:val="20"/>
                <w:color w:val="auto"/>
              </w:rPr>
            </w:pPr>
            <w:r>
              <w:rPr>
                <w:rFonts w:ascii="Arial" w:cs="Arial" w:eastAsia="Arial" w:hAnsi="Arial"/>
                <w:sz w:val="14"/>
                <w:szCs w:val="14"/>
                <w:b w:val="1"/>
                <w:bCs w:val="1"/>
                <w:color w:val="auto"/>
                <w:w w:val="93"/>
              </w:rPr>
              <w:t>(restated)</w:t>
            </w: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jc w:val="center"/>
              <w:ind w:right="64"/>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15,863</w:t>
            </w:r>
          </w:p>
        </w:tc>
        <w:tc>
          <w:tcPr>
            <w:tcW w:w="18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9,351</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69.6%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700" w:type="dxa"/>
            <w:vAlign w:val="bottom"/>
          </w:tcPr>
          <w:p>
            <w:pPr>
              <w:spacing w:after="0"/>
              <w:rPr>
                <w:sz w:val="20"/>
                <w:szCs w:val="20"/>
                <w:color w:val="auto"/>
              </w:rPr>
            </w:pPr>
            <w:r>
              <w:rPr>
                <w:rFonts w:ascii="Arial" w:cs="Arial" w:eastAsia="Arial" w:hAnsi="Arial"/>
                <w:sz w:val="18"/>
                <w:szCs w:val="18"/>
                <w:color w:val="auto"/>
              </w:rPr>
              <w:t>% of net revenue</w:t>
            </w:r>
          </w:p>
        </w:tc>
        <w:tc>
          <w:tcPr>
            <w:tcW w:w="17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3.0%</w:t>
            </w:r>
          </w:p>
        </w:tc>
        <w:tc>
          <w:tcPr>
            <w:tcW w:w="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2.6%</w:t>
            </w:r>
          </w:p>
        </w:tc>
        <w:tc>
          <w:tcPr>
            <w:tcW w:w="9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jc w:val="both"/>
        <w:ind w:right="100" w:firstLine="259"/>
        <w:spacing w:after="0" w:line="264" w:lineRule="auto"/>
        <w:rPr>
          <w:sz w:val="20"/>
          <w:szCs w:val="20"/>
          <w:color w:val="auto"/>
        </w:rPr>
      </w:pPr>
      <w:r>
        <w:rPr>
          <w:rFonts w:ascii="Arial" w:cs="Arial" w:eastAsia="Arial" w:hAnsi="Arial"/>
          <w:sz w:val="18"/>
          <w:szCs w:val="18"/>
          <w:color w:val="auto"/>
        </w:rPr>
        <w:t>Our effective tax rate was 18.8% for the three months ended April 29, 2006 compared to 14.8% for the three months ended April 30, 2005. The effective tax rates were affected by profits earned in jurisdictions where the tax rate is lower than the U.S. tax rate and by non-tax-deductible expenses, such as stock-based compensation, nondeductible acquisition related expenses and the impact of adopting SFAS 123R.</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Cumulative Effects of Change in Accounting Principle, net of Tax Effect</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4"/>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gridSpan w:val="2"/>
          </w:tcPr>
          <w:p>
            <w:pPr>
              <w:jc w:val="right"/>
              <w:ind w:right="420"/>
              <w:spacing w:after="0" w:line="102" w:lineRule="exact"/>
              <w:rPr>
                <w:sz w:val="20"/>
                <w:szCs w:val="20"/>
                <w:color w:val="auto"/>
              </w:rPr>
            </w:pPr>
            <w:r>
              <w:rPr>
                <w:rFonts w:ascii="Arial" w:cs="Arial" w:eastAsia="Arial" w:hAnsi="Arial"/>
                <w:sz w:val="11"/>
                <w:szCs w:val="11"/>
                <w:b w:val="1"/>
                <w:bCs w:val="1"/>
                <w:color w:val="auto"/>
              </w:rPr>
              <w:t>April 29,</w:t>
            </w:r>
          </w:p>
        </w:tc>
        <w:tc>
          <w:tcPr>
            <w:tcW w:w="92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April 30,</w:t>
            </w:r>
          </w:p>
        </w:tc>
        <w:tc>
          <w:tcPr>
            <w:tcW w:w="220" w:type="dxa"/>
            <w:vAlign w:val="bottom"/>
          </w:tcPr>
          <w:p>
            <w:pPr>
              <w:spacing w:after="0"/>
              <w:rPr>
                <w:sz w:val="8"/>
                <w:szCs w:val="8"/>
                <w:color w:val="auto"/>
              </w:rPr>
            </w:pPr>
          </w:p>
        </w:tc>
        <w:tc>
          <w:tcPr>
            <w:tcW w:w="1120" w:type="dxa"/>
            <w:vAlign w:val="bottom"/>
            <w:gridSpan w:val="2"/>
            <w:vMerge w:val="restart"/>
          </w:tcPr>
          <w:p>
            <w:pPr>
              <w:jc w:val="right"/>
              <w:ind w:right="34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5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jc w:val="right"/>
              <w:ind w:right="24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920" w:type="dxa"/>
            <w:vAlign w:val="bottom"/>
          </w:tcPr>
          <w:p>
            <w:pPr>
              <w:jc w:val="center"/>
              <w:spacing w:after="0"/>
              <w:rPr>
                <w:sz w:val="20"/>
                <w:szCs w:val="20"/>
                <w:color w:val="auto"/>
              </w:rPr>
            </w:pPr>
            <w:r>
              <w:rPr>
                <w:rFonts w:ascii="Arial" w:cs="Arial" w:eastAsia="Arial" w:hAnsi="Arial"/>
                <w:sz w:val="14"/>
                <w:szCs w:val="14"/>
                <w:b w:val="1"/>
                <w:bCs w:val="1"/>
                <w:color w:val="auto"/>
                <w:w w:val="89"/>
              </w:rPr>
              <w:t>2005</w:t>
            </w:r>
          </w:p>
        </w:tc>
        <w:tc>
          <w:tcPr>
            <w:tcW w:w="22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2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9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0"/>
              </w:rPr>
              <w:t>(restated)</w:t>
            </w:r>
          </w:p>
        </w:tc>
        <w:tc>
          <w:tcPr>
            <w:tcW w:w="220" w:type="dxa"/>
            <w:vAlign w:val="bottom"/>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w w:val="96"/>
              </w:rPr>
              <w:t>Cumulative effect of change in accounting principle, net of tax effect</w:t>
            </w:r>
          </w:p>
        </w:tc>
        <w:tc>
          <w:tcPr>
            <w:tcW w:w="3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 of net income</w:t>
            </w:r>
          </w:p>
        </w:tc>
        <w:tc>
          <w:tcPr>
            <w:tcW w:w="2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1.7%</w:t>
            </w:r>
          </w:p>
        </w:tc>
        <w:tc>
          <w:tcPr>
            <w:tcW w:w="114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680" w:firstLine="259"/>
        <w:spacing w:after="0" w:line="277" w:lineRule="auto"/>
        <w:rPr>
          <w:sz w:val="20"/>
          <w:szCs w:val="20"/>
          <w:color w:val="auto"/>
        </w:rPr>
      </w:pPr>
      <w:r>
        <w:rPr>
          <w:rFonts w:ascii="Arial" w:cs="Arial" w:eastAsia="Arial" w:hAnsi="Arial"/>
          <w:sz w:val="18"/>
          <w:szCs w:val="18"/>
          <w:color w:val="auto"/>
        </w:rPr>
        <w:t>During the three months ended April 29, 2006, we recorded an adjustment for the cumulative effect of a change in accounting principle related to estimating forfeitures in our adoption of SFAS 123R.</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700" w:firstLine="259"/>
        <w:spacing w:after="0" w:line="264" w:lineRule="auto"/>
        <w:rPr>
          <w:sz w:val="20"/>
          <w:szCs w:val="20"/>
          <w:color w:val="auto"/>
        </w:rPr>
      </w:pPr>
      <w:r>
        <w:rPr>
          <w:rFonts w:ascii="Arial" w:cs="Arial" w:eastAsia="Arial" w:hAnsi="Arial"/>
          <w:sz w:val="18"/>
          <w:szCs w:val="18"/>
          <w:color w:val="auto"/>
        </w:rPr>
        <w:t>Our principal source of liquidity as of April 29, 2006 consisted of $921.4 million of cash, cash equivalents and short-term investments.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Provided by Operating Activities (restated)</w:t>
      </w:r>
    </w:p>
    <w:p>
      <w:pPr>
        <w:spacing w:after="0" w:line="225"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Net cash provided by operating activities was $46.7 million for the three months ended April 29, 2006 compared to $68.9 million for the three months ended April 30, 2005. The cash inflows from operations in the three months of fiscal 2007 was primarily a result of our generation of income during the period and changes in working capital. Non-cash charges in the first three months of fiscal 2007 included $17.4 million related to amortization of acquired intangible assets, $15.6 million of depreciation and amortization expense and $48.8 million of stock-based compensation. Significant working capital changes contributing to positive cash inflow in the first three months of fiscal 2007 included an increase of $15.1 million in income tax payable resulting from higher taxable income in the first three months of fiscal 2007 and a decrease in inventory of $8.7 million, primarily as a result of a reduction in wafer starts. The number of days in inventory has increased at the end of the first quarter of fiscal 2007 to 77 days compared to 58 days at the end of the first quarter of fiscal 2006 due primarily to a higher comparable inventory balance at the end of each respective quarter. We expect the number of days in inventory to fluctuate in the range of approximately 60 to 75 days depending on our wafer starts and the inventory purchase needs of our customers as well as lead times and competitive situations in the marketplace.</w:t>
      </w:r>
    </w:p>
    <w:p>
      <w:pPr>
        <w:spacing w:after="0" w:line="178" w:lineRule="exact"/>
        <w:rPr>
          <w:sz w:val="20"/>
          <w:szCs w:val="20"/>
          <w:color w:val="auto"/>
        </w:rPr>
      </w:pPr>
    </w:p>
    <w:p>
      <w:pPr>
        <w:ind w:right="40" w:firstLine="324"/>
        <w:spacing w:after="0" w:line="300" w:lineRule="auto"/>
        <w:rPr>
          <w:sz w:val="20"/>
          <w:szCs w:val="20"/>
          <w:color w:val="auto"/>
        </w:rPr>
      </w:pPr>
      <w:r>
        <w:rPr>
          <w:rFonts w:ascii="Arial" w:cs="Arial" w:eastAsia="Arial" w:hAnsi="Arial"/>
          <w:sz w:val="16"/>
          <w:szCs w:val="16"/>
          <w:color w:val="auto"/>
        </w:rPr>
        <w:t xml:space="preserve">Significant working capital changes offsetting positive cash flows in the first three months of fiscal 2007 included an increase in accounts receivable of $48.4 million primarily due to higher total net revenue in the first three months of fiscal 2007 compared to the first three months of fiscal 2006. Although accounts receivable increased, the days sales outstanding, or DSO, metric has remained consistent in the first three months of both fiscal 2007 and 2006 at 51 days. </w:t>
      </w:r>
      <w:r>
        <w:rPr>
          <w:rFonts w:ascii="Arial" w:cs="Arial" w:eastAsia="Arial" w:hAnsi="Arial"/>
          <w:sz w:val="15"/>
          <w:szCs w:val="15"/>
          <w:color w:val="auto"/>
        </w:rPr>
        <w:t>Many of our larger customers have regularly scheduled payment dates with some of the dates falling immediately before or after our fiscal quarter-end. As</w:t>
      </w:r>
      <w:r>
        <w:rPr>
          <w:rFonts w:ascii="Arial" w:cs="Arial" w:eastAsia="Arial" w:hAnsi="Arial"/>
          <w:sz w:val="16"/>
          <w:szCs w:val="16"/>
          <w:color w:val="auto"/>
        </w:rPr>
        <w:t xml:space="preserve"> </w:t>
      </w:r>
      <w:r>
        <w:rPr>
          <w:rFonts w:ascii="Arial" w:cs="Arial" w:eastAsia="Arial" w:hAnsi="Arial"/>
          <w:sz w:val="15"/>
          <w:szCs w:val="15"/>
          <w:color w:val="auto"/>
        </w:rPr>
        <w:t>a result, our accounts receivable balance and DSO may fluctuate depending on the timing of large payments made by our customers. Also contributing to working capital changes offsetting positive cash flow in the first three months of fiscal 2007 was a decrease in accounts payable of $45.9 million due to payments</w:t>
      </w:r>
    </w:p>
    <w:p>
      <w:pPr>
        <w:sectPr>
          <w:pgSz w:w="11900" w:h="16838" w:orient="portrait"/>
          <w:cols w:equalWidth="0" w:num="1">
            <w:col w:w="11420"/>
          </w:cols>
          <w:pgMar w:left="240" w:top="140" w:right="239" w:bottom="0" w:gutter="0" w:footer="0" w:header="0"/>
        </w:sectPr>
      </w:pPr>
    </w:p>
    <w:bookmarkStart w:id="39" w:name="page40"/>
    <w:bookmarkEnd w:id="39"/>
    <w:p>
      <w:pPr>
        <w:ind w:right="480"/>
        <w:spacing w:after="0" w:line="268" w:lineRule="auto"/>
        <w:rPr>
          <w:sz w:val="20"/>
          <w:szCs w:val="20"/>
          <w:color w:val="auto"/>
        </w:rPr>
      </w:pPr>
      <w:r>
        <w:rPr>
          <w:rFonts w:ascii="Arial" w:cs="Arial" w:eastAsia="Arial" w:hAnsi="Arial"/>
          <w:sz w:val="18"/>
          <w:szCs w:val="18"/>
          <w:color w:val="auto"/>
        </w:rPr>
        <w:t>on outstanding balances and an increase in prepaid and other assets of $25.8 million due primarily to a $23.0 million payment in connection with a capacity reservation agreement with a foundry.</w:t>
      </w:r>
    </w:p>
    <w:p>
      <w:pPr>
        <w:spacing w:after="0" w:line="180"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Net cash provided by operating activities was $68.9 million for the three months ended April 30, 2005. The cash inflow from operations in the first three months of fiscal 2006 was primarily a result of our generation of income during the period and changes in working capital. Non-cash charges in the first three months of fiscal 2006 included $19.8 million related to amortization of acquired intangible assets, $13.4 million of depreciation and amortization expense and $9.6 million of amortization of stock-based compensation. Significant working capital changes contributing to positive cash inflow in the first three months of fiscal 2006 included a decrease in inventory of $15.7 million, primarily as a result of better visibility of forecasted demand, as well as reduced cycle times from our foundry vendors. Accordingly, the number of days in inventory decreased at the end of the first quarter of fiscal 2006 to 58 days compared to 76 days at the end of the first quarter of fiscal 2005. Other working capital changes contributing to positive cash inflow in the first three months of fiscal 2006 included an increase of $8.1 million in income tax payable resulting from higher taxable income in the first three months of fiscal 2006 and an increase of $2.6 million in deferred income due to increased shipments of product to distributors during the first quarter of fiscal 2006.</w:t>
      </w:r>
    </w:p>
    <w:p>
      <w:pPr>
        <w:spacing w:after="0" w:line="167" w:lineRule="exact"/>
        <w:rPr>
          <w:sz w:val="20"/>
          <w:szCs w:val="20"/>
          <w:color w:val="auto"/>
        </w:rPr>
      </w:pPr>
    </w:p>
    <w:p>
      <w:pPr>
        <w:ind w:right="60" w:firstLine="324"/>
        <w:spacing w:after="0" w:line="263" w:lineRule="auto"/>
        <w:rPr>
          <w:sz w:val="20"/>
          <w:szCs w:val="20"/>
          <w:color w:val="auto"/>
        </w:rPr>
      </w:pPr>
      <w:r>
        <w:rPr>
          <w:rFonts w:ascii="Arial" w:cs="Arial" w:eastAsia="Arial" w:hAnsi="Arial"/>
          <w:sz w:val="18"/>
          <w:szCs w:val="18"/>
          <w:color w:val="auto"/>
        </w:rPr>
        <w:t xml:space="preserve">Significant working capital changes offsetting positive cash flows in the first three months of fiscal 2006 included an increase in prepaid and other assets of $43.8 million due primarily to a $37.0 million payment in connection </w:t>
      </w:r>
      <w:r>
        <w:rPr>
          <w:rFonts w:ascii="Arial" w:cs="Arial" w:eastAsia="Arial" w:hAnsi="Arial"/>
          <w:sz w:val="17"/>
          <w:szCs w:val="17"/>
          <w:color w:val="auto"/>
        </w:rPr>
        <w:t>with a capacity reservation agreement with a foundry. Also contributing to working</w:t>
      </w:r>
      <w:r>
        <w:rPr>
          <w:rFonts w:ascii="Arial" w:cs="Arial" w:eastAsia="Arial" w:hAnsi="Arial"/>
          <w:sz w:val="18"/>
          <w:szCs w:val="18"/>
          <w:color w:val="auto"/>
        </w:rPr>
        <w:t xml:space="preserve"> </w:t>
      </w:r>
      <w:r>
        <w:rPr>
          <w:rFonts w:ascii="Arial" w:cs="Arial" w:eastAsia="Arial" w:hAnsi="Arial"/>
          <w:sz w:val="17"/>
          <w:szCs w:val="17"/>
          <w:color w:val="auto"/>
        </w:rPr>
        <w:t>capital changes offsetting positive cash flow in the first three months of fiscal 2006 was a decrease in accounts payable of $7.4 million due to payments on outstanding balances and the decrease in inventory balances and an increase in accounts receivable of $4.2 million primarily due to higher total net revenue in the first three months of fiscal 2006 compared to the first three months of fiscal 2005.</w:t>
      </w:r>
    </w:p>
    <w:p>
      <w:pPr>
        <w:spacing w:after="0" w:line="188" w:lineRule="exact"/>
        <w:rPr>
          <w:sz w:val="20"/>
          <w:szCs w:val="20"/>
          <w:color w:val="auto"/>
        </w:rPr>
      </w:pPr>
    </w:p>
    <w:p>
      <w:pPr>
        <w:ind w:right="80" w:firstLine="324"/>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Provided by (Used in) Investing Activities</w:t>
      </w:r>
    </w:p>
    <w:p>
      <w:pPr>
        <w:spacing w:after="0" w:line="225"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Net cash provided by investing activities was $127.3 million for the first three months of fiscal 2007 and while net cash used in investing activities was $69.4 million for the first three months of fiscal 2006. The net cash provided by investing activities in the first three months of fiscal 2007 was due to proceeds from the sales and maturities of short-term investments of $238.1 million partially offset by purchases of property and equipment of $28.9 million, cash paid for acquisitions of $24.0 million and purchases of short-term investments of $57.4 million. The net cash used in investing activities in the first three months of fiscal 2006 was due to purchases of property and equipment of $18.4 million, purchases of short-term investments of $99.0 million, partially offset by the proceeds from the sales and maturities of short-term investments of $48.1 million.</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Net cash provided by financing activities was $7.0 million for the three months ended April 29, 2006 and $17.0 million for the three months ended April 30, 2005. In the first three months of fiscal 2007 and 2006, net cash provided by financing activities was attributable to proceeds from the issuance of common stock under our stock option plans, partially offset by principal payments on capital lease obligations. The proceeds from the issuance of common stock were primarily due to the exercises of stock options. The increase in capital lease obligations was due to additional computer-aided design software licenses, which we have acquired for use in our research and development activities.</w:t>
      </w: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Contractual Obligations and Commitments (restated)</w:t>
      </w:r>
    </w:p>
    <w:p>
      <w:pPr>
        <w:spacing w:after="0" w:line="22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Our relationships with our foundries allow us to cancel all outstanding purchase orders, provided we pay the foundries for all expenses they have incurred in connection with our purchase orders through the date of cancellation. As of April 29, 2006, foundries had incurred approximately $145.0 million of manufacturing expenses on our outstanding purchase orders. The purchase obligations are included in outstanding purchase commitments as of April 29, 2006.</w:t>
      </w:r>
    </w:p>
    <w:p>
      <w:pPr>
        <w:spacing w:after="0" w:line="187"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eighteen months. The amendment extends the term of the agreement and the agreed upon pricing terms until December 31, 2015. As of April 29, 2006, payments totaling $129.0 million (included in prepaid expenses and other current assets and other non current assets) have been made and approximately $44.6 million of the prepayment has been utilized as of April 29, 2006. At April 29, 2006, remaining commitments under the agreement were approximately $45.2 million.</w:t>
      </w:r>
    </w:p>
    <w:p>
      <w:pPr>
        <w:spacing w:after="0" w:line="193" w:lineRule="exact"/>
        <w:rPr>
          <w:sz w:val="20"/>
          <w:szCs w:val="20"/>
          <w:color w:val="auto"/>
        </w:rPr>
      </w:pPr>
    </w:p>
    <w:p>
      <w:pPr>
        <w:ind w:right="20" w:firstLine="324"/>
        <w:spacing w:after="0" w:line="293" w:lineRule="auto"/>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 square feet. The lease commenced on January 1, 2002 and was amended in the third quarter of fiscal 2006 to end December 31, 2005. In February 2002, we consolidated our three existing facilities in California into this new building. The leases on two of our former facilities expired in February 2002 and June 2005, respectively, but we have an ongoing, non-cancelable lease for the remaining facility, for which we have obtained a sublease. Actual sublease income approximated the estimated sublease income, but is less than our actual lease commitment, resulting in future negative cash flow over the remaining term of the sublease of approximately $3.4 million as of April 29, 2006. At April 29, 2006, cash payments of $10.1 million, net of sublease income had been made in</w:t>
      </w:r>
    </w:p>
    <w:p>
      <w:pPr>
        <w:sectPr>
          <w:pgSz w:w="11900" w:h="16838" w:orient="portrait"/>
          <w:cols w:equalWidth="0" w:num="1">
            <w:col w:w="11420"/>
          </w:cols>
          <w:pgMar w:left="240" w:top="131" w:right="239" w:bottom="0" w:gutter="0" w:footer="0" w:header="0"/>
        </w:sectPr>
      </w:pPr>
    </w:p>
    <w:bookmarkStart w:id="40" w:name="page41"/>
    <w:bookmarkEnd w:id="40"/>
    <w:p>
      <w:pPr>
        <w:ind w:right="120"/>
        <w:spacing w:after="0" w:line="277" w:lineRule="auto"/>
        <w:rPr>
          <w:sz w:val="20"/>
          <w:szCs w:val="20"/>
          <w:color w:val="auto"/>
        </w:rPr>
      </w:pPr>
      <w:r>
        <w:rPr>
          <w:rFonts w:ascii="Arial" w:cs="Arial" w:eastAsia="Arial" w:hAnsi="Arial"/>
          <w:sz w:val="18"/>
          <w:szCs w:val="18"/>
          <w:color w:val="auto"/>
        </w:rPr>
        <w:t>connection with this charge. Approximately $3.4 million is accrued for this facilities consolidation charge as of April 29, 2006 of which $0.7 million was the current portion while the long-term portion totaling $2.7 million is payable through 2010.</w:t>
      </w:r>
    </w:p>
    <w:p>
      <w:pPr>
        <w:spacing w:after="0" w:line="170"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On November 4, 2005, we completed the acquisition of the hard disk and tape drive controller semiconductor business of QLogic Corporation. The acquisition was completed in accordance with the terms and conditions of an Asset Purchase Agreement dated August 29, 2005. Under the terms of the agreement, in exchange for certain assets and intellectual property of QLogic, we paid $180.0 million in cash and issued 980,499 shares of our common stock to QLogic valued at $45.6 million for consideration of $225.6 million. An additional payment of $4.0 million was made for an inventory adjustment, resulting in total cash paid of $184.0 million and total consideration of $232.5 million, including acquisition costs. Pursuant to the agreement, on the closing date, we placed a portion of the shares in escrow as security for our indemnification rights under the agreement. The shares can be held in escrow for up to 12 months from the closing date. Our shares of common stock were issued pursuant to an exemption under the Securities Act of 1933.</w:t>
      </w:r>
    </w:p>
    <w:p>
      <w:pPr>
        <w:spacing w:after="0" w:line="167" w:lineRule="exact"/>
        <w:rPr>
          <w:sz w:val="20"/>
          <w:szCs w:val="20"/>
          <w:color w:val="auto"/>
        </w:rPr>
      </w:pPr>
    </w:p>
    <w:p>
      <w:pPr>
        <w:ind w:right="220" w:firstLine="324"/>
        <w:spacing w:after="0" w:line="308" w:lineRule="auto"/>
        <w:rPr>
          <w:sz w:val="20"/>
          <w:szCs w:val="20"/>
          <w:color w:val="auto"/>
        </w:rPr>
      </w:pPr>
      <w:r>
        <w:rPr>
          <w:rFonts w:ascii="Arial" w:cs="Arial" w:eastAsia="Arial" w:hAnsi="Arial"/>
          <w:sz w:val="17"/>
          <w:szCs w:val="17"/>
          <w:color w:val="auto"/>
        </w:rPr>
        <w:t>On February 16, 2006, we completed the acquisition of the semiconductor division of UTStarcom, Inc. for $24.0 million in cash. In the third quarter of fiscal 2007, we recorded $16.0 million of contingent consideration based on certain defined milestones being achieved in August 2006.</w:t>
      </w:r>
    </w:p>
    <w:p>
      <w:pPr>
        <w:spacing w:after="0" w:line="147"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In April 2006, we made a deposit of $0.5 million for the purchase of land in Singapore. We plan to make additional commitments to construct a building for our Singapore office. We are still in the preliminary stages of defining the scope of the work to be performed as well as selecting contractors. As such, we have not been able to assess and determine how much we expect to incur in connection with the improvements for the building.</w:t>
      </w:r>
    </w:p>
    <w:p>
      <w:pPr>
        <w:spacing w:after="0" w:line="147" w:lineRule="exact"/>
        <w:rPr>
          <w:sz w:val="20"/>
          <w:szCs w:val="20"/>
          <w:color w:val="auto"/>
        </w:rPr>
      </w:pPr>
    </w:p>
    <w:p>
      <w:pPr>
        <w:ind w:right="240" w:firstLine="324"/>
        <w:spacing w:after="0" w:line="259" w:lineRule="auto"/>
        <w:rPr>
          <w:sz w:val="20"/>
          <w:szCs w:val="20"/>
          <w:color w:val="auto"/>
        </w:rPr>
      </w:pPr>
      <w:r>
        <w:rPr>
          <w:rFonts w:ascii="Arial" w:cs="Arial" w:eastAsia="Arial" w:hAnsi="Arial"/>
          <w:sz w:val="18"/>
          <w:szCs w:val="18"/>
          <w:color w:val="auto"/>
        </w:rPr>
        <w:t>On May 1, 2006, we completed the acquisition of the printer semiconductor business of Avago Technologies Limited. Under the agreement, we paid $251.5 million in cash upon closing of the transaction. In the third quarter of fiscal 2007, we accrued $10.0 million of contingent consideration based on certain defined milestones being achieved in October 2006. We may pay an additional $25.0 million if defined milestones are achieved at various intervals through October 2007.</w:t>
      </w:r>
    </w:p>
    <w:p>
      <w:pPr>
        <w:spacing w:after="0" w:line="187" w:lineRule="exact"/>
        <w:rPr>
          <w:sz w:val="20"/>
          <w:szCs w:val="20"/>
          <w:color w:val="auto"/>
        </w:rPr>
      </w:pPr>
    </w:p>
    <w:p>
      <w:pPr>
        <w:ind w:right="60" w:firstLine="324"/>
        <w:spacing w:after="0" w:line="297" w:lineRule="auto"/>
        <w:rPr>
          <w:sz w:val="20"/>
          <w:szCs w:val="20"/>
          <w:color w:val="auto"/>
        </w:rPr>
      </w:pPr>
      <w:r>
        <w:rPr>
          <w:rFonts w:ascii="Arial" w:cs="Arial" w:eastAsia="Arial" w:hAnsi="Arial"/>
          <w:sz w:val="16"/>
          <w:szCs w:val="16"/>
          <w:color w:val="auto"/>
        </w:rPr>
        <w:t>On November 8, 2006, we completed its acquisition of the communications and application processor business of Intel Corporation (“ICAP Business”) and paid $600.0 million in cash upon closing of the transaction. We recorded a one-time charge for purchased in-process research and development expenses related to the acquisition of $77.8 million in the fourth fiscal quarter of fiscal 2007. In addition to the asset purchase, we entered into certain additional agreements with Intel, including a supply agreement. Under the terms of the agreement we have committed to purchase and Intel has agreed to supply through June 2008 a minimum number of wafers at fixed prices. If at the end of any fiscal quarter for Intel, there is a shortfall between the</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80"/>
        <w:spacing w:after="0" w:line="259" w:lineRule="auto"/>
        <w:rPr>
          <w:sz w:val="20"/>
          <w:szCs w:val="20"/>
          <w:color w:val="auto"/>
        </w:rPr>
      </w:pPr>
      <w:r>
        <w:rPr>
          <w:rFonts w:ascii="Arial" w:cs="Arial" w:eastAsia="Arial" w:hAnsi="Arial"/>
          <w:sz w:val="18"/>
          <w:szCs w:val="18"/>
          <w:color w:val="auto"/>
        </w:rPr>
        <w:t>quantity of supply ordered by us and the quantities of supply required under the supply agreement commitment, Intel will invoice us for the shortfall and will deliver the corresponding quantity upon receipt of payment from us. The supply agreement requires us to prepay for certain wafers six months in advance of delivery and requires us to issue non cancellable purchase orders at least six months in advance of requested delivery dates for all purchases under the supply agreement.</w:t>
      </w:r>
    </w:p>
    <w:p>
      <w:pPr>
        <w:spacing w:after="0" w:line="187" w:lineRule="exact"/>
        <w:rPr>
          <w:sz w:val="20"/>
          <w:szCs w:val="20"/>
          <w:color w:val="auto"/>
        </w:rPr>
      </w:pPr>
    </w:p>
    <w:p>
      <w:pPr>
        <w:ind w:right="160" w:firstLine="324"/>
        <w:spacing w:after="0" w:line="271" w:lineRule="auto"/>
        <w:rPr>
          <w:sz w:val="20"/>
          <w:szCs w:val="20"/>
          <w:color w:val="auto"/>
        </w:rPr>
      </w:pPr>
      <w:r>
        <w:rPr>
          <w:rFonts w:ascii="Arial" w:cs="Arial" w:eastAsia="Arial" w:hAnsi="Arial"/>
          <w:sz w:val="17"/>
          <w:szCs w:val="17"/>
          <w:color w:val="auto"/>
        </w:rPr>
        <w:t>In November 2006, we borrowed $400.0 million from a group of lenders in the form of term loans to partially finance the acquisition of the ICAP Business. Amounts borrowed under the credit agreement bear interest at the higher of the lender’s prime rate or 0.5% per annum above the Federal Funds Effective Rate, as defined in the agreement, plus a 1% margin. In the case of Eurodollar loans, amounts borrowed bear interest at a rate equal to Adjusted LIBOR plus 2% margin. Such margins are subject to reductions or increases depending on our credit rating. The credit agreement also contains customary covenants, including financial covenants. We may repay the term loans at any time without premium or penalty. We must also prepay the term loans depending on certain specified events. Certain of our subsidiaries have guaranteed the obligations under the credit agreement. In connection with the credit agreement, the Company and three of our subsidiaries entered into pledge agreements with the lender to which each such entity has granted the lender a security interest in the equity interests held by such entity in certain affiliates.</w:t>
      </w:r>
    </w:p>
    <w:p>
      <w:pPr>
        <w:spacing w:after="0" w:line="179"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including acquisitions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67" w:lineRule="exact"/>
        <w:rPr>
          <w:sz w:val="20"/>
          <w:szCs w:val="20"/>
          <w:color w:val="auto"/>
        </w:rPr>
      </w:pPr>
    </w:p>
    <w:p>
      <w:pPr>
        <w:ind w:right="60" w:firstLine="324"/>
        <w:spacing w:after="0" w:line="277" w:lineRule="auto"/>
        <w:rPr>
          <w:sz w:val="20"/>
          <w:szCs w:val="20"/>
          <w:color w:val="auto"/>
        </w:rPr>
      </w:pPr>
      <w:r>
        <w:rPr>
          <w:rFonts w:ascii="Arial" w:cs="Arial" w:eastAsia="Arial" w:hAnsi="Arial"/>
          <w:sz w:val="18"/>
          <w:szCs w:val="18"/>
          <w:color w:val="auto"/>
        </w:rPr>
        <w:t>The following table summarizes our contractual obligations as of April 29, 2006 and the effect such obligations are expected to have on our liquidity and cash flow in future periods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2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260" w:type="dxa"/>
            <w:vAlign w:val="bottom"/>
            <w:tcBorders>
              <w:bottom w:val="single" w:sz="8" w:color="auto"/>
            </w:tcBorders>
            <w:gridSpan w:val="6"/>
          </w:tcPr>
          <w:p>
            <w:pPr>
              <w:ind w:left="160"/>
              <w:spacing w:after="0"/>
              <w:rPr>
                <w:sz w:val="20"/>
                <w:szCs w:val="20"/>
                <w:color w:val="auto"/>
              </w:rPr>
            </w:pPr>
            <w:r>
              <w:rPr>
                <w:rFonts w:ascii="Arial" w:cs="Arial" w:eastAsia="Arial" w:hAnsi="Arial"/>
                <w:sz w:val="14"/>
                <w:szCs w:val="14"/>
                <w:b w:val="1"/>
                <w:bCs w:val="1"/>
                <w:color w:val="auto"/>
              </w:rPr>
              <w:t>Payments Due by Period</w:t>
            </w:r>
          </w:p>
        </w:tc>
        <w:tc>
          <w:tcPr>
            <w:tcW w:w="6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240" w:type="dxa"/>
            <w:vAlign w:val="bottom"/>
          </w:tcPr>
          <w:p>
            <w:pPr>
              <w:spacing w:after="0"/>
              <w:rPr>
                <w:sz w:val="8"/>
                <w:szCs w:val="8"/>
                <w:color w:val="auto"/>
              </w:rPr>
            </w:pPr>
          </w:p>
        </w:tc>
        <w:tc>
          <w:tcPr>
            <w:tcW w:w="160" w:type="dxa"/>
            <w:vAlign w:val="bottom"/>
          </w:tcPr>
          <w:p>
            <w:pPr>
              <w:spacing w:after="0"/>
              <w:rPr>
                <w:sz w:val="8"/>
                <w:szCs w:val="8"/>
                <w:color w:val="auto"/>
              </w:rPr>
            </w:pPr>
          </w:p>
        </w:tc>
        <w:tc>
          <w:tcPr>
            <w:tcW w:w="68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20" w:type="dxa"/>
            <w:vAlign w:val="bottom"/>
            <w:vMerge w:val="restart"/>
          </w:tcPr>
          <w:p>
            <w:pPr>
              <w:jc w:val="right"/>
              <w:ind w:right="92"/>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20" w:type="dxa"/>
            <w:vAlign w:val="bottom"/>
            <w:vMerge w:val="restart"/>
          </w:tcPr>
          <w:p>
            <w:pPr>
              <w:jc w:val="right"/>
              <w:ind w:right="94"/>
              <w:spacing w:after="0"/>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8"/>
                <w:szCs w:val="8"/>
                <w:color w:val="auto"/>
              </w:rPr>
            </w:pPr>
          </w:p>
        </w:tc>
        <w:tc>
          <w:tcPr>
            <w:tcW w:w="540" w:type="dxa"/>
            <w:vAlign w:val="bottom"/>
            <w:vMerge w:val="restart"/>
          </w:tcPr>
          <w:p>
            <w:pPr>
              <w:jc w:val="right"/>
              <w:ind w:right="32"/>
              <w:spacing w:after="0"/>
              <w:rPr>
                <w:sz w:val="20"/>
                <w:szCs w:val="20"/>
                <w:color w:val="auto"/>
              </w:rPr>
            </w:pPr>
            <w:r>
              <w:rPr>
                <w:rFonts w:ascii="Arial" w:cs="Arial" w:eastAsia="Arial" w:hAnsi="Arial"/>
                <w:sz w:val="14"/>
                <w:szCs w:val="14"/>
                <w:b w:val="1"/>
                <w:bCs w:val="1"/>
                <w:color w:val="auto"/>
              </w:rPr>
              <w:t>2010</w:t>
            </w:r>
          </w:p>
        </w:tc>
        <w:tc>
          <w:tcPr>
            <w:tcW w:w="760" w:type="dxa"/>
            <w:vAlign w:val="bottom"/>
            <w:gridSpan w:val="2"/>
            <w:vMerge w:val="restart"/>
          </w:tcPr>
          <w:p>
            <w:pPr>
              <w:jc w:val="right"/>
              <w:ind w:right="50"/>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8"/>
                <w:szCs w:val="8"/>
                <w:color w:val="auto"/>
              </w:rPr>
            </w:pPr>
          </w:p>
        </w:tc>
        <w:tc>
          <w:tcPr>
            <w:tcW w:w="640" w:type="dxa"/>
            <w:vAlign w:val="bottom"/>
          </w:tcPr>
          <w:p>
            <w:pPr>
              <w:jc w:val="right"/>
              <w:ind w:right="35"/>
              <w:spacing w:after="0" w:line="102" w:lineRule="exact"/>
              <w:rPr>
                <w:sz w:val="20"/>
                <w:szCs w:val="20"/>
                <w:color w:val="auto"/>
              </w:rPr>
            </w:pPr>
            <w:r>
              <w:rPr>
                <w:rFonts w:ascii="Arial" w:cs="Arial" w:eastAsia="Arial" w:hAnsi="Arial"/>
                <w:sz w:val="11"/>
                <w:szCs w:val="11"/>
                <w:b w:val="1"/>
                <w:bCs w:val="1"/>
                <w:color w:val="auto"/>
              </w:rPr>
              <w:t>There-</w:t>
            </w: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0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2"/>
        </w:trPr>
        <w:tc>
          <w:tcPr>
            <w:tcW w:w="3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vMerge w:val="continue"/>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jc w:val="right"/>
              <w:ind w:right="95"/>
              <w:spacing w:after="0"/>
              <w:rPr>
                <w:sz w:val="20"/>
                <w:szCs w:val="20"/>
                <w:color w:val="auto"/>
              </w:rPr>
            </w:pPr>
            <w:r>
              <w:rPr>
                <w:rFonts w:ascii="Arial" w:cs="Arial" w:eastAsia="Arial" w:hAnsi="Arial"/>
                <w:sz w:val="14"/>
                <w:szCs w:val="14"/>
                <w:b w:val="1"/>
                <w:bCs w:val="1"/>
                <w:color w:val="auto"/>
              </w:rPr>
              <w:t>after</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240" w:type="dxa"/>
            <w:vAlign w:val="bottom"/>
          </w:tcPr>
          <w:p>
            <w:pPr>
              <w:spacing w:after="0"/>
              <w:rPr>
                <w:sz w:val="8"/>
                <w:szCs w:val="8"/>
                <w:color w:val="auto"/>
              </w:rPr>
            </w:pPr>
          </w:p>
        </w:tc>
        <w:tc>
          <w:tcPr>
            <w:tcW w:w="840" w:type="dxa"/>
            <w:vAlign w:val="bottom"/>
            <w:tcBorders>
              <w:top w:val="single" w:sz="8" w:color="auto"/>
            </w:tcBorders>
            <w:gridSpan w:val="2"/>
          </w:tcPr>
          <w:p>
            <w:pPr>
              <w:jc w:val="right"/>
              <w:spacing w:after="0" w:line="102" w:lineRule="exact"/>
              <w:rPr>
                <w:sz w:val="20"/>
                <w:szCs w:val="20"/>
                <w:color w:val="auto"/>
              </w:rPr>
            </w:pPr>
            <w:r>
              <w:rPr>
                <w:rFonts w:ascii="Arial" w:cs="Arial" w:eastAsia="Arial" w:hAnsi="Arial"/>
                <w:sz w:val="11"/>
                <w:szCs w:val="11"/>
                <w:b w:val="1"/>
                <w:bCs w:val="1"/>
                <w:color w:val="auto"/>
              </w:rPr>
              <w:t>(remaining</w:t>
            </w:r>
          </w:p>
        </w:tc>
        <w:tc>
          <w:tcPr>
            <w:tcW w:w="22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52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52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54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54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Borders>
              <w:top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40" w:type="dxa"/>
            <w:vAlign w:val="bottom"/>
            <w:tcBorders>
              <w:top w:val="single" w:sz="8" w:color="auto"/>
            </w:tcBorders>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3240" w:type="dxa"/>
            <w:vAlign w:val="bottom"/>
          </w:tcPr>
          <w:p>
            <w:pPr>
              <w:spacing w:after="0"/>
              <w:rPr>
                <w:sz w:val="14"/>
                <w:szCs w:val="14"/>
                <w:color w:val="auto"/>
              </w:rPr>
            </w:pPr>
          </w:p>
        </w:tc>
        <w:tc>
          <w:tcPr>
            <w:tcW w:w="1060" w:type="dxa"/>
            <w:vAlign w:val="bottom"/>
            <w:gridSpan w:val="3"/>
          </w:tcPr>
          <w:p>
            <w:pPr>
              <w:ind w:left="20"/>
              <w:spacing w:after="0"/>
              <w:rPr>
                <w:sz w:val="20"/>
                <w:szCs w:val="20"/>
                <w:color w:val="auto"/>
              </w:rPr>
            </w:pPr>
            <w:r>
              <w:rPr>
                <w:rFonts w:ascii="Arial" w:cs="Arial" w:eastAsia="Arial" w:hAnsi="Arial"/>
                <w:sz w:val="14"/>
                <w:szCs w:val="14"/>
                <w:b w:val="1"/>
                <w:bCs w:val="1"/>
                <w:color w:val="auto"/>
              </w:rPr>
              <w:t>nine months)</w:t>
            </w:r>
          </w:p>
        </w:tc>
        <w:tc>
          <w:tcPr>
            <w:tcW w:w="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4,919</w:t>
            </w:r>
          </w:p>
        </w:tc>
        <w:tc>
          <w:tcPr>
            <w:tcW w:w="22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6,183</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5,934</w:t>
            </w:r>
          </w:p>
        </w:tc>
        <w:tc>
          <w:tcPr>
            <w:tcW w:w="2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86"/>
              </w:rPr>
              <w:t>$ 4,087</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$ 3,669</w:t>
            </w:r>
          </w:p>
        </w:tc>
        <w:tc>
          <w:tcPr>
            <w:tcW w:w="2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88"/>
              </w:rPr>
              <w:t>$ 28,740</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53,532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14,408</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17,896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8,781</w:t>
            </w: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2,389</w:t>
            </w:r>
          </w:p>
        </w:tc>
        <w:tc>
          <w:tcPr>
            <w:tcW w:w="2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43,474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tcPr>
          <w:p>
            <w:pPr>
              <w:ind w:left="180"/>
              <w:spacing w:after="0"/>
              <w:rPr>
                <w:sz w:val="20"/>
                <w:szCs w:val="20"/>
                <w:color w:val="auto"/>
              </w:rPr>
            </w:pPr>
            <w:r>
              <w:rPr>
                <w:rFonts w:ascii="Arial" w:cs="Arial" w:eastAsia="Arial" w:hAnsi="Arial"/>
                <w:sz w:val="18"/>
                <w:szCs w:val="18"/>
                <w:color w:val="auto"/>
              </w:rPr>
              <w:t>Purchase commitments to foundries</w:t>
            </w: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145,031</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145,031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Capacity reservation commitment</w:t>
            </w: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45,180</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45,180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tcPr>
          <w:p>
            <w:pPr>
              <w:ind w:left="180"/>
              <w:spacing w:after="0"/>
              <w:rPr>
                <w:sz w:val="20"/>
                <w:szCs w:val="20"/>
                <w:color w:val="auto"/>
              </w:rPr>
            </w:pPr>
            <w:r>
              <w:rPr>
                <w:rFonts w:ascii="Arial" w:cs="Arial" w:eastAsia="Arial" w:hAnsi="Arial"/>
                <w:sz w:val="18"/>
                <w:szCs w:val="18"/>
                <w:color w:val="auto"/>
              </w:rPr>
              <w:t>Mask purchase commitment</w:t>
            </w: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4,500</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4,500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1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63,176</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63,176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tcPr>
          <w:p>
            <w:pPr>
              <w:ind w:left="180"/>
              <w:spacing w:after="0"/>
              <w:rPr>
                <w:sz w:val="20"/>
                <w:szCs w:val="20"/>
                <w:color w:val="auto"/>
              </w:rPr>
            </w:pPr>
            <w:r>
              <w:rPr>
                <w:rFonts w:ascii="Arial" w:cs="Arial" w:eastAsia="Arial" w:hAnsi="Arial"/>
                <w:sz w:val="18"/>
                <w:szCs w:val="18"/>
                <w:color w:val="auto"/>
              </w:rPr>
              <w:t>Acquisition related commitments</w:t>
            </w: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247,000</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247,000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2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contractual cash obligations</w:t>
            </w: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524,214</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24,079</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14,715</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$ 6,476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$ 3,669</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$ 28,740</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601,893</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2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125" w:right="239" w:bottom="157" w:gutter="0" w:footer="0" w:header="0"/>
        </w:sectPr>
      </w:pPr>
    </w:p>
    <w:bookmarkStart w:id="41" w:name="page42"/>
    <w:bookmarkEnd w:id="41"/>
    <w:p>
      <w:pPr>
        <w:jc w:val="both"/>
        <w:ind w:right="60" w:firstLine="324"/>
        <w:spacing w:after="0" w:line="264" w:lineRule="auto"/>
        <w:rPr>
          <w:sz w:val="20"/>
          <w:szCs w:val="20"/>
          <w:color w:val="auto"/>
        </w:rPr>
      </w:pPr>
      <w:r>
        <w:rPr>
          <w:rFonts w:ascii="Arial" w:cs="Arial" w:eastAsia="Arial" w:hAnsi="Arial"/>
          <w:sz w:val="18"/>
          <w:szCs w:val="18"/>
          <w:color w:val="auto"/>
        </w:rPr>
        <w:t>Included in operating lease commitments are anticipated lease payments for two airplanes that are currently under construction. Delivery of one airplane is expected in fiscal 2007 while delivery of the second airplane is expected in fiscal 2008. The airplanes will be used for business travel purposes and will be accounted for as operating leases once the airplanes are completed and delivered.</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On May 1, 2006, we completed the acquisition of the printer semiconductor business of Avago Technologies Limited. Under the agreement, we paid</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$240.0 million in cash upon closing of the transaction. We may pay an additional $35.0 million if certain defined milestones are achieved at various intervals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through October 2007. We may also record a one-time charge for purchased in-process research and development expenses related to the acquisition.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amount of that charge, if any, and the period in which it would be recorded has not yet been determined.</w:t>
      </w:r>
    </w:p>
    <w:p>
      <w:pPr>
        <w:spacing w:after="0" w:line="211" w:lineRule="exact"/>
        <w:rPr>
          <w:sz w:val="20"/>
          <w:szCs w:val="20"/>
          <w:color w:val="auto"/>
        </w:rPr>
      </w:pPr>
    </w:p>
    <w:p>
      <w:pPr>
        <w:ind w:right="140" w:firstLine="324"/>
        <w:spacing w:after="0" w:line="264" w:lineRule="auto"/>
        <w:rPr>
          <w:sz w:val="20"/>
          <w:szCs w:val="20"/>
          <w:color w:val="auto"/>
        </w:rPr>
      </w:pPr>
      <w:r>
        <w:rPr>
          <w:rFonts w:ascii="Arial" w:cs="Arial" w:eastAsia="Arial" w:hAnsi="Arial"/>
          <w:sz w:val="18"/>
          <w:szCs w:val="18"/>
          <w:color w:val="auto"/>
        </w:rPr>
        <w:t>On May 1, 2006, we entered into an asset purchase agreement with a third party to acquire intellectual property and property and equipment. Under terms of the agreement, we paid $7.0 million in cash upon closing of the transaction. In addition to the asset purchase, Marvell and the third party agreed to enter into certain additional agreements, including a transition services agreement, a</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342" w:lineRule="auto"/>
        <w:rPr>
          <w:sz w:val="20"/>
          <w:szCs w:val="20"/>
          <w:color w:val="auto"/>
        </w:rPr>
      </w:pPr>
      <w:r>
        <w:rPr>
          <w:rFonts w:ascii="Arial" w:cs="Arial" w:eastAsia="Arial" w:hAnsi="Arial"/>
          <w:sz w:val="16"/>
          <w:szCs w:val="16"/>
          <w:color w:val="auto"/>
        </w:rPr>
        <w:t>product distribution agreement and an intellectual property agreement. We may also record an as-yet undetermined one-time charge for purchased in-process research and development expenses related to the acquisition, the amount of which, if any, would be recorded in our second fiscal quarter of fiscal 2007.</w:t>
      </w:r>
    </w:p>
    <w:p>
      <w:pPr>
        <w:spacing w:after="0" w:line="124"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i w:val="1"/>
          <w:iCs w:val="1"/>
          <w:color w:val="auto"/>
        </w:rPr>
        <w:t xml:space="preserve">Restatement related Impacts: </w:t>
      </w:r>
      <w:r>
        <w:rPr>
          <w:rFonts w:ascii="Arial" w:cs="Arial" w:eastAsia="Arial" w:hAnsi="Arial"/>
          <w:sz w:val="18"/>
          <w:szCs w:val="18"/>
          <w:color w:val="auto"/>
        </w:rPr>
        <w:t>The additional payable for payroll taxes associated with affected stock option grants of approximately $10.6 million,</w:t>
      </w:r>
      <w:r>
        <w:rPr>
          <w:rFonts w:ascii="Arial" w:cs="Arial" w:eastAsia="Arial" w:hAnsi="Arial"/>
          <w:sz w:val="18"/>
          <w:szCs w:val="18"/>
          <w:i w:val="1"/>
          <w:iCs w:val="1"/>
          <w:color w:val="auto"/>
        </w:rPr>
        <w:t xml:space="preserve"> </w:t>
      </w:r>
      <w:r>
        <w:rPr>
          <w:rFonts w:ascii="Arial" w:cs="Arial" w:eastAsia="Arial" w:hAnsi="Arial"/>
          <w:sz w:val="18"/>
          <w:szCs w:val="18"/>
          <w:color w:val="auto"/>
        </w:rPr>
        <w:t>additional Section 409A expenses for the adverse tax consequences of the re-measured options exercised during calendar year 2006 of approximately $24.2 million, and Section 162(m) liabilities of $26.5 million for cumulative period from fiscal 2001 through 2007, represents potential future cash outflow totaling $61.3 million.</w:t>
      </w:r>
    </w:p>
    <w:p>
      <w:pPr>
        <w:spacing w:after="0" w:line="187" w:lineRule="exact"/>
        <w:rPr>
          <w:sz w:val="20"/>
          <w:szCs w:val="20"/>
          <w:color w:val="auto"/>
        </w:rPr>
      </w:pPr>
    </w:p>
    <w:p>
      <w:pPr>
        <w:jc w:val="both"/>
        <w:ind w:right="100" w:firstLine="324"/>
        <w:spacing w:after="0" w:line="259" w:lineRule="auto"/>
        <w:rPr>
          <w:sz w:val="20"/>
          <w:szCs w:val="20"/>
          <w:color w:val="auto"/>
        </w:rPr>
      </w:pPr>
      <w:r>
        <w:rPr>
          <w:rFonts w:ascii="Arial" w:cs="Arial" w:eastAsia="Arial" w:hAnsi="Arial"/>
          <w:sz w:val="18"/>
          <w:szCs w:val="18"/>
          <w:color w:val="auto"/>
        </w:rPr>
        <w:t>The IRS has provided taxpayers with the following two ways of correcting unexercised discounted stock options: 1) setting a fixed exercise date; and 2) increasing the exercise price of the option up to the fair market price on the date of grant. We are actively evaluating these options. The discount associated with unexercised stock options outstanding as of January 27, 2007 amounted to approximately $51.7 million. We have not determined the tax consequences associated with these potential future remedies.</w:t>
      </w:r>
    </w:p>
    <w:p>
      <w:pPr>
        <w:spacing w:after="0" w:line="187"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i w:val="1"/>
          <w:iCs w:val="1"/>
          <w:color w:val="auto"/>
        </w:rPr>
        <w:t>Prospective Capital Needs</w:t>
      </w:r>
      <w:r>
        <w:rPr>
          <w:rFonts w:ascii="Arial" w:cs="Arial" w:eastAsia="Arial" w:hAnsi="Arial"/>
          <w:sz w:val="16"/>
          <w:szCs w:val="16"/>
          <w:color w:val="auto"/>
        </w:rPr>
        <w:t>: We believe that our existing cash, cash equivalents and marketable securities, together with cash generated from operations</w:t>
      </w:r>
      <w:r>
        <w:rPr>
          <w:rFonts w:ascii="Arial" w:cs="Arial" w:eastAsia="Arial" w:hAnsi="Arial"/>
          <w:sz w:val="16"/>
          <w:szCs w:val="16"/>
          <w:i w:val="1"/>
          <w:iCs w:val="1"/>
          <w:color w:val="auto"/>
        </w:rPr>
        <w:t xml:space="preserve"> </w:t>
      </w:r>
      <w:r>
        <w:rPr>
          <w:rFonts w:ascii="Arial" w:cs="Arial" w:eastAsia="Arial" w:hAnsi="Arial"/>
          <w:sz w:val="16"/>
          <w:szCs w:val="16"/>
          <w:color w:val="auto"/>
        </w:rPr>
        <w:t>and from the exercise of employee stock options will be sufficient to cover our working capital needs, capital expenditures, investment requirements and commitments for at least the next 12 months.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Certain covenants would have to be met. Additionally, we have not been in full compliance with NASDAQ Marketplace Rule 4310(c)(14) which requires us to timely file with the SEC all filings required by the Exchange Act of 1934. We expect to file all required filings as soon as practicable.</w:t>
      </w:r>
    </w:p>
    <w:p>
      <w:pPr>
        <w:spacing w:after="0" w:line="167" w:lineRule="exact"/>
        <w:rPr>
          <w:sz w:val="20"/>
          <w:szCs w:val="20"/>
          <w:color w:val="auto"/>
        </w:rPr>
      </w:pPr>
    </w:p>
    <w:p>
      <w:pPr>
        <w:ind w:right="40" w:firstLine="324"/>
        <w:spacing w:after="0" w:line="273" w:lineRule="auto"/>
        <w:rPr>
          <w:sz w:val="20"/>
          <w:szCs w:val="20"/>
          <w:color w:val="auto"/>
        </w:rPr>
      </w:pPr>
      <w:r>
        <w:rPr>
          <w:rFonts w:ascii="Arial" w:cs="Arial" w:eastAsia="Arial" w:hAnsi="Arial"/>
          <w:sz w:val="17"/>
          <w:szCs w:val="17"/>
          <w:color w:val="auto"/>
        </w:rPr>
        <w:t>However, if the SEC disagrees with the manner in which we have accounted for and reported, or not reported, the financial impact of past stock option grants, there could be further delays in filing subsequent SEC reports or other actions that might result in the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over-the-counter market. If our common stock is no longer traded through a market system, the liquidity of our common stock may be greatly reduced, which could negatively affect its price.</w:t>
      </w:r>
    </w:p>
    <w:p>
      <w:pPr>
        <w:spacing w:after="0" w:line="178"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Even if we become compliant with the NASDAQ conditions for continued listing, because one of the eligibility requirements for use of a Form S-3 filing is that an issuer must have timely filed all reports required to be filed with the SEC during the preceding twelve calendar months, we will not be able to register securities on Form S-3 and would be required to register those securities using a Form S-1 registration statement, which can be more complex, time consuming and expensive.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stock.</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April 29, 2006, we did not have any material off-balance-sheet arrangements, as defined in Item 303(a)(4)(ii) of SEC Regulation S-K.</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40" w:firstLine="324"/>
        <w:spacing w:after="0" w:line="273" w:lineRule="auto"/>
        <w:rPr>
          <w:sz w:val="20"/>
          <w:szCs w:val="20"/>
          <w:color w:val="auto"/>
        </w:rPr>
      </w:pPr>
      <w:r>
        <w:rPr>
          <w:rFonts w:ascii="Arial" w:cs="Arial" w:eastAsia="Arial" w:hAnsi="Arial"/>
          <w:sz w:val="17"/>
          <w:szCs w:val="17"/>
          <w:color w:val="auto"/>
        </w:rPr>
        <w:t xml:space="preserve">In May 2005, the FASB issued Statement of Financial Accounting Standards No. 154 (“SFAS 154”), Accounting Changes and Error Corrections, a replacement of APB Opinion No. 20 and Statement No. 3. The statement applies to all voluntary changes in accounting principle and changes the requirements for the accounting for and reporting of a change in accounting principle. SFAS 154 requires retrospective application to prior periods’ financial statements of a voluntary change in accounting principle unless it is impracticable. SFAS 154 is effective for accounting changes and corrections of errors made in fiscal years beginning after December 15, 2005. </w:t>
      </w:r>
      <w:r>
        <w:rPr>
          <w:rFonts w:ascii="Arial" w:cs="Arial" w:eastAsia="Arial" w:hAnsi="Arial"/>
          <w:sz w:val="16"/>
          <w:szCs w:val="16"/>
          <w:color w:val="auto"/>
        </w:rPr>
        <w:t>We adopted this standard in the quarter ended April 29, 2006 and the adoption will only impact the</w:t>
      </w:r>
      <w:r>
        <w:rPr>
          <w:rFonts w:ascii="Arial" w:cs="Arial" w:eastAsia="Arial" w:hAnsi="Arial"/>
          <w:sz w:val="17"/>
          <w:szCs w:val="17"/>
          <w:color w:val="auto"/>
        </w:rPr>
        <w:t xml:space="preserve"> </w:t>
      </w:r>
      <w:r>
        <w:rPr>
          <w:rFonts w:ascii="Arial" w:cs="Arial" w:eastAsia="Arial" w:hAnsi="Arial"/>
          <w:sz w:val="16"/>
          <w:szCs w:val="16"/>
          <w:color w:val="auto"/>
        </w:rPr>
        <w:t>consolidated financial statements in periods in which a change in accounting principle is made.</w:t>
      </w:r>
    </w:p>
    <w:p>
      <w:pPr>
        <w:spacing w:after="0" w:line="39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right="180" w:firstLine="324"/>
        <w:spacing w:after="0" w:line="342" w:lineRule="auto"/>
        <w:rPr>
          <w:sz w:val="20"/>
          <w:szCs w:val="20"/>
          <w:color w:val="auto"/>
        </w:rPr>
      </w:pPr>
      <w:r>
        <w:rPr>
          <w:rFonts w:ascii="Arial" w:cs="Arial" w:eastAsia="Arial" w:hAnsi="Arial"/>
          <w:sz w:val="16"/>
          <w:szCs w:val="16"/>
          <w:color w:val="auto"/>
        </w:rPr>
        <w:t>During the first quarter of fiscal 2006 and 2005, we incurred approximately $0.4 million and $0.3 million, respectively of expenses from an unrelated third-party entity, ACM Aviation, Inc. (“ACM”) for charter aircraft services provided to MSI for Estopia Air LLC (“Estopia Air”). The aircraft provided by</w:t>
      </w:r>
    </w:p>
    <w:p>
      <w:pPr>
        <w:sectPr>
          <w:pgSz w:w="11900" w:h="16838" w:orient="portrait"/>
          <w:cols w:equalWidth="0" w:num="1">
            <w:col w:w="11380"/>
          </w:cols>
          <w:pgMar w:left="240" w:top="125" w:right="279" w:bottom="0" w:gutter="0" w:footer="0" w:header="0"/>
        </w:sectPr>
      </w:pPr>
    </w:p>
    <w:bookmarkStart w:id="42" w:name="page43"/>
    <w:bookmarkEnd w:id="42"/>
    <w:p>
      <w:pPr>
        <w:spacing w:after="0" w:line="15"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color w:val="auto"/>
        </w:rPr>
        <w:t>ACM to us for such services is owned by Estopia Air. Our President and Chief Executive Officer, Dr. Sehat Sutardja, and former Executive Vice President and Chief Operating Officer, Weili Dai, through their control and ownership in Estopia Air, own the aircraft provided by ACM. The expenses were the result of our use of the aircraft for business travel purposes. The pricing was based on values determined to be market prices.</w:t>
      </w:r>
    </w:p>
    <w:p>
      <w:pPr>
        <w:spacing w:after="0" w:line="166"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color w:val="auto"/>
        </w:rPr>
        <w:t>On February 19, 2005, we, through our subsidiaries MSI and Marvell Asia Pte. Ltd. (“MAPL”), entered into a development agreement with MagnetoX Inc. (“MagnetoX”). The development agreement has substantially similar terms as other development agreements with other third parties. We did not recognize any revenue from the development agreement or product revenue during the first quarter of fiscal 2007. Herbert Chang, one of our directors, is a shareholder of MagnetoX and its Chairman and Chief Executive Officer. Estopia LLC (“Estopia”) is also a shareholder of MagnetoX. Dr. Sehat Sutardja and Weili Dai, through their ownership and control of Estopia, are indirect shareholders of MagnetoX.</w:t>
      </w:r>
    </w:p>
    <w:p>
      <w:pPr>
        <w:spacing w:after="0" w:line="173" w:lineRule="exact"/>
        <w:rPr>
          <w:sz w:val="20"/>
          <w:szCs w:val="20"/>
          <w:color w:val="auto"/>
        </w:rPr>
      </w:pPr>
    </w:p>
    <w:p>
      <w:pPr>
        <w:ind w:right="20" w:firstLine="324"/>
        <w:spacing w:after="0" w:line="293" w:lineRule="auto"/>
        <w:rPr>
          <w:sz w:val="20"/>
          <w:szCs w:val="20"/>
          <w:color w:val="auto"/>
        </w:rPr>
      </w:pPr>
      <w:r>
        <w:rPr>
          <w:rFonts w:ascii="Arial" w:cs="Arial" w:eastAsia="Arial" w:hAnsi="Arial"/>
          <w:sz w:val="16"/>
          <w:szCs w:val="16"/>
          <w:color w:val="auto"/>
        </w:rPr>
        <w:t>On August 19, 2005, we, through our subsidiaries MSI and Marvell International Ltd., entered into a License and Manufacturing Services Agreement (the “License Agreement”) with C2 Microsystems, Inc. (“C2Micro”). The License Agreement is on substantially similar terms as other license and manufacturing services agreements with other third parties. We recognized $0.2 million of revenue from the License Agreement with C2Micro during the first quarter of fiscal 2007. Dr. Sehat Sutardja and Weili Dai, through their ownership and control of Estopia, are indirect shareholders of C2Micro. We have recorded a receivable of $69,000 as of April 29, 2006. Herbert Chang, through his ownership and control of C-Squared venture entities, is also an indirect shareholder of C2Micro. Dr. Pantas Sutardja, our Chief Technology Officer, is also a shareholder of C2Micro.</w:t>
      </w:r>
    </w:p>
    <w:p>
      <w:pPr>
        <w:spacing w:after="0" w:line="38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ind w:right="80"/>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April 29, 2006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2007 because such securities are structured with short-term interest reset dates of generally less than 90 days at which time we can sell or continue to hold the securities at par.</w:t>
      </w:r>
    </w:p>
    <w:p>
      <w:pPr>
        <w:spacing w:after="0" w:line="147" w:lineRule="exact"/>
        <w:rPr>
          <w:sz w:val="20"/>
          <w:szCs w:val="20"/>
          <w:color w:val="auto"/>
        </w:rPr>
      </w:pPr>
    </w:p>
    <w:tbl>
      <w:tblPr>
        <w:tblLayout w:type="fixed"/>
        <w:tblInd w:w="180" w:type="dxa"/>
        <w:tblCellMar>
          <w:top w:w="0" w:type="dxa"/>
          <w:left w:w="0" w:type="dxa"/>
          <w:bottom w:w="0" w:type="dxa"/>
          <w:right w:w="0" w:type="dxa"/>
        </w:tblCellMar>
      </w:tblPr>
      <w:tr>
        <w:trPr>
          <w:trHeight w:val="171"/>
        </w:trPr>
        <w:tc>
          <w:tcPr>
            <w:tcW w:w="3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220" w:type="dxa"/>
            <w:vAlign w:val="bottom"/>
            <w:tcBorders>
              <w:bottom w:val="single" w:sz="8" w:color="auto"/>
            </w:tcBorders>
            <w:gridSpan w:val="9"/>
          </w:tcPr>
          <w:p>
            <w:pPr>
              <w:spacing w:after="0"/>
              <w:rPr>
                <w:sz w:val="20"/>
                <w:szCs w:val="20"/>
                <w:color w:val="auto"/>
              </w:rPr>
            </w:pPr>
            <w:r>
              <w:rPr>
                <w:rFonts w:ascii="Arial" w:cs="Arial" w:eastAsia="Arial" w:hAnsi="Arial"/>
                <w:sz w:val="14"/>
                <w:szCs w:val="14"/>
                <w:b w:val="1"/>
                <w:bCs w:val="1"/>
                <w:color w:val="auto"/>
                <w:w w:val="94"/>
              </w:rPr>
              <w:t>Expected Fiscal Year Maturity Date</w:t>
            </w:r>
          </w:p>
        </w:tc>
        <w:tc>
          <w:tcPr>
            <w:tcW w:w="7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29"/>
        </w:trPr>
        <w:tc>
          <w:tcPr>
            <w:tcW w:w="3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jc w:val="right"/>
              <w:ind w:right="134"/>
              <w:spacing w:after="0" w:line="129" w:lineRule="exact"/>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jc w:val="right"/>
              <w:ind w:right="94"/>
              <w:spacing w:after="0" w:line="129" w:lineRule="exact"/>
              <w:rPr>
                <w:sz w:val="20"/>
                <w:szCs w:val="20"/>
                <w:color w:val="auto"/>
              </w:rPr>
            </w:pPr>
            <w:r>
              <w:rPr>
                <w:rFonts w:ascii="Arial" w:cs="Arial" w:eastAsia="Arial" w:hAnsi="Arial"/>
                <w:sz w:val="14"/>
                <w:szCs w:val="14"/>
                <w:b w:val="1"/>
                <w:bCs w:val="1"/>
                <w:color w:val="auto"/>
              </w:rPr>
              <w:t>2008</w:t>
            </w: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jc w:val="right"/>
              <w:ind w:right="74"/>
              <w:spacing w:after="0" w:line="129" w:lineRule="exact"/>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20" w:type="dxa"/>
            <w:vAlign w:val="bottom"/>
          </w:tcPr>
          <w:p>
            <w:pPr>
              <w:jc w:val="right"/>
              <w:ind w:right="34"/>
              <w:spacing w:after="0" w:line="129" w:lineRule="exact"/>
              <w:rPr>
                <w:sz w:val="20"/>
                <w:szCs w:val="20"/>
                <w:color w:val="auto"/>
              </w:rPr>
            </w:pPr>
            <w:r>
              <w:rPr>
                <w:rFonts w:ascii="Arial" w:cs="Arial" w:eastAsia="Arial" w:hAnsi="Arial"/>
                <w:sz w:val="14"/>
                <w:szCs w:val="14"/>
                <w:b w:val="1"/>
                <w:bCs w:val="1"/>
                <w:color w:val="auto"/>
                <w:w w:val="89"/>
              </w:rPr>
              <w:t>2010</w:t>
            </w:r>
          </w:p>
        </w:tc>
        <w:tc>
          <w:tcPr>
            <w:tcW w:w="220" w:type="dxa"/>
            <w:vAlign w:val="bottom"/>
          </w:tcPr>
          <w:p>
            <w:pPr>
              <w:spacing w:after="0"/>
              <w:rPr>
                <w:sz w:val="11"/>
                <w:szCs w:val="11"/>
                <w:color w:val="auto"/>
              </w:rPr>
            </w:pPr>
          </w:p>
        </w:tc>
        <w:tc>
          <w:tcPr>
            <w:tcW w:w="3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9"/>
              </w:rPr>
              <w:t>2011</w:t>
            </w:r>
          </w:p>
        </w:tc>
        <w:tc>
          <w:tcPr>
            <w:tcW w:w="220" w:type="dxa"/>
            <w:vAlign w:val="bottom"/>
          </w:tcPr>
          <w:p>
            <w:pPr>
              <w:spacing w:after="0"/>
              <w:rPr>
                <w:sz w:val="11"/>
                <w:szCs w:val="11"/>
                <w:color w:val="auto"/>
              </w:rPr>
            </w:pPr>
          </w:p>
        </w:tc>
        <w:tc>
          <w:tcPr>
            <w:tcW w:w="980" w:type="dxa"/>
            <w:vAlign w:val="bottom"/>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rPr>
              <w:t>Total</w:t>
            </w:r>
          </w:p>
        </w:tc>
        <w:tc>
          <w:tcPr>
            <w:tcW w:w="7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5"/>
              </w:rPr>
              <w:t>Fair Value</w:t>
            </w:r>
          </w:p>
        </w:tc>
        <w:tc>
          <w:tcPr>
            <w:tcW w:w="60" w:type="dxa"/>
            <w:vAlign w:val="bottom"/>
          </w:tcPr>
          <w:p>
            <w:pPr>
              <w:spacing w:after="0"/>
              <w:rPr>
                <w:sz w:val="11"/>
                <w:szCs w:val="11"/>
                <w:color w:val="auto"/>
              </w:rPr>
            </w:pPr>
          </w:p>
        </w:tc>
      </w:tr>
      <w:tr>
        <w:trPr>
          <w:trHeight w:val="210"/>
        </w:trPr>
        <w:tc>
          <w:tcPr>
            <w:tcW w:w="34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263,086</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 —</w:t>
            </w:r>
          </w:p>
        </w:tc>
        <w:tc>
          <w:tcPr>
            <w:tcW w:w="2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$ 263,086</w:t>
            </w:r>
          </w:p>
        </w:tc>
        <w:tc>
          <w:tcPr>
            <w:tcW w:w="2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2"/>
              </w:rPr>
              <w:t>$ 263,086</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348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4.82%</w:t>
            </w:r>
          </w:p>
        </w:tc>
        <w:tc>
          <w:tcPr>
            <w:tcW w:w="120" w:type="dxa"/>
            <w:vAlign w:val="bottom"/>
          </w:tcPr>
          <w:p>
            <w:pPr>
              <w:spacing w:after="0"/>
              <w:rPr>
                <w:sz w:val="18"/>
                <w:szCs w:val="18"/>
                <w:color w:val="auto"/>
              </w:rPr>
            </w:pPr>
          </w:p>
        </w:tc>
        <w:tc>
          <w:tcPr>
            <w:tcW w:w="6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6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4.82%</w:t>
            </w:r>
          </w:p>
        </w:tc>
        <w:tc>
          <w:tcPr>
            <w:tcW w:w="74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68,014</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37,729</w:t>
            </w:r>
          </w:p>
        </w:tc>
        <w:tc>
          <w:tcPr>
            <w:tcW w:w="14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20,177</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5,010</w:t>
            </w:r>
          </w:p>
        </w:tc>
        <w:tc>
          <w:tcPr>
            <w:tcW w:w="2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0"/>
              </w:rPr>
              <w:t>$ —</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$ 130,930</w:t>
            </w:r>
          </w:p>
        </w:tc>
        <w:tc>
          <w:tcPr>
            <w:tcW w:w="240" w:type="dxa"/>
            <w:vAlign w:val="bottom"/>
            <w:shd w:val="clear" w:color="auto" w:fill="CCEEFF"/>
          </w:tcPr>
          <w:p>
            <w:pPr>
              <w:spacing w:after="0"/>
              <w:rPr>
                <w:sz w:val="18"/>
                <w:szCs w:val="18"/>
                <w:color w:val="auto"/>
              </w:rPr>
            </w:pPr>
          </w:p>
        </w:tc>
        <w:tc>
          <w:tcPr>
            <w:tcW w:w="7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$ 128,935</w:t>
            </w:r>
          </w:p>
        </w:tc>
        <w:tc>
          <w:tcPr>
            <w:tcW w:w="60" w:type="dxa"/>
            <w:vAlign w:val="bottom"/>
            <w:shd w:val="clear" w:color="auto" w:fill="CCEEFF"/>
          </w:tcPr>
          <w:p>
            <w:pPr>
              <w:spacing w:after="0"/>
              <w:rPr>
                <w:sz w:val="18"/>
                <w:szCs w:val="18"/>
                <w:color w:val="auto"/>
              </w:rPr>
            </w:pPr>
          </w:p>
        </w:tc>
      </w:tr>
      <w:tr>
        <w:trPr>
          <w:trHeight w:val="230"/>
        </w:trPr>
        <w:tc>
          <w:tcPr>
            <w:tcW w:w="348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0" w:type="dxa"/>
            <w:vAlign w:val="bottom"/>
          </w:tcPr>
          <w:p>
            <w:pPr>
              <w:spacing w:after="0"/>
              <w:rPr>
                <w:sz w:val="20"/>
                <w:szCs w:val="20"/>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3.00%</w:t>
            </w:r>
          </w:p>
        </w:tc>
        <w:tc>
          <w:tcPr>
            <w:tcW w:w="120" w:type="dxa"/>
            <w:vAlign w:val="bottom"/>
          </w:tcPr>
          <w:p>
            <w:pPr>
              <w:spacing w:after="0"/>
              <w:rPr>
                <w:sz w:val="20"/>
                <w:szCs w:val="20"/>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3.05%</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3.57%</w:t>
            </w:r>
          </w:p>
        </w:tc>
        <w:tc>
          <w:tcPr>
            <w:tcW w:w="120" w:type="dxa"/>
            <w:vAlign w:val="bottom"/>
          </w:tcPr>
          <w:p>
            <w:pPr>
              <w:spacing w:after="0"/>
              <w:rPr>
                <w:sz w:val="20"/>
                <w:szCs w:val="20"/>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4.75%</w:t>
            </w:r>
          </w:p>
        </w:tc>
        <w:tc>
          <w:tcPr>
            <w:tcW w:w="5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3.17%</w:t>
            </w:r>
          </w:p>
        </w:tc>
        <w:tc>
          <w:tcPr>
            <w:tcW w:w="740" w:type="dxa"/>
            <w:vAlign w:val="bottom"/>
          </w:tcPr>
          <w:p>
            <w:pPr>
              <w:spacing w:after="0"/>
              <w:rPr>
                <w:sz w:val="20"/>
                <w:szCs w:val="20"/>
                <w:color w:val="auto"/>
              </w:rPr>
            </w:pPr>
          </w:p>
        </w:tc>
        <w:tc>
          <w:tcPr>
            <w:tcW w:w="60" w:type="dxa"/>
            <w:vAlign w:val="bottom"/>
          </w:tcPr>
          <w:p>
            <w:pPr>
              <w:spacing w:after="0"/>
              <w:rPr>
                <w:sz w:val="20"/>
                <w:szCs w:val="20"/>
                <w:color w:val="auto"/>
              </w:rPr>
            </w:pPr>
          </w:p>
        </w:tc>
      </w:tr>
    </w:tbl>
    <w:p>
      <w:pPr>
        <w:spacing w:after="0" w:line="241"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April 29, 2006 would have an immaterial effect on our financial position, results of operations and cash flows.</w:t>
      </w:r>
    </w:p>
    <w:p>
      <w:pPr>
        <w:spacing w:after="0" w:line="181"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ind w:right="120"/>
        <w:spacing w:after="0" w:line="302" w:lineRule="auto"/>
        <w:rPr>
          <w:sz w:val="20"/>
          <w:szCs w:val="20"/>
          <w:color w:val="auto"/>
        </w:rPr>
      </w:pPr>
      <w:r>
        <w:rPr>
          <w:rFonts w:ascii="Arial" w:cs="Arial" w:eastAsia="Arial" w:hAnsi="Arial"/>
          <w:sz w:val="16"/>
          <w:szCs w:val="16"/>
          <w:color w:val="auto"/>
        </w:rPr>
        <w:t>$11.7 million at April 29, 2006,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5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i w:val="1"/>
          <w:iCs w:val="1"/>
          <w:color w:val="auto"/>
        </w:rPr>
        <w:t>F</w:t>
      </w:r>
      <w:r>
        <w:rPr>
          <w:rFonts w:ascii="Arial" w:cs="Arial" w:eastAsia="Arial" w:hAnsi="Arial"/>
          <w:sz w:val="17"/>
          <w:szCs w:val="17"/>
          <w:i w:val="1"/>
          <w:iCs w:val="1"/>
          <w:color w:val="auto"/>
        </w:rPr>
        <w:t>oreign Currency Exchange Risk.</w:t>
      </w:r>
      <w:r>
        <w:rPr>
          <w:rFonts w:ascii="Arial" w:cs="Arial" w:eastAsia="Arial" w:hAnsi="Arial"/>
          <w:sz w:val="18"/>
          <w:szCs w:val="18"/>
          <w:i w:val="1"/>
          <w:iCs w:val="1"/>
          <w:color w:val="auto"/>
        </w:rPr>
        <w:t xml:space="preserve">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Option Review</w:t>
      </w:r>
    </w:p>
    <w:p>
      <w:pPr>
        <w:spacing w:after="0" w:line="229" w:lineRule="exact"/>
        <w:rPr>
          <w:sz w:val="20"/>
          <w:szCs w:val="20"/>
          <w:color w:val="auto"/>
        </w:rPr>
      </w:pPr>
    </w:p>
    <w:p>
      <w:pPr>
        <w:ind w:right="60" w:firstLine="324"/>
        <w:spacing w:after="0" w:line="308" w:lineRule="auto"/>
        <w:rPr>
          <w:sz w:val="20"/>
          <w:szCs w:val="20"/>
          <w:color w:val="auto"/>
        </w:rPr>
      </w:pPr>
      <w:r>
        <w:rPr>
          <w:rFonts w:ascii="Arial" w:cs="Arial" w:eastAsia="Arial" w:hAnsi="Arial"/>
          <w:sz w:val="17"/>
          <w:szCs w:val="17"/>
          <w:color w:val="auto"/>
        </w:rPr>
        <w:t>As discussed in Note 1 to our Consolidated Financial Statements and in our Management’s Discussion and Analysis of Financial Condition, our internal review of our stock option granting practices resulted in the restatement of certain previously filed annual and quarterly financial statements.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Consideration of Restatement</w:t>
      </w:r>
    </w:p>
    <w:p>
      <w:pPr>
        <w:spacing w:after="0" w:line="22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At the time that our Quarterly Report on Form 10-Q for the three months ended April 29, 2006 was filed on June 8, 2006, our Chief Executive Officer and then Chief Financial Officer concluded that our disclosure controls and procedures were effective as of April 29, 2006. Subsequent to that evaluation, our management, including our Chief Executive Officer and current interim Chief Financial Officer, concluded that our disclosure controls and procedures were not effective as of April 29, 2006 because of the material weaknesses identified below.</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right="240" w:firstLine="324"/>
        <w:spacing w:after="0" w:line="342" w:lineRule="auto"/>
        <w:rPr>
          <w:sz w:val="20"/>
          <w:szCs w:val="20"/>
          <w:color w:val="auto"/>
        </w:rPr>
      </w:pPr>
      <w:r>
        <w:rPr>
          <w:rFonts w:ascii="Arial" w:cs="Arial" w:eastAsia="Arial" w:hAnsi="Arial"/>
          <w:sz w:val="16"/>
          <w:szCs w:val="16"/>
          <w:color w:val="auto"/>
        </w:rPr>
        <w:t>Our management, with the participation of our Chief Executive Officer and our interim Chief Financial Officer, has evaluated the effectiveness of our disclosure controls and procedures (as defined in Rule 13a-15(e) of the Securities Exchange Act of 1934) as of April 29, 2006. Disclosure controls and</w:t>
      </w:r>
    </w:p>
    <w:p>
      <w:pPr>
        <w:sectPr>
          <w:pgSz w:w="11900" w:h="16854" w:orient="portrait"/>
          <w:cols w:equalWidth="0" w:num="1">
            <w:col w:w="11360"/>
          </w:cols>
          <w:pgMar w:left="240" w:top="125" w:right="299" w:bottom="0" w:gutter="0" w:footer="0" w:header="0"/>
        </w:sectPr>
      </w:pPr>
    </w:p>
    <w:bookmarkStart w:id="43" w:name="page44"/>
    <w:bookmarkEnd w:id="43"/>
    <w:p>
      <w:pPr>
        <w:jc w:val="both"/>
        <w:spacing w:after="0" w:line="264" w:lineRule="auto"/>
        <w:rPr>
          <w:sz w:val="20"/>
          <w:szCs w:val="20"/>
          <w:color w:val="auto"/>
        </w:rPr>
      </w:pPr>
      <w:r>
        <w:rPr>
          <w:rFonts w:ascii="Arial" w:cs="Arial" w:eastAsia="Arial" w:hAnsi="Arial"/>
          <w:sz w:val="18"/>
          <w:szCs w:val="18"/>
          <w:color w:val="auto"/>
        </w:rPr>
        <w:t>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w:t>
      </w: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color w:val="auto"/>
        </w:rPr>
        <w:t>interim Chief Financial Officer, as appropriate, to allow timely decisions regarding required disclosure. Based on this evaluation, our management, including our Chief Executive Officer and interim Chief Financial Officer, has concluded that our disclosure controls and procedures were not effective as of April 29, 2006 because of the material weaknesses described below.</w:t>
      </w:r>
    </w:p>
    <w:p>
      <w:pPr>
        <w:spacing w:after="0" w:line="181" w:lineRule="exact"/>
        <w:rPr>
          <w:sz w:val="20"/>
          <w:szCs w:val="20"/>
          <w:color w:val="auto"/>
        </w:rPr>
      </w:pPr>
    </w:p>
    <w:p>
      <w:pPr>
        <w:ind w:right="40" w:firstLine="648"/>
        <w:spacing w:after="0" w:line="289" w:lineRule="auto"/>
        <w:rPr>
          <w:sz w:val="20"/>
          <w:szCs w:val="20"/>
          <w:color w:val="auto"/>
        </w:rPr>
      </w:pPr>
      <w:r>
        <w:rPr>
          <w:rFonts w:ascii="Arial" w:cs="Arial" w:eastAsia="Arial" w:hAnsi="Arial"/>
          <w:sz w:val="16"/>
          <w:szCs w:val="16"/>
          <w:i w:val="1"/>
          <w:iCs w:val="1"/>
          <w:color w:val="auto"/>
        </w:rPr>
        <w:t xml:space="preserve">Control environment. </w:t>
      </w:r>
      <w:r>
        <w:rPr>
          <w:rFonts w:ascii="Arial" w:cs="Arial" w:eastAsia="Arial" w:hAnsi="Arial"/>
          <w:sz w:val="16"/>
          <w:szCs w:val="16"/>
          <w:color w:val="auto"/>
        </w:rPr>
        <w:t>We did not maintain an effective control environment based on criteria established in the COSO framework and commensurate</w:t>
      </w:r>
      <w:r>
        <w:rPr>
          <w:rFonts w:ascii="Arial" w:cs="Arial" w:eastAsia="Arial" w:hAnsi="Arial"/>
          <w:sz w:val="16"/>
          <w:szCs w:val="16"/>
          <w:i w:val="1"/>
          <w:iCs w:val="1"/>
          <w:color w:val="auto"/>
        </w:rPr>
        <w:t xml:space="preserve"> </w:t>
      </w:r>
      <w:r>
        <w:rPr>
          <w:rFonts w:ascii="Arial" w:cs="Arial" w:eastAsia="Arial" w:hAnsi="Arial"/>
          <w:sz w:val="16"/>
          <w:szCs w:val="16"/>
          <w:color w:val="auto"/>
        </w:rPr>
        <w:t>with our rapid growth and increasing complexity. Our management, including those individuals responsible for our Finance and Legal Departments, did not exercise the necessary rigor and commitment to internal control over financial reporting. Specifically, certain individuals involved in the stock option process said that they did not feel able to provide frank advice to senior management regarding controls over processing, recording and reporting of stock options transactions. This lack of an effective control environment contributed to the restatement of the consolidated financial statements of annual periods through fiscal 2006, each of the quarters of fiscal year 2006, as well as the first quarter of fiscal year 2007. Additionally, this lack of an effective control environment could result in misstatements of any of our financial statement accounts and disclosures that would result in a material misstatement to the annual or interim consolidated financial statements that would not be prevented or detected; this lack of effective control environment also contributed to the material weaknesses described below. Accordingly, our management has determined that this control deficiency constitutes a material weakness.</w:t>
      </w:r>
    </w:p>
    <w:p>
      <w:pPr>
        <w:spacing w:after="0" w:line="167" w:lineRule="exact"/>
        <w:rPr>
          <w:sz w:val="20"/>
          <w:szCs w:val="20"/>
          <w:color w:val="auto"/>
        </w:rPr>
      </w:pPr>
    </w:p>
    <w:p>
      <w:pPr>
        <w:ind w:right="80" w:firstLine="648"/>
        <w:spacing w:after="0" w:line="254" w:lineRule="auto"/>
        <w:rPr>
          <w:sz w:val="20"/>
          <w:szCs w:val="20"/>
          <w:color w:val="auto"/>
        </w:rPr>
      </w:pPr>
      <w:r>
        <w:rPr>
          <w:rFonts w:ascii="Arial" w:cs="Arial" w:eastAsia="Arial" w:hAnsi="Arial"/>
          <w:sz w:val="18"/>
          <w:szCs w:val="18"/>
          <w:i w:val="1"/>
          <w:iCs w:val="1"/>
          <w:color w:val="auto"/>
        </w:rPr>
        <w:t xml:space="preserve">Control over stock option granting process. </w:t>
      </w:r>
      <w:r>
        <w:rPr>
          <w:rFonts w:ascii="Arial" w:cs="Arial" w:eastAsia="Arial" w:hAnsi="Arial"/>
          <w:sz w:val="18"/>
          <w:szCs w:val="18"/>
          <w:color w:val="auto"/>
        </w:rPr>
        <w:t>We did not maintain effective controls over the stock option granting process. Our controls, including</w:t>
      </w:r>
      <w:r>
        <w:rPr>
          <w:rFonts w:ascii="Arial" w:cs="Arial" w:eastAsia="Arial" w:hAnsi="Arial"/>
          <w:sz w:val="18"/>
          <w:szCs w:val="18"/>
          <w:i w:val="1"/>
          <w:iCs w:val="1"/>
          <w:color w:val="auto"/>
        </w:rPr>
        <w:t xml:space="preserve"> </w:t>
      </w:r>
      <w:r>
        <w:rPr>
          <w:rFonts w:ascii="Arial" w:cs="Arial" w:eastAsia="Arial" w:hAnsi="Arial"/>
          <w:sz w:val="18"/>
          <w:szCs w:val="18"/>
          <w:color w:val="auto"/>
        </w:rPr>
        <w:t>monitoring controls, policies and procedures relating to the granting process were not effective. Specifically, effective controls were not maintained to ensure the validity of stock option grants and related supporting documentation and to ensure the accuracy of the measurement dates and associated accounting treatment for options granted. This lack of effective controls contributed to the restatement of the consolidated financial statements of annual periods through 2006, each of the quarters of fiscal year 2006, as well as the first quarter of fiscal year 2007. Additionally, this lack of effective controls could result in misstatements of any of our financial statement accounts and disclosures that would result in a material misstatement to the annual or interim consolidated financial statements that would not be prevented or detected. Accordingly, our management has determined that this control deficiency constitutes a material weakness.</w:t>
      </w:r>
    </w:p>
    <w:p>
      <w:pPr>
        <w:spacing w:after="0" w:line="192"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i w:val="1"/>
          <w:iCs w:val="1"/>
          <w:color w:val="auto"/>
        </w:rPr>
        <w:t xml:space="preserve">Controls over stock-based compensation expense under FAS 123(R). </w:t>
      </w:r>
      <w:r>
        <w:rPr>
          <w:rFonts w:ascii="Arial" w:cs="Arial" w:eastAsia="Arial" w:hAnsi="Arial"/>
          <w:sz w:val="18"/>
          <w:szCs w:val="18"/>
          <w:color w:val="auto"/>
        </w:rPr>
        <w:t>We did not maintain effective controls over the accounting for and disclosure of</w:t>
      </w:r>
      <w:r>
        <w:rPr>
          <w:rFonts w:ascii="Arial" w:cs="Arial" w:eastAsia="Arial" w:hAnsi="Arial"/>
          <w:sz w:val="18"/>
          <w:szCs w:val="18"/>
          <w:i w:val="1"/>
          <w:iCs w:val="1"/>
          <w:color w:val="auto"/>
        </w:rPr>
        <w:t xml:space="preserve"> </w:t>
      </w:r>
      <w:r>
        <w:rPr>
          <w:rFonts w:ascii="Arial" w:cs="Arial" w:eastAsia="Arial" w:hAnsi="Arial"/>
          <w:sz w:val="18"/>
          <w:szCs w:val="18"/>
          <w:color w:val="auto"/>
        </w:rPr>
        <w:t>our stock-based compensation expense. Our controls, including monitoring controls, policies and procedures relating to the accounting for and disclosure of stock-based compensation were not effective. Specifically, effective controls were not maintained to ensure the existence, completeness, accuracy, valuation and presentation of our stock-based compensation expense. This control deficiency resulted in audit adjustments to stock-based compensation expense for the year ended January 27, 2007. This control deficiency could also result in a misstatement to compensation expense that would result in a material misstatement to our annual or interim financial statements that would not be prevented or detected. Accordingly, our management has determined that this control deficiency constitutes a material weakness.</w:t>
      </w: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620" w:firstLine="324"/>
        <w:spacing w:after="0" w:line="277" w:lineRule="auto"/>
        <w:rPr>
          <w:sz w:val="20"/>
          <w:szCs w:val="20"/>
          <w:color w:val="auto"/>
        </w:rPr>
      </w:pPr>
      <w:r>
        <w:rPr>
          <w:rFonts w:ascii="Arial" w:cs="Arial" w:eastAsia="Arial" w:hAnsi="Arial"/>
          <w:sz w:val="18"/>
          <w:szCs w:val="18"/>
          <w:color w:val="auto"/>
        </w:rPr>
        <w:t>The following were changes in our internal control over financial reporting during the most recently completed fiscal quarter that have materially affected, on are reasonably likely to materially affect, our internal control over financial reporting:</w:t>
      </w:r>
    </w:p>
    <w:p>
      <w:pPr>
        <w:spacing w:after="0" w:line="170" w:lineRule="exact"/>
        <w:rPr>
          <w:sz w:val="20"/>
          <w:szCs w:val="20"/>
          <w:color w:val="auto"/>
        </w:rPr>
      </w:pPr>
    </w:p>
    <w:p>
      <w:pPr>
        <w:ind w:left="620" w:hanging="288"/>
        <w:spacing w:after="0"/>
        <w:tabs>
          <w:tab w:leader="none" w:pos="620" w:val="left"/>
        </w:tabs>
        <w:numPr>
          <w:ilvl w:val="0"/>
          <w:numId w:val="33"/>
        </w:numPr>
        <w:rPr>
          <w:rFonts w:ascii="Arial" w:cs="Arial" w:eastAsia="Arial" w:hAnsi="Arial"/>
          <w:sz w:val="18"/>
          <w:szCs w:val="18"/>
          <w:color w:val="auto"/>
        </w:rPr>
      </w:pPr>
      <w:r>
        <w:rPr>
          <w:rFonts w:ascii="Arial" w:cs="Arial" w:eastAsia="Arial" w:hAnsi="Arial"/>
          <w:sz w:val="18"/>
          <w:szCs w:val="18"/>
          <w:color w:val="auto"/>
        </w:rPr>
        <w:t>a material weakness was indentified in controls over stock-based compensation expense under FAS 123R as described above.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Implemented or Planned Remedial Actions of 2007 Material Weaknesses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Subsequent to April 29, 2006, we implemented or plan to implement further remedial actions, specifically:</w:t>
      </w:r>
    </w:p>
    <w:p>
      <w:pPr>
        <w:spacing w:after="0" w:line="225" w:lineRule="exact"/>
        <w:rPr>
          <w:sz w:val="20"/>
          <w:szCs w:val="20"/>
          <w:color w:val="auto"/>
        </w:rPr>
      </w:pPr>
    </w:p>
    <w:p>
      <w:pPr>
        <w:ind w:left="660" w:right="440" w:hanging="328"/>
        <w:spacing w:after="0" w:line="277" w:lineRule="auto"/>
        <w:tabs>
          <w:tab w:leader="none" w:pos="624" w:val="left"/>
        </w:tabs>
        <w:numPr>
          <w:ilvl w:val="0"/>
          <w:numId w:val="34"/>
        </w:numPr>
        <w:rPr>
          <w:rFonts w:ascii="Arial" w:cs="Arial" w:eastAsia="Arial" w:hAnsi="Arial"/>
          <w:sz w:val="18"/>
          <w:szCs w:val="18"/>
          <w:color w:val="auto"/>
        </w:rPr>
      </w:pPr>
      <w:r>
        <w:rPr>
          <w:rFonts w:ascii="Arial" w:cs="Arial" w:eastAsia="Arial" w:hAnsi="Arial"/>
          <w:sz w:val="18"/>
          <w:szCs w:val="18"/>
          <w:color w:val="auto"/>
        </w:rPr>
        <w:t>Implemented or planned remediation efforts regarding the material weakness in internal control over financial reporting related to an ineffective control environment include the following:</w:t>
      </w:r>
    </w:p>
    <w:p>
      <w:pPr>
        <w:spacing w:after="0" w:line="170" w:lineRule="exact"/>
        <w:rPr>
          <w:sz w:val="20"/>
          <w:szCs w:val="20"/>
          <w:color w:val="auto"/>
        </w:rPr>
      </w:pPr>
    </w:p>
    <w:p>
      <w:pPr>
        <w:ind w:left="340" w:right="140" w:firstLine="324"/>
        <w:spacing w:after="0" w:line="272" w:lineRule="auto"/>
        <w:rPr>
          <w:sz w:val="20"/>
          <w:szCs w:val="20"/>
          <w:color w:val="auto"/>
        </w:rPr>
      </w:pPr>
      <w:r>
        <w:rPr>
          <w:rFonts w:ascii="Arial" w:cs="Arial" w:eastAsia="Arial" w:hAnsi="Arial"/>
          <w:sz w:val="17"/>
          <w:szCs w:val="17"/>
          <w:color w:val="auto"/>
        </w:rPr>
        <w:t>We accepted the resignation of our former Vice President of Finance and Chief Financial Officer, George A. Hervey, on May 2, 2007. We also accepted Weili Dai’s resignation from her position as our Executive Vice President and Chief Operating Officer. The Implementation Committee of our Board of Directors determined, contrary to the recommendation of the Special Committee that Ms. Dai have no continuing role with the Company, that retaining the services of Ms. Dai in a substantially reduced capacity as Director of Strategic Marketing and Business Development, an individual contributor in a non-managerial role, and under the auspices of the Implementation Committee better serves the interests of all shareholders. Ms. Dai will have no authority to undertake any decisions affecting internal controls or financial matters of the Company. The Implementation Committee will provide periodic compliance updates to the Board of Directors on Ms. Dai’s activities.</w:t>
      </w:r>
    </w:p>
    <w:p>
      <w:pPr>
        <w:spacing w:after="0" w:line="178" w:lineRule="exact"/>
        <w:rPr>
          <w:sz w:val="20"/>
          <w:szCs w:val="20"/>
          <w:color w:val="auto"/>
        </w:rPr>
      </w:pPr>
    </w:p>
    <w:p>
      <w:pPr>
        <w:ind w:left="340" w:right="120" w:firstLine="324"/>
        <w:spacing w:after="0" w:line="279" w:lineRule="auto"/>
        <w:rPr>
          <w:sz w:val="20"/>
          <w:szCs w:val="20"/>
          <w:color w:val="auto"/>
        </w:rPr>
      </w:pPr>
      <w:r>
        <w:rPr>
          <w:rFonts w:ascii="Arial" w:cs="Arial" w:eastAsia="Arial" w:hAnsi="Arial"/>
          <w:sz w:val="17"/>
          <w:szCs w:val="17"/>
          <w:color w:val="auto"/>
        </w:rPr>
        <w:t>Dr. Sehat Sutardja will remain Chief Executive Officer and a member of the Board, but will step down as Chairman of the Board in favor of a non-executive Chairman. The Implementation Committee believes that the reconstitution of the Board of Directors, the separation of the role of Chairman of the Board from that of Chief Executive Officer and President and the hiring of key qualified senior executives in Finance, Operations and Compliance will help address the issues discussed in the material weakness relating to our control environment noted above.</w:t>
      </w:r>
    </w:p>
    <w:p>
      <w:pPr>
        <w:spacing w:after="0" w:line="171" w:lineRule="exact"/>
        <w:rPr>
          <w:sz w:val="20"/>
          <w:szCs w:val="20"/>
          <w:color w:val="auto"/>
        </w:rPr>
      </w:pPr>
    </w:p>
    <w:p>
      <w:pPr>
        <w:ind w:left="340" w:right="560" w:firstLine="324"/>
        <w:spacing w:after="0" w:line="342" w:lineRule="auto"/>
        <w:rPr>
          <w:sz w:val="20"/>
          <w:szCs w:val="20"/>
          <w:color w:val="auto"/>
        </w:rPr>
      </w:pPr>
      <w:r>
        <w:rPr>
          <w:rFonts w:ascii="Arial" w:cs="Arial" w:eastAsia="Arial" w:hAnsi="Arial"/>
          <w:sz w:val="16"/>
          <w:szCs w:val="16"/>
          <w:color w:val="auto"/>
        </w:rPr>
        <w:t>Following the Special Committee’s recommendations, we are conducting a search for a new Chief Operating Officer, Chief Financial Officer, General Counsel and Vice President of Compliance. The Vice President of Compliance will report directly to the Audit Committee of the Board.</w:t>
      </w:r>
    </w:p>
    <w:p>
      <w:pPr>
        <w:sectPr>
          <w:pgSz w:w="11900" w:h="16838" w:orient="portrait"/>
          <w:cols w:equalWidth="0" w:num="1">
            <w:col w:w="11420"/>
          </w:cols>
          <w:pgMar w:left="240" w:top="125" w:right="239" w:bottom="0" w:gutter="0" w:footer="0" w:header="0"/>
        </w:sectPr>
      </w:pPr>
    </w:p>
    <w:bookmarkStart w:id="44" w:name="page45"/>
    <w:bookmarkEnd w:id="44"/>
    <w:p>
      <w:pPr>
        <w:ind w:left="340" w:right="420"/>
        <w:spacing w:after="0" w:line="277" w:lineRule="auto"/>
        <w:rPr>
          <w:sz w:val="20"/>
          <w:szCs w:val="20"/>
          <w:color w:val="auto"/>
        </w:rPr>
      </w:pPr>
      <w:r>
        <w:rPr>
          <w:rFonts w:ascii="Arial" w:cs="Arial" w:eastAsia="Arial" w:hAnsi="Arial"/>
          <w:sz w:val="18"/>
          <w:szCs w:val="18"/>
          <w:color w:val="auto"/>
        </w:rPr>
        <w:t>Additionally, the Board’s Governance Committee is conducting a search for three new independent directors to fill existing vacancies. One of these independent directors will succeed Dr. Sutardja as Chairman of the Board.</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660" w:right="300" w:hanging="328"/>
        <w:spacing w:after="0" w:line="342" w:lineRule="auto"/>
        <w:tabs>
          <w:tab w:leader="none" w:pos="624" w:val="left"/>
        </w:tabs>
        <w:numPr>
          <w:ilvl w:val="0"/>
          <w:numId w:val="35"/>
        </w:numPr>
        <w:rPr>
          <w:rFonts w:ascii="Arial" w:cs="Arial" w:eastAsia="Arial" w:hAnsi="Arial"/>
          <w:sz w:val="16"/>
          <w:szCs w:val="16"/>
          <w:color w:val="auto"/>
        </w:rPr>
      </w:pPr>
      <w:r>
        <w:rPr>
          <w:rFonts w:ascii="Arial" w:cs="Arial" w:eastAsia="Arial" w:hAnsi="Arial"/>
          <w:sz w:val="16"/>
          <w:szCs w:val="16"/>
          <w:color w:val="auto"/>
        </w:rPr>
        <w:t>Implemented or planned remediation efforts regarding the material weakness over accounting for and disclosure of our stock-based compensation expense under FAS 123R includes the changes in internal control over financial reporting as stated above along with the following:</w:t>
      </w:r>
    </w:p>
    <w:p>
      <w:pPr>
        <w:spacing w:after="0" w:line="124" w:lineRule="exact"/>
        <w:rPr>
          <w:sz w:val="20"/>
          <w:szCs w:val="20"/>
          <w:color w:val="auto"/>
        </w:rPr>
      </w:pPr>
    </w:p>
    <w:p>
      <w:pPr>
        <w:ind w:left="320" w:right="700" w:firstLine="317"/>
        <w:spacing w:after="0" w:line="259" w:lineRule="auto"/>
        <w:rPr>
          <w:sz w:val="20"/>
          <w:szCs w:val="20"/>
          <w:color w:val="auto"/>
        </w:rPr>
      </w:pPr>
      <w:r>
        <w:rPr>
          <w:rFonts w:ascii="Arial" w:cs="Arial" w:eastAsia="Arial" w:hAnsi="Arial"/>
          <w:sz w:val="18"/>
          <w:szCs w:val="18"/>
          <w:color w:val="auto"/>
        </w:rPr>
        <w:t>We reviewed the accounting for and disclosure of our stock-based compensation expense process and have assessed the need for additional managerial and qualified staff resources. Once these qualified individuals are hired and training of appropriate personnel is completed, effective monitoring controls will be in place and maintained to ensure existence, completeness, accuracy, valuation and presentation of our stock-based compensation expense.</w:t>
      </w:r>
    </w:p>
    <w:p>
      <w:pPr>
        <w:spacing w:after="0" w:line="187"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As a result of the material weaknesses described above, management, with the assistance of outside consultants, reviewed key areas within internal control over financial reporting and the related financial statement accounts and disclosure for the periods ended April 28, 2006 and January 28, 2006. Based on the review performed, management did not identify any evidence that would prevent our Audit Committee or current management from approving our financial statements.</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right="20" w:firstLine="247"/>
        <w:spacing w:after="0" w:line="286"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our</w:t>
      </w:r>
      <w:r>
        <w:rPr>
          <w:rFonts w:ascii="Arial" w:cs="Arial" w:eastAsia="Arial" w:hAnsi="Arial"/>
          <w:sz w:val="16"/>
          <w:szCs w:val="16"/>
          <w:i w:val="1"/>
          <w:iCs w:val="1"/>
          <w:color w:val="auto"/>
        </w:rPr>
        <w:t xml:space="preserve"> </w:t>
      </w:r>
      <w:r>
        <w:rPr>
          <w:rFonts w:ascii="Arial" w:cs="Arial" w:eastAsia="Arial" w:hAnsi="Arial"/>
          <w:sz w:val="16"/>
          <w:szCs w:val="16"/>
          <w:color w:val="auto"/>
        </w:rPr>
        <w:t>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7" w:lineRule="auto"/>
        <w:rPr>
          <w:sz w:val="20"/>
          <w:szCs w:val="20"/>
          <w:color w:val="auto"/>
        </w:rPr>
      </w:pPr>
      <w:r>
        <w:rPr>
          <w:rFonts w:ascii="Arial" w:cs="Arial" w:eastAsia="Arial" w:hAnsi="Arial"/>
          <w:sz w:val="17"/>
          <w:szCs w:val="17"/>
          <w:color w:val="auto"/>
        </w:rPr>
        <w:t>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has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While not yet ruling on the matter, the district court has suggested that the parties will likely withdraw and seek to reformulate the current settlement in light of the Second Circuit ruling.</w:t>
      </w:r>
    </w:p>
    <w:p>
      <w:pPr>
        <w:spacing w:after="0" w:line="190" w:lineRule="exact"/>
        <w:rPr>
          <w:sz w:val="20"/>
          <w:szCs w:val="20"/>
          <w:color w:val="auto"/>
        </w:rPr>
      </w:pPr>
    </w:p>
    <w:p>
      <w:pPr>
        <w:ind w:firstLine="247"/>
        <w:spacing w:after="0" w:line="257"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us for improperly obtaining and using information and technologies during the course of the negotiations with our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right="80" w:firstLine="247"/>
        <w:spacing w:after="0" w:line="297"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our technology does not incorporate any of</w:t>
      </w:r>
    </w:p>
    <w:p>
      <w:pPr>
        <w:sectPr>
          <w:pgSz w:w="11900" w:h="16838" w:orient="portrait"/>
          <w:cols w:equalWidth="0" w:num="1">
            <w:col w:w="11420"/>
          </w:cols>
          <w:pgMar w:left="240" w:top="125" w:right="239" w:bottom="0" w:gutter="0" w:footer="0" w:header="0"/>
        </w:sectPr>
      </w:pPr>
    </w:p>
    <w:bookmarkStart w:id="45" w:name="page46"/>
    <w:bookmarkEnd w:id="45"/>
    <w:p>
      <w:pPr>
        <w:ind w:right="240"/>
        <w:spacing w:after="0" w:line="286" w:lineRule="auto"/>
        <w:rPr>
          <w:sz w:val="20"/>
          <w:szCs w:val="20"/>
          <w:color w:val="auto"/>
        </w:rPr>
      </w:pPr>
      <w:r>
        <w:rPr>
          <w:rFonts w:ascii="Arial" w:cs="Arial" w:eastAsia="Arial" w:hAnsi="Arial"/>
          <w:sz w:val="17"/>
          <w:szCs w:val="17"/>
          <w:color w:val="auto"/>
        </w:rPr>
        <w:t>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w:t>
      </w:r>
    </w:p>
    <w:p>
      <w:pPr>
        <w:spacing w:after="0" w:line="166" w:lineRule="exact"/>
        <w:rPr>
          <w:sz w:val="20"/>
          <w:szCs w:val="20"/>
          <w:color w:val="auto"/>
        </w:rPr>
      </w:pPr>
    </w:p>
    <w:p>
      <w:pPr>
        <w:ind w:firstLine="247"/>
        <w:spacing w:after="0" w:line="283"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 Wi-Fi</w:t>
      </w:r>
      <w:r>
        <w:rPr>
          <w:rFonts w:ascii="Arial" w:cs="Arial" w:eastAsia="Arial" w:hAnsi="Arial"/>
          <w:sz w:val="16"/>
          <w:szCs w:val="16"/>
          <w:i w:val="1"/>
          <w:iCs w:val="1"/>
          <w:color w:val="auto"/>
        </w:rPr>
        <w:t xml:space="preserve"> </w:t>
      </w:r>
      <w:r>
        <w:rPr>
          <w:rFonts w:ascii="Arial" w:cs="Arial" w:eastAsia="Arial" w:hAnsi="Arial"/>
          <w:sz w:val="16"/>
          <w:szCs w:val="16"/>
          <w:color w:val="auto"/>
        </w:rPr>
        <w:t>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w:t>
      </w:r>
    </w:p>
    <w:p>
      <w:pPr>
        <w:spacing w:after="0" w:line="6"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we have acknowledged the demands and incurred costs in response to them.</w:t>
      </w:r>
    </w:p>
    <w:p>
      <w:pPr>
        <w:spacing w:after="0" w:line="3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247"/>
        <w:spacing w:after="0" w:line="279" w:lineRule="auto"/>
        <w:rPr>
          <w:sz w:val="20"/>
          <w:szCs w:val="20"/>
          <w:color w:val="auto"/>
        </w:rPr>
      </w:pPr>
      <w:r>
        <w:rPr>
          <w:rFonts w:ascii="Arial" w:cs="Arial" w:eastAsia="Arial" w:hAnsi="Arial"/>
          <w:sz w:val="17"/>
          <w:szCs w:val="17"/>
          <w:color w:val="auto"/>
        </w:rPr>
        <w:t>On May 4, 2007, we filed an action in the United States District Court for the Eastern District of Texas seeking a declaratory judgment against CSIRO that the CSIRO patent is invalid and unenforceable and that we and our customers do not infringe the CSIRO patent. The complaint also seeks damages and a license for us and our customers on reasonable and non-discriminatory terms in the event our 802.11a/g wireless LAN products are found to infringe and the CSIRO patent is found to be valid and enforceable. CSIRO has not yet responded to the complaint.</w:t>
      </w:r>
    </w:p>
    <w:p>
      <w:pPr>
        <w:spacing w:after="0" w:line="171" w:lineRule="exact"/>
        <w:rPr>
          <w:sz w:val="20"/>
          <w:szCs w:val="20"/>
          <w:color w:val="auto"/>
        </w:rPr>
      </w:pPr>
    </w:p>
    <w:p>
      <w:pPr>
        <w:ind w:firstLine="247"/>
        <w:spacing w:after="0" w:line="291"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we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67" w:lineRule="exact"/>
        <w:rPr>
          <w:sz w:val="20"/>
          <w:szCs w:val="20"/>
          <w:color w:val="auto"/>
        </w:rPr>
      </w:pPr>
    </w:p>
    <w:p>
      <w:pPr>
        <w:ind w:right="80" w:firstLine="247"/>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w:t>
      </w:r>
      <w:r>
        <w:rPr>
          <w:rFonts w:ascii="Arial" w:cs="Arial" w:eastAsia="Arial" w:hAnsi="Arial"/>
          <w:sz w:val="18"/>
          <w:szCs w:val="18"/>
          <w:color w:val="auto"/>
        </w:rPr>
        <w:t xml:space="preserve"> </w:t>
      </w:r>
      <w:r>
        <w:rPr>
          <w:rFonts w:ascii="Arial" w:cs="Arial" w:eastAsia="Arial" w:hAnsi="Arial"/>
          <w:sz w:val="18"/>
          <w:szCs w:val="18"/>
          <w:i w:val="1"/>
          <w:iCs w:val="1"/>
          <w:color w:val="auto"/>
        </w:rPr>
        <w:t>Derivative Litigation</w:t>
      </w:r>
      <w:r>
        <w:rPr>
          <w:rFonts w:ascii="Arial" w:cs="Arial" w:eastAsia="Arial" w:hAnsi="Arial"/>
          <w:sz w:val="18"/>
          <w:szCs w:val="18"/>
          <w:color w:val="auto"/>
        </w:rPr>
        <w:t>.</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225" w:lineRule="exact"/>
        <w:rPr>
          <w:sz w:val="20"/>
          <w:szCs w:val="20"/>
          <w:color w:val="auto"/>
        </w:rPr>
      </w:pPr>
    </w:p>
    <w:p>
      <w:pPr>
        <w:ind w:right="80" w:firstLine="247"/>
        <w:spacing w:after="0" w:line="291"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By an order of the court dated February 28, 2007, the plaintiffs must file a consolidated complaint no later than 45 days after we file restated financial statements with the SEC.</w:t>
      </w:r>
    </w:p>
    <w:p>
      <w:pPr>
        <w:spacing w:after="0" w:line="167" w:lineRule="exact"/>
        <w:rPr>
          <w:sz w:val="20"/>
          <w:szCs w:val="20"/>
          <w:color w:val="auto"/>
        </w:rPr>
      </w:pPr>
    </w:p>
    <w:p>
      <w:pPr>
        <w:ind w:firstLine="247"/>
        <w:spacing w:after="0" w:line="297"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we received a letter of informal inquiry from the Securities and Exchange Commission (“SEC”)</w:t>
      </w:r>
      <w:r>
        <w:rPr>
          <w:rFonts w:ascii="Arial" w:cs="Arial" w:eastAsia="Arial" w:hAnsi="Arial"/>
          <w:sz w:val="16"/>
          <w:szCs w:val="16"/>
          <w:i w:val="1"/>
          <w:iCs w:val="1"/>
          <w:color w:val="auto"/>
        </w:rPr>
        <w:t xml:space="preserve"> </w:t>
      </w:r>
      <w:r>
        <w:rPr>
          <w:rFonts w:ascii="Arial" w:cs="Arial" w:eastAsia="Arial" w:hAnsi="Arial"/>
          <w:sz w:val="16"/>
          <w:szCs w:val="16"/>
          <w:color w:val="auto"/>
        </w:rPr>
        <w:t>requesting certain documents relating to our stock option grants and practices. We also received a grand jury subpoena from the office of the United States Attorney for the Northern District of California requesting substantially similar documents. On April 20, 2007, we were informed that the SEC is now conducting a formal investigation in this matter. On June 8, 2007, we received a document subpoena from the SEC. We have cooperated with the SEC and the United States Attorney regarding these matters and intend to continue to do so. We cannot predict the outcome of these investigations.</w:t>
      </w:r>
    </w:p>
    <w:p>
      <w:pPr>
        <w:spacing w:after="0" w:line="158"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We are also party to other legal proceedings and claims arising in the normal course of business.</w:t>
      </w:r>
    </w:p>
    <w:p>
      <w:pPr>
        <w:spacing w:after="0" w:line="225" w:lineRule="exact"/>
        <w:rPr>
          <w:sz w:val="20"/>
          <w:szCs w:val="20"/>
          <w:color w:val="auto"/>
        </w:rPr>
      </w:pPr>
    </w:p>
    <w:p>
      <w:pPr>
        <w:ind w:right="80" w:firstLine="247"/>
        <w:spacing w:after="0" w:line="271" w:lineRule="auto"/>
        <w:rPr>
          <w:sz w:val="20"/>
          <w:szCs w:val="20"/>
          <w:color w:val="auto"/>
        </w:rPr>
      </w:pPr>
      <w:r>
        <w:rPr>
          <w:rFonts w:ascii="Arial" w:cs="Arial" w:eastAsia="Arial" w:hAnsi="Arial"/>
          <w:sz w:val="17"/>
          <w:szCs w:val="17"/>
          <w:color w:val="auto"/>
        </w:rPr>
        <w:t>The legal proceedings and claims described above could result in substantial costs and could divert the attention and resources of our management. Although the legal responsibility and financial impact with respect to these proceedings and claims cannot currently be ascertained, we do not believe that these matters will result in our payment of monetary damages, net of any applicable insurance proceeds, that in the aggregate would be material in relation to our consolidated financial position or results of operations. However,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 xml:space="preserve">Item 1A. </w:t>
      </w:r>
      <w:r>
        <w:rPr>
          <w:rFonts w:ascii="Arial" w:cs="Arial" w:eastAsia="Arial" w:hAnsi="Arial"/>
          <w:sz w:val="16"/>
          <w:szCs w:val="16"/>
          <w:b w:val="1"/>
          <w:bCs w:val="1"/>
          <w:i w:val="1"/>
          <w:iCs w:val="1"/>
          <w:color w:val="auto"/>
        </w:rPr>
        <w:t>Risk Factors</w:t>
      </w:r>
    </w:p>
    <w:p>
      <w:pPr>
        <w:sectPr>
          <w:pgSz w:w="11900" w:h="16838" w:orient="portrait"/>
          <w:cols w:equalWidth="0" w:num="1">
            <w:col w:w="11400"/>
          </w:cols>
          <w:pgMar w:left="240" w:top="125" w:right="259" w:bottom="0" w:gutter="0" w:footer="0" w:header="0"/>
          <w:type w:val="continuous"/>
        </w:sectPr>
      </w:pPr>
    </w:p>
    <w:bookmarkStart w:id="46" w:name="page47"/>
    <w:bookmarkEnd w:id="46"/>
    <w:p>
      <w:pPr>
        <w:ind w:right="100" w:firstLine="259"/>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Item 2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Matters related to the internal review of our historical stock option granting practices and the restatement of our financial statements may result in additional litigation, regulatory proceedings and government enforcement actions.</w:t>
      </w:r>
    </w:p>
    <w:p>
      <w:pPr>
        <w:spacing w:after="0" w:line="170" w:lineRule="exact"/>
        <w:rPr>
          <w:sz w:val="20"/>
          <w:szCs w:val="20"/>
          <w:color w:val="auto"/>
        </w:rPr>
      </w:pPr>
    </w:p>
    <w:p>
      <w:pPr>
        <w:ind w:right="40" w:firstLine="243"/>
        <w:spacing w:after="0" w:line="269" w:lineRule="auto"/>
        <w:rPr>
          <w:sz w:val="20"/>
          <w:szCs w:val="20"/>
          <w:color w:val="auto"/>
        </w:rPr>
      </w:pPr>
      <w:r>
        <w:rPr>
          <w:rFonts w:ascii="Arial" w:cs="Arial" w:eastAsia="Arial" w:hAnsi="Arial"/>
          <w:sz w:val="17"/>
          <w:szCs w:val="17"/>
          <w:color w:val="auto"/>
        </w:rPr>
        <w:t>Our historical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II, Item 1 — “Legal Proceedings,” of this Report as well as the other risk factors related to litigation set forth in this section. We have provided the results of our internal review to the Securities and Exchange Commission (“the SEC”) and the United States Attorney’s Office for the Northern District of California, and in that regard we have responded to formal and informal requests for documents and additional information.The SEC is conducting a formal inquiry into our historical stock option granting practices and we received a grand jury subpoena from the United States Attorney’s Office for the Northern District of California requesting documents relating to our historical stock option granting practices. No assurance can be given regarding the outcomes of litigation, regulatory proceedings or government enforcement actions relating to our past stock option practices. The resolution of these matters will be time consuming and expensive, and may distract management from the conduct of our business. Further, if we are subject to adverse findings in litigation, regulatory proceedings or government enforcement actions, we could be required to pay damages or penalties or have other remedies imposed against us, our directors, executive officers or other officers, or employees, which could harm our reputation, business, financial condition, results of operations and cash flows.</w:t>
      </w:r>
    </w:p>
    <w:p>
      <w:pPr>
        <w:spacing w:after="0" w:line="180" w:lineRule="exact"/>
        <w:rPr>
          <w:sz w:val="20"/>
          <w:szCs w:val="20"/>
          <w:color w:val="auto"/>
        </w:rPr>
      </w:pPr>
    </w:p>
    <w:p>
      <w:pPr>
        <w:ind w:right="60" w:firstLine="243"/>
        <w:spacing w:after="0" w:line="279" w:lineRule="auto"/>
        <w:rPr>
          <w:sz w:val="20"/>
          <w:szCs w:val="20"/>
          <w:color w:val="auto"/>
        </w:rPr>
      </w:pPr>
      <w:r>
        <w:rPr>
          <w:rFonts w:ascii="Arial" w:cs="Arial" w:eastAsia="Arial" w:hAnsi="Arial"/>
          <w:sz w:val="17"/>
          <w:szCs w:val="17"/>
          <w:color w:val="auto"/>
        </w:rPr>
        <w:t>In addition, while we believe that we have, in completing the restatement of our financial statements, made appropriate judgments in determining the correct measurement dates and disclosures relating to our stock option investigation, the SEC may disagree with the manner in which we reported the results of the investigation or accounted for and reported, or did not report, the corresponding financial impact. Accordingly, it is possible that we will be required to restate further our prior financial statements, amend prior filings with the SEC, or take other actions not currently contemplated.</w:t>
      </w:r>
    </w:p>
    <w:p>
      <w:pPr>
        <w:spacing w:after="0" w:line="17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A number of our current and former executive officers and directors have been named as parties to several derivative action lawsuits arising from our internal option review, and there is a possibility of additional lawsuits, all of which could require significant management time and attention and result in significant legal expenses.</w:t>
      </w:r>
    </w:p>
    <w:p>
      <w:pPr>
        <w:spacing w:after="0" w:line="181" w:lineRule="exact"/>
        <w:rPr>
          <w:sz w:val="20"/>
          <w:szCs w:val="20"/>
          <w:color w:val="auto"/>
        </w:rPr>
      </w:pPr>
    </w:p>
    <w:p>
      <w:pPr>
        <w:ind w:firstLine="243"/>
        <w:spacing w:after="0" w:line="297" w:lineRule="auto"/>
        <w:rPr>
          <w:sz w:val="20"/>
          <w:szCs w:val="20"/>
          <w:color w:val="auto"/>
        </w:rPr>
      </w:pPr>
      <w:r>
        <w:rPr>
          <w:rFonts w:ascii="Arial" w:cs="Arial" w:eastAsia="Arial" w:hAnsi="Arial"/>
          <w:sz w:val="16"/>
          <w:szCs w:val="16"/>
          <w:color w:val="auto"/>
        </w:rPr>
        <w:t>We are subject to a number of lawsuits purportedly on behalf of us against certain of our current and former executive officers and board members, and we may become the subject of additional private lawsuits. Subject to certain limitations, we are obligated to indemnify our current and former directors, officers and employees in connection with the investigation of our historical stock option practices and such lawsuits. The expenses associated with these lawsuits may be significant, the amount of time to resolve these lawsuits is unpredictable and defending these lawsuits may divert management’s attention from the day-to-day operations of our business, which could have a material adverse effect on our financial condition, business, results of operations and cash flows.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Recent changes in our management may cause uncertainty in, or be disruptive to, our business.</w:t>
      </w:r>
    </w:p>
    <w:p>
      <w:pPr>
        <w:spacing w:after="0" w:line="225" w:lineRule="exact"/>
        <w:rPr>
          <w:sz w:val="20"/>
          <w:szCs w:val="20"/>
          <w:color w:val="auto"/>
        </w:rPr>
      </w:pPr>
    </w:p>
    <w:p>
      <w:pPr>
        <w:ind w:firstLine="243"/>
        <w:spacing w:after="0" w:line="267" w:lineRule="auto"/>
        <w:rPr>
          <w:sz w:val="20"/>
          <w:szCs w:val="20"/>
          <w:color w:val="auto"/>
        </w:rPr>
      </w:pPr>
      <w:r>
        <w:rPr>
          <w:rFonts w:ascii="Arial" w:cs="Arial" w:eastAsia="Arial" w:hAnsi="Arial"/>
          <w:sz w:val="17"/>
          <w:szCs w:val="17"/>
          <w:color w:val="auto"/>
        </w:rPr>
        <w:t>We have recently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will continue in a non-management role. Also, the general counsel of our U.S. operating subsidiary was terminated in March 2007. We are conducting a search for a permanent Chief Operating Officer, Chief Financial Officer and General Counsel. We have also commenced a search for three new independent directors to fill existing vacancies on our board of directors, one of whom will succeed Dr. Sehat Sutardja as Chairman of the Board. We cannot assure you that we will find qualified candidates in a timely manner. These changes in our management and board of directors may be disruptive to our business, and, during the transition period, there may be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management and other key personnel and on the abilities of the new management personnel to function effectively, both individually and as a group going forward. If we are unable to attract and retain effective permanent replacements for our key executives in a timely manner, our business, financial condition, results of operations and cash flows may be adversely affected and our ability to execute our business model could be impaired. Competition for qualified senior employees can be intense. We expect to experience difficulty in hiring and retaining highly skilled individuals with appropriate qualifications to support our growth and expansion. For example, both our interim Chief Financial Officer and interim General Counsel may choose not to participate as candidates in our search to fill these positions. If we fail to attract, hire and retain qualified management individuals, it could lead to dissatisfaction among our customers, which could slow our growth or result in a loss of business.</w:t>
      </w:r>
    </w:p>
    <w:p>
      <w:pPr>
        <w:spacing w:after="0" w:line="193" w:lineRule="exact"/>
        <w:rPr>
          <w:sz w:val="20"/>
          <w:szCs w:val="20"/>
          <w:color w:val="auto"/>
        </w:rPr>
      </w:pPr>
    </w:p>
    <w:p>
      <w:pPr>
        <w:ind w:right="340"/>
        <w:spacing w:after="0" w:line="342" w:lineRule="auto"/>
        <w:rPr>
          <w:sz w:val="20"/>
          <w:szCs w:val="20"/>
          <w:color w:val="auto"/>
        </w:rPr>
      </w:pPr>
      <w:r>
        <w:rPr>
          <w:rFonts w:ascii="Arial" w:cs="Arial" w:eastAsia="Arial" w:hAnsi="Arial"/>
          <w:sz w:val="16"/>
          <w:szCs w:val="16"/>
          <w:b w:val="1"/>
          <w:bCs w:val="1"/>
          <w:i w:val="1"/>
          <w:iCs w:val="1"/>
          <w:color w:val="auto"/>
        </w:rPr>
        <w:t>We have been named as a party to several purported class action and derivative lawsuits relating to our past option granting practices, and we may be named in additional litigation, all of which could cause our business, financial condition, results of operations and cash flows to suffer.</w:t>
      </w:r>
    </w:p>
    <w:p>
      <w:pPr>
        <w:spacing w:after="0" w:line="124" w:lineRule="exact"/>
        <w:rPr>
          <w:sz w:val="20"/>
          <w:szCs w:val="20"/>
          <w:color w:val="auto"/>
        </w:rPr>
      </w:pPr>
    </w:p>
    <w:p>
      <w:pPr>
        <w:ind w:right="140" w:firstLine="243"/>
        <w:spacing w:after="0" w:line="264" w:lineRule="auto"/>
        <w:rPr>
          <w:sz w:val="20"/>
          <w:szCs w:val="20"/>
          <w:color w:val="auto"/>
        </w:rPr>
      </w:pPr>
      <w:r>
        <w:rPr>
          <w:rFonts w:ascii="Arial" w:cs="Arial" w:eastAsia="Arial" w:hAnsi="Arial"/>
          <w:sz w:val="18"/>
          <w:szCs w:val="18"/>
          <w:color w:val="auto"/>
        </w:rPr>
        <w:t>We have been named as a nominal defendant in purported shareholder derivative actions that name a number of our current and former directors and officers as defendants and that seek to recover damages purportedly sustained by us in connection with our option granting practices. Further, putative class actions have been filed against us and certain of our officers and directors that allege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violations of the federal securities laws and seek to recover damages. We may in the future be subject to additional litigation relating to our past option granting practices. Regardless of the outcome, this litigation, and any other litigation that may be brought against us or our directors and officers, could be time consuming, result in significant expense, and divert the attention and resources of our management and other key employees. An unfavorable outcome in such litigation could have a material adverse effect on our business, financial condition, results of operations and cash flows.</w:t>
      </w:r>
    </w:p>
    <w:p>
      <w:pPr>
        <w:sectPr>
          <w:pgSz w:w="11900" w:h="16838" w:orient="portrait"/>
          <w:cols w:equalWidth="0" w:num="1">
            <w:col w:w="11400"/>
          </w:cols>
          <w:pgMar w:left="240" w:top="125" w:right="259" w:bottom="18" w:gutter="0" w:footer="0" w:header="0"/>
        </w:sectPr>
      </w:pPr>
    </w:p>
    <w:p>
      <w:pPr>
        <w:spacing w:after="0" w:line="154"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The matters relating to the internal review of our historical stock option granting practices and the restatement of our financial statements may otherwise adversely impact our business.</w:t>
      </w:r>
    </w:p>
    <w:p>
      <w:pPr>
        <w:sectPr>
          <w:pgSz w:w="11900" w:h="16838" w:orient="portrait"/>
          <w:cols w:equalWidth="0" w:num="1">
            <w:col w:w="11400"/>
          </w:cols>
          <w:pgMar w:left="240" w:top="125" w:right="259" w:bottom="18" w:gutter="0" w:footer="0" w:header="0"/>
          <w:type w:val="continuous"/>
        </w:sectPr>
      </w:pPr>
    </w:p>
    <w:bookmarkStart w:id="47" w:name="page48"/>
    <w:bookmarkEnd w:id="47"/>
    <w:p>
      <w:pPr>
        <w:spacing w:after="0" w:line="55" w:lineRule="exact"/>
        <w:rPr>
          <w:sz w:val="20"/>
          <w:szCs w:val="20"/>
          <w:color w:val="auto"/>
        </w:rPr>
      </w:pPr>
    </w:p>
    <w:p>
      <w:pPr>
        <w:jc w:val="both"/>
        <w:ind w:right="20" w:firstLine="243"/>
        <w:spacing w:after="0" w:line="259" w:lineRule="auto"/>
        <w:rPr>
          <w:sz w:val="20"/>
          <w:szCs w:val="20"/>
          <w:color w:val="auto"/>
        </w:rPr>
      </w:pPr>
      <w:r>
        <w:rPr>
          <w:rFonts w:ascii="Arial" w:cs="Arial" w:eastAsia="Arial" w:hAnsi="Arial"/>
          <w:sz w:val="18"/>
          <w:szCs w:val="18"/>
          <w:color w:val="auto"/>
        </w:rPr>
        <w:t>As a result of our delayed filing of our Quarterly Reports on Form 10-Q for the fiscal quarters ended July 29, 2006, October 28, 2006, and April 27, 2007 and our Annual Report on Form 10-K for the fiscal year ended January 27, 2007, we will be ineligible to register our securities on Form S-3 for sale by us or resale by others. We may use Form S-1 to raise capital or complete acquisitions, but doing so could increase transaction costs and adversely impact our ability to raise capital or complete acquisitions of other companies in a timely manner.</w:t>
      </w:r>
    </w:p>
    <w:p>
      <w:pPr>
        <w:spacing w:after="0" w:line="187" w:lineRule="exact"/>
        <w:rPr>
          <w:sz w:val="20"/>
          <w:szCs w:val="20"/>
          <w:color w:val="auto"/>
        </w:rPr>
      </w:pPr>
    </w:p>
    <w:p>
      <w:pPr>
        <w:ind w:right="40" w:firstLine="243"/>
        <w:spacing w:after="0" w:line="269" w:lineRule="auto"/>
        <w:rPr>
          <w:sz w:val="20"/>
          <w:szCs w:val="20"/>
          <w:color w:val="auto"/>
        </w:rPr>
      </w:pPr>
      <w:r>
        <w:rPr>
          <w:rFonts w:ascii="Arial" w:cs="Arial" w:eastAsia="Arial" w:hAnsi="Arial"/>
          <w:sz w:val="17"/>
          <w:szCs w:val="17"/>
          <w:color w:val="auto"/>
        </w:rPr>
        <w:t>Employees who were awarded options that were granted at a discount from fair market value and were all or partially unvested as of December 31, 2004, which we refer to as discount options, may be subject to income tax liability on the vesting date of those discount options in addition to a 20% excise tax under Internal Revenue Code (“IRC”) section 409A. California has adopted IRC 409A and therefore a 20% excise tax will be levied on all California employees. In considering actions that we believe would be in the best interests of our shareholders and employees and might substantially reduce or eliminate section 409A exposure and adverse state tax liability for our employees, we have elected to comply with the Franchise Tax Board Notice 2007-1 program in California. The program allows us to pay the additional 20% tax and interest due to the exercise of certain discounted stock options in 2006 pursuant to Revenue and Taxation Code §17501. There is no guarantee that this measure to address employees’ adverse tax consequences will be effective or successful. Any such measures may cause us to incur additional cash or noncash compensation expense. In addition, these measures, or the failure of these measures, may require us to incur substantial expenses for legal, accounting, tax and other professional services, could cause employee satisfaction and retention issues, and may divert our management’s attention from our business, which could in the future harm our business, financial condition, results of operations and cash flows.</w:t>
      </w:r>
    </w:p>
    <w:p>
      <w:pPr>
        <w:spacing w:after="0" w:line="183"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b w:val="1"/>
          <w:bCs w:val="1"/>
          <w:i w:val="1"/>
          <w:iCs w:val="1"/>
          <w:color w:val="auto"/>
        </w:rPr>
        <w:t>We have had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timely and investors may lose confidence in our reported financial information, which could lead to a decline in our stock price.</w:t>
      </w:r>
    </w:p>
    <w:p>
      <w:pPr>
        <w:spacing w:after="0" w:line="187" w:lineRule="exact"/>
        <w:rPr>
          <w:sz w:val="20"/>
          <w:szCs w:val="20"/>
          <w:color w:val="auto"/>
        </w:rPr>
      </w:pPr>
    </w:p>
    <w:p>
      <w:pPr>
        <w:ind w:right="180" w:firstLine="243"/>
        <w:spacing w:after="0" w:line="259" w:lineRule="auto"/>
        <w:rPr>
          <w:sz w:val="20"/>
          <w:szCs w:val="20"/>
          <w:color w:val="auto"/>
        </w:rPr>
      </w:pPr>
      <w:r>
        <w:rPr>
          <w:rFonts w:ascii="Arial" w:cs="Arial" w:eastAsia="Arial" w:hAnsi="Arial"/>
          <w:sz w:val="18"/>
          <w:szCs w:val="18"/>
          <w:color w:val="auto"/>
        </w:rPr>
        <w:t>We have determined that we have had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187" w:lineRule="exact"/>
        <w:rPr>
          <w:sz w:val="20"/>
          <w:szCs w:val="20"/>
          <w:color w:val="auto"/>
        </w:rPr>
      </w:pPr>
    </w:p>
    <w:p>
      <w:pPr>
        <w:ind w:right="20" w:firstLine="243"/>
        <w:spacing w:after="0" w:line="269" w:lineRule="auto"/>
        <w:rPr>
          <w:sz w:val="20"/>
          <w:szCs w:val="20"/>
          <w:color w:val="auto"/>
        </w:rPr>
      </w:pPr>
      <w:r>
        <w:rPr>
          <w:rFonts w:ascii="Arial" w:cs="Arial" w:eastAsia="Arial" w:hAnsi="Arial"/>
          <w:sz w:val="17"/>
          <w:szCs w:val="17"/>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and that breakdowns can occur because of simple error or mistake.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83" w:lineRule="exact"/>
        <w:rPr>
          <w:sz w:val="20"/>
          <w:szCs w:val="20"/>
          <w:color w:val="auto"/>
        </w:rPr>
      </w:pPr>
    </w:p>
    <w:p>
      <w:pPr>
        <w:ind w:right="40" w:firstLine="243"/>
        <w:spacing w:after="0" w:line="255" w:lineRule="auto"/>
        <w:rPr>
          <w:sz w:val="20"/>
          <w:szCs w:val="20"/>
          <w:color w:val="auto"/>
        </w:rPr>
      </w:pPr>
      <w:r>
        <w:rPr>
          <w:rFonts w:ascii="Arial" w:cs="Arial" w:eastAsia="Arial" w:hAnsi="Arial"/>
          <w:sz w:val="18"/>
          <w:szCs w:val="18"/>
          <w:color w:val="auto"/>
        </w:rPr>
        <w:t>We cannot assure you that significant deficiencies or material weaknesses in our internal control over financial reporting will not be identified in the future.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material weaknesses, cause us to fail to timely meet our periodic reporting obligations, or result in material misstatements in our financial statements. Any such failure could also adversely affect the results of periodic management evaluations and annual auditor attestation reports regarding disclosure controls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79"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b w:val="1"/>
          <w:bCs w:val="1"/>
          <w:i w:val="1"/>
          <w:iCs w:val="1"/>
          <w:color w:val="auto"/>
        </w:rPr>
        <w:t>We have not been in compliance with SEC periodic reporting requirements and NASDAQ listing requirements and may continue to face compliance issues with both, which could result in the delisting of our common shares from The NASDAQ Stock Market.</w:t>
      </w:r>
    </w:p>
    <w:p>
      <w:pPr>
        <w:spacing w:after="0" w:line="170" w:lineRule="exact"/>
        <w:rPr>
          <w:sz w:val="20"/>
          <w:szCs w:val="20"/>
          <w:color w:val="auto"/>
        </w:rPr>
      </w:pPr>
    </w:p>
    <w:p>
      <w:pPr>
        <w:ind w:right="60" w:firstLine="243"/>
        <w:spacing w:after="0" w:line="273" w:lineRule="auto"/>
        <w:rPr>
          <w:sz w:val="20"/>
          <w:szCs w:val="20"/>
          <w:color w:val="auto"/>
        </w:rPr>
      </w:pPr>
      <w:r>
        <w:rPr>
          <w:rFonts w:ascii="Arial" w:cs="Arial" w:eastAsia="Arial" w:hAnsi="Arial"/>
          <w:sz w:val="17"/>
          <w:szCs w:val="17"/>
          <w:color w:val="auto"/>
        </w:rPr>
        <w:t>As a result of our failure to timely file our quarterly reports on Form 10-Q for the fiscal quarters ended July 29, 2006 and October 28, 2006 (the “Fiscal 2007 10-Qs”), this annual report on Form 10-K for the fiscal year ended January 27, 2007 (the “10-K”) and the Quarterly Report on Form 10-Q for the fiscal quarter ended April 28, 2007 (“Q1 Fiscal 2008 10-Q”) (together with the Fiscal 2007 10-Qs, the “delayed Forms 10-Q”), we have not been in full compliance with NASDAQ Marketplace Rule 4310(c)(14) which requires us to make, on a timely basis, all filings with the SEC required by the Securities Exchange Act of 1934. With the filing of this 10-K and the Fiscal 2007 10-Qs, which have been filed concurrently, we still must file our Q1 Fiscal 2008 10-Q to regain compliance with Marketplace Rule 4310(c)(14). We expect to file our Q1 Fiscal 2008 10-Q as soon as practicable.</w:t>
      </w:r>
    </w:p>
    <w:p>
      <w:pPr>
        <w:spacing w:after="0" w:line="178" w:lineRule="exact"/>
        <w:rPr>
          <w:sz w:val="20"/>
          <w:szCs w:val="20"/>
          <w:color w:val="auto"/>
        </w:rPr>
      </w:pPr>
    </w:p>
    <w:p>
      <w:pPr>
        <w:ind w:right="60" w:firstLine="243"/>
        <w:spacing w:after="0" w:line="293" w:lineRule="auto"/>
        <w:rPr>
          <w:sz w:val="20"/>
          <w:szCs w:val="20"/>
          <w:color w:val="auto"/>
        </w:rPr>
      </w:pPr>
      <w:r>
        <w:rPr>
          <w:rFonts w:ascii="Arial" w:cs="Arial" w:eastAsia="Arial" w:hAnsi="Arial"/>
          <w:sz w:val="16"/>
          <w:szCs w:val="16"/>
          <w:color w:val="auto"/>
        </w:rPr>
        <w:t>If the SEC disagrees with the manner in which we have accounted for and reported, or not reported, the financial impact of past stock option grants, there could be further delays in filing subsequent SEC reports or other actions that might result in delisting of our common stock from the NASDAQ Global Select Market. If we are unable to maintain compliance with the conditions for continued listing required by NASDAQ, then our shares of common stock may be subject to delisting from the NASDAQ Global Select Market. If our shares of common stock are delisted from the NASDAQ Global Select Market, they may not be eligible to trade on any national securities exchange or the over-the counter market. If our common stock is no longer traded through a market system, the liquidity of our common stock may be greatly reduced, which could negatively affect its price. In addition, we may be unable to obtain future equity</w:t>
      </w:r>
    </w:p>
    <w:p>
      <w:pPr>
        <w:sectPr>
          <w:pgSz w:w="11900" w:h="16894" w:orient="portrait"/>
          <w:cols w:equalWidth="0" w:num="1">
            <w:col w:w="11420"/>
          </w:cols>
          <w:pgMar w:left="240" w:top="125" w:right="239" w:bottom="0" w:gutter="0" w:footer="0" w:header="0"/>
        </w:sectPr>
      </w:pPr>
    </w:p>
    <w:bookmarkStart w:id="48" w:name="page49"/>
    <w:bookmarkEnd w:id="48"/>
    <w:p>
      <w:pPr>
        <w:ind w:right="180"/>
        <w:spacing w:after="0" w:line="264" w:lineRule="auto"/>
        <w:rPr>
          <w:sz w:val="20"/>
          <w:szCs w:val="20"/>
          <w:color w:val="auto"/>
        </w:rPr>
      </w:pPr>
      <w:r>
        <w:rPr>
          <w:rFonts w:ascii="Arial" w:cs="Arial" w:eastAsia="Arial" w:hAnsi="Arial"/>
          <w:sz w:val="18"/>
          <w:szCs w:val="18"/>
          <w:color w:val="auto"/>
        </w:rPr>
        <w:t>financing, or use our common stock as consideration for mergers or other business combinations. A delisting from the NASDAQ Global Select Market may also have other negative implications, including the potential loss of confidence by suppliers, customers and employees, the loss of institutional investor interest, and fewer business development opportunities.</w:t>
      </w:r>
    </w:p>
    <w:p>
      <w:pPr>
        <w:spacing w:after="0" w:line="181"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b w:val="1"/>
          <w:bCs w:val="1"/>
          <w:i w:val="1"/>
          <w:iCs w:val="1"/>
          <w:color w:val="auto"/>
        </w:rPr>
        <w:t>We are obligated to purchase and pre-pay for specified volumes of wafers from Intel Corporation which will adversely affect our cash flow and could lead to inventory write-downs and related charges to our earnings, but Intel is not obligated to increase supply if we encounter unexpected demand.</w:t>
      </w:r>
    </w:p>
    <w:p>
      <w:pPr>
        <w:spacing w:after="0" w:line="124"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In connection with our acquisition of Intel’s communications and application processor business, we entered into a supply agreement with Intel in an effort to secure supplies of the products and wafers that we will need to sell the acquired product lines. Under the terms of the supply agreement we have committed to purchase and Intel has agreed to supply, through June 2008, a minimum number of wafers at fixed prices. If at the end of any Intel fiscal quarter, there is a shortfall between the quantity of supply ordered by us and the quantities of supply required under the supply agreement commitment, Intel will invoice us for the shortfall and will deliver the corresponding quantity upon receipt of payment from us. The agreement requires us to prepay for certain wafers six months in advance of delivery and issue non cancellable purchase orders at least six months in advance of requested delivery dates for all purchases under the supply agreement.</w:t>
      </w:r>
    </w:p>
    <w:p>
      <w:pPr>
        <w:spacing w:after="0" w:line="189" w:lineRule="exact"/>
        <w:rPr>
          <w:sz w:val="20"/>
          <w:szCs w:val="20"/>
          <w:color w:val="auto"/>
        </w:rPr>
      </w:pPr>
    </w:p>
    <w:p>
      <w:pPr>
        <w:jc w:val="both"/>
        <w:ind w:right="80" w:firstLine="243"/>
        <w:spacing w:after="0" w:line="279" w:lineRule="auto"/>
        <w:rPr>
          <w:sz w:val="20"/>
          <w:szCs w:val="20"/>
          <w:color w:val="auto"/>
        </w:rPr>
      </w:pPr>
      <w:r>
        <w:rPr>
          <w:rFonts w:ascii="Arial" w:cs="Arial" w:eastAsia="Arial" w:hAnsi="Arial"/>
          <w:sz w:val="17"/>
          <w:szCs w:val="17"/>
          <w:color w:val="auto"/>
        </w:rPr>
        <w:t>The supply agreement contractually commits us to purchase supply from Intel regardless of future end customer demand for these products. The amount of wafers we committed to purchase was largely based on our forecasted demand over an extended period of time. Forecasting demand over such a period of time is difficult and is subject to many risks. If the level of demand does not materialize to consume the product we are obligated to purchase from Intel, we may record additional charges for excess inventory purchases and commitments which could be material.</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The supply agreement also requires us to purchase inventory earlier than anticipated product shipments to our customers. As a result, we expect our inventory balances for these products to increase, resulting in higher inventory balances and the associated carrying costs. Additionally, these higher levels of inventory increase our risk of holding excess and obsolete inventory. This could harm our business, results of operations and cash flows by leading to inventory write-downs and related charges to our earnings.</w:t>
      </w:r>
    </w:p>
    <w:p>
      <w:pPr>
        <w:spacing w:after="0" w:line="187" w:lineRule="exact"/>
        <w:rPr>
          <w:sz w:val="20"/>
          <w:szCs w:val="20"/>
          <w:color w:val="auto"/>
        </w:rPr>
      </w:pPr>
    </w:p>
    <w:p>
      <w:pPr>
        <w:ind w:right="60" w:firstLine="243"/>
        <w:spacing w:after="0" w:line="264" w:lineRule="auto"/>
        <w:rPr>
          <w:sz w:val="20"/>
          <w:szCs w:val="20"/>
          <w:color w:val="auto"/>
        </w:rPr>
      </w:pPr>
      <w:r>
        <w:rPr>
          <w:rFonts w:ascii="Arial" w:cs="Arial" w:eastAsia="Arial" w:hAnsi="Arial"/>
          <w:sz w:val="18"/>
          <w:szCs w:val="18"/>
          <w:color w:val="auto"/>
        </w:rPr>
        <w:t>The supply agreement also limits the amount of product that Intel is required to supply to us. If we experience an increase in demand, we might not be able to secure enough supply from Intel to meet that demand. This would lead to lost sales in the short term as well as the long term due to possible customer dissatisfaction.</w:t>
      </w:r>
    </w:p>
    <w:p>
      <w:pPr>
        <w:spacing w:after="0" w:line="18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If we are unable to successfully transition and secure production capacity for our communications and application processor business, we could lose a significant portion of that business.</w:t>
      </w:r>
    </w:p>
    <w:p>
      <w:pPr>
        <w:spacing w:after="0" w:line="170" w:lineRule="exact"/>
        <w:rPr>
          <w:sz w:val="20"/>
          <w:szCs w:val="20"/>
          <w:color w:val="auto"/>
        </w:rPr>
      </w:pPr>
    </w:p>
    <w:p>
      <w:pPr>
        <w:ind w:right="40" w:firstLine="243"/>
        <w:spacing w:after="0" w:line="253" w:lineRule="auto"/>
        <w:rPr>
          <w:sz w:val="20"/>
          <w:szCs w:val="20"/>
          <w:color w:val="auto"/>
        </w:rPr>
      </w:pPr>
      <w:r>
        <w:rPr>
          <w:rFonts w:ascii="Arial" w:cs="Arial" w:eastAsia="Arial" w:hAnsi="Arial"/>
          <w:sz w:val="18"/>
          <w:szCs w:val="18"/>
          <w:color w:val="auto"/>
        </w:rPr>
        <w:t>Our supply agreement with Intel was entered into to secure a supply of wafers and products during a transition period while we arranged for our independent foundries and other contractors to begin fabrication, assembly and test for these products. Intel is only obligated to supply specified quantities of product for a limited amount of time, no later than June 2008. Some of these products are at earlier stages in their new product introduction processes, where manufacturing yields are not yet consistent and changes to the design and processes may still have to be made. This can make the transition of the manufacture of these products to independent foundries and other contractors more complicated and expensive. If we do not successfully transition the production of the wafers and products to independent foundries and other contractors, we will be unable to meet customer demand for these products. This could result in a material decline in revenues, net income, and cash flow. Additionally, our customers could become dissatisfied with us and not continue to use our products if and when we were able to resume providing them with products or if the newly transitioned products would require extended customer re-qualification.</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In 2005, we acquired the hard disk and tape drive controller semiconductor business of QLogic Corporation and the semiconductor design business division of UTStarcom, Inc. In May 2006, we acquired the printer semiconductor division of Avago Technologies, Pte. as well as certain intellectual property and property and equipment from another company. On June 27, 2006, we announced the signing of a definitive agreement to acquire certain assets of the communications and application processor business from Intel Corporation.</w:t>
      </w:r>
    </w:p>
    <w:p>
      <w:pPr>
        <w:spacing w:after="0" w:line="187" w:lineRule="exact"/>
        <w:rPr>
          <w:sz w:val="20"/>
          <w:szCs w:val="20"/>
          <w:color w:val="auto"/>
        </w:rPr>
      </w:pPr>
    </w:p>
    <w:p>
      <w:pPr>
        <w:ind w:right="60" w:firstLine="243"/>
        <w:spacing w:after="0" w:line="270" w:lineRule="auto"/>
        <w:rPr>
          <w:sz w:val="20"/>
          <w:szCs w:val="20"/>
          <w:color w:val="auto"/>
        </w:rPr>
      </w:pPr>
      <w:r>
        <w:rPr>
          <w:rFonts w:ascii="Arial" w:cs="Arial" w:eastAsia="Arial" w:hAnsi="Arial"/>
          <w:sz w:val="17"/>
          <w:szCs w:val="17"/>
          <w:color w:val="auto"/>
        </w:rPr>
        <w:t>Any of these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In addition, if we acquire a business that is operating at a loss or at lower overall gross margins than our other businesses, as is the case with the communications and application processor business we acquired from Intel, our profitability will be harmed unless we can improve its performance.We cannot forecast the number, timing or size of future acquisitions, or the effect that any such acquisitions might have on our operating or financial results.</w:t>
      </w:r>
    </w:p>
    <w:p>
      <w:pPr>
        <w:spacing w:after="0" w:line="182"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have carrying values of approximately $1.7 billion as of April 29, 2006.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ectPr>
          <w:pgSz w:w="11900" w:h="16838" w:orient="portrait"/>
          <w:cols w:equalWidth="0" w:num="1">
            <w:col w:w="11420"/>
          </w:cols>
          <w:pgMar w:left="240" w:top="125" w:right="239" w:bottom="107" w:gutter="0" w:footer="0" w:header="0"/>
        </w:sectPr>
      </w:pPr>
    </w:p>
    <w:p>
      <w:pPr>
        <w:spacing w:after="0" w:line="17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Past acquisitions and any future acquisitions or transactions may not be successful.</w:t>
      </w:r>
    </w:p>
    <w:p>
      <w:pPr>
        <w:sectPr>
          <w:pgSz w:w="11900" w:h="16838" w:orient="portrait"/>
          <w:cols w:equalWidth="0" w:num="1">
            <w:col w:w="11420"/>
          </w:cols>
          <w:pgMar w:left="240" w:top="125" w:right="239" w:bottom="107" w:gutter="0" w:footer="0" w:header="0"/>
          <w:type w:val="continuous"/>
        </w:sectPr>
      </w:pPr>
    </w:p>
    <w:bookmarkStart w:id="49" w:name="page50"/>
    <w:bookmarkEnd w:id="49"/>
    <w:p>
      <w:pPr>
        <w:ind w:right="100" w:firstLine="243"/>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00" w:firstLine="243"/>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0" w:lineRule="exact"/>
        <w:rPr>
          <w:sz w:val="20"/>
          <w:szCs w:val="20"/>
          <w:color w:val="auto"/>
        </w:rPr>
      </w:pPr>
    </w:p>
    <w:p>
      <w:pPr>
        <w:ind w:left="940" w:hanging="284"/>
        <w:spacing w:after="0"/>
        <w:tabs>
          <w:tab w:leader="none" w:pos="9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25" w:lineRule="exact"/>
        <w:rPr>
          <w:rFonts w:ascii="Arial" w:cs="Arial" w:eastAsia="Arial" w:hAnsi="Arial"/>
          <w:sz w:val="18"/>
          <w:szCs w:val="18"/>
          <w:color w:val="auto"/>
        </w:rPr>
      </w:pPr>
    </w:p>
    <w:p>
      <w:pPr>
        <w:ind w:left="980" w:right="580" w:hanging="324"/>
        <w:spacing w:after="0" w:line="277" w:lineRule="auto"/>
        <w:tabs>
          <w:tab w:leader="none" w:pos="944"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potential for costs and delays in implementing, and the potential difficulty in maintaining uniform standards, controls, procedures and policies, including the integration of different information systems;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5" w:lineRule="exact"/>
        <w:rPr>
          <w:rFonts w:ascii="Arial" w:cs="Arial" w:eastAsia="Arial" w:hAnsi="Arial"/>
          <w:sz w:val="18"/>
          <w:szCs w:val="18"/>
          <w:color w:val="auto"/>
        </w:rPr>
      </w:pPr>
    </w:p>
    <w:p>
      <w:pPr>
        <w:ind w:left="980" w:hanging="324"/>
        <w:spacing w:after="0" w:line="277" w:lineRule="auto"/>
        <w:tabs>
          <w:tab w:leader="none" w:pos="944"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pacing w:after="0" w:line="170" w:lineRule="exact"/>
        <w:rPr>
          <w:rFonts w:ascii="Arial" w:cs="Arial" w:eastAsia="Arial" w:hAnsi="Arial"/>
          <w:sz w:val="18"/>
          <w:szCs w:val="18"/>
          <w:color w:val="auto"/>
        </w:rPr>
      </w:pPr>
    </w:p>
    <w:p>
      <w:pPr>
        <w:ind w:left="980" w:right="20" w:hanging="324"/>
        <w:spacing w:after="0" w:line="277" w:lineRule="auto"/>
        <w:tabs>
          <w:tab w:leader="none" w:pos="944"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potential dilution of earnings through acquisitions and options granted to employees of acquired companies or businesses.</w:t>
      </w:r>
    </w:p>
    <w:p>
      <w:pPr>
        <w:spacing w:after="0" w:line="225" w:lineRule="exact"/>
        <w:rPr>
          <w:sz w:val="20"/>
          <w:szCs w:val="20"/>
          <w:color w:val="auto"/>
        </w:rPr>
      </w:pPr>
    </w:p>
    <w:p>
      <w:pPr>
        <w:ind w:right="200" w:firstLine="243"/>
        <w:spacing w:after="0" w:line="279" w:lineRule="auto"/>
        <w:rPr>
          <w:sz w:val="20"/>
          <w:szCs w:val="20"/>
          <w:color w:val="auto"/>
        </w:rPr>
      </w:pPr>
      <w:r>
        <w:rPr>
          <w:rFonts w:ascii="Arial" w:cs="Arial" w:eastAsia="Arial" w:hAnsi="Arial"/>
          <w:sz w:val="17"/>
          <w:szCs w:val="17"/>
          <w:color w:val="auto"/>
        </w:rPr>
        <w:t>Our ability to realize the expected benefits of our acquisition of the communications and application processor business of Intel Corporation and to eliminate the operating losses of that business will depend in large part on our ability to transition the manufacturing of that business’ products from Intel to third-party foundries, increase the gross margin of those products, and retain the business’ relationship with its principal customers, as well as the factors described above relating to our ability to integrate effectively the acquired business and its technologies, operations and personnel.</w:t>
      </w:r>
    </w:p>
    <w:p>
      <w:pPr>
        <w:spacing w:after="0" w:line="17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170" w:lineRule="exact"/>
        <w:rPr>
          <w:sz w:val="20"/>
          <w:szCs w:val="20"/>
          <w:color w:val="auto"/>
        </w:rPr>
      </w:pPr>
    </w:p>
    <w:p>
      <w:pPr>
        <w:ind w:right="40" w:firstLine="243"/>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120" w:firstLine="243"/>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60" w:firstLine="243"/>
        <w:spacing w:after="0" w:line="290" w:lineRule="auto"/>
        <w:rPr>
          <w:sz w:val="20"/>
          <w:szCs w:val="20"/>
          <w:color w:val="auto"/>
        </w:rPr>
      </w:pPr>
      <w:r>
        <w:rPr>
          <w:rFonts w:ascii="Arial" w:cs="Arial" w:eastAsia="Arial" w:hAnsi="Arial"/>
          <w:sz w:val="16"/>
          <w:szCs w:val="16"/>
          <w:color w:val="auto"/>
        </w:rPr>
        <w:t>In the first three months of fiscal 2007, approximately 53% of our net revenue was derived from sales to four customers, each of which individually accounted for 10% or more of our net revenue during this period. Of these customers, Western Digital accounted for approximately 15%, Toshiba accounted for approximately 13%, Samsung accounted for approximately 13% and Fujitsu accounted for approximately 12%. No distributor accounted for 10% of our net revenue during the first three months of fiscal 2007.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w:t>
      </w:r>
    </w:p>
    <w:p>
      <w:pPr>
        <w:sectPr>
          <w:pgSz w:w="11900" w:h="16838" w:orient="portrait"/>
          <w:cols w:equalWidth="0" w:num="1">
            <w:col w:w="11420"/>
          </w:cols>
          <w:pgMar w:left="240" w:top="125" w:right="239" w:bottom="0" w:gutter="0" w:footer="0" w:header="0"/>
        </w:sectPr>
      </w:pPr>
    </w:p>
    <w:bookmarkStart w:id="50" w:name="page51"/>
    <w:bookmarkEnd w:id="50"/>
    <w:p>
      <w:pPr>
        <w:ind w:right="80"/>
        <w:spacing w:after="0" w:line="277" w:lineRule="auto"/>
        <w:rPr>
          <w:sz w:val="20"/>
          <w:szCs w:val="20"/>
          <w:color w:val="auto"/>
        </w:rPr>
      </w:pPr>
      <w:r>
        <w:rPr>
          <w:rFonts w:ascii="Arial" w:cs="Arial" w:eastAsia="Arial" w:hAnsi="Arial"/>
          <w:sz w:val="18"/>
          <w:szCs w:val="18"/>
          <w:color w:val="auto"/>
        </w:rPr>
        <w:t>that incorporate our products. In the future, these customers may decide not to purchase our products at all, purchase fewer products than they did in the past, or alter their purchasing patterns in some other way, particularly because:</w:t>
      </w:r>
    </w:p>
    <w:p>
      <w:pPr>
        <w:spacing w:after="0" w:line="170" w:lineRule="exact"/>
        <w:rPr>
          <w:sz w:val="20"/>
          <w:szCs w:val="20"/>
          <w:color w:val="auto"/>
        </w:rPr>
      </w:pPr>
    </w:p>
    <w:p>
      <w:pPr>
        <w:ind w:left="980" w:right="520" w:hanging="324"/>
        <w:spacing w:after="0" w:line="277" w:lineRule="auto"/>
        <w:tabs>
          <w:tab w:leader="none" w:pos="944" w:val="left"/>
        </w:tabs>
        <w:numPr>
          <w:ilvl w:val="0"/>
          <w:numId w:val="37"/>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237" w:lineRule="exact"/>
        <w:rPr>
          <w:sz w:val="20"/>
          <w:szCs w:val="20"/>
          <w:color w:val="auto"/>
        </w:rPr>
      </w:pPr>
    </w:p>
    <w:p>
      <w:pPr>
        <w:ind w:right="20" w:firstLine="243"/>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Because we expect to experience continued lower sequential growth rates in future periods, investors should not rely on our historical growth rates when evaluating our business.</w:t>
      </w:r>
    </w:p>
    <w:p>
      <w:pPr>
        <w:spacing w:after="0" w:line="170" w:lineRule="exact"/>
        <w:rPr>
          <w:sz w:val="20"/>
          <w:szCs w:val="20"/>
          <w:color w:val="auto"/>
        </w:rPr>
      </w:pPr>
    </w:p>
    <w:p>
      <w:pPr>
        <w:jc w:val="both"/>
        <w:ind w:firstLine="243"/>
        <w:spacing w:after="0" w:line="276" w:lineRule="auto"/>
        <w:rPr>
          <w:sz w:val="20"/>
          <w:szCs w:val="20"/>
          <w:color w:val="auto"/>
        </w:rPr>
      </w:pPr>
      <w:r>
        <w:rPr>
          <w:rFonts w:ascii="Arial" w:cs="Arial" w:eastAsia="Arial" w:hAnsi="Arial"/>
          <w:sz w:val="17"/>
          <w:szCs w:val="17"/>
          <w:color w:val="auto"/>
        </w:rPr>
        <w:t>From fiscal year 2003 to fiscal year 2005, we reported significant sequential quarterly growth in revenues; however, our revenues have been inconsistent and have generally grown at a slower sequential rate in the seven quarters ending with the first quarter of fiscal 2007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73"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40" w:firstLine="243"/>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60" w:firstLine="243"/>
        <w:spacing w:after="0" w:line="302" w:lineRule="auto"/>
        <w:rPr>
          <w:sz w:val="20"/>
          <w:szCs w:val="20"/>
          <w:color w:val="auto"/>
        </w:rPr>
      </w:pPr>
      <w:r>
        <w:rPr>
          <w:rFonts w:ascii="Arial" w:cs="Arial" w:eastAsia="Arial" w:hAnsi="Arial"/>
          <w:sz w:val="16"/>
          <w:szCs w:val="16"/>
          <w:color w:val="auto"/>
        </w:rPr>
        <w:t xml:space="preserve">For example, the Financial Accounting Standards Board (“FASB”) issued its final standard on accounting for share-based payments, FASB Statement No. 123R (revised 2004), </w:t>
      </w:r>
      <w:r>
        <w:rPr>
          <w:rFonts w:ascii="Arial" w:cs="Arial" w:eastAsia="Arial" w:hAnsi="Arial"/>
          <w:sz w:val="16"/>
          <w:szCs w:val="16"/>
          <w:i w:val="1"/>
          <w:iCs w:val="1"/>
          <w:color w:val="auto"/>
        </w:rPr>
        <w:t>Share-Based Payment</w:t>
      </w:r>
      <w:r>
        <w:rPr>
          <w:rFonts w:ascii="Arial" w:cs="Arial" w:eastAsia="Arial" w:hAnsi="Arial"/>
          <w:sz w:val="16"/>
          <w:szCs w:val="16"/>
          <w:color w:val="auto"/>
        </w:rPr>
        <w:t xml:space="preserve"> (FAS 123R), which required us, starting January 29, 2006, to measure compensation costs for all stock-based compensation (including stock options) at fair value and to recognize these costs as expenses in our statements of operations. The recognition of these expenses in our statements of operations will reduce our earnings per share, which could negatively impact our future stock price.</w:t>
      </w:r>
    </w:p>
    <w:p>
      <w:pPr>
        <w:spacing w:after="0" w:line="154"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70"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93"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100" w:firstLine="243"/>
        <w:spacing w:after="0" w:line="271" w:lineRule="auto"/>
        <w:rPr>
          <w:sz w:val="20"/>
          <w:szCs w:val="20"/>
          <w:color w:val="auto"/>
        </w:rPr>
      </w:pPr>
      <w:r>
        <w:rPr>
          <w:rFonts w:ascii="Arial" w:cs="Arial" w:eastAsia="Arial" w:hAnsi="Arial"/>
          <w:sz w:val="17"/>
          <w:szCs w:val="17"/>
          <w:color w:val="auto"/>
        </w:rPr>
        <w:t>To achieve our business objectives, we anticipate that we will need to continue to expand. We have experienced rapid growth and expansion in the past. Through internal growth and acquisitions, we significantly increased the scope of our operations and expanded our workforce from 1,205 employees, as of January 31, 2003, to 2,795 employees, as of April 29, 2006. Nonetheless, we may not be able to expand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ectPr>
          <w:pgSz w:w="11900" w:h="16838" w:orient="portrait"/>
          <w:cols w:equalWidth="0" w:num="1">
            <w:col w:w="11420"/>
          </w:cols>
          <w:pgMar w:left="240" w:top="125" w:right="239" w:bottom="26" w:gutter="0" w:footer="0" w:header="0"/>
        </w:sectPr>
      </w:pPr>
    </w:p>
    <w:bookmarkStart w:id="51" w:name="page52"/>
    <w:bookmarkEnd w:id="51"/>
    <w:p>
      <w:pPr>
        <w:ind w:firstLine="243"/>
        <w:spacing w:after="0" w:line="270" w:lineRule="auto"/>
        <w:rPr>
          <w:sz w:val="20"/>
          <w:szCs w:val="20"/>
          <w:color w:val="auto"/>
        </w:rPr>
      </w:pPr>
      <w:r>
        <w:rPr>
          <w:rFonts w:ascii="Arial" w:cs="Arial" w:eastAsia="Arial" w:hAnsi="Arial"/>
          <w:sz w:val="17"/>
          <w:szCs w:val="17"/>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and are implementing a new human resources management system,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82"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20" w:firstLine="243"/>
        <w:spacing w:after="0" w:line="277"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produce substantially all of our integrated circuit products. We also currently rely on several third-party assembly and test subcontractors to assemble, package and test our products.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78" w:lineRule="exact"/>
        <w:rPr>
          <w:sz w:val="20"/>
          <w:szCs w:val="20"/>
          <w:color w:val="auto"/>
        </w:rPr>
      </w:pPr>
    </w:p>
    <w:p>
      <w:pPr>
        <w:ind w:right="60" w:firstLine="243"/>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620"/>
        <w:spacing w:after="0" w:line="308" w:lineRule="auto"/>
        <w:rPr>
          <w:sz w:val="20"/>
          <w:szCs w:val="20"/>
          <w:color w:val="auto"/>
        </w:rPr>
      </w:pPr>
      <w:r>
        <w:rPr>
          <w:rFonts w:ascii="Arial" w:cs="Arial" w:eastAsia="Arial" w:hAnsi="Arial"/>
          <w:sz w:val="17"/>
          <w:szCs w:val="17"/>
          <w:b w:val="1"/>
          <w:bCs w:val="1"/>
          <w:i w:val="1"/>
          <w:iCs w:val="1"/>
          <w:color w:val="auto"/>
        </w:rPr>
        <w:t>A number of our subsidiaries are incorporated under the laws of, and their principal offices are located in, the State of Israel and, therefore, their business operations may be harmed by adverse political, economic and military conditions affecting Israel.</w:t>
      </w:r>
    </w:p>
    <w:p>
      <w:pPr>
        <w:spacing w:after="0" w:line="147" w:lineRule="exact"/>
        <w:rPr>
          <w:sz w:val="20"/>
          <w:szCs w:val="20"/>
          <w:color w:val="auto"/>
        </w:rPr>
      </w:pPr>
    </w:p>
    <w:p>
      <w:pPr>
        <w:ind w:firstLine="243"/>
        <w:spacing w:after="0" w:line="254" w:lineRule="auto"/>
        <w:rPr>
          <w:sz w:val="20"/>
          <w:szCs w:val="20"/>
          <w:color w:val="auto"/>
        </w:rPr>
      </w:pPr>
      <w:r>
        <w:rPr>
          <w:rFonts w:ascii="Arial" w:cs="Arial" w:eastAsia="Arial" w:hAnsi="Arial"/>
          <w:sz w:val="18"/>
          <w:szCs w:val="18"/>
          <w:color w:val="auto"/>
        </w:rPr>
        <w:t>Each of Marvell Semiconductor Israel Ltd. (MSIL), Marvell T.I. Ltd. (MTIL) and Marvell Software Solutions Israel Ltd. (MSSI) is incorporated under the laws of and has its principal offices in Israel. In addition, MSIL and MSSI and maintain their research and development operations in Israel. Thus, MSIL, MTIL and MSSI are directly influenced by the political, economic and military conditions affecting Israel. Major hostilities involving or within Israel could disrupt MSIL, MTIL and MSSI’s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MSSI.</w:t>
      </w:r>
    </w:p>
    <w:p>
      <w:pPr>
        <w:spacing w:after="0" w:line="192"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243"/>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right="320" w:firstLine="243"/>
        <w:spacing w:after="0" w:line="277" w:lineRule="auto"/>
        <w:rPr>
          <w:sz w:val="20"/>
          <w:szCs w:val="20"/>
          <w:color w:val="auto"/>
        </w:rPr>
      </w:pPr>
      <w:r>
        <w:rPr>
          <w:rFonts w:ascii="Arial" w:cs="Arial" w:eastAsia="Arial" w:hAnsi="Arial"/>
          <w:sz w:val="18"/>
          <w:szCs w:val="18"/>
          <w:color w:val="auto"/>
        </w:rPr>
        <w:t>We typically sell products pursuant to purchase orders rather than long-term purchase commitments. Customers can generally cancel or defer purchase orders on short notice without incurring a significant penalty. In the recent past, some of our customers have</w:t>
      </w:r>
    </w:p>
    <w:p>
      <w:pPr>
        <w:sectPr>
          <w:pgSz w:w="11900" w:h="16838" w:orient="portrait"/>
          <w:cols w:equalWidth="0" w:num="1">
            <w:col w:w="11420"/>
          </w:cols>
          <w:pgMar w:left="240" w:top="125" w:right="239" w:bottom="0" w:gutter="0" w:footer="0" w:header="0"/>
        </w:sectPr>
      </w:pP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74</w:t>
      </w:r>
    </w:p>
    <w:p>
      <w:pPr>
        <w:sectPr>
          <w:pgSz w:w="11900" w:h="16838" w:orient="portrait"/>
          <w:cols w:equalWidth="0" w:num="1">
            <w:col w:w="11420"/>
          </w:cols>
          <w:pgMar w:left="240" w:top="125" w:right="239" w:bottom="0" w:gutter="0" w:footer="0" w:header="0"/>
          <w:type w:val="continuous"/>
        </w:sectPr>
      </w:pPr>
    </w:p>
    <w:bookmarkStart w:id="52" w:name="page53"/>
    <w:bookmarkEnd w:id="52"/>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developed excess inventories of their own products and have, as a consequence, deferred purchase orders for our products. We cannot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The international nature of our business exposes us to financial and regulatory risks that </w:t>
      </w:r>
      <w:r>
        <w:rPr>
          <w:rFonts w:ascii="Arial" w:cs="Arial" w:eastAsia="Arial" w:hAnsi="Arial"/>
          <w:sz w:val="16"/>
          <w:szCs w:val="16"/>
          <w:b w:val="1"/>
          <w:bCs w:val="1"/>
          <w:i w:val="1"/>
          <w:iCs w:val="1"/>
          <w:color w:val="auto"/>
        </w:rPr>
        <w:t>may adversely impact our revenues and profitability.</w:t>
      </w:r>
    </w:p>
    <w:p>
      <w:pPr>
        <w:spacing w:after="0" w:line="237" w:lineRule="exact"/>
        <w:rPr>
          <w:sz w:val="20"/>
          <w:szCs w:val="20"/>
          <w:color w:val="auto"/>
        </w:rPr>
      </w:pPr>
    </w:p>
    <w:p>
      <w:pPr>
        <w:ind w:right="320" w:firstLine="243"/>
        <w:spacing w:after="0" w:line="277" w:lineRule="auto"/>
        <w:rPr>
          <w:sz w:val="20"/>
          <w:szCs w:val="20"/>
          <w:color w:val="auto"/>
        </w:rPr>
      </w:pPr>
      <w:r>
        <w:rPr>
          <w:rFonts w:ascii="Arial" w:cs="Arial" w:eastAsia="Arial" w:hAnsi="Arial"/>
          <w:sz w:val="18"/>
          <w:szCs w:val="18"/>
          <w:color w:val="auto"/>
        </w:rPr>
        <w:t>International operations are subject to a number of risks that may limit our ability to design, develop, test or market certain technologies and products, which could in turn have an adverse effect on our results of operations and financial condition, including:</w:t>
      </w:r>
    </w:p>
    <w:p>
      <w:pPr>
        <w:spacing w:after="0" w:line="170" w:lineRule="exact"/>
        <w:rPr>
          <w:sz w:val="20"/>
          <w:szCs w:val="20"/>
          <w:color w:val="auto"/>
        </w:rPr>
      </w:pPr>
    </w:p>
    <w:p>
      <w:pPr>
        <w:ind w:left="860" w:hanging="285"/>
        <w:spacing w:after="0"/>
        <w:tabs>
          <w:tab w:leader="none" w:pos="8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international terrorism and anti-American sentiment, particularly in the emerging</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security concerns, including crime, political instability, armed conflict and civil or military unrest;</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local business and cultural factors that differ from our normal standards and practices in the United;</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regulatory requirements and prohibitions that differ between jurisdictions;</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laws and business practices favoring local companies;</w:t>
      </w:r>
    </w:p>
    <w:p>
      <w:pPr>
        <w:spacing w:after="0" w:line="225" w:lineRule="exact"/>
        <w:rPr>
          <w:rFonts w:ascii="Arial" w:cs="Arial" w:eastAsia="Arial" w:hAnsi="Arial"/>
          <w:sz w:val="18"/>
          <w:szCs w:val="18"/>
          <w:color w:val="auto"/>
        </w:rPr>
      </w:pPr>
    </w:p>
    <w:p>
      <w:pPr>
        <w:ind w:left="860" w:hanging="285"/>
        <w:spacing w:after="0"/>
        <w:tabs>
          <w:tab w:leader="none" w:pos="8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differing employment practices and labor issues;</w:t>
      </w:r>
    </w:p>
    <w:p>
      <w:pPr>
        <w:spacing w:after="0" w:line="225" w:lineRule="exact"/>
        <w:rPr>
          <w:rFonts w:ascii="Arial" w:cs="Arial" w:eastAsia="Arial" w:hAnsi="Arial"/>
          <w:sz w:val="18"/>
          <w:szCs w:val="18"/>
          <w:color w:val="auto"/>
        </w:rPr>
      </w:pPr>
    </w:p>
    <w:p>
      <w:pPr>
        <w:ind w:left="900" w:right="280" w:hanging="325"/>
        <w:spacing w:after="0" w:line="277" w:lineRule="auto"/>
        <w:tabs>
          <w:tab w:leader="none" w:pos="864" w:val="left"/>
        </w:tabs>
        <w:numPr>
          <w:ilvl w:val="0"/>
          <w:numId w:val="38"/>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860" w:hanging="285"/>
        <w:spacing w:after="0"/>
        <w:tabs>
          <w:tab w:leader="none" w:pos="8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225" w:lineRule="exact"/>
        <w:rPr>
          <w:rFonts w:ascii="Arial" w:cs="Arial" w:eastAsia="Arial" w:hAnsi="Arial"/>
          <w:sz w:val="18"/>
          <w:szCs w:val="18"/>
          <w:color w:val="auto"/>
        </w:rPr>
      </w:pPr>
    </w:p>
    <w:p>
      <w:pPr>
        <w:ind w:left="900" w:right="200" w:hanging="325"/>
        <w:spacing w:after="0" w:line="277" w:lineRule="auto"/>
        <w:tabs>
          <w:tab w:leader="none" w:pos="864" w:val="left"/>
        </w:tabs>
        <w:numPr>
          <w:ilvl w:val="0"/>
          <w:numId w:val="38"/>
        </w:numPr>
        <w:rPr>
          <w:rFonts w:ascii="Arial" w:cs="Arial" w:eastAsia="Arial" w:hAnsi="Arial"/>
          <w:sz w:val="18"/>
          <w:szCs w:val="18"/>
          <w:color w:val="auto"/>
        </w:rPr>
      </w:pPr>
      <w:r>
        <w:rPr>
          <w:rFonts w:ascii="Arial" w:cs="Arial" w:eastAsia="Arial" w:hAnsi="Arial"/>
          <w:sz w:val="18"/>
          <w:szCs w:val="18"/>
          <w:color w:val="auto"/>
        </w:rPr>
        <w:t>limited infrastructure and disruptions, such as large-scale outages or interruptions of service from utilities or telecommunications providers and natural disasters.</w:t>
      </w:r>
    </w:p>
    <w:p>
      <w:pPr>
        <w:spacing w:after="0" w:line="170" w:lineRule="exact"/>
        <w:rPr>
          <w:sz w:val="20"/>
          <w:szCs w:val="20"/>
          <w:color w:val="auto"/>
        </w:rPr>
      </w:pPr>
    </w:p>
    <w:p>
      <w:pPr>
        <w:ind w:right="240" w:firstLine="243"/>
        <w:spacing w:after="0" w:line="259" w:lineRule="auto"/>
        <w:rPr>
          <w:sz w:val="20"/>
          <w:szCs w:val="20"/>
          <w:color w:val="auto"/>
        </w:rPr>
      </w:pPr>
      <w:r>
        <w:rPr>
          <w:rFonts w:ascii="Arial" w:cs="Arial" w:eastAsia="Arial" w:hAnsi="Arial"/>
          <w:sz w:val="18"/>
          <w:szCs w:val="18"/>
          <w:color w:val="auto"/>
        </w:rPr>
        <w:t>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pacing w:after="0" w:line="187"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We are a mid-sized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jc w:val="both"/>
        <w:ind w:right="240" w:firstLine="243"/>
        <w:spacing w:after="0" w:line="264" w:lineRule="auto"/>
        <w:rPr>
          <w:sz w:val="20"/>
          <w:szCs w:val="20"/>
          <w:color w:val="auto"/>
        </w:rPr>
      </w:pPr>
      <w:r>
        <w:rPr>
          <w:rFonts w:ascii="Arial" w:cs="Arial" w:eastAsia="Arial" w:hAnsi="Arial"/>
          <w:sz w:val="18"/>
          <w:szCs w:val="18"/>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do. As a result, these</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do, which would allow them to respond more quickly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8" w:lineRule="exact"/>
        <w:rPr>
          <w:sz w:val="20"/>
          <w:szCs w:val="20"/>
          <w:color w:val="auto"/>
        </w:rPr>
      </w:pPr>
    </w:p>
    <w:p>
      <w:pPr>
        <w:ind w:right="14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w:t>
      </w:r>
    </w:p>
    <w:p>
      <w:pPr>
        <w:sectPr>
          <w:pgSz w:w="11900" w:h="16838" w:orient="portrait"/>
          <w:cols w:equalWidth="0" w:num="1">
            <w:col w:w="11380"/>
          </w:cols>
          <w:pgMar w:left="240" w:top="517" w:right="279" w:bottom="0" w:gutter="0" w:footer="0" w:header="0"/>
        </w:sectPr>
      </w:pPr>
    </w:p>
    <w:bookmarkStart w:id="53" w:name="page54"/>
    <w:bookmarkEnd w:id="53"/>
    <w:p>
      <w:pPr>
        <w:spacing w:after="0" w:line="4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adopt a competitor’s solution for products that they currently buy from us. If that happens, our business, financial condition and results of operations could be materially harmed.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20" w:firstLine="243"/>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20" w:firstLine="243"/>
        <w:spacing w:after="0" w:line="286" w:lineRule="auto"/>
        <w:rPr>
          <w:sz w:val="20"/>
          <w:szCs w:val="20"/>
          <w:color w:val="auto"/>
        </w:rPr>
      </w:pPr>
      <w:r>
        <w:rPr>
          <w:rFonts w:ascii="Arial" w:cs="Arial" w:eastAsia="Arial" w:hAnsi="Arial"/>
          <w:sz w:val="16"/>
          <w:szCs w:val="16"/>
          <w:color w:val="auto"/>
        </w:rPr>
        <w:t>Availability of foundry capacity has in the recent past been constrained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38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243"/>
        <w:spacing w:after="0" w:line="286"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66" w:lineRule="exact"/>
        <w:rPr>
          <w:sz w:val="20"/>
          <w:szCs w:val="20"/>
          <w:color w:val="auto"/>
        </w:rPr>
      </w:pPr>
    </w:p>
    <w:p>
      <w:pPr>
        <w:jc w:val="both"/>
        <w:ind w:right="60" w:firstLine="243"/>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20" w:firstLine="243"/>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resolve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6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firstLine="243"/>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w:t>
      </w:r>
    </w:p>
    <w:p>
      <w:pPr>
        <w:sectPr>
          <w:pgSz w:w="11900" w:h="16886" w:orient="portrait"/>
          <w:cols w:equalWidth="0" w:num="1">
            <w:col w:w="11400"/>
          </w:cols>
          <w:pgMar w:left="240" w:top="125" w:right="259" w:bottom="0" w:gutter="0" w:footer="0" w:header="0"/>
        </w:sectPr>
      </w:pPr>
    </w:p>
    <w:bookmarkStart w:id="54" w:name="page55"/>
    <w:bookmarkEnd w:id="54"/>
    <w:p>
      <w:pPr>
        <w:jc w:val="both"/>
        <w:ind w:right="260"/>
        <w:spacing w:after="0" w:line="264" w:lineRule="auto"/>
        <w:rPr>
          <w:sz w:val="20"/>
          <w:szCs w:val="20"/>
          <w:color w:val="auto"/>
        </w:rPr>
      </w:pPr>
      <w:r>
        <w:rPr>
          <w:rFonts w:ascii="Arial" w:cs="Arial" w:eastAsia="Arial" w:hAnsi="Arial"/>
          <w:sz w:val="18"/>
          <w:szCs w:val="18"/>
          <w:color w:val="auto"/>
        </w:rPr>
        <w:t>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420" w:firstLine="243"/>
        <w:spacing w:after="0" w:line="277" w:lineRule="auto"/>
        <w:rPr>
          <w:sz w:val="20"/>
          <w:szCs w:val="20"/>
          <w:color w:val="auto"/>
        </w:rPr>
      </w:pPr>
      <w:r>
        <w:rPr>
          <w:rFonts w:ascii="Arial" w:cs="Arial" w:eastAsia="Arial" w:hAnsi="Arial"/>
          <w:sz w:val="18"/>
          <w:szCs w:val="18"/>
          <w:color w:val="auto"/>
        </w:rPr>
        <w:t>Our U.S. headquarters located in Santa Clara, CA, land in Singapore, building in Malaysia, building in Switzerland and buildings in Shanghai, China subject us to the risks of owning real property, including:</w:t>
      </w:r>
    </w:p>
    <w:p>
      <w:pPr>
        <w:spacing w:after="0" w:line="170" w:lineRule="exact"/>
        <w:rPr>
          <w:sz w:val="20"/>
          <w:szCs w:val="20"/>
          <w:color w:val="auto"/>
        </w:rPr>
      </w:pPr>
    </w:p>
    <w:p>
      <w:pPr>
        <w:ind w:left="980" w:hanging="324"/>
        <w:spacing w:after="0"/>
        <w:tabs>
          <w:tab w:leader="none" w:pos="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20" w:hanging="324"/>
        <w:spacing w:after="0" w:line="277" w:lineRule="auto"/>
        <w:tabs>
          <w:tab w:leader="none" w:pos="971" w:val="left"/>
        </w:tabs>
        <w:numPr>
          <w:ilvl w:val="0"/>
          <w:numId w:val="3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80" w:hanging="324"/>
        <w:spacing w:after="0"/>
        <w:tabs>
          <w:tab w:leader="none" w:pos="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80" w:hanging="324"/>
        <w:spacing w:after="0"/>
        <w:tabs>
          <w:tab w:leader="none" w:pos="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40" w:hanging="324"/>
        <w:spacing w:after="0" w:line="277" w:lineRule="auto"/>
        <w:tabs>
          <w:tab w:leader="none" w:pos="971"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17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60" w:firstLine="243"/>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71" w:lineRule="exact"/>
        <w:rPr>
          <w:sz w:val="20"/>
          <w:szCs w:val="20"/>
          <w:color w:val="auto"/>
        </w:rPr>
      </w:pPr>
    </w:p>
    <w:p>
      <w:pPr>
        <w:ind w:right="140" w:firstLine="243"/>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6" w:lineRule="exact"/>
        <w:rPr>
          <w:sz w:val="20"/>
          <w:szCs w:val="20"/>
          <w:color w:val="auto"/>
        </w:rPr>
      </w:pPr>
    </w:p>
    <w:p>
      <w:pPr>
        <w:ind w:right="180" w:firstLine="243"/>
        <w:spacing w:after="0" w:line="290" w:lineRule="auto"/>
        <w:rPr>
          <w:sz w:val="20"/>
          <w:szCs w:val="20"/>
          <w:color w:val="auto"/>
        </w:rPr>
      </w:pPr>
      <w:r>
        <w:rPr>
          <w:rFonts w:ascii="Arial" w:cs="Arial" w:eastAsia="Arial" w:hAnsi="Arial"/>
          <w:sz w:val="16"/>
          <w:szCs w:val="16"/>
          <w:color w:val="auto"/>
        </w:rPr>
        <w:t>As of May 31, 2006, our executive officers and directors beneficially owned or controlled, directly or indirectly, approximately 20% of the outstanding shares our common stock. Additionally, Dr. Sehat Sutardja, our Chief Executive Officer, and Weili Dai, who now serves as our Director of Strategic Marketing and Business Development, are husband and wife and Dr. Sehat Sutardja and Dr. Pantas Sutardja are brothers. Together, these three individuals held approximately 20% of our outstanding common stock as of May 31, 2006.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66" w:lineRule="exact"/>
        <w:rPr>
          <w:sz w:val="20"/>
          <w:szCs w:val="20"/>
          <w:color w:val="auto"/>
        </w:rPr>
      </w:pPr>
    </w:p>
    <w:p>
      <w:pPr>
        <w:ind w:firstLine="243"/>
        <w:spacing w:after="0" w:line="257" w:lineRule="auto"/>
        <w:rPr>
          <w:sz w:val="20"/>
          <w:szCs w:val="20"/>
          <w:color w:val="auto"/>
        </w:rPr>
      </w:pPr>
      <w:r>
        <w:rPr>
          <w:rFonts w:ascii="Arial" w:cs="Arial" w:eastAsia="Arial" w:hAnsi="Arial"/>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w:t>
      </w:r>
    </w:p>
    <w:p>
      <w:pPr>
        <w:spacing w:after="0" w:line="200" w:lineRule="exact"/>
        <w:rPr>
          <w:sz w:val="20"/>
          <w:szCs w:val="20"/>
          <w:color w:val="auto"/>
        </w:rPr>
      </w:pPr>
    </w:p>
    <w:p>
      <w:pPr>
        <w:spacing w:after="0" w:line="2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20"/>
        <w:spacing w:after="0" w:line="276" w:lineRule="auto"/>
        <w:rPr>
          <w:sz w:val="20"/>
          <w:szCs w:val="20"/>
          <w:color w:val="auto"/>
        </w:rPr>
      </w:pPr>
      <w:r>
        <w:rPr>
          <w:rFonts w:ascii="Arial" w:cs="Arial" w:eastAsia="Arial" w:hAnsi="Arial"/>
          <w:sz w:val="17"/>
          <w:szCs w:val="17"/>
          <w:color w:val="auto"/>
        </w:rPr>
        <w:t>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ectPr>
          <w:pgSz w:w="11900" w:h="16838" w:orient="portrait"/>
          <w:cols w:equalWidth="0" w:num="1">
            <w:col w:w="11400"/>
          </w:cols>
          <w:pgMar w:left="240" w:top="125" w:right="259" w:bottom="0" w:gutter="0" w:footer="0" w:header="0"/>
        </w:sectPr>
      </w:pPr>
    </w:p>
    <w:bookmarkStart w:id="55" w:name="page56"/>
    <w:bookmarkEnd w:id="55"/>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243"/>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the first three months of fiscal 2007, 94% of our net revenue in fiscal 2006, and 93% of our net revenue in fiscal 2005.</w:t>
      </w:r>
    </w:p>
    <w:p>
      <w:pPr>
        <w:spacing w:after="0" w:line="158" w:lineRule="exact"/>
        <w:rPr>
          <w:sz w:val="20"/>
          <w:szCs w:val="20"/>
          <w:color w:val="auto"/>
        </w:rPr>
      </w:pPr>
    </w:p>
    <w:p>
      <w:pPr>
        <w:ind w:right="400" w:firstLine="243"/>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80" w:hanging="324"/>
        <w:spacing w:after="0"/>
        <w:tabs>
          <w:tab w:leader="none" w:pos="9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0"/>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980" w:right="580" w:hanging="324"/>
        <w:spacing w:after="0" w:line="277" w:lineRule="auto"/>
        <w:tabs>
          <w:tab w:leader="none" w:pos="971" w:val="left"/>
        </w:tabs>
        <w:numPr>
          <w:ilvl w:val="0"/>
          <w:numId w:val="40"/>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80" w:hanging="324"/>
        <w:spacing w:after="0"/>
        <w:tabs>
          <w:tab w:leader="none" w:pos="9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60" w:firstLine="243"/>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and 2003. Although our foundries and subcontractors did not suffer any</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00"/>
        <w:spacing w:after="0" w:line="259" w:lineRule="auto"/>
        <w:rPr>
          <w:sz w:val="20"/>
          <w:szCs w:val="20"/>
          <w:color w:val="auto"/>
        </w:rPr>
      </w:pPr>
      <w:r>
        <w:rPr>
          <w:rFonts w:ascii="Arial" w:cs="Arial" w:eastAsia="Arial" w:hAnsi="Arial"/>
          <w:sz w:val="18"/>
          <w:szCs w:val="18"/>
          <w:color w:val="auto"/>
        </w:rPr>
        <w:t>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87"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140" w:firstLine="243"/>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SOCs, which typically have lower margins than standalone read channel devices, and an increase in sales of wireless and other products into consumer application markets, which are highly competitive and cost sensitive.</w:t>
      </w:r>
    </w:p>
    <w:p>
      <w:pPr>
        <w:spacing w:after="0" w:line="178"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firstLine="243"/>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ectPr>
          <w:pgSz w:w="11900" w:h="16838" w:orient="portrait"/>
          <w:cols w:equalWidth="0" w:num="1">
            <w:col w:w="11400"/>
          </w:cols>
          <w:pgMar w:left="240" w:top="125" w:right="259" w:bottom="0" w:gutter="0" w:footer="0" w:header="0"/>
        </w:sectPr>
      </w:pPr>
    </w:p>
    <w:bookmarkStart w:id="56" w:name="page57"/>
    <w:bookmarkEnd w:id="56"/>
    <w:p>
      <w:pPr>
        <w:ind w:firstLine="243"/>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right="20" w:firstLine="243"/>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324"/>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243"/>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320" w:firstLine="243"/>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8" w:lineRule="exact"/>
        <w:rPr>
          <w:sz w:val="20"/>
          <w:szCs w:val="20"/>
          <w:color w:val="auto"/>
        </w:rPr>
      </w:pPr>
    </w:p>
    <w:p>
      <w:pPr>
        <w:ind w:left="980" w:hanging="324"/>
        <w:spacing w:after="0"/>
        <w:tabs>
          <w:tab w:leader="none" w:pos="9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1"/>
        </w:numPr>
        <w:rPr>
          <w:rFonts w:ascii="Arial" w:cs="Arial" w:eastAsia="Arial" w:hAnsi="Arial"/>
          <w:sz w:val="17"/>
          <w:szCs w:val="17"/>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36" w:lineRule="exact"/>
        <w:rPr>
          <w:rFonts w:ascii="Arial" w:cs="Arial" w:eastAsia="Arial" w:hAnsi="Arial"/>
          <w:sz w:val="17"/>
          <w:szCs w:val="17"/>
          <w:color w:val="auto"/>
        </w:rPr>
      </w:pPr>
    </w:p>
    <w:p>
      <w:pPr>
        <w:ind w:left="980" w:hanging="324"/>
        <w:spacing w:after="0"/>
        <w:tabs>
          <w:tab w:leader="none" w:pos="9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60" w:firstLine="243"/>
        <w:spacing w:after="0" w:line="259" w:lineRule="auto"/>
        <w:rPr>
          <w:sz w:val="20"/>
          <w:szCs w:val="20"/>
          <w:color w:val="auto"/>
        </w:rPr>
      </w:pPr>
      <w:r>
        <w:rPr>
          <w:rFonts w:ascii="Arial" w:cs="Arial" w:eastAsia="Arial" w:hAnsi="Arial"/>
          <w:sz w:val="18"/>
          <w:szCs w:val="18"/>
          <w:color w:val="auto"/>
        </w:rPr>
        <w:t>In addition, many of our contracts with our customers require us to indemnify our customers against claims alleging infringement of the proprietary rights of other parties. Customers have requested us to indemnify them in connection with a patent infringement lawsuit by Australia’s Commonwealth Scientific and Industrial Research Organisation (CSIRO). We have also filed an action against CSIRO seeking a declaratory judgment that CSIRO’s patent is invalid and unenforceable and that we and our customers do not infringe the CSIRO patent.</w:t>
      </w:r>
    </w:p>
    <w:p>
      <w:pPr>
        <w:sectPr>
          <w:pgSz w:w="11900" w:h="16838" w:orient="portrait"/>
          <w:cols w:equalWidth="0" w:num="1">
            <w:col w:w="11400"/>
          </w:cols>
          <w:pgMar w:left="240" w:top="125" w:right="259" w:bottom="96" w:gutter="0" w:footer="0" w:header="0"/>
        </w:sect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96" w:gutter="0" w:footer="0" w:header="0"/>
          <w:type w:val="continuous"/>
        </w:sectPr>
      </w:pPr>
    </w:p>
    <w:bookmarkStart w:id="57" w:name="page58"/>
    <w:bookmarkEnd w:id="57"/>
    <w:p>
      <w:pPr>
        <w:spacing w:after="0" w:line="123" w:lineRule="exact"/>
        <w:rPr>
          <w:sz w:val="20"/>
          <w:szCs w:val="20"/>
          <w:color w:val="auto"/>
        </w:rPr>
      </w:pPr>
    </w:p>
    <w:p>
      <w:pPr>
        <w:ind w:right="20" w:firstLine="243"/>
        <w:spacing w:after="0" w:line="273"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The impact on us as a result of such claims and litigation cannot currently be ascertained. Any litigation, regardless of the outcome, is time-consuming and expensive to resolve, may require us to pay significant monetary damages and can divert management time and attention.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87"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As a result of the Pioneer Status there was a tax savings of $7.4 million in fiscal 2007 resulting in earnings per share benefit of $0.01.</w:t>
      </w:r>
    </w:p>
    <w:p>
      <w:pPr>
        <w:spacing w:after="0" w:line="193" w:lineRule="exact"/>
        <w:rPr>
          <w:sz w:val="20"/>
          <w:szCs w:val="20"/>
          <w:color w:val="auto"/>
        </w:rPr>
      </w:pPr>
    </w:p>
    <w:p>
      <w:pPr>
        <w:ind w:right="40" w:firstLine="243"/>
        <w:spacing w:after="0" w:line="257"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In fiscal 2007 the Israeli subsidiaries were not profitable and did not have any benefit from the tax incentive.</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243"/>
        <w:spacing w:after="0" w:line="276" w:lineRule="auto"/>
        <w:rPr>
          <w:sz w:val="20"/>
          <w:szCs w:val="20"/>
          <w:color w:val="auto"/>
        </w:rPr>
      </w:pPr>
      <w:r>
        <w:rPr>
          <w:rFonts w:ascii="Arial" w:cs="Arial" w:eastAsia="Arial" w:hAnsi="Arial"/>
          <w:sz w:val="17"/>
          <w:szCs w:val="17"/>
          <w:color w:val="auto"/>
        </w:rPr>
        <w:t>During fiscal 2007, our Switzerland subsidiary received from both Federal and Cantonal purposes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there would be tax dollars to be paid which may affect our financial results. As a result of the Swiss holiday, our Switzerland subsidiary benefited from an income tax savings of $1.3 million, which did not have a significant earnings per share benefit.</w:t>
      </w:r>
    </w:p>
    <w:p>
      <w:pPr>
        <w:spacing w:after="0" w:line="173"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right="60" w:firstLine="243"/>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40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2"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w:t>
      </w:r>
    </w:p>
    <w:p>
      <w:pPr>
        <w:spacing w:after="0" w:line="177" w:lineRule="exact"/>
        <w:rPr>
          <w:sz w:val="20"/>
          <w:szCs w:val="20"/>
          <w:color w:val="auto"/>
        </w:rPr>
      </w:pPr>
    </w:p>
    <w:p>
      <w:pPr>
        <w:ind w:right="120" w:firstLine="243"/>
        <w:spacing w:after="0" w:line="342" w:lineRule="auto"/>
        <w:rPr>
          <w:sz w:val="20"/>
          <w:szCs w:val="20"/>
          <w:color w:val="auto"/>
        </w:rPr>
      </w:pPr>
      <w:r>
        <w:rPr>
          <w:rFonts w:ascii="Arial" w:cs="Arial" w:eastAsia="Arial" w:hAnsi="Arial"/>
          <w:sz w:val="16"/>
          <w:szCs w:val="16"/>
          <w:color w:val="auto"/>
        </w:rPr>
        <w:t>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w:t>
      </w:r>
    </w:p>
    <w:p>
      <w:pPr>
        <w:sectPr>
          <w:pgSz w:w="11900" w:h="16962" w:orient="portrait"/>
          <w:cols w:equalWidth="0" w:num="1">
            <w:col w:w="11420"/>
          </w:cols>
          <w:pgMar w:left="240" w:top="368" w:right="239" w:bottom="0" w:gutter="0" w:footer="0" w:header="0"/>
        </w:sectPr>
      </w:pPr>
    </w:p>
    <w:bookmarkStart w:id="58" w:name="page59"/>
    <w:bookmarkEnd w:id="58"/>
    <w:p>
      <w:pPr>
        <w:ind w:right="100"/>
        <w:spacing w:after="0" w:line="302" w:lineRule="auto"/>
        <w:rPr>
          <w:sz w:val="20"/>
          <w:szCs w:val="20"/>
          <w:color w:val="auto"/>
        </w:rPr>
      </w:pPr>
      <w:r>
        <w:rPr>
          <w:rFonts w:ascii="Arial" w:cs="Arial" w:eastAsia="Arial" w:hAnsi="Arial"/>
          <w:sz w:val="16"/>
          <w:szCs w:val="16"/>
          <w:color w:val="auto"/>
        </w:rPr>
        <w:t>plaintiffs’ success against non-settling parties. Our board of directors has approved the proposed settlement, which, if approved by the court would result in the plaintiffs’ dismissing the case against us and granting releases that extend to all of our officers and directors. The court issued an order preliminarily approving the settlement in August 2005 and held a public hearing on its fairness in April 2006. The court has not yet ruled following the public hearing. These claims and any resulting litigation could result in substantial costs and could divert the attention and resources of our management.</w:t>
      </w:r>
    </w:p>
    <w:p>
      <w:pPr>
        <w:spacing w:after="0" w:line="154" w:lineRule="exact"/>
        <w:rPr>
          <w:sz w:val="20"/>
          <w:szCs w:val="20"/>
          <w:color w:val="auto"/>
        </w:rPr>
      </w:pPr>
    </w:p>
    <w:p>
      <w:pPr>
        <w:jc w:val="both"/>
        <w:ind w:right="100" w:firstLine="243"/>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80" w:hanging="324"/>
        <w:spacing w:after="0"/>
        <w:tabs>
          <w:tab w:leader="none" w:pos="9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80" w:hanging="324"/>
        <w:spacing w:after="0"/>
        <w:tabs>
          <w:tab w:leader="none" w:pos="9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340" w:firstLine="324"/>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(a)The following exhibits are filed as part of this report:</w:t>
      </w:r>
    </w:p>
    <w:p>
      <w:pPr>
        <w:spacing w:after="0" w:line="225" w:lineRule="exact"/>
        <w:rPr>
          <w:sz w:val="20"/>
          <w:szCs w:val="20"/>
          <w:color w:val="auto"/>
        </w:rPr>
      </w:pPr>
    </w:p>
    <w:p>
      <w:pPr>
        <w:ind w:left="980" w:right="280" w:hanging="647"/>
        <w:spacing w:after="0" w:line="258" w:lineRule="auto"/>
        <w:tabs>
          <w:tab w:leader="none" w:pos="96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980" w:right="340" w:hanging="647"/>
        <w:spacing w:after="0" w:line="250" w:lineRule="auto"/>
        <w:tabs>
          <w:tab w:leader="none" w:pos="96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Michael Tate, Interim Chief Financial Officer</w:t>
      </w:r>
    </w:p>
    <w:p>
      <w:pPr>
        <w:spacing w:after="0" w:line="1" w:lineRule="exact"/>
        <w:rPr>
          <w:sz w:val="20"/>
          <w:szCs w:val="20"/>
          <w:color w:val="auto"/>
        </w:rPr>
      </w:pPr>
    </w:p>
    <w:p>
      <w:pPr>
        <w:ind w:left="980" w:right="280" w:hanging="647"/>
        <w:spacing w:after="0" w:line="250" w:lineRule="auto"/>
        <w:tabs>
          <w:tab w:leader="none" w:pos="960"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980" w:right="340" w:hanging="647"/>
        <w:spacing w:after="0" w:line="261" w:lineRule="auto"/>
        <w:tabs>
          <w:tab w:leader="none" w:pos="960"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Michael Tate,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57150</wp:posOffset>
            </wp:positionV>
            <wp:extent cx="138938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77" w:lineRule="exact"/>
        <w:rPr>
          <w:sz w:val="20"/>
          <w:szCs w:val="20"/>
          <w:color w:val="auto"/>
        </w:rPr>
      </w:pPr>
    </w:p>
    <w:p>
      <w:pPr>
        <w:ind w:left="660" w:hanging="328"/>
        <w:spacing w:after="0" w:line="257" w:lineRule="auto"/>
        <w:tabs>
          <w:tab w:leader="none" w:pos="655" w:val="left"/>
        </w:tabs>
        <w:numPr>
          <w:ilvl w:val="0"/>
          <w:numId w:val="43"/>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10-Q/A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76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ectPr>
          <w:pgSz w:w="11900" w:h="16838" w:orient="portrait"/>
          <w:cols w:equalWidth="0" w:num="1">
            <w:col w:w="11300"/>
          </w:cols>
          <w:pgMar w:left="240" w:top="125" w:right="359" w:bottom="126" w:gutter="0" w:footer="0" w:header="0"/>
        </w:sectPr>
      </w:pPr>
    </w:p>
    <w:bookmarkStart w:id="59" w:name="page60"/>
    <w:bookmarkEnd w:id="59"/>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5800" w:type="dxa"/>
            <w:vAlign w:val="bottom"/>
            <w:gridSpan w:val="2"/>
          </w:tcPr>
          <w:p>
            <w:pPr>
              <w:ind w:left="280"/>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1020" w:type="dxa"/>
            <w:vAlign w:val="bottom"/>
            <w:gridSpan w:val="3"/>
          </w:tcPr>
          <w:p>
            <w:pPr>
              <w:spacing w:after="0"/>
              <w:rPr>
                <w:sz w:val="20"/>
                <w:szCs w:val="20"/>
                <w:color w:val="auto"/>
              </w:rPr>
            </w:pPr>
            <w:r>
              <w:rPr>
                <w:rFonts w:ascii="Arial" w:cs="Arial" w:eastAsia="Arial" w:hAnsi="Arial"/>
                <w:sz w:val="18"/>
                <w:szCs w:val="18"/>
                <w:color w:val="auto"/>
              </w:rPr>
              <w:t>July 2, 2007</w:t>
            </w:r>
          </w:p>
        </w:tc>
        <w:tc>
          <w:tcPr>
            <w:tcW w:w="1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5800" w:type="dxa"/>
            <w:vAlign w:val="bottom"/>
            <w:gridSpan w:val="2"/>
          </w:tcPr>
          <w:p>
            <w:pPr>
              <w:ind w:left="280"/>
              <w:spacing w:after="0"/>
              <w:rPr>
                <w:sz w:val="20"/>
                <w:szCs w:val="20"/>
                <w:color w:val="auto"/>
              </w:rPr>
            </w:pPr>
            <w:r>
              <w:rPr>
                <w:rFonts w:ascii="Arial" w:cs="Arial" w:eastAsia="Arial" w:hAnsi="Arial"/>
                <w:sz w:val="18"/>
                <w:szCs w:val="18"/>
                <w:color w:val="auto"/>
              </w:rPr>
              <w:t>By:  /s/ MICHAEL TATE</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000" w:type="dxa"/>
            <w:vAlign w:val="bottom"/>
            <w:tcBorders>
              <w:top w:val="single" w:sz="8" w:color="auto"/>
            </w:tcBorders>
            <w:gridSpan w:val="2"/>
          </w:tcPr>
          <w:p>
            <w:pPr>
              <w:spacing w:after="0" w:line="195" w:lineRule="exact"/>
              <w:rPr>
                <w:sz w:val="20"/>
                <w:szCs w:val="20"/>
                <w:color w:val="auto"/>
              </w:rPr>
            </w:pPr>
            <w:r>
              <w:rPr>
                <w:rFonts w:ascii="Arial" w:cs="Arial" w:eastAsia="Arial" w:hAnsi="Arial"/>
                <w:sz w:val="18"/>
                <w:szCs w:val="18"/>
                <w:color w:val="auto"/>
              </w:rPr>
              <w:t>Date</w:t>
            </w:r>
          </w:p>
        </w:tc>
        <w:tc>
          <w:tcPr>
            <w:tcW w:w="120" w:type="dxa"/>
            <w:vAlign w:val="bottom"/>
            <w:tcBorders>
              <w:top w:val="single" w:sz="8" w:color="auto"/>
            </w:tcBorders>
          </w:tcPr>
          <w:p>
            <w:pPr>
              <w:spacing w:after="0"/>
              <w:rPr>
                <w:sz w:val="16"/>
                <w:szCs w:val="16"/>
                <w:color w:val="auto"/>
              </w:rPr>
            </w:pPr>
          </w:p>
        </w:tc>
        <w:tc>
          <w:tcPr>
            <w:tcW w:w="2020" w:type="dxa"/>
            <w:vAlign w:val="bottom"/>
            <w:tcBorders>
              <w:top w:val="single" w:sz="8" w:color="auto"/>
            </w:tcBorders>
          </w:tcPr>
          <w:p>
            <w:pPr>
              <w:spacing w:after="0"/>
              <w:rPr>
                <w:sz w:val="16"/>
                <w:szCs w:val="16"/>
                <w:color w:val="auto"/>
              </w:rPr>
            </w:pPr>
          </w:p>
        </w:tc>
        <w:tc>
          <w:tcPr>
            <w:tcW w:w="2460" w:type="dxa"/>
            <w:vAlign w:val="bottom"/>
            <w:tcBorders>
              <w:top w:val="single" w:sz="8" w:color="auto"/>
            </w:tcBorders>
          </w:tcPr>
          <w:p>
            <w:pPr>
              <w:spacing w:after="0"/>
              <w:rPr>
                <w:sz w:val="16"/>
                <w:szCs w:val="16"/>
                <w:color w:val="auto"/>
              </w:rPr>
            </w:pPr>
          </w:p>
        </w:tc>
        <w:tc>
          <w:tcPr>
            <w:tcW w:w="740" w:type="dxa"/>
            <w:vAlign w:val="bottom"/>
          </w:tcPr>
          <w:p>
            <w:pPr>
              <w:spacing w:after="0"/>
              <w:rPr>
                <w:sz w:val="16"/>
                <w:szCs w:val="16"/>
                <w:color w:val="auto"/>
              </w:rPr>
            </w:pPr>
          </w:p>
        </w:tc>
        <w:tc>
          <w:tcPr>
            <w:tcW w:w="50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02"/>
        </w:trPr>
        <w:tc>
          <w:tcPr>
            <w:tcW w:w="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3200" w:type="dxa"/>
            <w:vAlign w:val="bottom"/>
            <w:gridSpan w:val="2"/>
          </w:tcPr>
          <w:p>
            <w:pPr>
              <w:ind w:left="2460"/>
              <w:spacing w:after="0"/>
              <w:rPr>
                <w:sz w:val="20"/>
                <w:szCs w:val="20"/>
                <w:color w:val="auto"/>
              </w:rPr>
            </w:pPr>
            <w:r>
              <w:rPr>
                <w:rFonts w:ascii="Arial" w:cs="Arial" w:eastAsia="Arial" w:hAnsi="Arial"/>
                <w:sz w:val="18"/>
                <w:szCs w:val="18"/>
                <w:color w:val="auto"/>
              </w:rPr>
              <w:t>85</w:t>
            </w:r>
          </w:p>
        </w:tc>
        <w:tc>
          <w:tcPr>
            <w:tcW w:w="50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0" w:type="dxa"/>
            <w:vAlign w:val="bottom"/>
            <w:tcBorders>
              <w:bottom w:val="single" w:sz="8" w:color="010101"/>
            </w:tcBorders>
          </w:tcPr>
          <w:p>
            <w:pPr>
              <w:spacing w:after="0"/>
              <w:rPr>
                <w:sz w:val="24"/>
                <w:szCs w:val="24"/>
                <w:color w:val="auto"/>
              </w:rPr>
            </w:pPr>
          </w:p>
        </w:tc>
        <w:tc>
          <w:tcPr>
            <w:tcW w:w="86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2020" w:type="dxa"/>
            <w:vAlign w:val="bottom"/>
            <w:tcBorders>
              <w:bottom w:val="single" w:sz="8" w:color="010101"/>
            </w:tcBorders>
          </w:tcPr>
          <w:p>
            <w:pPr>
              <w:spacing w:after="0"/>
              <w:rPr>
                <w:sz w:val="24"/>
                <w:szCs w:val="24"/>
                <w:color w:val="auto"/>
              </w:rPr>
            </w:pPr>
          </w:p>
        </w:tc>
        <w:tc>
          <w:tcPr>
            <w:tcW w:w="8260" w:type="dxa"/>
            <w:vAlign w:val="bottom"/>
            <w:tcBorders>
              <w:bottom w:val="single" w:sz="8" w:color="010101"/>
            </w:tcBorders>
            <w:gridSpan w:val="3"/>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8260" w:type="dxa"/>
            <w:vAlign w:val="bottom"/>
            <w:gridSpan w:val="3"/>
          </w:tcPr>
          <w:p>
            <w:pPr>
              <w:ind w:left="186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1020" w:type="dxa"/>
            <w:vAlign w:val="bottom"/>
            <w:gridSpan w:val="3"/>
          </w:tcPr>
          <w:p>
            <w:pPr>
              <w:spacing w:after="0"/>
              <w:rPr>
                <w:sz w:val="20"/>
                <w:szCs w:val="20"/>
                <w:color w:val="auto"/>
              </w:rPr>
            </w:pPr>
            <w:r>
              <w:rPr>
                <w:rFonts w:ascii="Arial" w:cs="Arial" w:eastAsia="Arial" w:hAnsi="Arial"/>
                <w:sz w:val="14"/>
                <w:szCs w:val="14"/>
                <w:b w:val="1"/>
                <w:bCs w:val="1"/>
                <w:color w:val="auto"/>
              </w:rPr>
              <w:t>Exhibit</w:t>
            </w:r>
          </w:p>
        </w:tc>
        <w:tc>
          <w:tcPr>
            <w:tcW w:w="12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580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020" w:type="dxa"/>
            <w:vAlign w:val="bottom"/>
            <w:gridSpan w:val="3"/>
          </w:tcPr>
          <w:p>
            <w:pPr>
              <w:spacing w:after="0"/>
              <w:rPr>
                <w:sz w:val="20"/>
                <w:szCs w:val="20"/>
                <w:color w:val="auto"/>
              </w:rPr>
            </w:pPr>
            <w:r>
              <w:rPr>
                <w:rFonts w:ascii="Arial" w:cs="Arial" w:eastAsia="Arial" w:hAnsi="Arial"/>
                <w:sz w:val="14"/>
                <w:szCs w:val="14"/>
                <w:b w:val="1"/>
                <w:bCs w:val="1"/>
                <w:color w:val="auto"/>
              </w:rPr>
              <w:t>Number</w:t>
            </w:r>
          </w:p>
        </w:tc>
        <w:tc>
          <w:tcPr>
            <w:tcW w:w="12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5800" w:type="dxa"/>
            <w:vAlign w:val="bottom"/>
            <w:gridSpan w:val="2"/>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20" w:type="dxa"/>
            <w:vAlign w:val="bottom"/>
            <w:shd w:val="clear" w:color="auto" w:fill="000000"/>
          </w:tcPr>
          <w:p>
            <w:pPr>
              <w:spacing w:after="0" w:line="20" w:lineRule="exact"/>
              <w:rPr>
                <w:sz w:val="1"/>
                <w:szCs w:val="1"/>
                <w:color w:val="auto"/>
              </w:rPr>
            </w:pPr>
          </w:p>
        </w:tc>
        <w:tc>
          <w:tcPr>
            <w:tcW w:w="8260" w:type="dxa"/>
            <w:vAlign w:val="bottom"/>
            <w:gridSpan w:val="3"/>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1"/>
        </w:trPr>
        <w:tc>
          <w:tcPr>
            <w:tcW w:w="880" w:type="dxa"/>
            <w:vAlign w:val="bottom"/>
            <w:gridSpan w:val="2"/>
          </w:tcPr>
          <w:p>
            <w:pPr>
              <w:spacing w:after="0"/>
              <w:rPr>
                <w:sz w:val="20"/>
                <w:szCs w:val="20"/>
                <w:color w:val="auto"/>
              </w:rPr>
            </w:pPr>
            <w:r>
              <w:rPr>
                <w:rFonts w:ascii="Arial" w:cs="Arial" w:eastAsia="Arial" w:hAnsi="Arial"/>
                <w:sz w:val="18"/>
                <w:szCs w:val="18"/>
                <w:color w:val="auto"/>
              </w:rPr>
              <w:t>31.1</w:t>
            </w:r>
          </w:p>
        </w:tc>
        <w:tc>
          <w:tcPr>
            <w:tcW w:w="140" w:type="dxa"/>
            <w:vAlign w:val="bottom"/>
          </w:tcPr>
          <w:p>
            <w:pPr>
              <w:spacing w:after="0"/>
              <w:rPr>
                <w:sz w:val="24"/>
                <w:szCs w:val="24"/>
                <w:color w:val="auto"/>
              </w:rPr>
            </w:pPr>
          </w:p>
        </w:tc>
        <w:tc>
          <w:tcPr>
            <w:tcW w:w="2140" w:type="dxa"/>
            <w:vAlign w:val="bottom"/>
            <w:gridSpan w:val="2"/>
          </w:tcPr>
          <w:p>
            <w:pPr>
              <w:ind w:left="12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gridSpan w:val="3"/>
          </w:tcPr>
          <w:p>
            <w:pPr>
              <w:ind w:left="20"/>
              <w:spacing w:after="0"/>
              <w:rPr>
                <w:sz w:val="20"/>
                <w:szCs w:val="20"/>
                <w:color w:val="auto"/>
              </w:rPr>
            </w:pPr>
            <w:r>
              <w:rPr>
                <w:rFonts w:ascii="Arial" w:cs="Arial" w:eastAsia="Arial" w:hAnsi="Arial"/>
                <w:sz w:val="18"/>
                <w:szCs w:val="18"/>
                <w:color w:val="auto"/>
                <w:w w:val="92"/>
              </w:rPr>
              <w:t>U.S.C. Section 1350, as Adopted Pursuant to Section 302 of the Sarbanes-Oxley Act of 2002 of Sehat Sutardja</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0" w:type="dxa"/>
            <w:vAlign w:val="bottom"/>
            <w:gridSpan w:val="5"/>
          </w:tcPr>
          <w:p>
            <w:pPr>
              <w:ind w:left="120"/>
              <w:spacing w:after="0"/>
              <w:rPr>
                <w:sz w:val="20"/>
                <w:szCs w:val="20"/>
                <w:color w:val="auto"/>
              </w:rPr>
            </w:pPr>
            <w:r>
              <w:rPr>
                <w:rFonts w:ascii="Arial" w:cs="Arial" w:eastAsia="Arial" w:hAnsi="Arial"/>
                <w:sz w:val="18"/>
                <w:szCs w:val="18"/>
                <w:color w:val="auto"/>
              </w:rPr>
              <w:t>Ph.D., President and Chief Executive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gridSpan w:val="2"/>
          </w:tcPr>
          <w:p>
            <w:pPr>
              <w:spacing w:after="0"/>
              <w:rPr>
                <w:sz w:val="20"/>
                <w:szCs w:val="20"/>
                <w:color w:val="auto"/>
              </w:rPr>
            </w:pPr>
            <w:r>
              <w:rPr>
                <w:rFonts w:ascii="Arial" w:cs="Arial" w:eastAsia="Arial" w:hAnsi="Arial"/>
                <w:sz w:val="18"/>
                <w:szCs w:val="18"/>
                <w:color w:val="auto"/>
              </w:rPr>
              <w:t>31.2</w:t>
            </w:r>
          </w:p>
        </w:tc>
        <w:tc>
          <w:tcPr>
            <w:tcW w:w="140" w:type="dxa"/>
            <w:vAlign w:val="bottom"/>
          </w:tcPr>
          <w:p>
            <w:pPr>
              <w:spacing w:after="0"/>
              <w:rPr>
                <w:sz w:val="18"/>
                <w:szCs w:val="18"/>
                <w:color w:val="auto"/>
              </w:rPr>
            </w:pPr>
          </w:p>
        </w:tc>
        <w:tc>
          <w:tcPr>
            <w:tcW w:w="2140" w:type="dxa"/>
            <w:vAlign w:val="bottom"/>
            <w:gridSpan w:val="2"/>
          </w:tcPr>
          <w:p>
            <w:pPr>
              <w:ind w:left="12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gridSpan w:val="3"/>
          </w:tcPr>
          <w:p>
            <w:pPr>
              <w:ind w:left="20"/>
              <w:spacing w:after="0"/>
              <w:rPr>
                <w:sz w:val="20"/>
                <w:szCs w:val="20"/>
                <w:color w:val="auto"/>
              </w:rPr>
            </w:pPr>
            <w:r>
              <w:rPr>
                <w:rFonts w:ascii="Arial" w:cs="Arial" w:eastAsia="Arial" w:hAnsi="Arial"/>
                <w:sz w:val="18"/>
                <w:szCs w:val="18"/>
                <w:color w:val="auto"/>
                <w:w w:val="93"/>
              </w:rPr>
              <w:t>U.S.C. Section 1350, as Adopted Pursuant to Section 302 of the Sarbanes-Oxley Act of 2002 of Michael Tate,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0" w:type="dxa"/>
            <w:vAlign w:val="bottom"/>
            <w:gridSpan w:val="5"/>
          </w:tcPr>
          <w:p>
            <w:pPr>
              <w:ind w:left="120"/>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gridSpan w:val="2"/>
          </w:tcPr>
          <w:p>
            <w:pPr>
              <w:spacing w:after="0"/>
              <w:rPr>
                <w:sz w:val="20"/>
                <w:szCs w:val="20"/>
                <w:color w:val="auto"/>
              </w:rPr>
            </w:pPr>
            <w:r>
              <w:rPr>
                <w:rFonts w:ascii="Arial" w:cs="Arial" w:eastAsia="Arial" w:hAnsi="Arial"/>
                <w:sz w:val="18"/>
                <w:szCs w:val="18"/>
                <w:color w:val="auto"/>
              </w:rPr>
              <w:t>32.1*</w:t>
            </w:r>
          </w:p>
        </w:tc>
        <w:tc>
          <w:tcPr>
            <w:tcW w:w="140" w:type="dxa"/>
            <w:vAlign w:val="bottom"/>
          </w:tcPr>
          <w:p>
            <w:pPr>
              <w:spacing w:after="0"/>
              <w:rPr>
                <w:sz w:val="18"/>
                <w:szCs w:val="18"/>
                <w:color w:val="auto"/>
              </w:rPr>
            </w:pPr>
          </w:p>
        </w:tc>
        <w:tc>
          <w:tcPr>
            <w:tcW w:w="2140" w:type="dxa"/>
            <w:vAlign w:val="bottom"/>
            <w:gridSpan w:val="2"/>
          </w:tcPr>
          <w:p>
            <w:pPr>
              <w:ind w:left="12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gridSpan w:val="3"/>
          </w:tcPr>
          <w:p>
            <w:pPr>
              <w:ind w:left="20"/>
              <w:spacing w:after="0"/>
              <w:rPr>
                <w:sz w:val="20"/>
                <w:szCs w:val="20"/>
                <w:color w:val="auto"/>
              </w:rPr>
            </w:pPr>
            <w:r>
              <w:rPr>
                <w:rFonts w:ascii="Arial" w:cs="Arial" w:eastAsia="Arial" w:hAnsi="Arial"/>
                <w:sz w:val="18"/>
                <w:szCs w:val="18"/>
                <w:color w:val="auto"/>
                <w:w w:val="92"/>
              </w:rPr>
              <w:t>U.S.C. Section 1350, as Adopted Pursuant to Section 906 of the Sarbanes-Oxley Act of 2002 of Sehat Sutardja</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400" w:type="dxa"/>
            <w:vAlign w:val="bottom"/>
            <w:gridSpan w:val="5"/>
          </w:tcPr>
          <w:p>
            <w:pPr>
              <w:ind w:left="120"/>
              <w:spacing w:after="0"/>
              <w:rPr>
                <w:sz w:val="20"/>
                <w:szCs w:val="20"/>
                <w:color w:val="auto"/>
              </w:rPr>
            </w:pPr>
            <w:r>
              <w:rPr>
                <w:rFonts w:ascii="Arial" w:cs="Arial" w:eastAsia="Arial" w:hAnsi="Arial"/>
                <w:sz w:val="18"/>
                <w:szCs w:val="18"/>
                <w:color w:val="auto"/>
              </w:rPr>
              <w:t>Ph.D., President and Chief Executive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gridSpan w:val="2"/>
          </w:tcPr>
          <w:p>
            <w:pPr>
              <w:spacing w:after="0"/>
              <w:rPr>
                <w:sz w:val="20"/>
                <w:szCs w:val="20"/>
                <w:color w:val="auto"/>
              </w:rPr>
            </w:pPr>
            <w:r>
              <w:rPr>
                <w:rFonts w:ascii="Arial" w:cs="Arial" w:eastAsia="Arial" w:hAnsi="Arial"/>
                <w:sz w:val="18"/>
                <w:szCs w:val="18"/>
                <w:color w:val="auto"/>
              </w:rPr>
              <w:t>32.2*</w:t>
            </w:r>
          </w:p>
        </w:tc>
        <w:tc>
          <w:tcPr>
            <w:tcW w:w="140" w:type="dxa"/>
            <w:vAlign w:val="bottom"/>
          </w:tcPr>
          <w:p>
            <w:pPr>
              <w:spacing w:after="0"/>
              <w:rPr>
                <w:sz w:val="18"/>
                <w:szCs w:val="18"/>
                <w:color w:val="auto"/>
              </w:rPr>
            </w:pPr>
          </w:p>
        </w:tc>
        <w:tc>
          <w:tcPr>
            <w:tcW w:w="2140" w:type="dxa"/>
            <w:vAlign w:val="bottom"/>
            <w:gridSpan w:val="2"/>
          </w:tcPr>
          <w:p>
            <w:pPr>
              <w:ind w:left="120"/>
              <w:spacing w:after="0"/>
              <w:rPr>
                <w:sz w:val="20"/>
                <w:szCs w:val="20"/>
                <w:color w:val="auto"/>
              </w:rPr>
            </w:pPr>
            <w:r>
              <w:rPr>
                <w:rFonts w:ascii="Arial" w:cs="Arial" w:eastAsia="Arial" w:hAnsi="Arial"/>
                <w:sz w:val="18"/>
                <w:szCs w:val="18"/>
                <w:color w:val="auto"/>
                <w:w w:val="92"/>
              </w:rPr>
              <w:t>Certification Pursuant to 18</w:t>
            </w:r>
          </w:p>
        </w:tc>
        <w:tc>
          <w:tcPr>
            <w:tcW w:w="8260" w:type="dxa"/>
            <w:vAlign w:val="bottom"/>
            <w:gridSpan w:val="3"/>
          </w:tcPr>
          <w:p>
            <w:pPr>
              <w:ind w:left="20"/>
              <w:spacing w:after="0"/>
              <w:rPr>
                <w:sz w:val="20"/>
                <w:szCs w:val="20"/>
                <w:color w:val="auto"/>
              </w:rPr>
            </w:pPr>
            <w:r>
              <w:rPr>
                <w:rFonts w:ascii="Arial" w:cs="Arial" w:eastAsia="Arial" w:hAnsi="Arial"/>
                <w:sz w:val="18"/>
                <w:szCs w:val="18"/>
                <w:color w:val="auto"/>
                <w:w w:val="93"/>
              </w:rPr>
              <w:t>U.S.C. Section 1350, as Adopted Pursuant to Section 906 of the Sarbanes-Oxley Act of 2002 of Michael Tate,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400" w:type="dxa"/>
            <w:vAlign w:val="bottom"/>
            <w:gridSpan w:val="5"/>
          </w:tcPr>
          <w:p>
            <w:pPr>
              <w:ind w:left="120"/>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-1939290</wp:posOffset>
            </wp:positionV>
            <wp:extent cx="12700" cy="298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-1939290</wp:posOffset>
            </wp:positionV>
            <wp:extent cx="12700" cy="298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68580</wp:posOffset>
            </wp:positionV>
            <wp:extent cx="138938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195" w:lineRule="exact"/>
        <w:rPr>
          <w:sz w:val="20"/>
          <w:szCs w:val="20"/>
          <w:color w:val="auto"/>
        </w:rPr>
      </w:pPr>
    </w:p>
    <w:p>
      <w:pPr>
        <w:ind w:left="340" w:right="60" w:hanging="332"/>
        <w:spacing w:after="0" w:line="257" w:lineRule="auto"/>
        <w:tabs>
          <w:tab w:leader="none" w:pos="335"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10-Q/A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60" w:name="page61"/>
    <w:bookmarkEnd w:id="60"/>
    <w:p>
      <w:pPr>
        <w:jc w:val="right"/>
        <w:ind w:right="40"/>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ind w:right="40"/>
        <w:spacing w:after="0" w:line="266"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225" w:lineRule="exact"/>
        <w:rPr>
          <w:sz w:val="20"/>
          <w:szCs w:val="20"/>
          <w:color w:val="auto"/>
        </w:rPr>
      </w:pPr>
    </w:p>
    <w:p>
      <w:pPr>
        <w:ind w:left="660" w:hanging="652"/>
        <w:spacing w:after="0"/>
        <w:tabs>
          <w:tab w:leader="none" w:pos="6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10-Q/A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45"/>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4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4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4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4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4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45"/>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45"/>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4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40" w:type="dxa"/>
            <w:vAlign w:val="bottom"/>
            <w:gridSpan w:val="2"/>
          </w:tcPr>
          <w:p>
            <w:pPr>
              <w:spacing w:after="0"/>
              <w:rPr>
                <w:sz w:val="20"/>
                <w:szCs w:val="20"/>
                <w:color w:val="auto"/>
              </w:rPr>
            </w:pPr>
            <w:r>
              <w:rPr>
                <w:rFonts w:ascii="Arial" w:cs="Arial" w:eastAsia="Arial" w:hAnsi="Arial"/>
                <w:sz w:val="18"/>
                <w:szCs w:val="18"/>
                <w:color w:val="auto"/>
              </w:rPr>
              <w:t>Date:  July 2, 2007</w:t>
            </w:r>
          </w:p>
        </w:tc>
        <w:tc>
          <w:tcPr>
            <w:tcW w:w="4620" w:type="dxa"/>
            <w:vAlign w:val="bottom"/>
          </w:tcPr>
          <w:p>
            <w:pPr>
              <w:ind w:left="4000"/>
              <w:spacing w:after="0"/>
              <w:rPr>
                <w:sz w:val="20"/>
                <w:szCs w:val="20"/>
                <w:color w:val="auto"/>
              </w:rPr>
            </w:pPr>
            <w:r>
              <w:rPr>
                <w:rFonts w:ascii="Arial" w:cs="Arial" w:eastAsia="Arial" w:hAnsi="Arial"/>
                <w:sz w:val="18"/>
                <w:szCs w:val="18"/>
                <w:color w:val="auto"/>
              </w:rPr>
              <w:t>By:</w:t>
            </w:r>
          </w:p>
        </w:tc>
        <w:tc>
          <w:tcPr>
            <w:tcW w:w="476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1440" w:type="dxa"/>
            <w:vAlign w:val="bottom"/>
            <w:tcBorders>
              <w:top w:val="single" w:sz="8" w:color="auto"/>
            </w:tcBorders>
          </w:tcPr>
          <w:p>
            <w:pPr>
              <w:spacing w:after="0"/>
              <w:rPr>
                <w:sz w:val="16"/>
                <w:szCs w:val="16"/>
                <w:color w:val="auto"/>
              </w:rPr>
            </w:pPr>
          </w:p>
        </w:tc>
        <w:tc>
          <w:tcPr>
            <w:tcW w:w="4620" w:type="dxa"/>
            <w:vAlign w:val="bottom"/>
          </w:tcPr>
          <w:p>
            <w:pPr>
              <w:spacing w:after="0"/>
              <w:rPr>
                <w:sz w:val="16"/>
                <w:szCs w:val="16"/>
                <w:color w:val="auto"/>
              </w:rPr>
            </w:pPr>
          </w:p>
        </w:tc>
        <w:tc>
          <w:tcPr>
            <w:tcW w:w="47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6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4620" w:type="dxa"/>
            <w:vAlign w:val="bottom"/>
          </w:tcPr>
          <w:p>
            <w:pPr>
              <w:spacing w:after="0"/>
              <w:rPr>
                <w:sz w:val="20"/>
                <w:szCs w:val="20"/>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645"/>
        </w:trPr>
        <w:tc>
          <w:tcPr>
            <w:tcW w:w="600" w:type="dxa"/>
            <w:vAlign w:val="bottom"/>
            <w:tcBorders>
              <w:bottom w:val="single" w:sz="8" w:color="010101"/>
            </w:tcBorders>
          </w:tcPr>
          <w:p>
            <w:pPr>
              <w:spacing w:after="0"/>
              <w:rPr>
                <w:sz w:val="24"/>
                <w:szCs w:val="24"/>
                <w:color w:val="auto"/>
              </w:rPr>
            </w:pPr>
          </w:p>
        </w:tc>
        <w:tc>
          <w:tcPr>
            <w:tcW w:w="1440" w:type="dxa"/>
            <w:vAlign w:val="bottom"/>
            <w:tcBorders>
              <w:bottom w:val="single" w:sz="8" w:color="010101"/>
            </w:tcBorders>
          </w:tcPr>
          <w:p>
            <w:pPr>
              <w:spacing w:after="0"/>
              <w:rPr>
                <w:sz w:val="24"/>
                <w:szCs w:val="24"/>
                <w:color w:val="auto"/>
              </w:rPr>
            </w:pPr>
          </w:p>
        </w:tc>
        <w:tc>
          <w:tcPr>
            <w:tcW w:w="4620" w:type="dxa"/>
            <w:vAlign w:val="bottom"/>
            <w:tcBorders>
              <w:bottom w:val="single" w:sz="8" w:color="010101"/>
            </w:tcBorders>
          </w:tcPr>
          <w:p>
            <w:pPr>
              <w:spacing w:after="0"/>
              <w:rPr>
                <w:sz w:val="24"/>
                <w:szCs w:val="24"/>
                <w:color w:val="auto"/>
              </w:rPr>
            </w:pPr>
          </w:p>
        </w:tc>
        <w:tc>
          <w:tcPr>
            <w:tcW w:w="47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61" w:name="page62"/>
    <w:bookmarkEnd w:id="61"/>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Michael Tate, certify that:</w:t>
      </w:r>
    </w:p>
    <w:p>
      <w:pPr>
        <w:spacing w:after="0" w:line="225" w:lineRule="exact"/>
        <w:rPr>
          <w:sz w:val="20"/>
          <w:szCs w:val="20"/>
          <w:color w:val="auto"/>
        </w:rPr>
      </w:pPr>
    </w:p>
    <w:p>
      <w:pPr>
        <w:ind w:left="660" w:hanging="652"/>
        <w:spacing w:after="0"/>
        <w:tabs>
          <w:tab w:leader="none" w:pos="6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10-Q/A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46"/>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46"/>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4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4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4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4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4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46"/>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4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60" w:type="dxa"/>
            <w:vAlign w:val="bottom"/>
            <w:gridSpan w:val="2"/>
          </w:tcPr>
          <w:p>
            <w:pPr>
              <w:spacing w:after="0"/>
              <w:rPr>
                <w:sz w:val="20"/>
                <w:szCs w:val="20"/>
                <w:color w:val="auto"/>
              </w:rPr>
            </w:pPr>
            <w:r>
              <w:rPr>
                <w:rFonts w:ascii="Arial" w:cs="Arial" w:eastAsia="Arial" w:hAnsi="Arial"/>
                <w:sz w:val="18"/>
                <w:szCs w:val="18"/>
                <w:color w:val="auto"/>
              </w:rPr>
              <w:t>Date:   July 2, 2007</w:t>
            </w:r>
          </w:p>
        </w:tc>
        <w:tc>
          <w:tcPr>
            <w:tcW w:w="4580" w:type="dxa"/>
            <w:vAlign w:val="bottom"/>
          </w:tcPr>
          <w:p>
            <w:pPr>
              <w:ind w:left="3940"/>
              <w:spacing w:after="0"/>
              <w:rPr>
                <w:sz w:val="20"/>
                <w:szCs w:val="20"/>
                <w:color w:val="auto"/>
              </w:rPr>
            </w:pPr>
            <w:r>
              <w:rPr>
                <w:rFonts w:ascii="Arial" w:cs="Arial" w:eastAsia="Arial" w:hAnsi="Arial"/>
                <w:sz w:val="18"/>
                <w:szCs w:val="18"/>
                <w:color w:val="auto"/>
              </w:rPr>
              <w:t>By:</w:t>
            </w:r>
          </w:p>
        </w:tc>
        <w:tc>
          <w:tcPr>
            <w:tcW w:w="4780" w:type="dxa"/>
            <w:vAlign w:val="bottom"/>
          </w:tcPr>
          <w:p>
            <w:pPr>
              <w:spacing w:after="0"/>
              <w:rPr>
                <w:sz w:val="20"/>
                <w:szCs w:val="20"/>
                <w:color w:val="auto"/>
              </w:rPr>
            </w:pPr>
            <w:r>
              <w:rPr>
                <w:rFonts w:ascii="Arial" w:cs="Arial" w:eastAsia="Arial" w:hAnsi="Arial"/>
                <w:sz w:val="18"/>
                <w:szCs w:val="18"/>
                <w:color w:val="auto"/>
              </w:rPr>
              <w:t>/s/ MICHAEL TATE</w:t>
            </w:r>
          </w:p>
        </w:tc>
        <w:tc>
          <w:tcPr>
            <w:tcW w:w="40" w:type="dxa"/>
            <w:vAlign w:val="bottom"/>
          </w:tcPr>
          <w:p>
            <w:pPr>
              <w:spacing w:after="0"/>
              <w:rPr>
                <w:sz w:val="20"/>
                <w:szCs w:val="20"/>
                <w:color w:val="auto"/>
              </w:rPr>
            </w:pPr>
          </w:p>
        </w:tc>
      </w:tr>
      <w:tr>
        <w:trPr>
          <w:trHeight w:val="195"/>
        </w:trPr>
        <w:tc>
          <w:tcPr>
            <w:tcW w:w="620" w:type="dxa"/>
            <w:vAlign w:val="bottom"/>
          </w:tcPr>
          <w:p>
            <w:pPr>
              <w:spacing w:after="0"/>
              <w:rPr>
                <w:sz w:val="16"/>
                <w:szCs w:val="16"/>
                <w:color w:val="auto"/>
              </w:rPr>
            </w:pPr>
          </w:p>
        </w:tc>
        <w:tc>
          <w:tcPr>
            <w:tcW w:w="1440" w:type="dxa"/>
            <w:vAlign w:val="bottom"/>
            <w:tcBorders>
              <w:top w:val="single" w:sz="8" w:color="auto"/>
            </w:tcBorders>
          </w:tcPr>
          <w:p>
            <w:pPr>
              <w:spacing w:after="0"/>
              <w:rPr>
                <w:sz w:val="16"/>
                <w:szCs w:val="16"/>
                <w:color w:val="auto"/>
              </w:rPr>
            </w:pPr>
          </w:p>
        </w:tc>
        <w:tc>
          <w:tcPr>
            <w:tcW w:w="4580" w:type="dxa"/>
            <w:vAlign w:val="bottom"/>
          </w:tcPr>
          <w:p>
            <w:pPr>
              <w:spacing w:after="0"/>
              <w:rPr>
                <w:sz w:val="16"/>
                <w:szCs w:val="16"/>
                <w:color w:val="auto"/>
              </w:rPr>
            </w:pPr>
          </w:p>
        </w:tc>
        <w:tc>
          <w:tcPr>
            <w:tcW w:w="47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Tate</w:t>
            </w:r>
          </w:p>
        </w:tc>
        <w:tc>
          <w:tcPr>
            <w:tcW w:w="40" w:type="dxa"/>
            <w:vAlign w:val="bottom"/>
          </w:tcPr>
          <w:p>
            <w:pPr>
              <w:spacing w:after="0"/>
              <w:rPr>
                <w:sz w:val="16"/>
                <w:szCs w:val="16"/>
                <w:color w:val="auto"/>
              </w:rPr>
            </w:pPr>
          </w:p>
        </w:tc>
      </w:tr>
      <w:tr>
        <w:trPr>
          <w:trHeight w:val="230"/>
        </w:trPr>
        <w:tc>
          <w:tcPr>
            <w:tcW w:w="62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4580" w:type="dxa"/>
            <w:vAlign w:val="bottom"/>
          </w:tcPr>
          <w:p>
            <w:pPr>
              <w:spacing w:after="0"/>
              <w:rPr>
                <w:sz w:val="20"/>
                <w:szCs w:val="20"/>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645"/>
        </w:trPr>
        <w:tc>
          <w:tcPr>
            <w:tcW w:w="620" w:type="dxa"/>
            <w:vAlign w:val="bottom"/>
            <w:tcBorders>
              <w:bottom w:val="single" w:sz="8" w:color="010101"/>
            </w:tcBorders>
          </w:tcPr>
          <w:p>
            <w:pPr>
              <w:spacing w:after="0"/>
              <w:rPr>
                <w:sz w:val="24"/>
                <w:szCs w:val="24"/>
                <w:color w:val="auto"/>
              </w:rPr>
            </w:pPr>
          </w:p>
        </w:tc>
        <w:tc>
          <w:tcPr>
            <w:tcW w:w="1440" w:type="dxa"/>
            <w:vAlign w:val="bottom"/>
            <w:tcBorders>
              <w:bottom w:val="single" w:sz="8" w:color="010101"/>
            </w:tcBorders>
          </w:tcPr>
          <w:p>
            <w:pPr>
              <w:spacing w:after="0"/>
              <w:rPr>
                <w:sz w:val="24"/>
                <w:szCs w:val="24"/>
                <w:color w:val="auto"/>
              </w:rPr>
            </w:pPr>
          </w:p>
        </w:tc>
        <w:tc>
          <w:tcPr>
            <w:tcW w:w="4580" w:type="dxa"/>
            <w:vAlign w:val="bottom"/>
            <w:tcBorders>
              <w:bottom w:val="single" w:sz="8" w:color="010101"/>
            </w:tcBorders>
          </w:tcPr>
          <w:p>
            <w:pPr>
              <w:spacing w:after="0"/>
              <w:rPr>
                <w:sz w:val="24"/>
                <w:szCs w:val="24"/>
                <w:color w:val="auto"/>
              </w:rPr>
            </w:pPr>
          </w:p>
        </w:tc>
        <w:tc>
          <w:tcPr>
            <w:tcW w:w="47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62" w:name="page63"/>
    <w:bookmarkEnd w:id="62"/>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THE PRESIDENT AND CHIEF EXECUTIVE OFFICER PURSUANT TO 18 U.S.C. § 1350, AS ADOPTED PURSUANT TO SECTION 906 OF THE SARBANES-OXLEY ACT OF 2002</w:t>
      </w:r>
    </w:p>
    <w:p>
      <w:pPr>
        <w:spacing w:after="0" w:line="166"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560" w:hanging="324"/>
        <w:spacing w:after="0" w:line="277" w:lineRule="auto"/>
        <w:tabs>
          <w:tab w:leader="none" w:pos="1001"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Quarterly Report of the Company on Form 10-Q/A for the fiscal quarter ended April 29, 2006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4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3941445</wp:posOffset>
            </wp:positionH>
            <wp:positionV relativeFrom="paragraph">
              <wp:posOffset>-130810</wp:posOffset>
            </wp:positionV>
            <wp:extent cx="3310255"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3310255" cy="8890"/>
                    </a:xfrm>
                    <a:prstGeom prst="rect">
                      <a:avLst/>
                    </a:prstGeom>
                    <a:noFill/>
                  </pic:spPr>
                </pic:pic>
              </a:graphicData>
            </a:graphic>
          </wp:anchor>
        </w:drawing>
      </w:r>
    </w:p>
    <w:p>
      <w:pPr>
        <w:spacing w:after="0" w:line="3"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Date: July 2,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63" w:name="page64"/>
    <w:bookmarkEnd w:id="63"/>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INTERIM CHIEF FINANCIAL OFFICER PURSUANT TO 18 U.S.C. § 1350, AS ADOPTED PURSUANT TO SECTION 906 OF THE SARBANES-OXLEY ACT OF 2002</w:t>
      </w:r>
    </w:p>
    <w:p>
      <w:pPr>
        <w:spacing w:after="0" w:line="166"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I, Michael Tate, the Interim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560" w:hanging="324"/>
        <w:spacing w:after="0" w:line="277" w:lineRule="auto"/>
        <w:tabs>
          <w:tab w:leader="none" w:pos="1001"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Quarterly Report of the Company on Form 10-Q/A for the fiscal quarter ended April 29, 2006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4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MICHAEL TATE</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Michael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3846830</wp:posOffset>
            </wp:positionH>
            <wp:positionV relativeFrom="paragraph">
              <wp:posOffset>-130810</wp:posOffset>
            </wp:positionV>
            <wp:extent cx="340487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3404870" cy="8890"/>
                    </a:xfrm>
                    <a:prstGeom prst="rect">
                      <a:avLst/>
                    </a:prstGeom>
                    <a:noFill/>
                  </pic:spPr>
                </pic:pic>
              </a:graphicData>
            </a:graphic>
          </wp:anchor>
        </w:drawing>
      </w:r>
    </w:p>
    <w:p>
      <w:pPr>
        <w:spacing w:after="0" w:line="3"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Date: July 2,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8EDBDAB"/>
    <w:multiLevelType w:val="hybridMultilevel"/>
    <w:lvl w:ilvl="0">
      <w:lvlJc w:val="left"/>
      <w:lvlText w:val="x"/>
      <w:numFmt w:val="bullet"/>
      <w:start w:val="1"/>
    </w:lvl>
  </w:abstractNum>
  <w:abstractNum w:abstractNumId="1">
    <w:nsid w:val="79838CB2"/>
    <w:multiLevelType w:val="hybridMultilevel"/>
    <w:lvl w:ilvl="0">
      <w:lvlJc w:val="left"/>
      <w:lvlText w:val="o"/>
      <w:numFmt w:val="bullet"/>
      <w:start w:val="1"/>
    </w:lvl>
  </w:abstractNum>
  <w:abstractNum w:abstractNumId="2">
    <w:nsid w:val="4353D0CD"/>
    <w:multiLevelType w:val="hybridMultilevel"/>
    <w:lvl w:ilvl="0">
      <w:lvlJc w:val="left"/>
      <w:lvlText w:val="(%1)"/>
      <w:numFmt w:val="lowerLetter"/>
      <w:start w:val="1"/>
    </w:lvl>
  </w:abstractNum>
  <w:abstractNum w:abstractNumId="3">
    <w:nsid w:val="B03E0C6"/>
    <w:multiLevelType w:val="hybridMultilevel"/>
    <w:lvl w:ilvl="0">
      <w:lvlJc w:val="left"/>
      <w:lvlText w:val="(%1)"/>
      <w:numFmt w:val="lowerLetter"/>
      <w:start w:val="3"/>
    </w:lvl>
  </w:abstractNum>
  <w:abstractNum w:abstractNumId="4">
    <w:nsid w:val="189A769B"/>
    <w:multiLevelType w:val="hybridMultilevel"/>
    <w:lvl w:ilvl="0">
      <w:lvlJc w:val="left"/>
      <w:lvlText w:val="(%1)"/>
      <w:numFmt w:val="lowerLetter"/>
      <w:start w:val="6"/>
    </w:lvl>
  </w:abstractNum>
  <w:abstractNum w:abstractNumId="5">
    <w:nsid w:val="54E49EB4"/>
    <w:multiLevelType w:val="hybridMultilevel"/>
    <w:lvl w:ilvl="0">
      <w:lvlJc w:val="left"/>
      <w:lvlText w:val="(%1)"/>
      <w:numFmt w:val="lowerLetter"/>
      <w:start w:val="7"/>
    </w:lvl>
  </w:abstractNum>
  <w:abstractNum w:abstractNumId="6">
    <w:nsid w:val="71F32454"/>
    <w:multiLevelType w:val="hybridMultilevel"/>
    <w:lvl w:ilvl="0">
      <w:lvlJc w:val="left"/>
      <w:lvlText w:val="*"/>
      <w:numFmt w:val="bullet"/>
      <w:start w:val="1"/>
    </w:lvl>
  </w:abstractNum>
  <w:abstractNum w:abstractNumId="7">
    <w:nsid w:val="2CA88611"/>
    <w:multiLevelType w:val="hybridMultilevel"/>
    <w:lvl w:ilvl="0">
      <w:lvlJc w:val="left"/>
      <w:lvlText w:val="(%1)"/>
      <w:numFmt w:val="lowerLetter"/>
      <w:start w:val="1"/>
    </w:lvl>
    <w:lvl w:ilvl="1">
      <w:lvlJc w:val="left"/>
      <w:lvlText w:val="·"/>
      <w:numFmt w:val="bullet"/>
      <w:start w:val="1"/>
    </w:lvl>
  </w:abstractNum>
  <w:abstractNum w:abstractNumId="8">
    <w:nsid w:val="836C40E"/>
    <w:multiLevelType w:val="hybridMultilevel"/>
    <w:lvl w:ilvl="0">
      <w:lvlJc w:val="left"/>
      <w:lvlText w:val="(%1)"/>
      <w:numFmt w:val="lowerLetter"/>
      <w:start w:val="1"/>
    </w:lvl>
    <w:lvl w:ilvl="1">
      <w:lvlJc w:val="left"/>
      <w:lvlText w:val="·"/>
      <w:numFmt w:val="bullet"/>
      <w:start w:val="1"/>
    </w:lvl>
  </w:abstractNum>
  <w:abstractNum w:abstractNumId="9">
    <w:nsid w:val="2901D82"/>
    <w:multiLevelType w:val="hybridMultilevel"/>
    <w:lvl w:ilvl="0">
      <w:lvlJc w:val="left"/>
      <w:lvlText w:val="(%1)"/>
      <w:numFmt w:val="lowerLetter"/>
      <w:start w:val="4"/>
    </w:lvl>
  </w:abstractNum>
  <w:abstractNum w:abstractNumId="10">
    <w:nsid w:val="3A95F874"/>
    <w:multiLevelType w:val="hybridMultilevel"/>
    <w:lvl w:ilvl="0">
      <w:lvlJc w:val="left"/>
      <w:lvlText w:val="*"/>
      <w:numFmt w:val="bullet"/>
      <w:start w:val="1"/>
    </w:lvl>
  </w:abstractNum>
  <w:abstractNum w:abstractNumId="11">
    <w:nsid w:val="8138641"/>
    <w:multiLevelType w:val="hybridMultilevel"/>
    <w:lvl w:ilvl="0">
      <w:lvlJc w:val="left"/>
      <w:lvlText w:val="%1."/>
      <w:numFmt w:val="upperLetter"/>
      <w:start w:val="1"/>
    </w:lvl>
  </w:abstractNum>
  <w:abstractNum w:abstractNumId="12">
    <w:nsid w:val="1E7FF521"/>
    <w:multiLevelType w:val="hybridMultilevel"/>
    <w:lvl w:ilvl="0">
      <w:lvlJc w:val="left"/>
      <w:lvlText w:val="%1."/>
      <w:numFmt w:val="upperLetter"/>
      <w:start w:val="1"/>
    </w:lvl>
  </w:abstractNum>
  <w:abstractNum w:abstractNumId="13">
    <w:nsid w:val="7C3DBD3D"/>
    <w:multiLevelType w:val="hybridMultilevel"/>
    <w:lvl w:ilvl="0">
      <w:lvlJc w:val="left"/>
      <w:lvlText w:val="%1."/>
      <w:numFmt w:val="upperLetter"/>
      <w:start w:val="1"/>
    </w:lvl>
  </w:abstractNum>
  <w:abstractNum w:abstractNumId="14">
    <w:nsid w:val="737B8DDC"/>
    <w:multiLevelType w:val="hybridMultilevel"/>
    <w:lvl w:ilvl="0">
      <w:lvlJc w:val="left"/>
      <w:lvlText w:val="*"/>
      <w:numFmt w:val="bullet"/>
      <w:start w:val="1"/>
    </w:lvl>
  </w:abstractNum>
  <w:abstractNum w:abstractNumId="15">
    <w:nsid w:val="6CEAF087"/>
    <w:multiLevelType w:val="hybridMultilevel"/>
    <w:lvl w:ilvl="0">
      <w:lvlJc w:val="left"/>
      <w:lvlText w:val="(%1)"/>
      <w:numFmt w:val="lowerLetter"/>
      <w:start w:val="1"/>
    </w:lvl>
  </w:abstractNum>
  <w:abstractNum w:abstractNumId="16">
    <w:nsid w:val="22221A70"/>
    <w:multiLevelType w:val="hybridMultilevel"/>
    <w:lvl w:ilvl="0">
      <w:lvlJc w:val="left"/>
      <w:lvlText w:val="(%1)"/>
      <w:numFmt w:val="lowerLetter"/>
      <w:start w:val="2"/>
    </w:lvl>
  </w:abstractNum>
  <w:abstractNum w:abstractNumId="17">
    <w:nsid w:val="4516DDE9"/>
    <w:multiLevelType w:val="hybridMultilevel"/>
    <w:lvl w:ilvl="0">
      <w:lvlJc w:val="left"/>
      <w:lvlText w:val="(%1)"/>
      <w:numFmt w:val="lowerLetter"/>
      <w:start w:val="3"/>
    </w:lvl>
  </w:abstractNum>
  <w:abstractNum w:abstractNumId="18">
    <w:nsid w:val="3006C83E"/>
    <w:multiLevelType w:val="hybridMultilevel"/>
    <w:lvl w:ilvl="0">
      <w:lvlJc w:val="left"/>
      <w:lvlText w:val="(%1)"/>
      <w:numFmt w:val="lowerLetter"/>
      <w:start w:val="4"/>
    </w:lvl>
  </w:abstractNum>
  <w:abstractNum w:abstractNumId="19">
    <w:nsid w:val="614FD4A1"/>
    <w:multiLevelType w:val="hybridMultilevel"/>
    <w:lvl w:ilvl="0">
      <w:lvlJc w:val="left"/>
      <w:lvlText w:val="(%1)"/>
      <w:numFmt w:val="lowerLetter"/>
      <w:start w:val="8"/>
    </w:lvl>
  </w:abstractNum>
  <w:abstractNum w:abstractNumId="20">
    <w:nsid w:val="419AC241"/>
    <w:multiLevelType w:val="hybridMultilevel"/>
    <w:lvl w:ilvl="0">
      <w:lvlJc w:val="left"/>
      <w:lvlText w:val="(%1)"/>
      <w:numFmt w:val="lowerRoman"/>
      <w:start w:val="1"/>
    </w:lvl>
  </w:abstractNum>
  <w:abstractNum w:abstractNumId="21">
    <w:nsid w:val="5577F8E1"/>
    <w:multiLevelType w:val="hybridMultilevel"/>
    <w:lvl w:ilvl="0">
      <w:lvlJc w:val="left"/>
      <w:lvlText w:val="*"/>
      <w:numFmt w:val="bullet"/>
      <w:start w:val="1"/>
    </w:lvl>
  </w:abstractNum>
  <w:abstractNum w:abstractNumId="22">
    <w:nsid w:val="440BADFC"/>
    <w:multiLevelType w:val="hybridMultilevel"/>
    <w:lvl w:ilvl="0">
      <w:lvlJc w:val="left"/>
      <w:lvlText w:val="(%1)"/>
      <w:numFmt w:val="lowerLetter"/>
      <w:start w:val="1"/>
    </w:lvl>
  </w:abstractNum>
  <w:abstractNum w:abstractNumId="23">
    <w:nsid w:val="5072367"/>
    <w:multiLevelType w:val="hybridMultilevel"/>
    <w:lvl w:ilvl="0">
      <w:lvlJc w:val="left"/>
      <w:lvlText w:val="·"/>
      <w:numFmt w:val="bullet"/>
      <w:start w:val="1"/>
    </w:lvl>
  </w:abstractNum>
  <w:abstractNum w:abstractNumId="24">
    <w:nsid w:val="3804823E"/>
    <w:multiLevelType w:val="hybridMultilevel"/>
    <w:lvl w:ilvl="0">
      <w:lvlJc w:val="left"/>
      <w:lvlText w:val="(%1)"/>
      <w:numFmt w:val="lowerLetter"/>
      <w:start w:val="1"/>
    </w:lvl>
    <w:lvl w:ilvl="1">
      <w:lvlJc w:val="left"/>
      <w:lvlText w:val="·"/>
      <w:numFmt w:val="bullet"/>
      <w:start w:val="1"/>
    </w:lvl>
  </w:abstractNum>
  <w:abstractNum w:abstractNumId="25">
    <w:nsid w:val="77465F01"/>
    <w:multiLevelType w:val="hybridMultilevel"/>
    <w:lvl w:ilvl="0">
      <w:lvlJc w:val="left"/>
      <w:lvlText w:val="(%1)"/>
      <w:numFmt w:val="lowerLetter"/>
      <w:start w:val="3"/>
    </w:lvl>
  </w:abstractNum>
  <w:abstractNum w:abstractNumId="26">
    <w:nsid w:val="7724C67E"/>
    <w:multiLevelType w:val="hybridMultilevel"/>
    <w:lvl w:ilvl="0">
      <w:lvlJc w:val="left"/>
      <w:lvlText w:val="(%1)"/>
      <w:numFmt w:val="lowerLetter"/>
      <w:start w:val="4"/>
    </w:lvl>
  </w:abstractNum>
  <w:abstractNum w:abstractNumId="27">
    <w:nsid w:val="5C482A97"/>
    <w:multiLevelType w:val="hybridMultilevel"/>
    <w:lvl w:ilvl="0">
      <w:lvlJc w:val="left"/>
      <w:lvlText w:val="*"/>
      <w:numFmt w:val="bullet"/>
      <w:start w:val="1"/>
    </w:lvl>
  </w:abstractNum>
  <w:abstractNum w:abstractNumId="28">
    <w:nsid w:val="2463B9EA"/>
    <w:multiLevelType w:val="hybridMultilevel"/>
    <w:lvl w:ilvl="0">
      <w:lvlJc w:val="left"/>
      <w:lvlText w:val="%1."/>
      <w:numFmt w:val="upperLetter"/>
      <w:start w:val="1"/>
    </w:lvl>
  </w:abstractNum>
  <w:abstractNum w:abstractNumId="29">
    <w:nsid w:val="5E884ADC"/>
    <w:multiLevelType w:val="hybridMultilevel"/>
    <w:lvl w:ilvl="0">
      <w:lvlJc w:val="left"/>
      <w:lvlText w:val="%1."/>
      <w:numFmt w:val="upperLetter"/>
      <w:start w:val="1"/>
    </w:lvl>
  </w:abstractNum>
  <w:abstractNum w:abstractNumId="30">
    <w:nsid w:val="51EAD36B"/>
    <w:multiLevelType w:val="hybridMultilevel"/>
    <w:lvl w:ilvl="0">
      <w:lvlJc w:val="left"/>
      <w:lvlText w:val="%1."/>
      <w:numFmt w:val="upperLetter"/>
      <w:start w:val="5"/>
    </w:lvl>
  </w:abstractNum>
  <w:abstractNum w:abstractNumId="31">
    <w:nsid w:val="2D517796"/>
    <w:multiLevelType w:val="hybridMultilevel"/>
    <w:lvl w:ilvl="0">
      <w:lvlJc w:val="left"/>
      <w:lvlText w:val="%1."/>
      <w:numFmt w:val="upperLetter"/>
      <w:start w:val="1"/>
    </w:lvl>
  </w:abstractNum>
  <w:abstractNum w:abstractNumId="32">
    <w:nsid w:val="580BD78F"/>
    <w:multiLevelType w:val="hybridMultilevel"/>
    <w:lvl w:ilvl="0">
      <w:lvlJc w:val="left"/>
      <w:lvlText w:val="·"/>
      <w:numFmt w:val="bullet"/>
      <w:start w:val="1"/>
    </w:lvl>
  </w:abstractNum>
  <w:abstractNum w:abstractNumId="33">
    <w:nsid w:val="153EA438"/>
    <w:multiLevelType w:val="hybridMultilevel"/>
    <w:lvl w:ilvl="0">
      <w:lvlJc w:val="left"/>
      <w:lvlText w:val="·"/>
      <w:numFmt w:val="bullet"/>
      <w:start w:val="1"/>
    </w:lvl>
  </w:abstractNum>
  <w:abstractNum w:abstractNumId="34">
    <w:nsid w:val="3855585C"/>
    <w:multiLevelType w:val="hybridMultilevel"/>
    <w:lvl w:ilvl="0">
      <w:lvlJc w:val="left"/>
      <w:lvlText w:val="·"/>
      <w:numFmt w:val="bullet"/>
      <w:start w:val="1"/>
    </w:lvl>
  </w:abstractNum>
  <w:abstractNum w:abstractNumId="35">
    <w:nsid w:val="70A64E2A"/>
    <w:multiLevelType w:val="hybridMultilevel"/>
    <w:lvl w:ilvl="0">
      <w:lvlJc w:val="left"/>
      <w:lvlText w:val="·"/>
      <w:numFmt w:val="bullet"/>
      <w:start w:val="1"/>
    </w:lvl>
  </w:abstractNum>
  <w:abstractNum w:abstractNumId="36">
    <w:nsid w:val="6A2342EC"/>
    <w:multiLevelType w:val="hybridMultilevel"/>
    <w:lvl w:ilvl="0">
      <w:lvlJc w:val="left"/>
      <w:lvlText w:val="·"/>
      <w:numFmt w:val="bullet"/>
      <w:start w:val="1"/>
    </w:lvl>
  </w:abstractNum>
  <w:abstractNum w:abstractNumId="37">
    <w:nsid w:val="2A487CB0"/>
    <w:multiLevelType w:val="hybridMultilevel"/>
    <w:lvl w:ilvl="0">
      <w:lvlJc w:val="left"/>
      <w:lvlText w:val="·"/>
      <w:numFmt w:val="bullet"/>
      <w:start w:val="1"/>
    </w:lvl>
  </w:abstractNum>
  <w:abstractNum w:abstractNumId="38">
    <w:nsid w:val="1D4ED43B"/>
    <w:multiLevelType w:val="hybridMultilevel"/>
    <w:lvl w:ilvl="0">
      <w:lvlJc w:val="left"/>
      <w:lvlText w:val="·"/>
      <w:numFmt w:val="bullet"/>
      <w:start w:val="1"/>
    </w:lvl>
  </w:abstractNum>
  <w:abstractNum w:abstractNumId="39">
    <w:nsid w:val="725A06FB"/>
    <w:multiLevelType w:val="hybridMultilevel"/>
    <w:lvl w:ilvl="0">
      <w:lvlJc w:val="left"/>
      <w:lvlText w:val="·"/>
      <w:numFmt w:val="bullet"/>
      <w:start w:val="1"/>
    </w:lvl>
  </w:abstractNum>
  <w:abstractNum w:abstractNumId="40">
    <w:nsid w:val="2CD89A32"/>
    <w:multiLevelType w:val="hybridMultilevel"/>
    <w:lvl w:ilvl="0">
      <w:lvlJc w:val="left"/>
      <w:lvlText w:val="·"/>
      <w:numFmt w:val="bullet"/>
      <w:start w:val="1"/>
    </w:lvl>
  </w:abstractNum>
  <w:abstractNum w:abstractNumId="41">
    <w:nsid w:val="57E4CCAF"/>
    <w:multiLevelType w:val="hybridMultilevel"/>
    <w:lvl w:ilvl="0">
      <w:lvlJc w:val="left"/>
      <w:lvlText w:val="·"/>
      <w:numFmt w:val="bullet"/>
      <w:start w:val="1"/>
    </w:lvl>
  </w:abstractNum>
  <w:abstractNum w:abstractNumId="42">
    <w:nsid w:val="7A6D8D3C"/>
    <w:multiLevelType w:val="hybridMultilevel"/>
    <w:lvl w:ilvl="0">
      <w:lvlJc w:val="left"/>
      <w:lvlText w:val="*"/>
      <w:numFmt w:val="bullet"/>
      <w:start w:val="1"/>
    </w:lvl>
  </w:abstractNum>
  <w:abstractNum w:abstractNumId="43">
    <w:nsid w:val="4B588F54"/>
    <w:multiLevelType w:val="hybridMultilevel"/>
    <w:lvl w:ilvl="0">
      <w:lvlJc w:val="left"/>
      <w:lvlText w:val="*"/>
      <w:numFmt w:val="bullet"/>
      <w:start w:val="1"/>
    </w:lvl>
  </w:abstractNum>
  <w:abstractNum w:abstractNumId="44">
    <w:nsid w:val="542289EC"/>
    <w:multiLevelType w:val="hybridMultilevel"/>
    <w:lvl w:ilvl="0">
      <w:lvlJc w:val="left"/>
      <w:lvlText w:val="%1."/>
      <w:numFmt w:val="decimal"/>
      <w:start w:val="1"/>
    </w:lvl>
    <w:lvl w:ilvl="1">
      <w:lvlJc w:val="left"/>
      <w:lvlText w:val="%2)"/>
      <w:numFmt w:val="lowerLetter"/>
      <w:start w:val="1"/>
    </w:lvl>
  </w:abstractNum>
  <w:abstractNum w:abstractNumId="45">
    <w:nsid w:val="6DE91B18"/>
    <w:multiLevelType w:val="hybridMultilevel"/>
    <w:lvl w:ilvl="0">
      <w:lvlJc w:val="left"/>
      <w:lvlText w:val="%1."/>
      <w:numFmt w:val="decimal"/>
      <w:start w:val="1"/>
    </w:lvl>
    <w:lvl w:ilvl="1">
      <w:lvlJc w:val="left"/>
      <w:lvlText w:val="%2)"/>
      <w:numFmt w:val="lowerLetter"/>
      <w:start w:val="1"/>
    </w:lvl>
  </w:abstractNum>
  <w:abstractNum w:abstractNumId="46">
    <w:nsid w:val="38437FDB"/>
    <w:multiLevelType w:val="hybridMultilevel"/>
    <w:lvl w:ilvl="0">
      <w:lvlJc w:val="left"/>
      <w:lvlText w:val="(%1)"/>
      <w:numFmt w:val="lowerRoman"/>
      <w:start w:val="1"/>
    </w:lvl>
  </w:abstractNum>
  <w:abstractNum w:abstractNumId="47">
    <w:nsid w:val="7644A45C"/>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2019-12-14T20:13:10Z</dcterms:created>
  <dcterms:modified xsi:type="dcterms:W3CDTF">2019-12-14T20:13:10Z</dcterms:modified>
</cp:coreProperties>
</file>