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620" w:hanging="612"/>
        <w:spacing w:after="0"/>
        <w:tabs>
          <w:tab w:leader="none" w:pos="62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April 28, 2007</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620" w:hanging="612"/>
        <w:spacing w:after="0"/>
        <w:tabs>
          <w:tab w:leader="none" w:pos="6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69" w:lineRule="exact"/>
        <w:rPr>
          <w:sz w:val="24"/>
          <w:szCs w:val="24"/>
          <w:color w:val="auto"/>
        </w:rPr>
      </w:pPr>
    </w:p>
    <w:p>
      <w:pPr>
        <w:ind w:left="384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00" w:type="dxa"/>
        <w:tblCellMar>
          <w:top w:w="0" w:type="dxa"/>
          <w:left w:w="0" w:type="dxa"/>
          <w:bottom w:w="0" w:type="dxa"/>
          <w:right w:w="0" w:type="dxa"/>
        </w:tblCellMar>
      </w:tblPr>
      <w:tr>
        <w:trPr>
          <w:trHeight w:val="220"/>
        </w:trPr>
        <w:tc>
          <w:tcPr>
            <w:tcW w:w="4220" w:type="dxa"/>
            <w:vAlign w:val="bottom"/>
          </w:tcPr>
          <w:p>
            <w:pPr>
              <w:jc w:val="center"/>
              <w:ind w:right="193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5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2"/>
              </w:rPr>
              <w:t>(I.R.S. Employer</w:t>
            </w:r>
          </w:p>
        </w:tc>
      </w:tr>
      <w:tr>
        <w:trPr>
          <w:trHeight w:val="230"/>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2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14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o No</w:t>
      </w:r>
    </w:p>
    <w:p>
      <w:pPr>
        <w:spacing w:after="0" w:line="181" w:lineRule="exact"/>
        <w:rPr>
          <w:sz w:val="24"/>
          <w:szCs w:val="24"/>
          <w:color w:val="auto"/>
        </w:rPr>
      </w:pPr>
    </w:p>
    <w:p>
      <w:pPr>
        <w:ind w:right="80" w:firstLine="243"/>
        <w:spacing w:after="0" w:line="277"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70" w:lineRule="exact"/>
        <w:rPr>
          <w:sz w:val="24"/>
          <w:szCs w:val="24"/>
          <w:color w:val="auto"/>
        </w:rPr>
      </w:pPr>
    </w:p>
    <w:p>
      <w:pPr>
        <w:ind w:left="1000"/>
        <w:spacing w:after="0"/>
        <w:tabs>
          <w:tab w:leader="none" w:pos="5000" w:val="left"/>
          <w:tab w:leader="none" w:pos="864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279" w:lineRule="exact"/>
        <w:rPr>
          <w:sz w:val="24"/>
          <w:szCs w:val="24"/>
          <w:color w:val="auto"/>
        </w:r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shares outstanding of the registrant’s common stock outstanding as of June 29, 2007 was 587,592,940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320" w:type="dxa"/>
            <w:vAlign w:val="bottom"/>
            <w:gridSpan w:val="13"/>
            <w:vMerge w:val="restart"/>
          </w:tcPr>
          <w:p>
            <w:pPr>
              <w:jc w:val="center"/>
              <w:ind w:right="3020"/>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540" w:type="dxa"/>
            <w:vAlign w:val="bottom"/>
            <w:tcBorders>
              <w:bottom w:val="single" w:sz="8" w:color="auto"/>
            </w:tcBorders>
          </w:tcPr>
          <w:p>
            <w:pPr>
              <w:jc w:val="right"/>
              <w:ind w:right="31"/>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320" w:type="dxa"/>
            <w:vAlign w:val="bottom"/>
            <w:gridSpan w:val="13"/>
            <w:vMerge w:val="continue"/>
          </w:tcPr>
          <w:p>
            <w:pPr>
              <w:spacing w:after="0"/>
              <w:rPr>
                <w:sz w:val="13"/>
                <w:szCs w:val="13"/>
                <w:color w:val="auto"/>
              </w:rPr>
            </w:pPr>
          </w:p>
        </w:tc>
        <w:tc>
          <w:tcPr>
            <w:tcW w:w="5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720" w:type="dxa"/>
            <w:vAlign w:val="bottom"/>
            <w:gridSpan w:val="2"/>
          </w:tcPr>
          <w:p>
            <w:pPr>
              <w:spacing w:after="0"/>
              <w:rPr>
                <w:sz w:val="24"/>
                <w:szCs w:val="24"/>
                <w:color w:val="auto"/>
              </w:rPr>
            </w:pPr>
          </w:p>
        </w:tc>
        <w:tc>
          <w:tcPr>
            <w:tcW w:w="1560" w:type="dxa"/>
            <w:vAlign w:val="bottom"/>
            <w:tcBorders>
              <w:bottom w:val="single" w:sz="8" w:color="0000EE"/>
            </w:tcBorders>
            <w:gridSpan w:val="3"/>
          </w:tcPr>
          <w:p>
            <w:pPr>
              <w:spacing w:after="0"/>
              <w:rPr>
                <w:rFonts w:ascii="Arial" w:cs="Arial" w:eastAsia="Arial" w:hAnsi="Arial"/>
                <w:sz w:val="18"/>
                <w:szCs w:val="18"/>
                <w:color w:val="0000EE"/>
                <w:w w:val="88"/>
              </w:rPr>
            </w:pPr>
            <w:hyperlink w:anchor="page2">
              <w:r>
                <w:rPr>
                  <w:rFonts w:ascii="Arial" w:cs="Arial" w:eastAsia="Arial" w:hAnsi="Arial"/>
                  <w:sz w:val="18"/>
                  <w:szCs w:val="18"/>
                  <w:color w:val="0000EE"/>
                  <w:w w:val="88"/>
                </w:rPr>
                <w:t>Financial Statements:</w:t>
              </w:r>
            </w:hyperlink>
          </w:p>
        </w:tc>
        <w:tc>
          <w:tcPr>
            <w:tcW w:w="1380" w:type="dxa"/>
            <w:vAlign w:val="bottom"/>
            <w:gridSpan w:val="3"/>
          </w:tcPr>
          <w:p>
            <w:pPr>
              <w:spacing w:after="0"/>
              <w:rPr>
                <w:sz w:val="24"/>
                <w:szCs w:val="24"/>
                <w:color w:val="auto"/>
              </w:rPr>
            </w:pPr>
          </w:p>
        </w:tc>
        <w:tc>
          <w:tcPr>
            <w:tcW w:w="3060" w:type="dxa"/>
            <w:vAlign w:val="bottom"/>
            <w:tcBorders>
              <w:top w:val="single" w:sz="8" w:color="0000EE"/>
            </w:tcBorders>
            <w:gridSpan w:val="7"/>
          </w:tcPr>
          <w:p>
            <w:pPr>
              <w:spacing w:after="0"/>
              <w:rPr>
                <w:sz w:val="24"/>
                <w:szCs w:val="24"/>
                <w:color w:val="auto"/>
              </w:rPr>
            </w:pPr>
          </w:p>
        </w:tc>
        <w:tc>
          <w:tcPr>
            <w:tcW w:w="3640" w:type="dxa"/>
            <w:vAlign w:val="bottom"/>
            <w:gridSpan w:val="5"/>
          </w:tcPr>
          <w:p>
            <w:pPr>
              <w:spacing w:after="0"/>
              <w:rPr>
                <w:sz w:val="24"/>
                <w:szCs w:val="24"/>
                <w:color w:val="auto"/>
              </w:rPr>
            </w:pPr>
          </w:p>
        </w:tc>
        <w:tc>
          <w:tcPr>
            <w:tcW w:w="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9640" w:type="dxa"/>
            <w:vAlign w:val="bottom"/>
            <w:gridSpan w:val="18"/>
          </w:tcPr>
          <w:p>
            <w:pPr>
              <w:spacing w:after="0" w:line="196" w:lineRule="exact"/>
              <w:rPr>
                <w:rFonts w:ascii="Arial" w:cs="Arial" w:eastAsia="Arial" w:hAnsi="Arial"/>
                <w:sz w:val="18"/>
                <w:szCs w:val="18"/>
                <w:color w:val="0000EE"/>
              </w:rPr>
            </w:pPr>
            <w:hyperlink w:anchor="page2">
              <w:r>
                <w:rPr>
                  <w:rFonts w:ascii="Arial" w:cs="Arial" w:eastAsia="Arial" w:hAnsi="Arial"/>
                  <w:sz w:val="18"/>
                  <w:szCs w:val="18"/>
                  <w:color w:val="0000EE"/>
                </w:rPr>
                <w:t>Unaudited Condensed Consolidated Balance Sheets as of April 28, 2007 and January 27, 2007</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80" w:type="dxa"/>
            <w:vAlign w:val="bottom"/>
            <w:shd w:val="clear" w:color="auto" w:fill="0000EE"/>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8940" w:type="dxa"/>
            <w:vAlign w:val="bottom"/>
            <w:tcBorders>
              <w:bottom w:val="single" w:sz="8" w:color="0000EE"/>
            </w:tcBorders>
            <w:gridSpan w:val="16"/>
          </w:tcPr>
          <w:p>
            <w:pPr>
              <w:spacing w:after="0" w:line="196" w:lineRule="exact"/>
              <w:rPr>
                <w:rFonts w:ascii="Arial" w:cs="Arial" w:eastAsia="Arial" w:hAnsi="Arial"/>
                <w:sz w:val="18"/>
                <w:szCs w:val="18"/>
                <w:color w:val="0000EE"/>
                <w:w w:val="90"/>
              </w:rPr>
            </w:pPr>
            <w:hyperlink w:anchor="page2">
              <w:r>
                <w:rPr>
                  <w:rFonts w:ascii="Arial" w:cs="Arial" w:eastAsia="Arial" w:hAnsi="Arial"/>
                  <w:sz w:val="18"/>
                  <w:szCs w:val="18"/>
                  <w:color w:val="0000EE"/>
                  <w:w w:val="90"/>
                </w:rPr>
                <w:t>Unaudited Condensed Consolidated Statements of Operations for the three months ended April 28, 2007 and April 29, 2006</w:t>
              </w:r>
            </w:hyperlink>
          </w:p>
        </w:tc>
        <w:tc>
          <w:tcPr>
            <w:tcW w:w="700" w:type="dxa"/>
            <w:vAlign w:val="bottom"/>
            <w:gridSpan w:val="2"/>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9640" w:type="dxa"/>
            <w:vAlign w:val="bottom"/>
            <w:gridSpan w:val="18"/>
          </w:tcPr>
          <w:p>
            <w:pPr>
              <w:spacing w:after="0" w:line="196" w:lineRule="exact"/>
              <w:rPr>
                <w:rFonts w:ascii="Arial" w:cs="Arial" w:eastAsia="Arial" w:hAnsi="Arial"/>
                <w:sz w:val="18"/>
                <w:szCs w:val="18"/>
                <w:color w:val="0000EE"/>
                <w:w w:val="96"/>
              </w:rPr>
            </w:pPr>
            <w:hyperlink w:anchor="page3">
              <w:r>
                <w:rPr>
                  <w:rFonts w:ascii="Arial" w:cs="Arial" w:eastAsia="Arial" w:hAnsi="Arial"/>
                  <w:sz w:val="18"/>
                  <w:szCs w:val="18"/>
                  <w:color w:val="0000EE"/>
                  <w:w w:val="96"/>
                </w:rPr>
                <w:t>Unaudited Condensed Consolidated Statements of Cash Flows for the three months ended April 28, 2007 and April 29, 2006</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8980" w:type="dxa"/>
            <w:vAlign w:val="bottom"/>
            <w:tcBorders>
              <w:top w:val="single" w:sz="8" w:color="0000EE"/>
            </w:tcBorders>
            <w:gridSpan w:val="17"/>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Notes to Unaudited Condensed Consolidated Financial Statements</w:t>
              </w:r>
            </w:hyperlink>
          </w:p>
        </w:tc>
        <w:tc>
          <w:tcPr>
            <w:tcW w:w="660" w:type="dxa"/>
            <w:vAlign w:val="bottom"/>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3180" w:type="dxa"/>
            <w:vAlign w:val="bottom"/>
            <w:gridSpan w:val="4"/>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18">
              <w:r>
                <w:rPr>
                  <w:rFonts w:ascii="Arial" w:cs="Arial" w:eastAsia="Arial" w:hAnsi="Arial"/>
                  <w:sz w:val="18"/>
                  <w:szCs w:val="18"/>
                  <w:color w:val="0000EE"/>
                  <w:w w:val="90"/>
                </w:rPr>
                <w:t>Item 2.</w:t>
              </w:r>
            </w:hyperlink>
          </w:p>
        </w:tc>
        <w:tc>
          <w:tcPr>
            <w:tcW w:w="720" w:type="dxa"/>
            <w:vAlign w:val="bottom"/>
            <w:gridSpan w:val="2"/>
          </w:tcPr>
          <w:p>
            <w:pPr>
              <w:spacing w:after="0"/>
              <w:rPr>
                <w:sz w:val="17"/>
                <w:szCs w:val="17"/>
                <w:color w:val="auto"/>
              </w:rPr>
            </w:pPr>
          </w:p>
        </w:tc>
        <w:tc>
          <w:tcPr>
            <w:tcW w:w="6460" w:type="dxa"/>
            <w:vAlign w:val="bottom"/>
            <w:tcBorders>
              <w:bottom w:val="single" w:sz="8" w:color="0000EE"/>
            </w:tcBorders>
            <w:gridSpan w:val="14"/>
          </w:tcPr>
          <w:p>
            <w:pPr>
              <w:spacing w:after="0" w:line="196" w:lineRule="exact"/>
              <w:rPr>
                <w:rFonts w:ascii="Arial" w:cs="Arial" w:eastAsia="Arial" w:hAnsi="Arial"/>
                <w:sz w:val="18"/>
                <w:szCs w:val="18"/>
                <w:color w:val="0000EE"/>
                <w:w w:val="90"/>
              </w:rPr>
            </w:pPr>
            <w:hyperlink w:anchor="page18">
              <w:r>
                <w:rPr>
                  <w:rFonts w:ascii="Arial" w:cs="Arial" w:eastAsia="Arial" w:hAnsi="Arial"/>
                  <w:sz w:val="18"/>
                  <w:szCs w:val="18"/>
                  <w:color w:val="0000EE"/>
                  <w:w w:val="90"/>
                </w:rPr>
                <w:t>Management’s Discussion and Analysis of Financial Condition and Results of Operations</w:t>
              </w:r>
            </w:hyperlink>
          </w:p>
        </w:tc>
        <w:tc>
          <w:tcPr>
            <w:tcW w:w="3180" w:type="dxa"/>
            <w:vAlign w:val="bottom"/>
            <w:gridSpan w:val="4"/>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26">
              <w:r>
                <w:rPr>
                  <w:rFonts w:ascii="Arial" w:cs="Arial" w:eastAsia="Arial" w:hAnsi="Arial"/>
                  <w:sz w:val="18"/>
                  <w:szCs w:val="18"/>
                  <w:color w:val="0000EE"/>
                  <w:w w:val="90"/>
                </w:rPr>
                <w:t>Item 3.</w:t>
              </w:r>
            </w:hyperlink>
          </w:p>
        </w:tc>
        <w:tc>
          <w:tcPr>
            <w:tcW w:w="720" w:type="dxa"/>
            <w:vAlign w:val="bottom"/>
            <w:gridSpan w:val="2"/>
          </w:tcPr>
          <w:p>
            <w:pPr>
              <w:spacing w:after="0"/>
              <w:rPr>
                <w:sz w:val="17"/>
                <w:szCs w:val="17"/>
                <w:color w:val="auto"/>
              </w:rPr>
            </w:pPr>
          </w:p>
        </w:tc>
        <w:tc>
          <w:tcPr>
            <w:tcW w:w="4360" w:type="dxa"/>
            <w:vAlign w:val="bottom"/>
            <w:tcBorders>
              <w:bottom w:val="single" w:sz="8" w:color="0000EE"/>
            </w:tcBorders>
            <w:gridSpan w:val="10"/>
          </w:tcPr>
          <w:p>
            <w:pPr>
              <w:spacing w:after="0" w:line="196" w:lineRule="exact"/>
              <w:rPr>
                <w:rFonts w:ascii="Arial" w:cs="Arial" w:eastAsia="Arial" w:hAnsi="Arial"/>
                <w:sz w:val="18"/>
                <w:szCs w:val="18"/>
                <w:color w:val="0000EE"/>
                <w:w w:val="92"/>
              </w:rPr>
            </w:pPr>
            <w:hyperlink w:anchor="page26">
              <w:r>
                <w:rPr>
                  <w:rFonts w:ascii="Arial" w:cs="Arial" w:eastAsia="Arial" w:hAnsi="Arial"/>
                  <w:sz w:val="18"/>
                  <w:szCs w:val="18"/>
                  <w:color w:val="0000EE"/>
                  <w:w w:val="92"/>
                </w:rPr>
                <w:t>Quantitative and Qualitative Disclosures About Market Risk</w:t>
              </w:r>
            </w:hyperlink>
          </w:p>
        </w:tc>
        <w:tc>
          <w:tcPr>
            <w:tcW w:w="5280" w:type="dxa"/>
            <w:vAlign w:val="bottom"/>
            <w:gridSpan w:val="8"/>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196"/>
        </w:trPr>
        <w:tc>
          <w:tcPr>
            <w:tcW w:w="1240" w:type="dxa"/>
            <w:vAlign w:val="bottom"/>
            <w:gridSpan w:val="3"/>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Item 4.</w:t>
              </w:r>
            </w:hyperlink>
          </w:p>
        </w:tc>
        <w:tc>
          <w:tcPr>
            <w:tcW w:w="9640" w:type="dxa"/>
            <w:vAlign w:val="bottom"/>
            <w:gridSpan w:val="18"/>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Controls and Procedures</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412"/>
        </w:trPr>
        <w:tc>
          <w:tcPr>
            <w:tcW w:w="52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900" w:type="dxa"/>
            <w:vAlign w:val="bottom"/>
            <w:tcBorders>
              <w:top w:val="single" w:sz="8" w:color="0000EE"/>
            </w:tcBorders>
          </w:tcPr>
          <w:p>
            <w:pPr>
              <w:spacing w:after="0"/>
              <w:rPr>
                <w:sz w:val="24"/>
                <w:szCs w:val="24"/>
                <w:color w:val="auto"/>
              </w:rPr>
            </w:pPr>
          </w:p>
        </w:tc>
        <w:tc>
          <w:tcPr>
            <w:tcW w:w="4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5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780" w:type="dxa"/>
            <w:vAlign w:val="bottom"/>
            <w:tcBorders>
              <w:bottom w:val="single" w:sz="8" w:color="0000EE"/>
            </w:tcBorders>
            <w:gridSpan w:val="5"/>
          </w:tcPr>
          <w:p>
            <w:pPr>
              <w:jc w:val="center"/>
              <w:spacing w:after="0"/>
              <w:rPr>
                <w:rFonts w:ascii="Arial" w:cs="Arial" w:eastAsia="Arial" w:hAnsi="Arial"/>
                <w:sz w:val="18"/>
                <w:szCs w:val="18"/>
                <w:b w:val="1"/>
                <w:bCs w:val="1"/>
                <w:color w:val="0000EE"/>
              </w:rPr>
            </w:pPr>
            <w:hyperlink w:anchor="page28">
              <w:r>
                <w:rPr>
                  <w:rFonts w:ascii="Arial" w:cs="Arial" w:eastAsia="Arial" w:hAnsi="Arial"/>
                  <w:sz w:val="18"/>
                  <w:szCs w:val="18"/>
                  <w:b w:val="1"/>
                  <w:bCs w:val="1"/>
                  <w:color w:val="0000EE"/>
                </w:rPr>
                <w:t>PART II. OTHER INFORMATION</w:t>
              </w:r>
            </w:hyperlink>
          </w:p>
        </w:tc>
        <w:tc>
          <w:tcPr>
            <w:tcW w:w="3780" w:type="dxa"/>
            <w:vAlign w:val="bottom"/>
            <w:gridSpan w:val="6"/>
          </w:tcPr>
          <w:p>
            <w:pPr>
              <w:spacing w:after="0"/>
              <w:rPr>
                <w:sz w:val="24"/>
                <w:szCs w:val="24"/>
                <w:color w:val="auto"/>
              </w:rPr>
            </w:pPr>
          </w:p>
        </w:tc>
        <w:tc>
          <w:tcPr>
            <w:tcW w:w="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28">
              <w:r>
                <w:rPr>
                  <w:rFonts w:ascii="Arial" w:cs="Arial" w:eastAsia="Arial" w:hAnsi="Arial"/>
                  <w:sz w:val="18"/>
                  <w:szCs w:val="18"/>
                  <w:color w:val="0000EE"/>
                  <w:w w:val="90"/>
                </w:rPr>
                <w:t>Item 1.</w:t>
              </w:r>
            </w:hyperlink>
          </w:p>
        </w:tc>
        <w:tc>
          <w:tcPr>
            <w:tcW w:w="720" w:type="dxa"/>
            <w:vAlign w:val="bottom"/>
            <w:gridSpan w:val="2"/>
          </w:tcPr>
          <w:p>
            <w:pPr>
              <w:spacing w:after="0"/>
              <w:rPr>
                <w:sz w:val="24"/>
                <w:szCs w:val="24"/>
                <w:color w:val="auto"/>
              </w:rPr>
            </w:pPr>
          </w:p>
        </w:tc>
        <w:tc>
          <w:tcPr>
            <w:tcW w:w="1340" w:type="dxa"/>
            <w:vAlign w:val="bottom"/>
            <w:tcBorders>
              <w:bottom w:val="single" w:sz="8" w:color="0000EE"/>
            </w:tcBorders>
            <w:gridSpan w:val="2"/>
          </w:tcPr>
          <w:p>
            <w:pPr>
              <w:spacing w:after="0"/>
              <w:rPr>
                <w:rFonts w:ascii="Arial" w:cs="Arial" w:eastAsia="Arial" w:hAnsi="Arial"/>
                <w:sz w:val="18"/>
                <w:szCs w:val="18"/>
                <w:color w:val="0000EE"/>
                <w:w w:val="88"/>
              </w:rPr>
            </w:pPr>
            <w:hyperlink w:anchor="page28">
              <w:r>
                <w:rPr>
                  <w:rFonts w:ascii="Arial" w:cs="Arial" w:eastAsia="Arial" w:hAnsi="Arial"/>
                  <w:sz w:val="18"/>
                  <w:szCs w:val="18"/>
                  <w:color w:val="0000EE"/>
                  <w:w w:val="88"/>
                </w:rPr>
                <w:t>Legal Proceedings</w:t>
              </w:r>
            </w:hyperlink>
          </w:p>
        </w:tc>
        <w:tc>
          <w:tcPr>
            <w:tcW w:w="8300" w:type="dxa"/>
            <w:vAlign w:val="bottom"/>
            <w:gridSpan w:val="16"/>
          </w:tcPr>
          <w:p>
            <w:pPr>
              <w:spacing w:after="0"/>
              <w:rPr>
                <w:sz w:val="24"/>
                <w:szCs w:val="24"/>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196"/>
        </w:trPr>
        <w:tc>
          <w:tcPr>
            <w:tcW w:w="1240" w:type="dxa"/>
            <w:vAlign w:val="bottom"/>
            <w:gridSpan w:val="3"/>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Item 1A.</w:t>
              </w:r>
            </w:hyperlink>
          </w:p>
        </w:tc>
        <w:tc>
          <w:tcPr>
            <w:tcW w:w="9640" w:type="dxa"/>
            <w:vAlign w:val="bottom"/>
            <w:gridSpan w:val="18"/>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Risk Factors</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0"/>
        </w:trPr>
        <w:tc>
          <w:tcPr>
            <w:tcW w:w="640" w:type="dxa"/>
            <w:vAlign w:val="bottom"/>
            <w:gridSpan w:val="2"/>
            <w:shd w:val="clear" w:color="auto" w:fill="0000EE"/>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1420" w:type="dxa"/>
            <w:vAlign w:val="bottom"/>
            <w:gridSpan w:val="4"/>
          </w:tcPr>
          <w:p>
            <w:pPr>
              <w:spacing w:after="0" w:line="20" w:lineRule="exact"/>
              <w:rPr>
                <w:sz w:val="1"/>
                <w:szCs w:val="1"/>
                <w:color w:val="auto"/>
              </w:rPr>
            </w:pPr>
          </w:p>
        </w:tc>
        <w:tc>
          <w:tcPr>
            <w:tcW w:w="1440" w:type="dxa"/>
            <w:vAlign w:val="bottom"/>
            <w:gridSpan w:val="3"/>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300" w:type="dxa"/>
            <w:vAlign w:val="bottom"/>
            <w:gridSpan w:val="9"/>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2.</w:t>
              </w:r>
            </w:hyperlink>
          </w:p>
        </w:tc>
        <w:tc>
          <w:tcPr>
            <w:tcW w:w="1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9640" w:type="dxa"/>
            <w:vAlign w:val="bottom"/>
            <w:gridSpan w:val="18"/>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Unregistered Sales of Equity Securities and Use of Proceeds</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3.</w:t>
              </w:r>
            </w:hyperlink>
          </w:p>
        </w:tc>
        <w:tc>
          <w:tcPr>
            <w:tcW w:w="720" w:type="dxa"/>
            <w:vAlign w:val="bottom"/>
            <w:gridSpan w:val="2"/>
          </w:tcPr>
          <w:p>
            <w:pPr>
              <w:spacing w:after="0"/>
              <w:rPr>
                <w:sz w:val="17"/>
                <w:szCs w:val="17"/>
                <w:color w:val="auto"/>
              </w:rPr>
            </w:pPr>
          </w:p>
        </w:tc>
        <w:tc>
          <w:tcPr>
            <w:tcW w:w="4340" w:type="dxa"/>
            <w:vAlign w:val="bottom"/>
            <w:tcBorders>
              <w:top w:val="single" w:sz="8" w:color="0000EE"/>
            </w:tcBorders>
            <w:gridSpan w:val="9"/>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Defaults Upon Senior Securities</w:t>
              </w:r>
            </w:hyperlink>
          </w:p>
        </w:tc>
        <w:tc>
          <w:tcPr>
            <w:tcW w:w="5300" w:type="dxa"/>
            <w:vAlign w:val="bottom"/>
            <w:gridSpan w:val="9"/>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2320" w:type="dxa"/>
            <w:vAlign w:val="bottom"/>
            <w:gridSpan w:val="5"/>
            <w:shd w:val="clear" w:color="auto" w:fill="0000EE"/>
          </w:tcPr>
          <w:p>
            <w:pPr>
              <w:spacing w:after="0" w:line="20" w:lineRule="exact"/>
              <w:rPr>
                <w:sz w:val="1"/>
                <w:szCs w:val="1"/>
                <w:color w:val="auto"/>
              </w:rPr>
            </w:pPr>
          </w:p>
        </w:tc>
        <w:tc>
          <w:tcPr>
            <w:tcW w:w="1440" w:type="dxa"/>
            <w:vAlign w:val="bottom"/>
            <w:gridSpan w:val="3"/>
          </w:tcPr>
          <w:p>
            <w:pPr>
              <w:spacing w:after="0" w:line="20" w:lineRule="exact"/>
              <w:rPr>
                <w:sz w:val="1"/>
                <w:szCs w:val="1"/>
                <w:color w:val="auto"/>
              </w:rPr>
            </w:pPr>
          </w:p>
        </w:tc>
        <w:tc>
          <w:tcPr>
            <w:tcW w:w="5880" w:type="dxa"/>
            <w:vAlign w:val="bottom"/>
            <w:gridSpan w:val="1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4.</w:t>
              </w:r>
            </w:hyperlink>
          </w:p>
        </w:tc>
        <w:tc>
          <w:tcPr>
            <w:tcW w:w="720" w:type="dxa"/>
            <w:vAlign w:val="bottom"/>
            <w:gridSpan w:val="2"/>
          </w:tcPr>
          <w:p>
            <w:pPr>
              <w:spacing w:after="0"/>
              <w:rPr>
                <w:sz w:val="17"/>
                <w:szCs w:val="17"/>
                <w:color w:val="auto"/>
              </w:rPr>
            </w:pPr>
          </w:p>
        </w:tc>
        <w:tc>
          <w:tcPr>
            <w:tcW w:w="9640" w:type="dxa"/>
            <w:vAlign w:val="bottom"/>
            <w:gridSpan w:val="18"/>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Submission of Matters to a Vote of Security Holders</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530" w:right="239" w:bottom="0" w:gutter="0" w:footer="0" w:header="0"/>
        </w:sectPr>
      </w:pPr>
    </w:p>
    <w:bookmarkStart w:id="1" w:name="page2"/>
    <w:bookmarkEnd w:id="1"/>
    <w:p>
      <w:pPr>
        <w:spacing w:after="0" w:line="50"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gridSpan w:val="2"/>
          </w:tcPr>
          <w:p>
            <w:pPr>
              <w:spacing w:after="0"/>
              <w:rPr>
                <w:rFonts w:ascii="Arial" w:cs="Arial" w:eastAsia="Arial" w:hAnsi="Arial"/>
                <w:sz w:val="18"/>
                <w:szCs w:val="18"/>
                <w:color w:val="0000EE"/>
                <w:w w:val="87"/>
              </w:rPr>
            </w:pPr>
            <w:hyperlink w:anchor="page42">
              <w:r>
                <w:rPr>
                  <w:rFonts w:ascii="Arial" w:cs="Arial" w:eastAsia="Arial" w:hAnsi="Arial"/>
                  <w:sz w:val="18"/>
                  <w:szCs w:val="18"/>
                  <w:color w:val="0000EE"/>
                  <w:w w:val="87"/>
                </w:rPr>
                <w:t>Item 5.</w:t>
              </w:r>
            </w:hyperlink>
          </w:p>
        </w:tc>
        <w:tc>
          <w:tcPr>
            <w:tcW w:w="700" w:type="dxa"/>
            <w:vAlign w:val="bottom"/>
            <w:gridSpan w:val="3"/>
          </w:tcPr>
          <w:p>
            <w:pPr>
              <w:spacing w:after="0"/>
              <w:rPr>
                <w:sz w:val="17"/>
                <w:szCs w:val="17"/>
                <w:color w:val="auto"/>
              </w:rPr>
            </w:pPr>
          </w:p>
        </w:tc>
        <w:tc>
          <w:tcPr>
            <w:tcW w:w="2360" w:type="dxa"/>
            <w:vAlign w:val="bottom"/>
            <w:gridSpan w:val="4"/>
          </w:tcPr>
          <w:p>
            <w:pPr>
              <w:ind w:left="20"/>
              <w:spacing w:after="0"/>
              <w:rPr>
                <w:rFonts w:ascii="Arial" w:cs="Arial" w:eastAsia="Arial" w:hAnsi="Arial"/>
                <w:sz w:val="18"/>
                <w:szCs w:val="18"/>
                <w:color w:val="0000EE"/>
              </w:rPr>
            </w:pPr>
            <w:hyperlink w:anchor="page42">
              <w:r>
                <w:rPr>
                  <w:rFonts w:ascii="Arial" w:cs="Arial" w:eastAsia="Arial" w:hAnsi="Arial"/>
                  <w:sz w:val="18"/>
                  <w:szCs w:val="18"/>
                  <w:color w:val="0000EE"/>
                </w:rPr>
                <w:t>Other Information</w:t>
              </w:r>
            </w:hyperlink>
          </w:p>
        </w:tc>
        <w:tc>
          <w:tcPr>
            <w:tcW w:w="47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gridSpan w:val="2"/>
          </w:tcPr>
          <w:p>
            <w:pPr>
              <w:jc w:val="right"/>
              <w:ind w:right="20"/>
              <w:spacing w:after="0"/>
              <w:rPr>
                <w:sz w:val="20"/>
                <w:szCs w:val="20"/>
                <w:color w:val="auto"/>
              </w:rPr>
            </w:pPr>
            <w:r>
              <w:rPr>
                <w:rFonts w:ascii="Arial" w:cs="Arial" w:eastAsia="Arial" w:hAnsi="Arial"/>
                <w:sz w:val="18"/>
                <w:szCs w:val="18"/>
                <w:color w:val="auto"/>
              </w:rPr>
              <w:t>58</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gridSpan w:val="2"/>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gridSpan w:val="2"/>
          </w:tcPr>
          <w:p>
            <w:pPr>
              <w:spacing w:after="0" w:line="196" w:lineRule="exact"/>
              <w:rPr>
                <w:rFonts w:ascii="Arial" w:cs="Arial" w:eastAsia="Arial" w:hAnsi="Arial"/>
                <w:sz w:val="18"/>
                <w:szCs w:val="18"/>
                <w:color w:val="0000EE"/>
                <w:w w:val="87"/>
              </w:rPr>
            </w:pPr>
            <w:hyperlink w:anchor="page42">
              <w:r>
                <w:rPr>
                  <w:rFonts w:ascii="Arial" w:cs="Arial" w:eastAsia="Arial" w:hAnsi="Arial"/>
                  <w:sz w:val="18"/>
                  <w:szCs w:val="18"/>
                  <w:color w:val="0000EE"/>
                  <w:w w:val="87"/>
                </w:rPr>
                <w:t>Item 6.</w:t>
              </w:r>
            </w:hyperlink>
          </w:p>
        </w:tc>
        <w:tc>
          <w:tcPr>
            <w:tcW w:w="700" w:type="dxa"/>
            <w:vAlign w:val="bottom"/>
            <w:gridSpan w:val="3"/>
          </w:tcPr>
          <w:p>
            <w:pPr>
              <w:spacing w:after="0"/>
              <w:rPr>
                <w:sz w:val="17"/>
                <w:szCs w:val="17"/>
                <w:color w:val="auto"/>
              </w:rPr>
            </w:pPr>
          </w:p>
        </w:tc>
        <w:tc>
          <w:tcPr>
            <w:tcW w:w="2360" w:type="dxa"/>
            <w:vAlign w:val="bottom"/>
            <w:gridSpan w:val="4"/>
          </w:tcPr>
          <w:p>
            <w:pPr>
              <w:ind w:left="20"/>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Exhibits</w:t>
              </w:r>
            </w:hyperlink>
          </w:p>
        </w:tc>
        <w:tc>
          <w:tcPr>
            <w:tcW w:w="47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58</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20" w:type="dxa"/>
            <w:vAlign w:val="bottom"/>
            <w:gridSpan w:val="5"/>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Signatures</w:t>
              </w:r>
            </w:hyperlink>
          </w:p>
        </w:tc>
        <w:tc>
          <w:tcPr>
            <w:tcW w:w="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47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59</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60" w:type="dxa"/>
            <w:vAlign w:val="bottom"/>
            <w:gridSpan w:val="3"/>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20" w:type="dxa"/>
            <w:vAlign w:val="bottom"/>
            <w:gridSpan w:val="5"/>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Exhibit Index</w:t>
              </w:r>
            </w:hyperlink>
          </w:p>
        </w:tc>
        <w:tc>
          <w:tcPr>
            <w:tcW w:w="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47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723"/>
        </w:trPr>
        <w:tc>
          <w:tcPr>
            <w:tcW w:w="20" w:type="dxa"/>
            <w:vAlign w:val="bottom"/>
          </w:tcPr>
          <w:p>
            <w:pPr>
              <w:spacing w:after="0"/>
              <w:rPr>
                <w:sz w:val="24"/>
                <w:szCs w:val="24"/>
                <w:color w:val="auto"/>
              </w:rPr>
            </w:pPr>
          </w:p>
        </w:tc>
        <w:tc>
          <w:tcPr>
            <w:tcW w:w="50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780" w:type="dxa"/>
            <w:vAlign w:val="bottom"/>
          </w:tcPr>
          <w:p>
            <w:pPr>
              <w:jc w:val="center"/>
              <w:ind w:right="430"/>
              <w:spacing w:after="0"/>
              <w:rPr>
                <w:sz w:val="20"/>
                <w:szCs w:val="20"/>
                <w:color w:val="auto"/>
              </w:rPr>
            </w:pPr>
            <w:r>
              <w:rPr>
                <w:rFonts w:ascii="Arial" w:cs="Arial" w:eastAsia="Arial" w:hAnsi="Arial"/>
                <w:sz w:val="18"/>
                <w:szCs w:val="18"/>
                <w:color w:val="auto"/>
                <w:w w:val="99"/>
              </w:rPr>
              <w:t>2</w:t>
            </w: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60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1020" w:type="dxa"/>
            <w:vAlign w:val="bottom"/>
            <w:tcBorders>
              <w:bottom w:val="single" w:sz="8" w:color="010101"/>
            </w:tcBorders>
          </w:tcPr>
          <w:p>
            <w:pPr>
              <w:spacing w:after="0"/>
              <w:rPr>
                <w:sz w:val="24"/>
                <w:szCs w:val="24"/>
                <w:color w:val="auto"/>
              </w:rPr>
            </w:pPr>
          </w:p>
        </w:tc>
        <w:tc>
          <w:tcPr>
            <w:tcW w:w="478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112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116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020" w:type="dxa"/>
            <w:vAlign w:val="bottom"/>
            <w:gridSpan w:val="2"/>
          </w:tcPr>
          <w:p>
            <w:pPr>
              <w:jc w:val="center"/>
              <w:ind w:right="665"/>
              <w:spacing w:after="0"/>
              <w:rPr>
                <w:sz w:val="20"/>
                <w:szCs w:val="20"/>
                <w:color w:val="auto"/>
              </w:rPr>
            </w:pPr>
            <w:r>
              <w:rPr>
                <w:rFonts w:ascii="Arial" w:cs="Arial" w:eastAsia="Arial" w:hAnsi="Arial"/>
                <w:sz w:val="18"/>
                <w:szCs w:val="18"/>
                <w:b w:val="1"/>
                <w:bCs w:val="1"/>
                <w:color w:val="auto"/>
              </w:rPr>
              <w:t>PART I: FINANCIAL INFORMATION</w:t>
            </w:r>
          </w:p>
        </w:tc>
        <w:tc>
          <w:tcPr>
            <w:tcW w:w="1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580" w:type="dxa"/>
            <w:vAlign w:val="bottom"/>
            <w:gridSpan w:val="9"/>
          </w:tcPr>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tc>
        <w:tc>
          <w:tcPr>
            <w:tcW w:w="47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4"/>
        </w:trPr>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020" w:type="dxa"/>
            <w:vAlign w:val="bottom"/>
            <w:gridSpan w:val="2"/>
          </w:tcPr>
          <w:p>
            <w:pPr>
              <w:jc w:val="center"/>
              <w:ind w:right="685"/>
              <w:spacing w:after="0"/>
              <w:rPr>
                <w:sz w:val="20"/>
                <w:szCs w:val="20"/>
                <w:color w:val="auto"/>
              </w:rPr>
            </w:pPr>
            <w:r>
              <w:rPr>
                <w:rFonts w:ascii="Arial" w:cs="Arial" w:eastAsia="Arial" w:hAnsi="Arial"/>
                <w:sz w:val="18"/>
                <w:szCs w:val="18"/>
                <w:b w:val="1"/>
                <w:bCs w:val="1"/>
                <w:color w:val="auto"/>
              </w:rPr>
              <w:t>MARVELL TECHNOLOGY GROUP LTD.</w:t>
            </w:r>
          </w:p>
        </w:tc>
        <w:tc>
          <w:tcPr>
            <w:tcW w:w="1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40" w:type="dxa"/>
            <w:vAlign w:val="bottom"/>
            <w:gridSpan w:val="3"/>
          </w:tcPr>
          <w:p>
            <w:pPr>
              <w:jc w:val="center"/>
              <w:ind w:left="170"/>
              <w:spacing w:after="0"/>
              <w:rPr>
                <w:sz w:val="20"/>
                <w:szCs w:val="20"/>
                <w:color w:val="auto"/>
              </w:rPr>
            </w:pPr>
            <w:r>
              <w:rPr>
                <w:rFonts w:ascii="Arial" w:cs="Arial" w:eastAsia="Arial" w:hAnsi="Arial"/>
                <w:sz w:val="18"/>
                <w:szCs w:val="18"/>
                <w:b w:val="1"/>
                <w:bCs w:val="1"/>
                <w:color w:val="auto"/>
                <w:w w:val="99"/>
              </w:rPr>
              <w:t>UNAUDITED CONDENSED CONSOLIDATED BALANCE SHEETS</w:t>
            </w: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5020" w:type="dxa"/>
            <w:vAlign w:val="bottom"/>
            <w:gridSpan w:val="2"/>
          </w:tcPr>
          <w:p>
            <w:pPr>
              <w:jc w:val="center"/>
              <w:ind w:right="685"/>
              <w:spacing w:after="0"/>
              <w:rPr>
                <w:sz w:val="20"/>
                <w:szCs w:val="20"/>
                <w:color w:val="auto"/>
              </w:rPr>
            </w:pPr>
            <w:r>
              <w:rPr>
                <w:rFonts w:ascii="Arial" w:cs="Arial" w:eastAsia="Arial" w:hAnsi="Arial"/>
                <w:sz w:val="18"/>
                <w:szCs w:val="18"/>
                <w:b w:val="1"/>
                <w:bCs w:val="1"/>
                <w:color w:val="auto"/>
                <w:w w:val="89"/>
              </w:rPr>
              <w:t>(In thousands, except par value)</w:t>
            </w:r>
          </w:p>
        </w:tc>
        <w:tc>
          <w:tcPr>
            <w:tcW w:w="1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020" w:type="dxa"/>
            <w:vAlign w:val="bottom"/>
            <w:gridSpan w:val="2"/>
          </w:tcPr>
          <w:p>
            <w:pPr>
              <w:jc w:val="center"/>
              <w:ind w:right="685"/>
              <w:spacing w:after="0"/>
              <w:rPr>
                <w:sz w:val="20"/>
                <w:szCs w:val="20"/>
                <w:color w:val="auto"/>
              </w:rPr>
            </w:pPr>
            <w:r>
              <w:rPr>
                <w:rFonts w:ascii="Arial" w:cs="Arial" w:eastAsia="Arial" w:hAnsi="Arial"/>
                <w:sz w:val="18"/>
                <w:szCs w:val="18"/>
                <w:b w:val="1"/>
                <w:bCs w:val="1"/>
                <w:color w:val="auto"/>
                <w:w w:val="91"/>
              </w:rPr>
              <w:t>ASSETS</w:t>
            </w:r>
          </w:p>
        </w:tc>
        <w:tc>
          <w:tcPr>
            <w:tcW w:w="1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5"/>
        </w:trPr>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April 28,</w:t>
            </w: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80" w:type="dxa"/>
            <w:vAlign w:val="bottom"/>
            <w:gridSpan w:val="3"/>
          </w:tcPr>
          <w:p>
            <w:pPr>
              <w:ind w:left="120"/>
              <w:spacing w:after="0"/>
              <w:rPr>
                <w:sz w:val="20"/>
                <w:szCs w:val="20"/>
                <w:color w:val="auto"/>
              </w:rPr>
            </w:pPr>
            <w:r>
              <w:rPr>
                <w:rFonts w:ascii="Arial" w:cs="Arial" w:eastAsia="Arial" w:hAnsi="Arial"/>
                <w:sz w:val="14"/>
                <w:szCs w:val="14"/>
                <w:b w:val="1"/>
                <w:bCs w:val="1"/>
                <w:color w:val="auto"/>
              </w:rPr>
              <w:t>January 27,</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1020" w:type="dxa"/>
            <w:vAlign w:val="bottom"/>
            <w:tcBorders>
              <w:bottom w:val="single" w:sz="8" w:color="CCEEFF"/>
            </w:tcBorders>
          </w:tcPr>
          <w:p>
            <w:pPr>
              <w:spacing w:after="0"/>
              <w:rPr>
                <w:sz w:val="14"/>
                <w:szCs w:val="14"/>
                <w:color w:val="auto"/>
              </w:rPr>
            </w:pPr>
          </w:p>
        </w:tc>
        <w:tc>
          <w:tcPr>
            <w:tcW w:w="478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2007</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200" w:type="dxa"/>
            <w:vAlign w:val="bottom"/>
            <w:gridSpan w:val="4"/>
            <w:shd w:val="clear" w:color="auto" w:fill="CCEEFF"/>
          </w:tcPr>
          <w:p>
            <w:pPr>
              <w:spacing w:after="0" w:line="196" w:lineRule="exact"/>
              <w:rPr>
                <w:sz w:val="20"/>
                <w:szCs w:val="20"/>
                <w:color w:val="auto"/>
              </w:rPr>
            </w:pPr>
            <w:r>
              <w:rPr>
                <w:rFonts w:ascii="Arial" w:cs="Arial" w:eastAsia="Arial" w:hAnsi="Arial"/>
                <w:sz w:val="18"/>
                <w:szCs w:val="18"/>
                <w:color w:val="auto"/>
                <w:w w:val="96"/>
              </w:rPr>
              <w:t>Current assets:</w:t>
            </w:r>
          </w:p>
        </w:tc>
        <w:tc>
          <w:tcPr>
            <w:tcW w:w="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47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rPr>
              <w:t>Cash and cash equivalents</w:t>
            </w:r>
          </w:p>
        </w:tc>
        <w:tc>
          <w:tcPr>
            <w:tcW w:w="502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464,498</w:t>
            </w:r>
          </w:p>
        </w:tc>
        <w:tc>
          <w:tcPr>
            <w:tcW w:w="160" w:type="dxa"/>
            <w:vAlign w:val="bottom"/>
          </w:tcPr>
          <w:p>
            <w:pPr>
              <w:spacing w:after="0"/>
              <w:rPr>
                <w:sz w:val="18"/>
                <w:szCs w:val="18"/>
                <w:color w:val="auto"/>
              </w:rPr>
            </w:pPr>
          </w:p>
        </w:tc>
        <w:tc>
          <w:tcPr>
            <w:tcW w:w="30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568,008</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ind w:left="160"/>
              <w:spacing w:after="0"/>
              <w:rPr>
                <w:sz w:val="20"/>
                <w:szCs w:val="20"/>
                <w:color w:val="auto"/>
              </w:rPr>
            </w:pPr>
            <w:r>
              <w:rPr>
                <w:rFonts w:ascii="Arial" w:cs="Arial" w:eastAsia="Arial" w:hAnsi="Arial"/>
                <w:sz w:val="18"/>
                <w:szCs w:val="18"/>
                <w:color w:val="auto"/>
              </w:rPr>
              <w:t>Short-term investments</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128,445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rPr>
              <w:t>Accounts receivable, net</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282,865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328,283</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200" w:type="dxa"/>
            <w:vAlign w:val="bottom"/>
            <w:gridSpan w:val="4"/>
            <w:shd w:val="clear" w:color="auto" w:fill="CCEEFF"/>
          </w:tcPr>
          <w:p>
            <w:pPr>
              <w:ind w:left="160"/>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268,024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247,403</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w w:val="98"/>
              </w:rPr>
              <w:t>Prepaid expenses and other current assets</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179,626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170,123</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ind w:left="160"/>
              <w:spacing w:after="0"/>
              <w:rPr>
                <w:sz w:val="20"/>
                <w:szCs w:val="20"/>
                <w:color w:val="auto"/>
              </w:rPr>
            </w:pPr>
            <w:r>
              <w:rPr>
                <w:rFonts w:ascii="Arial" w:cs="Arial" w:eastAsia="Arial" w:hAnsi="Arial"/>
                <w:sz w:val="18"/>
                <w:szCs w:val="18"/>
                <w:color w:val="auto"/>
              </w:rPr>
              <w:t>Deferred income taxes</w:t>
            </w:r>
          </w:p>
        </w:tc>
        <w:tc>
          <w:tcPr>
            <w:tcW w:w="478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5,846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5,846</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60" w:type="dxa"/>
            <w:vAlign w:val="bottom"/>
            <w:gridSpan w:val="8"/>
          </w:tcPr>
          <w:p>
            <w:pPr>
              <w:ind w:left="340"/>
              <w:spacing w:after="0"/>
              <w:rPr>
                <w:sz w:val="20"/>
                <w:szCs w:val="20"/>
                <w:color w:val="auto"/>
              </w:rPr>
            </w:pPr>
            <w:r>
              <w:rPr>
                <w:rFonts w:ascii="Arial" w:cs="Arial" w:eastAsia="Arial" w:hAnsi="Arial"/>
                <w:sz w:val="18"/>
                <w:szCs w:val="18"/>
                <w:color w:val="auto"/>
              </w:rPr>
              <w:t>Total current assets</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1,329,304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1,348,035</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434,077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440,943</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200" w:type="dxa"/>
            <w:vAlign w:val="bottom"/>
            <w:gridSpan w:val="4"/>
          </w:tcPr>
          <w:p>
            <w:pPr>
              <w:spacing w:after="0"/>
              <w:rPr>
                <w:sz w:val="20"/>
                <w:szCs w:val="20"/>
                <w:color w:val="auto"/>
              </w:rPr>
            </w:pPr>
            <w:r>
              <w:rPr>
                <w:rFonts w:ascii="Arial" w:cs="Arial" w:eastAsia="Arial" w:hAnsi="Arial"/>
                <w:sz w:val="18"/>
                <w:szCs w:val="18"/>
                <w:color w:val="auto"/>
              </w:rPr>
              <w:t>Goodwill</w:t>
            </w:r>
          </w:p>
        </w:tc>
        <w:tc>
          <w:tcPr>
            <w:tcW w:w="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1,976,219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1,977,805</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Acquired intangible assets</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543,182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580,558</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tcBorders>
              <w:bottom w:val="single" w:sz="8" w:color="CCEEFF"/>
            </w:tcBorders>
            <w:gridSpan w:val="8"/>
          </w:tcPr>
          <w:p>
            <w:pPr>
              <w:spacing w:after="0"/>
              <w:rPr>
                <w:sz w:val="20"/>
                <w:szCs w:val="20"/>
                <w:color w:val="auto"/>
              </w:rPr>
            </w:pPr>
            <w:r>
              <w:rPr>
                <w:rFonts w:ascii="Arial" w:cs="Arial" w:eastAsia="Arial" w:hAnsi="Arial"/>
                <w:sz w:val="18"/>
                <w:szCs w:val="18"/>
                <w:color w:val="auto"/>
              </w:rPr>
              <w:t>Other non-current assets</w:t>
            </w:r>
          </w:p>
        </w:tc>
        <w:tc>
          <w:tcPr>
            <w:tcW w:w="478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173,391</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180,359</w:t>
            </w:r>
          </w:p>
        </w:tc>
        <w:tc>
          <w:tcPr>
            <w:tcW w:w="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200" w:type="dxa"/>
            <w:vAlign w:val="bottom"/>
            <w:tcBorders>
              <w:bottom w:val="single" w:sz="8" w:color="CCEEFF"/>
            </w:tcBorders>
            <w:gridSpan w:val="4"/>
            <w:shd w:val="clear" w:color="auto" w:fill="CCEEFF"/>
          </w:tcPr>
          <w:p>
            <w:pPr>
              <w:ind w:left="340"/>
              <w:spacing w:after="0"/>
              <w:rPr>
                <w:sz w:val="20"/>
                <w:szCs w:val="20"/>
                <w:color w:val="auto"/>
              </w:rPr>
            </w:pPr>
            <w:r>
              <w:rPr>
                <w:rFonts w:ascii="Arial" w:cs="Arial" w:eastAsia="Arial" w:hAnsi="Arial"/>
                <w:sz w:val="18"/>
                <w:szCs w:val="18"/>
                <w:color w:val="auto"/>
                <w:w w:val="86"/>
              </w:rPr>
              <w:t>Total assets</w:t>
            </w:r>
          </w:p>
        </w:tc>
        <w:tc>
          <w:tcPr>
            <w:tcW w:w="20" w:type="dxa"/>
            <w:vAlign w:val="bottom"/>
            <w:tcBorders>
              <w:bottom w:val="single" w:sz="8" w:color="CCEEFF"/>
            </w:tcBorders>
            <w:shd w:val="clear" w:color="auto" w:fill="CCEEFF"/>
          </w:tcPr>
          <w:p>
            <w:pPr>
              <w:spacing w:after="0"/>
              <w:rPr>
                <w:sz w:val="18"/>
                <w:szCs w:val="18"/>
                <w:color w:val="auto"/>
              </w:rPr>
            </w:pPr>
          </w:p>
        </w:tc>
        <w:tc>
          <w:tcPr>
            <w:tcW w:w="600" w:type="dxa"/>
            <w:vAlign w:val="bottom"/>
            <w:tcBorders>
              <w:bottom w:val="single" w:sz="8" w:color="CCEEFF"/>
            </w:tcBorders>
            <w:shd w:val="clear" w:color="auto" w:fill="CCEEFF"/>
          </w:tcPr>
          <w:p>
            <w:pPr>
              <w:spacing w:after="0"/>
              <w:rPr>
                <w:sz w:val="18"/>
                <w:szCs w:val="18"/>
                <w:color w:val="auto"/>
              </w:rPr>
            </w:pPr>
          </w:p>
        </w:tc>
        <w:tc>
          <w:tcPr>
            <w:tcW w:w="720" w:type="dxa"/>
            <w:vAlign w:val="bottom"/>
            <w:tcBorders>
              <w:bottom w:val="single" w:sz="8" w:color="CCEEFF"/>
            </w:tcBorders>
            <w:shd w:val="clear" w:color="auto" w:fill="CCEEFF"/>
          </w:tcPr>
          <w:p>
            <w:pPr>
              <w:spacing w:after="0"/>
              <w:rPr>
                <w:sz w:val="18"/>
                <w:szCs w:val="18"/>
                <w:color w:val="auto"/>
              </w:rPr>
            </w:pPr>
          </w:p>
        </w:tc>
        <w:tc>
          <w:tcPr>
            <w:tcW w:w="1020" w:type="dxa"/>
            <w:vAlign w:val="bottom"/>
            <w:tcBorders>
              <w:bottom w:val="single" w:sz="8" w:color="CCEEFF"/>
            </w:tcBorders>
            <w:shd w:val="clear" w:color="auto" w:fill="CCEEFF"/>
          </w:tcPr>
          <w:p>
            <w:pPr>
              <w:spacing w:after="0"/>
              <w:rPr>
                <w:sz w:val="18"/>
                <w:szCs w:val="18"/>
                <w:color w:val="auto"/>
              </w:rPr>
            </w:pPr>
          </w:p>
        </w:tc>
        <w:tc>
          <w:tcPr>
            <w:tcW w:w="478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4,456,173</w:t>
            </w:r>
          </w:p>
        </w:tc>
        <w:tc>
          <w:tcPr>
            <w:tcW w:w="16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4,527,700</w:t>
            </w:r>
          </w:p>
        </w:tc>
        <w:tc>
          <w:tcPr>
            <w:tcW w:w="80" w:type="dxa"/>
            <w:vAlign w:val="bottom"/>
            <w:tcBorders>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020" w:type="dxa"/>
            <w:vAlign w:val="bottom"/>
            <w:gridSpan w:val="2"/>
          </w:tcPr>
          <w:p>
            <w:pPr>
              <w:jc w:val="center"/>
              <w:ind w:right="685"/>
              <w:spacing w:after="0"/>
              <w:rPr>
                <w:sz w:val="20"/>
                <w:szCs w:val="20"/>
                <w:color w:val="auto"/>
              </w:rPr>
            </w:pPr>
            <w:r>
              <w:rPr>
                <w:rFonts w:ascii="Arial" w:cs="Arial" w:eastAsia="Arial" w:hAnsi="Arial"/>
                <w:sz w:val="18"/>
                <w:szCs w:val="18"/>
                <w:b w:val="1"/>
                <w:bCs w:val="1"/>
                <w:color w:val="auto"/>
              </w:rPr>
              <w:t>LIABILITIES AND SHAREHOLDERS’ EQUITY</w:t>
            </w:r>
          </w:p>
        </w:tc>
        <w:tc>
          <w:tcPr>
            <w:tcW w:w="1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gridSpan w:val="2"/>
          </w:tcPr>
          <w:p>
            <w:pPr>
              <w:spacing w:after="0"/>
              <w:rPr>
                <w:sz w:val="18"/>
                <w:szCs w:val="18"/>
                <w:color w:val="auto"/>
              </w:rPr>
            </w:pPr>
          </w:p>
        </w:tc>
        <w:tc>
          <w:tcPr>
            <w:tcW w:w="6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6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rPr>
              <w:t>Accounts payable</w:t>
            </w:r>
          </w:p>
        </w:tc>
        <w:tc>
          <w:tcPr>
            <w:tcW w:w="502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255,524</w:t>
            </w:r>
          </w:p>
        </w:tc>
        <w:tc>
          <w:tcPr>
            <w:tcW w:w="160" w:type="dxa"/>
            <w:vAlign w:val="bottom"/>
          </w:tcPr>
          <w:p>
            <w:pPr>
              <w:spacing w:after="0"/>
              <w:rPr>
                <w:sz w:val="18"/>
                <w:szCs w:val="18"/>
                <w:color w:val="auto"/>
              </w:rPr>
            </w:pPr>
          </w:p>
        </w:tc>
        <w:tc>
          <w:tcPr>
            <w:tcW w:w="30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244,959</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193,961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259,972</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rPr>
              <w:t>Accrued employee compensation</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110,177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108,895</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26,420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29,078</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rPr>
              <w:t>Deferred income</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52,061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50,874</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478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4,545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17,408</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60" w:type="dxa"/>
            <w:vAlign w:val="bottom"/>
            <w:gridSpan w:val="8"/>
          </w:tcPr>
          <w:p>
            <w:pPr>
              <w:ind w:left="340"/>
              <w:spacing w:after="0"/>
              <w:rPr>
                <w:sz w:val="20"/>
                <w:szCs w:val="20"/>
                <w:color w:val="auto"/>
              </w:rPr>
            </w:pPr>
            <w:r>
              <w:rPr>
                <w:rFonts w:ascii="Arial" w:cs="Arial" w:eastAsia="Arial" w:hAnsi="Arial"/>
                <w:sz w:val="18"/>
                <w:szCs w:val="18"/>
                <w:color w:val="auto"/>
              </w:rPr>
              <w:t>Total current liabilities</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642,688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711,186</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spacing w:after="0"/>
              <w:rPr>
                <w:sz w:val="20"/>
                <w:szCs w:val="20"/>
                <w:color w:val="auto"/>
              </w:rPr>
            </w:pPr>
            <w:r>
              <w:rPr>
                <w:rFonts w:ascii="Arial" w:cs="Arial" w:eastAsia="Arial" w:hAnsi="Arial"/>
                <w:sz w:val="18"/>
                <w:szCs w:val="18"/>
                <w:color w:val="auto"/>
                <w:w w:val="95"/>
              </w:rPr>
              <w:t>Capital lease obligations, net of current portion</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10,048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17,096</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spacing w:after="0"/>
              <w:rPr>
                <w:sz w:val="20"/>
                <w:szCs w:val="20"/>
                <w:color w:val="auto"/>
              </w:rPr>
            </w:pPr>
            <w:r>
              <w:rPr>
                <w:rFonts w:ascii="Arial" w:cs="Arial" w:eastAsia="Arial" w:hAnsi="Arial"/>
                <w:sz w:val="18"/>
                <w:szCs w:val="18"/>
                <w:color w:val="auto"/>
              </w:rPr>
              <w:t>Non-current income taxes payable</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122,043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116,777</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Term loan obligations, long-term portion</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393,750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394,750</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tcBorders>
              <w:bottom w:val="single" w:sz="8" w:color="CCEEFF"/>
            </w:tcBorders>
            <w:gridSpan w:val="8"/>
          </w:tcPr>
          <w:p>
            <w:pPr>
              <w:spacing w:after="0"/>
              <w:rPr>
                <w:sz w:val="20"/>
                <w:szCs w:val="20"/>
                <w:color w:val="auto"/>
              </w:rPr>
            </w:pPr>
            <w:r>
              <w:rPr>
                <w:rFonts w:ascii="Arial" w:cs="Arial" w:eastAsia="Arial" w:hAnsi="Arial"/>
                <w:sz w:val="18"/>
                <w:szCs w:val="18"/>
                <w:color w:val="auto"/>
              </w:rPr>
              <w:t>Other long-term liabilities</w:t>
            </w:r>
          </w:p>
        </w:tc>
        <w:tc>
          <w:tcPr>
            <w:tcW w:w="478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66,325</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60,707</w:t>
            </w:r>
          </w:p>
        </w:tc>
        <w:tc>
          <w:tcPr>
            <w:tcW w:w="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60" w:type="dxa"/>
            <w:vAlign w:val="bottom"/>
            <w:gridSpan w:val="8"/>
            <w:shd w:val="clear" w:color="auto" w:fill="CCEEFF"/>
          </w:tcPr>
          <w:p>
            <w:pPr>
              <w:ind w:left="340"/>
              <w:spacing w:after="0"/>
              <w:rPr>
                <w:sz w:val="20"/>
                <w:szCs w:val="20"/>
                <w:color w:val="auto"/>
              </w:rPr>
            </w:pPr>
            <w:r>
              <w:rPr>
                <w:rFonts w:ascii="Arial" w:cs="Arial" w:eastAsia="Arial" w:hAnsi="Arial"/>
                <w:sz w:val="18"/>
                <w:szCs w:val="18"/>
                <w:color w:val="auto"/>
              </w:rPr>
              <w:t>Total liabilities</w:t>
            </w:r>
          </w:p>
        </w:tc>
        <w:tc>
          <w:tcPr>
            <w:tcW w:w="478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1,234,854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1,300,516</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560" w:type="dxa"/>
            <w:vAlign w:val="bottom"/>
            <w:gridSpan w:val="8"/>
          </w:tcPr>
          <w:p>
            <w:pPr>
              <w:spacing w:after="0" w:line="196" w:lineRule="exact"/>
              <w:rPr>
                <w:sz w:val="20"/>
                <w:szCs w:val="20"/>
                <w:color w:val="auto"/>
              </w:rPr>
            </w:pPr>
            <w:r>
              <w:rPr>
                <w:rFonts w:ascii="Arial" w:cs="Arial" w:eastAsia="Arial" w:hAnsi="Arial"/>
                <w:sz w:val="18"/>
                <w:szCs w:val="18"/>
                <w:color w:val="auto"/>
              </w:rPr>
              <w:t>Commitments and contingencies (Note 6)</w:t>
            </w:r>
          </w:p>
        </w:tc>
        <w:tc>
          <w:tcPr>
            <w:tcW w:w="47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rPr>
              <w:t>Common stock</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1,175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1,175</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ind w:left="160"/>
              <w:spacing w:after="0"/>
              <w:rPr>
                <w:sz w:val="20"/>
                <w:szCs w:val="20"/>
                <w:color w:val="auto"/>
              </w:rPr>
            </w:pPr>
            <w:r>
              <w:rPr>
                <w:rFonts w:ascii="Arial" w:cs="Arial" w:eastAsia="Arial" w:hAnsi="Arial"/>
                <w:sz w:val="18"/>
                <w:szCs w:val="18"/>
                <w:color w:val="auto"/>
              </w:rPr>
              <w:t>Additional paid-in capital</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3,849,277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3,802,509</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tcPr>
          <w:p>
            <w:pPr>
              <w:ind w:left="160"/>
              <w:spacing w:after="0"/>
              <w:rPr>
                <w:sz w:val="20"/>
                <w:szCs w:val="20"/>
                <w:color w:val="auto"/>
              </w:rPr>
            </w:pPr>
            <w:r>
              <w:rPr>
                <w:rFonts w:ascii="Arial" w:cs="Arial" w:eastAsia="Arial" w:hAnsi="Arial"/>
                <w:sz w:val="18"/>
                <w:szCs w:val="18"/>
                <w:color w:val="auto"/>
                <w:w w:val="99"/>
              </w:rPr>
              <w:t>Accumulated other comprehensive income</w:t>
            </w:r>
          </w:p>
        </w:tc>
        <w:tc>
          <w:tcPr>
            <w:tcW w:w="4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28</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8"/>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4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(629,356)</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(576,528)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60" w:type="dxa"/>
            <w:vAlign w:val="bottom"/>
            <w:tcBorders>
              <w:bottom w:val="single" w:sz="8" w:color="CCEEFF"/>
            </w:tcBorders>
            <w:gridSpan w:val="8"/>
          </w:tcPr>
          <w:p>
            <w:pPr>
              <w:ind w:left="340"/>
              <w:spacing w:after="0"/>
              <w:rPr>
                <w:sz w:val="20"/>
                <w:szCs w:val="20"/>
                <w:color w:val="auto"/>
              </w:rPr>
            </w:pPr>
            <w:r>
              <w:rPr>
                <w:rFonts w:ascii="Arial" w:cs="Arial" w:eastAsia="Arial" w:hAnsi="Arial"/>
                <w:sz w:val="18"/>
                <w:szCs w:val="18"/>
                <w:color w:val="auto"/>
              </w:rPr>
              <w:t>Total shareholders’ equity</w:t>
            </w:r>
          </w:p>
        </w:tc>
        <w:tc>
          <w:tcPr>
            <w:tcW w:w="47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3,221,319</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3,227,184</w:t>
            </w:r>
          </w:p>
        </w:tc>
        <w:tc>
          <w:tcPr>
            <w:tcW w:w="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560" w:type="dxa"/>
            <w:vAlign w:val="bottom"/>
            <w:tcBorders>
              <w:bottom w:val="single" w:sz="8" w:color="CCEEFF"/>
            </w:tcBorders>
            <w:gridSpan w:val="8"/>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478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4,456,173</w:t>
            </w:r>
          </w:p>
        </w:tc>
        <w:tc>
          <w:tcPr>
            <w:tcW w:w="16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4,527,700</w:t>
            </w:r>
          </w:p>
        </w:tc>
        <w:tc>
          <w:tcPr>
            <w:tcW w:w="80" w:type="dxa"/>
            <w:vAlign w:val="bottom"/>
            <w:tcBorders>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-7007860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-7007860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2"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82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8360" w:type="dxa"/>
            <w:vAlign w:val="bottom"/>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1120" w:type="dxa"/>
            <w:vAlign w:val="bottom"/>
            <w:tcBorders>
              <w:top w:val="single" w:sz="8" w:color="auto"/>
            </w:tcBorders>
          </w:tcPr>
          <w:p>
            <w:pPr>
              <w:jc w:val="center"/>
              <w:ind w:right="188"/>
              <w:spacing w:after="0" w:line="103" w:lineRule="exact"/>
              <w:rPr>
                <w:sz w:val="20"/>
                <w:szCs w:val="20"/>
                <w:color w:val="auto"/>
              </w:rPr>
            </w:pPr>
            <w:r>
              <w:rPr>
                <w:rFonts w:ascii="Arial" w:cs="Arial" w:eastAsia="Arial" w:hAnsi="Arial"/>
                <w:sz w:val="11"/>
                <w:szCs w:val="11"/>
                <w:b w:val="1"/>
                <w:bCs w:val="1"/>
                <w:color w:val="auto"/>
              </w:rPr>
              <w:t>April 28,</w:t>
            </w:r>
          </w:p>
        </w:tc>
        <w:tc>
          <w:tcPr>
            <w:tcW w:w="260" w:type="dxa"/>
            <w:vAlign w:val="bottom"/>
            <w:tcBorders>
              <w:top w:val="single" w:sz="8" w:color="auto"/>
            </w:tcBorders>
          </w:tcPr>
          <w:p>
            <w:pPr>
              <w:spacing w:after="0"/>
              <w:rPr>
                <w:sz w:val="8"/>
                <w:szCs w:val="8"/>
                <w:color w:val="auto"/>
              </w:rPr>
            </w:pPr>
          </w:p>
        </w:tc>
        <w:tc>
          <w:tcPr>
            <w:tcW w:w="260" w:type="dxa"/>
            <w:vAlign w:val="bottom"/>
            <w:tcBorders>
              <w:top w:val="single" w:sz="8" w:color="auto"/>
            </w:tcBorders>
          </w:tcPr>
          <w:p>
            <w:pPr>
              <w:spacing w:after="0"/>
              <w:rPr>
                <w:sz w:val="8"/>
                <w:szCs w:val="8"/>
                <w:color w:val="auto"/>
              </w:rPr>
            </w:pPr>
          </w:p>
        </w:tc>
        <w:tc>
          <w:tcPr>
            <w:tcW w:w="1100" w:type="dxa"/>
            <w:vAlign w:val="bottom"/>
            <w:tcBorders>
              <w:top w:val="single" w:sz="8" w:color="auto"/>
            </w:tcBorders>
          </w:tcPr>
          <w:p>
            <w:pPr>
              <w:jc w:val="center"/>
              <w:ind w:right="209"/>
              <w:spacing w:after="0" w:line="103" w:lineRule="exact"/>
              <w:rPr>
                <w:sz w:val="20"/>
                <w:szCs w:val="20"/>
                <w:color w:val="auto"/>
              </w:rPr>
            </w:pPr>
            <w:r>
              <w:rPr>
                <w:rFonts w:ascii="Arial" w:cs="Arial" w:eastAsia="Arial" w:hAnsi="Arial"/>
                <w:sz w:val="11"/>
                <w:szCs w:val="11"/>
                <w:b w:val="1"/>
                <w:bCs w:val="1"/>
                <w:color w:val="auto"/>
              </w:rPr>
              <w:t>April 29,</w:t>
            </w:r>
          </w:p>
        </w:tc>
        <w:tc>
          <w:tcPr>
            <w:tcW w:w="80" w:type="dxa"/>
            <w:vAlign w:val="bottom"/>
          </w:tcPr>
          <w:p>
            <w:pPr>
              <w:spacing w:after="0"/>
              <w:rPr>
                <w:sz w:val="8"/>
                <w:szCs w:val="8"/>
                <w:color w:val="auto"/>
              </w:rPr>
            </w:pPr>
          </w:p>
        </w:tc>
      </w:tr>
      <w:tr>
        <w:trPr>
          <w:trHeight w:val="161"/>
        </w:trPr>
        <w:tc>
          <w:tcPr>
            <w:tcW w:w="836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88"/>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69"/>
              <w:spacing w:after="0"/>
              <w:rPr>
                <w:sz w:val="20"/>
                <w:szCs w:val="20"/>
                <w:color w:val="auto"/>
              </w:rPr>
            </w:pPr>
            <w:r>
              <w:rPr>
                <w:rFonts w:ascii="Arial" w:cs="Arial" w:eastAsia="Arial" w:hAnsi="Arial"/>
                <w:sz w:val="14"/>
                <w:szCs w:val="14"/>
                <w:b w:val="1"/>
                <w:bCs w:val="1"/>
                <w:color w:val="auto"/>
              </w:rPr>
              <w:t>2006</w:t>
            </w:r>
          </w:p>
        </w:tc>
        <w:tc>
          <w:tcPr>
            <w:tcW w:w="80" w:type="dxa"/>
            <w:vAlign w:val="bottom"/>
            <w:tcBorders>
              <w:bottom w:val="single" w:sz="8" w:color="CCEEFF"/>
            </w:tcBorders>
          </w:tcPr>
          <w:p>
            <w:pPr>
              <w:spacing w:after="0"/>
              <w:rPr>
                <w:sz w:val="14"/>
                <w:szCs w:val="14"/>
                <w:color w:val="auto"/>
              </w:rPr>
            </w:pPr>
          </w:p>
        </w:tc>
      </w:tr>
      <w:tr>
        <w:trPr>
          <w:trHeight w:val="210"/>
        </w:trPr>
        <w:tc>
          <w:tcPr>
            <w:tcW w:w="83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635,050</w:t>
            </w: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80" w:type="dxa"/>
            <w:vAlign w:val="bottom"/>
            <w:shd w:val="clear" w:color="auto" w:fill="CCEEFF"/>
          </w:tcPr>
          <w:p>
            <w:pPr>
              <w:spacing w:after="0"/>
              <w:rPr>
                <w:sz w:val="18"/>
                <w:szCs w:val="18"/>
                <w:color w:val="auto"/>
              </w:rPr>
            </w:pPr>
          </w:p>
        </w:tc>
      </w:tr>
    </w:tbl>
    <w:p>
      <w:pPr>
        <w:spacing w:after="0"/>
        <w:rPr>
          <w:sz w:val="20"/>
          <w:szCs w:val="20"/>
          <w:color w:val="auto"/>
        </w:rPr>
      </w:pPr>
      <w:r>
        <w:rPr>
          <w:rFonts w:ascii="Arial" w:cs="Arial" w:eastAsia="Arial" w:hAnsi="Arial"/>
          <w:sz w:val="18"/>
          <w:szCs w:val="18"/>
          <w:color w:val="auto"/>
        </w:rPr>
        <w:t>Operating costs and expenses:</w:t>
      </w:r>
    </w:p>
    <w:p>
      <w:pPr>
        <w:sectPr>
          <w:pgSz w:w="11900" w:h="16888" w:orient="portrait"/>
          <w:cols w:equalWidth="0" w:num="1">
            <w:col w:w="11460"/>
          </w:cols>
          <w:pgMar w:left="240" w:top="108" w:right="199" w:bottom="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1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327,417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240,233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ind w:left="160"/>
              <w:spacing w:after="0"/>
              <w:rPr>
                <w:sz w:val="20"/>
                <w:szCs w:val="20"/>
                <w:color w:val="auto"/>
              </w:rPr>
            </w:pPr>
            <w:r>
              <w:rPr>
                <w:rFonts w:ascii="Arial" w:cs="Arial" w:eastAsia="Arial" w:hAnsi="Arial"/>
                <w:sz w:val="18"/>
                <w:szCs w:val="18"/>
                <w:color w:val="auto"/>
              </w:rPr>
              <w:t>Research and development and other</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234,133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129,228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1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50,392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38,862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23,988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18,558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1380" w:type="dxa"/>
            <w:vAlign w:val="bottom"/>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37,320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96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costs and expenses</w:t>
            </w:r>
          </w:p>
        </w:tc>
        <w:tc>
          <w:tcPr>
            <w:tcW w:w="1380" w:type="dxa"/>
            <w:vAlign w:val="bottom"/>
            <w:tcBorders>
              <w:bottom w:val="single" w:sz="8" w:color="CCEEFF"/>
            </w:tcBorders>
          </w:tcPr>
          <w:p>
            <w:pPr>
              <w:spacing w:after="0"/>
              <w:rPr>
                <w:sz w:val="18"/>
                <w:szCs w:val="18"/>
                <w:color w:val="auto"/>
              </w:rPr>
            </w:pPr>
          </w:p>
        </w:tc>
        <w:tc>
          <w:tcPr>
            <w:tcW w:w="4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673,250</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44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444,232</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Operating (loss) income</w:t>
            </w:r>
          </w:p>
        </w:tc>
        <w:tc>
          <w:tcPr>
            <w:tcW w:w="1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76,964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spacing w:after="0"/>
              <w:rPr>
                <w:sz w:val="20"/>
                <w:szCs w:val="20"/>
                <w:color w:val="auto"/>
              </w:rPr>
            </w:pPr>
            <w:r>
              <w:rPr>
                <w:rFonts w:ascii="Arial" w:cs="Arial" w:eastAsia="Arial" w:hAnsi="Arial"/>
                <w:sz w:val="18"/>
                <w:szCs w:val="18"/>
                <w:color w:val="auto"/>
              </w:rPr>
              <w:t>Interest and other income (expense)</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1,319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8,215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(9,975)</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(599)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960" w:type="dxa"/>
            <w:vAlign w:val="bottom"/>
          </w:tcPr>
          <w:p>
            <w:pPr>
              <w:spacing w:after="0"/>
              <w:rPr>
                <w:sz w:val="20"/>
                <w:szCs w:val="20"/>
                <w:color w:val="auto"/>
              </w:rPr>
            </w:pPr>
            <w:r>
              <w:rPr>
                <w:rFonts w:ascii="Arial" w:cs="Arial" w:eastAsia="Arial" w:hAnsi="Arial"/>
                <w:sz w:val="18"/>
                <w:szCs w:val="18"/>
                <w:color w:val="auto"/>
              </w:rPr>
              <w:t>(Loss) income before income taxes</w:t>
            </w:r>
          </w:p>
        </w:tc>
        <w:tc>
          <w:tcPr>
            <w:tcW w:w="1380" w:type="dxa"/>
            <w:vAlign w:val="bottom"/>
          </w:tcPr>
          <w:p>
            <w:pPr>
              <w:spacing w:after="0"/>
              <w:rPr>
                <w:sz w:val="18"/>
                <w:szCs w:val="18"/>
                <w:color w:val="auto"/>
              </w:rPr>
            </w:pPr>
          </w:p>
        </w:tc>
        <w:tc>
          <w:tcPr>
            <w:tcW w:w="42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(46,856)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84,580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380" w:type="dxa"/>
            <w:vAlign w:val="bottom"/>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5,972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15,863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960" w:type="dxa"/>
            <w:vAlign w:val="bottom"/>
          </w:tcPr>
          <w:p>
            <w:pPr>
              <w:spacing w:after="0"/>
              <w:rPr>
                <w:sz w:val="20"/>
                <w:szCs w:val="20"/>
                <w:color w:val="auto"/>
              </w:rPr>
            </w:pPr>
            <w:r>
              <w:rPr>
                <w:rFonts w:ascii="Arial" w:cs="Arial" w:eastAsia="Arial" w:hAnsi="Arial"/>
                <w:sz w:val="18"/>
                <w:szCs w:val="18"/>
                <w:color w:val="auto"/>
              </w:rPr>
              <w:t>(Loss) income before change in accounting principle</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(52,828)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68,717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Cumulative effect of change in accounting principle, net of tax effect (Note 7)</w:t>
            </w:r>
          </w:p>
        </w:tc>
        <w:tc>
          <w:tcPr>
            <w:tcW w:w="1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69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(loss) income</w:t>
            </w:r>
          </w:p>
        </w:tc>
        <w:tc>
          <w:tcPr>
            <w:tcW w:w="1380" w:type="dxa"/>
            <w:vAlign w:val="bottom"/>
            <w:tcBorders>
              <w:bottom w:val="single" w:sz="8" w:color="CCEEFF"/>
            </w:tcBorders>
          </w:tcPr>
          <w:p>
            <w:pPr>
              <w:spacing w:after="0"/>
              <w:rPr>
                <w:sz w:val="21"/>
                <w:szCs w:val="21"/>
                <w:color w:val="auto"/>
              </w:rPr>
            </w:pPr>
          </w:p>
        </w:tc>
        <w:tc>
          <w:tcPr>
            <w:tcW w:w="420" w:type="dxa"/>
            <w:vAlign w:val="bottom"/>
            <w:tcBorders>
              <w:top w:val="single" w:sz="8" w:color="auto"/>
              <w:bottom w:val="single" w:sz="8" w:color="auto"/>
            </w:tcBorders>
          </w:tcPr>
          <w:p>
            <w:pPr>
              <w:jc w:val="right"/>
              <w:ind w:right="26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(52,828)</w:t>
            </w:r>
          </w:p>
        </w:tc>
        <w:tc>
          <w:tcPr>
            <w:tcW w:w="16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440" w:type="dxa"/>
            <w:vAlign w:val="bottom"/>
            <w:tcBorders>
              <w:top w:val="single" w:sz="8" w:color="auto"/>
              <w:bottom w:val="single" w:sz="8" w:color="auto"/>
            </w:tcBorders>
          </w:tcPr>
          <w:p>
            <w:pPr>
              <w:jc w:val="right"/>
              <w:ind w:right="2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77,563</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696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60" w:type="dxa"/>
            <w:vAlign w:val="bottom"/>
          </w:tcPr>
          <w:p>
            <w:pPr>
              <w:spacing w:after="0"/>
              <w:rPr>
                <w:sz w:val="20"/>
                <w:szCs w:val="20"/>
                <w:color w:val="auto"/>
              </w:rPr>
            </w:pPr>
            <w:r>
              <w:rPr>
                <w:rFonts w:ascii="Arial" w:cs="Arial" w:eastAsia="Arial" w:hAnsi="Arial"/>
                <w:sz w:val="18"/>
                <w:szCs w:val="18"/>
                <w:color w:val="auto"/>
              </w:rPr>
              <w:t>Basic (loss) income per share:</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(Loss) income before change in accounting principle, net of tax effect</w:t>
            </w:r>
          </w:p>
        </w:tc>
        <w:tc>
          <w:tcPr>
            <w:tcW w:w="1800" w:type="dxa"/>
            <w:vAlign w:val="bottom"/>
            <w:gridSpan w:val="2"/>
            <w:shd w:val="clear" w:color="auto" w:fill="CCEEFF"/>
          </w:tcPr>
          <w:p>
            <w:pPr>
              <w:jc w:val="right"/>
              <w:ind w:right="265"/>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(0.09)</w:t>
            </w:r>
          </w:p>
        </w:tc>
        <w:tc>
          <w:tcPr>
            <w:tcW w:w="540" w:type="dxa"/>
            <w:vAlign w:val="bottom"/>
            <w:gridSpan w:val="2"/>
            <w:shd w:val="clear" w:color="auto" w:fill="CCEEFF"/>
          </w:tcPr>
          <w:p>
            <w:pPr>
              <w:jc w:val="right"/>
              <w:ind w:right="25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ind w:left="16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0.01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9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(loss) income per share</w:t>
            </w:r>
          </w:p>
        </w:tc>
        <w:tc>
          <w:tcPr>
            <w:tcW w:w="138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6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960" w:type="dxa"/>
            <w:vAlign w:val="bottom"/>
            <w:vMerge w:val="restart"/>
          </w:tcPr>
          <w:p>
            <w:pPr>
              <w:spacing w:after="0"/>
              <w:rPr>
                <w:sz w:val="20"/>
                <w:szCs w:val="20"/>
                <w:color w:val="auto"/>
              </w:rPr>
            </w:pPr>
            <w:r>
              <w:rPr>
                <w:rFonts w:ascii="Arial" w:cs="Arial" w:eastAsia="Arial" w:hAnsi="Arial"/>
                <w:sz w:val="18"/>
                <w:szCs w:val="18"/>
                <w:color w:val="auto"/>
              </w:rPr>
              <w:t>Shares used in basic per share computation</w:t>
            </w:r>
          </w:p>
        </w:tc>
        <w:tc>
          <w:tcPr>
            <w:tcW w:w="138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6960" w:type="dxa"/>
            <w:vAlign w:val="bottom"/>
            <w:vMerge w:val="continue"/>
          </w:tcPr>
          <w:p>
            <w:pPr>
              <w:spacing w:after="0"/>
              <w:rPr>
                <w:sz w:val="17"/>
                <w:szCs w:val="17"/>
                <w:color w:val="auto"/>
              </w:rPr>
            </w:pPr>
          </w:p>
        </w:tc>
        <w:tc>
          <w:tcPr>
            <w:tcW w:w="13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40" w:type="dxa"/>
            <w:vAlign w:val="bottom"/>
          </w:tcPr>
          <w:p>
            <w:pPr>
              <w:jc w:val="right"/>
              <w:spacing w:after="0" w:line="196" w:lineRule="exact"/>
              <w:rPr>
                <w:sz w:val="20"/>
                <w:szCs w:val="20"/>
                <w:color w:val="auto"/>
              </w:rPr>
            </w:pPr>
            <w:r>
              <w:rPr>
                <w:rFonts w:ascii="Arial" w:cs="Arial" w:eastAsia="Arial" w:hAnsi="Arial"/>
                <w:sz w:val="18"/>
                <w:szCs w:val="18"/>
                <w:color w:val="auto"/>
              </w:rPr>
              <w:t>587,426</w:t>
            </w: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920" w:type="dxa"/>
            <w:vAlign w:val="bottom"/>
          </w:tcPr>
          <w:p>
            <w:pPr>
              <w:jc w:val="right"/>
              <w:spacing w:after="0" w:line="196" w:lineRule="exact"/>
              <w:rPr>
                <w:sz w:val="20"/>
                <w:szCs w:val="20"/>
                <w:color w:val="auto"/>
              </w:rPr>
            </w:pPr>
            <w:r>
              <w:rPr>
                <w:rFonts w:ascii="Arial" w:cs="Arial" w:eastAsia="Arial" w:hAnsi="Arial"/>
                <w:sz w:val="18"/>
                <w:szCs w:val="18"/>
                <w:color w:val="auto"/>
              </w:rPr>
              <w:t>583,702</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696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60" w:type="dxa"/>
            <w:vAlign w:val="bottom"/>
          </w:tcPr>
          <w:p>
            <w:pPr>
              <w:spacing w:after="0"/>
              <w:rPr>
                <w:sz w:val="20"/>
                <w:szCs w:val="20"/>
                <w:color w:val="auto"/>
              </w:rPr>
            </w:pPr>
            <w:r>
              <w:rPr>
                <w:rFonts w:ascii="Arial" w:cs="Arial" w:eastAsia="Arial" w:hAnsi="Arial"/>
                <w:sz w:val="18"/>
                <w:szCs w:val="18"/>
                <w:color w:val="auto"/>
              </w:rPr>
              <w:t>Diluted (loss) income per share:</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(Loss) income before change in accounting principle, net of tax effect</w:t>
            </w:r>
          </w:p>
        </w:tc>
        <w:tc>
          <w:tcPr>
            <w:tcW w:w="1800" w:type="dxa"/>
            <w:vAlign w:val="bottom"/>
            <w:gridSpan w:val="2"/>
            <w:shd w:val="clear" w:color="auto" w:fill="CCEEFF"/>
          </w:tcPr>
          <w:p>
            <w:pPr>
              <w:jc w:val="right"/>
              <w:ind w:right="265"/>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(0.09)</w:t>
            </w:r>
          </w:p>
        </w:tc>
        <w:tc>
          <w:tcPr>
            <w:tcW w:w="540" w:type="dxa"/>
            <w:vAlign w:val="bottom"/>
            <w:gridSpan w:val="2"/>
            <w:shd w:val="clear" w:color="auto" w:fill="CCEEFF"/>
          </w:tcPr>
          <w:p>
            <w:pPr>
              <w:jc w:val="right"/>
              <w:ind w:right="25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ind w:left="16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0.01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9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Diluted net (loss) income per share</w:t>
            </w:r>
          </w:p>
        </w:tc>
        <w:tc>
          <w:tcPr>
            <w:tcW w:w="138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6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960" w:type="dxa"/>
            <w:vAlign w:val="bottom"/>
            <w:vMerge w:val="restart"/>
          </w:tcPr>
          <w:p>
            <w:pPr>
              <w:spacing w:after="0"/>
              <w:rPr>
                <w:sz w:val="20"/>
                <w:szCs w:val="20"/>
                <w:color w:val="auto"/>
              </w:rPr>
            </w:pPr>
            <w:r>
              <w:rPr>
                <w:rFonts w:ascii="Arial" w:cs="Arial" w:eastAsia="Arial" w:hAnsi="Arial"/>
                <w:sz w:val="18"/>
                <w:szCs w:val="18"/>
                <w:color w:val="auto"/>
              </w:rPr>
              <w:t>Shares used in diluted per share computation</w:t>
            </w:r>
          </w:p>
        </w:tc>
        <w:tc>
          <w:tcPr>
            <w:tcW w:w="138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960" w:type="dxa"/>
            <w:vAlign w:val="bottom"/>
            <w:vMerge w:val="continue"/>
          </w:tcPr>
          <w:p>
            <w:pPr>
              <w:spacing w:after="0"/>
              <w:rPr>
                <w:sz w:val="18"/>
                <w:szCs w:val="18"/>
                <w:color w:val="auto"/>
              </w:rPr>
            </w:pPr>
          </w:p>
        </w:tc>
        <w:tc>
          <w:tcPr>
            <w:tcW w:w="13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587,426</w:t>
            </w:r>
          </w:p>
        </w:tc>
        <w:tc>
          <w:tcPr>
            <w:tcW w:w="16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639,516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1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820" w:type="dxa"/>
            <w:vAlign w:val="bottom"/>
            <w:gridSpan w:val="6"/>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7100" w:type="dxa"/>
            <w:vAlign w:val="bottom"/>
          </w:tcPr>
          <w:p>
            <w:pPr>
              <w:spacing w:after="0"/>
              <w:rPr>
                <w:sz w:val="8"/>
                <w:szCs w:val="8"/>
                <w:color w:val="auto"/>
              </w:rPr>
            </w:pPr>
          </w:p>
        </w:tc>
        <w:tc>
          <w:tcPr>
            <w:tcW w:w="1260" w:type="dxa"/>
            <w:vAlign w:val="bottom"/>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1380" w:type="dxa"/>
            <w:vAlign w:val="bottom"/>
            <w:tcBorders>
              <w:top w:val="single" w:sz="8" w:color="auto"/>
            </w:tcBorders>
            <w:gridSpan w:val="2"/>
          </w:tcPr>
          <w:p>
            <w:pPr>
              <w:jc w:val="right"/>
              <w:ind w:right="680"/>
              <w:spacing w:after="0" w:line="103" w:lineRule="exact"/>
              <w:rPr>
                <w:sz w:val="20"/>
                <w:szCs w:val="20"/>
                <w:color w:val="auto"/>
              </w:rPr>
            </w:pPr>
            <w:r>
              <w:rPr>
                <w:rFonts w:ascii="Arial" w:cs="Arial" w:eastAsia="Arial" w:hAnsi="Arial"/>
                <w:sz w:val="11"/>
                <w:szCs w:val="11"/>
                <w:b w:val="1"/>
                <w:bCs w:val="1"/>
                <w:color w:val="auto"/>
              </w:rPr>
              <w:t>April 28,</w:t>
            </w:r>
          </w:p>
        </w:tc>
        <w:tc>
          <w:tcPr>
            <w:tcW w:w="20" w:type="dxa"/>
            <w:vAlign w:val="bottom"/>
            <w:tcBorders>
              <w:top w:val="single" w:sz="8" w:color="auto"/>
            </w:tcBorders>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1100" w:type="dxa"/>
            <w:vAlign w:val="bottom"/>
            <w:tcBorders>
              <w:top w:val="single" w:sz="8" w:color="auto"/>
            </w:tcBorders>
          </w:tcPr>
          <w:p>
            <w:pPr>
              <w:jc w:val="right"/>
              <w:ind w:right="332"/>
              <w:spacing w:after="0" w:line="103" w:lineRule="exact"/>
              <w:rPr>
                <w:sz w:val="20"/>
                <w:szCs w:val="20"/>
                <w:color w:val="auto"/>
              </w:rPr>
            </w:pPr>
            <w:r>
              <w:rPr>
                <w:rFonts w:ascii="Arial" w:cs="Arial" w:eastAsia="Arial" w:hAnsi="Arial"/>
                <w:sz w:val="11"/>
                <w:szCs w:val="11"/>
                <w:b w:val="1"/>
                <w:bCs w:val="1"/>
                <w:color w:val="auto"/>
              </w:rPr>
              <w:t>April 29,</w:t>
            </w:r>
          </w:p>
        </w:tc>
        <w:tc>
          <w:tcPr>
            <w:tcW w:w="80" w:type="dxa"/>
            <w:vAlign w:val="bottom"/>
          </w:tcPr>
          <w:p>
            <w:pPr>
              <w:spacing w:after="0"/>
              <w:rPr>
                <w:sz w:val="8"/>
                <w:szCs w:val="8"/>
                <w:color w:val="auto"/>
              </w:rPr>
            </w:pPr>
          </w:p>
        </w:tc>
      </w:tr>
      <w:tr>
        <w:trPr>
          <w:trHeight w:val="161"/>
        </w:trPr>
        <w:tc>
          <w:tcPr>
            <w:tcW w:w="7100" w:type="dxa"/>
            <w:vAlign w:val="bottom"/>
            <w:tcBorders>
              <w:bottom w:val="single" w:sz="8" w:color="CCEEFF"/>
            </w:tcBorders>
          </w:tcPr>
          <w:p>
            <w:pPr>
              <w:spacing w:after="0"/>
              <w:rPr>
                <w:sz w:val="14"/>
                <w:szCs w:val="14"/>
                <w:color w:val="auto"/>
              </w:rPr>
            </w:pPr>
          </w:p>
        </w:tc>
        <w:tc>
          <w:tcPr>
            <w:tcW w:w="126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2"/>
              <w:spacing w:after="0"/>
              <w:rPr>
                <w:sz w:val="20"/>
                <w:szCs w:val="20"/>
                <w:color w:val="auto"/>
              </w:rPr>
            </w:pPr>
            <w:r>
              <w:rPr>
                <w:rFonts w:ascii="Arial" w:cs="Arial" w:eastAsia="Arial" w:hAnsi="Arial"/>
                <w:sz w:val="14"/>
                <w:szCs w:val="14"/>
                <w:b w:val="1"/>
                <w:bCs w:val="1"/>
                <w:color w:val="auto"/>
              </w:rPr>
              <w:t>2006</w:t>
            </w:r>
          </w:p>
        </w:tc>
        <w:tc>
          <w:tcPr>
            <w:tcW w:w="80" w:type="dxa"/>
            <w:vAlign w:val="bottom"/>
            <w:tcBorders>
              <w:bottom w:val="single" w:sz="8" w:color="CCEEFF"/>
            </w:tcBorders>
          </w:tcPr>
          <w:p>
            <w:pPr>
              <w:spacing w:after="0"/>
              <w:rPr>
                <w:sz w:val="14"/>
                <w:szCs w:val="14"/>
                <w:color w:val="auto"/>
              </w:rPr>
            </w:pPr>
          </w:p>
        </w:tc>
      </w:tr>
      <w:tr>
        <w:trPr>
          <w:trHeight w:val="196"/>
        </w:trPr>
        <w:tc>
          <w:tcPr>
            <w:tcW w:w="71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7100" w:type="dxa"/>
            <w:vAlign w:val="bottom"/>
          </w:tcPr>
          <w:p>
            <w:pPr>
              <w:spacing w:after="0"/>
              <w:rPr>
                <w:sz w:val="20"/>
                <w:szCs w:val="20"/>
                <w:color w:val="auto"/>
              </w:rPr>
            </w:pPr>
            <w:r>
              <w:rPr>
                <w:rFonts w:ascii="Arial" w:cs="Arial" w:eastAsia="Arial" w:hAnsi="Arial"/>
                <w:sz w:val="18"/>
                <w:szCs w:val="18"/>
                <w:color w:val="auto"/>
              </w:rPr>
              <w:t>Net (loss) income</w:t>
            </w:r>
          </w:p>
        </w:tc>
        <w:tc>
          <w:tcPr>
            <w:tcW w:w="150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200"/>
              <w:spacing w:after="0"/>
              <w:rPr>
                <w:sz w:val="20"/>
                <w:szCs w:val="20"/>
                <w:color w:val="auto"/>
              </w:rPr>
            </w:pPr>
            <w:r>
              <w:rPr>
                <w:rFonts w:ascii="Arial" w:cs="Arial" w:eastAsia="Arial" w:hAnsi="Arial"/>
                <w:sz w:val="18"/>
                <w:szCs w:val="18"/>
                <w:color w:val="auto"/>
              </w:rPr>
              <w:t>(52,828)</w:t>
            </w:r>
          </w:p>
        </w:tc>
        <w:tc>
          <w:tcPr>
            <w:tcW w:w="260" w:type="dxa"/>
            <w:vAlign w:val="bottom"/>
            <w:gridSpan w:val="2"/>
          </w:tcPr>
          <w:p>
            <w:pPr>
              <w:jc w:val="right"/>
              <w:ind w:right="85"/>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77,563</w:t>
            </w:r>
          </w:p>
        </w:tc>
        <w:tc>
          <w:tcPr>
            <w:tcW w:w="80" w:type="dxa"/>
            <w:vAlign w:val="bottom"/>
          </w:tcPr>
          <w:p>
            <w:pPr>
              <w:spacing w:after="0"/>
              <w:rPr>
                <w:sz w:val="18"/>
                <w:szCs w:val="18"/>
                <w:color w:val="auto"/>
              </w:rPr>
            </w:pPr>
          </w:p>
        </w:tc>
      </w:tr>
      <w:tr>
        <w:trPr>
          <w:trHeight w:val="216"/>
        </w:trPr>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(8,846)</w:t>
            </w:r>
          </w:p>
        </w:tc>
      </w:tr>
      <w:tr>
        <w:trPr>
          <w:trHeight w:val="216"/>
        </w:trPr>
        <w:tc>
          <w:tcPr>
            <w:tcW w:w="7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Depreciation and amortization</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26,530</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15,615</w:t>
            </w:r>
          </w:p>
        </w:tc>
        <w:tc>
          <w:tcPr>
            <w:tcW w:w="80" w:type="dxa"/>
            <w:vAlign w:val="bottom"/>
            <w:shd w:val="clear" w:color="auto" w:fill="CCEEFF"/>
          </w:tcPr>
          <w:p>
            <w:pPr>
              <w:spacing w:after="0"/>
              <w:rPr>
                <w:sz w:val="18"/>
                <w:szCs w:val="18"/>
                <w:color w:val="auto"/>
              </w:rPr>
            </w:pP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Stock-based compensation</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46,768</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48,762</w:t>
            </w:r>
          </w:p>
        </w:tc>
        <w:tc>
          <w:tcPr>
            <w:tcW w:w="80" w:type="dxa"/>
            <w:vAlign w:val="bottom"/>
          </w:tcPr>
          <w:p>
            <w:pPr>
              <w:spacing w:after="0"/>
              <w:rPr>
                <w:sz w:val="18"/>
                <w:szCs w:val="18"/>
                <w:color w:val="auto"/>
              </w:rPr>
            </w:pPr>
          </w:p>
        </w:tc>
      </w:tr>
      <w:tr>
        <w:trPr>
          <w:trHeight w:val="216"/>
        </w:trPr>
        <w:tc>
          <w:tcPr>
            <w:tcW w:w="7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37,320</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80" w:type="dxa"/>
            <w:vAlign w:val="bottom"/>
            <w:shd w:val="clear" w:color="auto" w:fill="CCEEFF"/>
          </w:tcPr>
          <w:p>
            <w:pPr>
              <w:spacing w:after="0"/>
              <w:rPr>
                <w:sz w:val="18"/>
                <w:szCs w:val="18"/>
                <w:color w:val="auto"/>
              </w:rPr>
            </w:pP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(697)</w:t>
            </w:r>
          </w:p>
        </w:tc>
      </w:tr>
      <w:tr>
        <w:trPr>
          <w:trHeight w:val="216"/>
        </w:trPr>
        <w:tc>
          <w:tcPr>
            <w:tcW w:w="7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 net of acquisition:</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710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45,418</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(48,372)</w:t>
            </w:r>
          </w:p>
        </w:tc>
      </w:tr>
      <w:tr>
        <w:trPr>
          <w:trHeight w:val="216"/>
        </w:trPr>
        <w:tc>
          <w:tcPr>
            <w:tcW w:w="71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(20,621)</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8,729</w:t>
            </w:r>
          </w:p>
        </w:tc>
        <w:tc>
          <w:tcPr>
            <w:tcW w:w="80" w:type="dxa"/>
            <w:vAlign w:val="bottom"/>
            <w:shd w:val="clear" w:color="auto" w:fill="CCEEFF"/>
          </w:tcPr>
          <w:p>
            <w:pPr>
              <w:spacing w:after="0"/>
              <w:rPr>
                <w:sz w:val="18"/>
                <w:szCs w:val="18"/>
                <w:color w:val="auto"/>
              </w:rPr>
            </w:pPr>
          </w:p>
        </w:tc>
      </w:tr>
      <w:tr>
        <w:trPr>
          <w:trHeight w:val="216"/>
        </w:trPr>
        <w:tc>
          <w:tcPr>
            <w:tcW w:w="7100" w:type="dxa"/>
            <w:vAlign w:val="bottom"/>
          </w:tcPr>
          <w:p>
            <w:pPr>
              <w:ind w:left="360"/>
              <w:spacing w:after="0"/>
              <w:rPr>
                <w:sz w:val="20"/>
                <w:szCs w:val="20"/>
                <w:color w:val="auto"/>
              </w:rPr>
            </w:pPr>
            <w:r>
              <w:rPr>
                <w:rFonts w:ascii="Arial" w:cs="Arial" w:eastAsia="Arial" w:hAnsi="Arial"/>
                <w:sz w:val="18"/>
                <w:szCs w:val="18"/>
                <w:color w:val="auto"/>
              </w:rPr>
              <w:t>Prepaid expenses and other assets</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11,820</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(25,799)</w:t>
            </w:r>
          </w:p>
        </w:tc>
      </w:tr>
      <w:tr>
        <w:trPr>
          <w:trHeight w:val="216"/>
        </w:trPr>
        <w:tc>
          <w:tcPr>
            <w:tcW w:w="71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12,523</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(45,868)</w:t>
            </w:r>
          </w:p>
        </w:tc>
      </w:tr>
      <w:tr>
        <w:trPr>
          <w:trHeight w:val="216"/>
        </w:trPr>
        <w:tc>
          <w:tcPr>
            <w:tcW w:w="7100" w:type="dxa"/>
            <w:vAlign w:val="bottom"/>
          </w:tcPr>
          <w:p>
            <w:pPr>
              <w:ind w:left="360"/>
              <w:spacing w:after="0"/>
              <w:rPr>
                <w:sz w:val="20"/>
                <w:szCs w:val="20"/>
                <w:color w:val="auto"/>
              </w:rPr>
            </w:pPr>
            <w:r>
              <w:rPr>
                <w:rFonts w:ascii="Arial" w:cs="Arial" w:eastAsia="Arial" w:hAnsi="Arial"/>
                <w:sz w:val="18"/>
                <w:szCs w:val="18"/>
                <w:color w:val="auto"/>
              </w:rPr>
              <w:t>Accrued liabilities and other</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8"/>
                <w:szCs w:val="18"/>
                <w:color w:val="auto"/>
              </w:rPr>
              <w:t>(57,833)</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2,500</w:t>
            </w:r>
          </w:p>
        </w:tc>
        <w:tc>
          <w:tcPr>
            <w:tcW w:w="80" w:type="dxa"/>
            <w:vAlign w:val="bottom"/>
          </w:tcPr>
          <w:p>
            <w:pPr>
              <w:spacing w:after="0"/>
              <w:rPr>
                <w:sz w:val="18"/>
                <w:szCs w:val="18"/>
                <w:color w:val="auto"/>
              </w:rPr>
            </w:pPr>
          </w:p>
        </w:tc>
      </w:tr>
      <w:tr>
        <w:trPr>
          <w:trHeight w:val="216"/>
        </w:trPr>
        <w:tc>
          <w:tcPr>
            <w:tcW w:w="71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1,282</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(8,222)</w:t>
            </w:r>
          </w:p>
        </w:tc>
      </w:tr>
      <w:tr>
        <w:trPr>
          <w:trHeight w:val="216"/>
        </w:trPr>
        <w:tc>
          <w:tcPr>
            <w:tcW w:w="7100" w:type="dxa"/>
            <w:vAlign w:val="bottom"/>
          </w:tcPr>
          <w:p>
            <w:pPr>
              <w:ind w:left="360"/>
              <w:spacing w:after="0"/>
              <w:rPr>
                <w:sz w:val="20"/>
                <w:szCs w:val="20"/>
                <w:color w:val="auto"/>
              </w:rPr>
            </w:pPr>
            <w:r>
              <w:rPr>
                <w:rFonts w:ascii="Arial" w:cs="Arial" w:eastAsia="Arial" w:hAnsi="Arial"/>
                <w:sz w:val="18"/>
                <w:szCs w:val="18"/>
                <w:color w:val="auto"/>
              </w:rPr>
              <w:t>Income taxes payable</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2,608</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15,100</w:t>
            </w:r>
          </w:p>
        </w:tc>
        <w:tc>
          <w:tcPr>
            <w:tcW w:w="80" w:type="dxa"/>
            <w:vAlign w:val="bottom"/>
          </w:tcPr>
          <w:p>
            <w:pPr>
              <w:spacing w:after="0"/>
              <w:rPr>
                <w:sz w:val="18"/>
                <w:szCs w:val="18"/>
                <w:color w:val="auto"/>
              </w:rPr>
            </w:pPr>
          </w:p>
        </w:tc>
      </w:tr>
      <w:tr>
        <w:trPr>
          <w:trHeight w:val="216"/>
        </w:trPr>
        <w:tc>
          <w:tcPr>
            <w:tcW w:w="71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1,187</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(1,133)</w:t>
            </w:r>
          </w:p>
        </w:tc>
      </w:tr>
      <w:tr>
        <w:trPr>
          <w:trHeight w:val="210"/>
        </w:trPr>
        <w:tc>
          <w:tcPr>
            <w:tcW w:w="710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26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54,174</w:t>
            </w:r>
          </w:p>
        </w:tc>
        <w:tc>
          <w:tcPr>
            <w:tcW w:w="26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46,683</w:t>
            </w:r>
          </w:p>
        </w:tc>
        <w:tc>
          <w:tcPr>
            <w:tcW w:w="80" w:type="dxa"/>
            <w:vAlign w:val="bottom"/>
            <w:tcBorders>
              <w:bottom w:val="single" w:sz="8" w:color="CCEEFF"/>
            </w:tcBorders>
          </w:tcPr>
          <w:p>
            <w:pPr>
              <w:spacing w:after="0"/>
              <w:rPr>
                <w:sz w:val="18"/>
                <w:szCs w:val="18"/>
                <w:color w:val="auto"/>
              </w:rPr>
            </w:pPr>
          </w:p>
        </w:tc>
      </w:tr>
      <w:tr>
        <w:trPr>
          <w:trHeight w:val="196"/>
        </w:trPr>
        <w:tc>
          <w:tcPr>
            <w:tcW w:w="71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Cash paid for acquisition</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(24,008)</w:t>
            </w:r>
          </w:p>
        </w:tc>
      </w:tr>
      <w:tr>
        <w:trPr>
          <w:trHeight w:val="216"/>
        </w:trPr>
        <w:tc>
          <w:tcPr>
            <w:tcW w:w="7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short-term investments</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(107,953)</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(57,405)</w:t>
            </w: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8,018</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238,124</w:t>
            </w:r>
          </w:p>
        </w:tc>
        <w:tc>
          <w:tcPr>
            <w:tcW w:w="80" w:type="dxa"/>
            <w:vAlign w:val="bottom"/>
          </w:tcPr>
          <w:p>
            <w:pPr>
              <w:spacing w:after="0"/>
              <w:rPr>
                <w:sz w:val="18"/>
                <w:szCs w:val="18"/>
                <w:color w:val="auto"/>
              </w:rPr>
            </w:pPr>
          </w:p>
        </w:tc>
      </w:tr>
      <w:tr>
        <w:trPr>
          <w:trHeight w:val="216"/>
        </w:trPr>
        <w:tc>
          <w:tcPr>
            <w:tcW w:w="7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costs</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(974)</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(461)</w:t>
            </w: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Purchases of technology licenses</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8"/>
                <w:szCs w:val="18"/>
                <w:color w:val="auto"/>
              </w:rPr>
              <w:t>(15,700)</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7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(35,282)</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(28,948)</w:t>
            </w:r>
          </w:p>
        </w:tc>
      </w:tr>
      <w:tr>
        <w:trPr>
          <w:trHeight w:val="210"/>
        </w:trPr>
        <w:tc>
          <w:tcPr>
            <w:tcW w:w="710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(used in) provided by investing activities</w:t>
            </w:r>
          </w:p>
        </w:tc>
        <w:tc>
          <w:tcPr>
            <w:tcW w:w="126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(151,891)</w:t>
            </w:r>
          </w:p>
        </w:tc>
        <w:tc>
          <w:tcPr>
            <w:tcW w:w="26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127,302</w:t>
            </w:r>
          </w:p>
        </w:tc>
        <w:tc>
          <w:tcPr>
            <w:tcW w:w="80" w:type="dxa"/>
            <w:vAlign w:val="bottom"/>
            <w:tcBorders>
              <w:bottom w:val="single" w:sz="8" w:color="CCEEFF"/>
            </w:tcBorders>
          </w:tcPr>
          <w:p>
            <w:pPr>
              <w:spacing w:after="0"/>
              <w:rPr>
                <w:sz w:val="18"/>
                <w:szCs w:val="18"/>
                <w:color w:val="auto"/>
              </w:rPr>
            </w:pPr>
          </w:p>
        </w:tc>
      </w:tr>
      <w:tr>
        <w:trPr>
          <w:trHeight w:val="196"/>
        </w:trPr>
        <w:tc>
          <w:tcPr>
            <w:tcW w:w="71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10,904</w:t>
            </w:r>
          </w:p>
        </w:tc>
        <w:tc>
          <w:tcPr>
            <w:tcW w:w="80" w:type="dxa"/>
            <w:vAlign w:val="bottom"/>
          </w:tcPr>
          <w:p>
            <w:pPr>
              <w:spacing w:after="0"/>
              <w:rPr>
                <w:sz w:val="18"/>
                <w:szCs w:val="18"/>
                <w:color w:val="auto"/>
              </w:rPr>
            </w:pPr>
          </w:p>
        </w:tc>
      </w:tr>
      <w:tr>
        <w:trPr>
          <w:trHeight w:val="216"/>
        </w:trPr>
        <w:tc>
          <w:tcPr>
            <w:tcW w:w="7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and debt obligations</w:t>
            </w:r>
          </w:p>
        </w:tc>
        <w:tc>
          <w:tcPr>
            <w:tcW w:w="1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(5,793)</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(4,628)</w:t>
            </w:r>
          </w:p>
        </w:tc>
      </w:tr>
      <w:tr>
        <w:trPr>
          <w:trHeight w:val="216"/>
        </w:trPr>
        <w:tc>
          <w:tcPr>
            <w:tcW w:w="710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697</w:t>
            </w:r>
          </w:p>
        </w:tc>
        <w:tc>
          <w:tcPr>
            <w:tcW w:w="80" w:type="dxa"/>
            <w:vAlign w:val="bottom"/>
          </w:tcPr>
          <w:p>
            <w:pPr>
              <w:spacing w:after="0"/>
              <w:rPr>
                <w:sz w:val="18"/>
                <w:szCs w:val="18"/>
                <w:color w:val="auto"/>
              </w:rPr>
            </w:pPr>
          </w:p>
        </w:tc>
      </w:tr>
      <w:tr>
        <w:trPr>
          <w:trHeight w:val="210"/>
        </w:trPr>
        <w:tc>
          <w:tcPr>
            <w:tcW w:w="710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(used in) provided by financing activities</w:t>
            </w:r>
          </w:p>
        </w:tc>
        <w:tc>
          <w:tcPr>
            <w:tcW w:w="1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(5,793)</w:t>
            </w:r>
          </w:p>
        </w:tc>
        <w:tc>
          <w:tcPr>
            <w:tcW w:w="26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6,973</w:t>
            </w:r>
          </w:p>
        </w:tc>
        <w:tc>
          <w:tcPr>
            <w:tcW w:w="80" w:type="dxa"/>
            <w:vAlign w:val="bottom"/>
            <w:tcBorders>
              <w:top w:val="single" w:sz="8" w:color="CCEEFF"/>
            </w:tcBorders>
            <w:shd w:val="clear" w:color="auto" w:fill="CCEEFF"/>
          </w:tcPr>
          <w:p>
            <w:pPr>
              <w:spacing w:after="0"/>
              <w:rPr>
                <w:sz w:val="18"/>
                <w:szCs w:val="18"/>
                <w:color w:val="auto"/>
              </w:rPr>
            </w:pPr>
          </w:p>
        </w:tc>
      </w:tr>
      <w:tr>
        <w:trPr>
          <w:trHeight w:val="210"/>
        </w:trPr>
        <w:tc>
          <w:tcPr>
            <w:tcW w:w="7100" w:type="dxa"/>
            <w:vAlign w:val="bottom"/>
          </w:tcPr>
          <w:p>
            <w:pPr>
              <w:spacing w:after="0"/>
              <w:rPr>
                <w:sz w:val="20"/>
                <w:szCs w:val="20"/>
                <w:color w:val="auto"/>
              </w:rPr>
            </w:pPr>
            <w:r>
              <w:rPr>
                <w:rFonts w:ascii="Arial" w:cs="Arial" w:eastAsia="Arial" w:hAnsi="Arial"/>
                <w:sz w:val="18"/>
                <w:szCs w:val="18"/>
                <w:color w:val="auto"/>
              </w:rPr>
              <w:t>Net (decrease) increase in cash and cash equivalents</w:t>
            </w:r>
          </w:p>
        </w:tc>
        <w:tc>
          <w:tcPr>
            <w:tcW w:w="1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(103,510)</w:t>
            </w: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180,958</w:t>
            </w:r>
          </w:p>
        </w:tc>
        <w:tc>
          <w:tcPr>
            <w:tcW w:w="80" w:type="dxa"/>
            <w:vAlign w:val="bottom"/>
          </w:tcPr>
          <w:p>
            <w:pPr>
              <w:spacing w:after="0"/>
              <w:rPr>
                <w:sz w:val="18"/>
                <w:szCs w:val="18"/>
                <w:color w:val="auto"/>
              </w:rPr>
            </w:pPr>
          </w:p>
        </w:tc>
      </w:tr>
      <w:tr>
        <w:trPr>
          <w:trHeight w:val="216"/>
        </w:trPr>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26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shd w:val="clear" w:color="auto" w:fill="CCEEFF"/>
          </w:tcPr>
          <w:p>
            <w:pPr>
              <w:spacing w:after="0"/>
              <w:rPr>
                <w:sz w:val="18"/>
                <w:szCs w:val="18"/>
                <w:color w:val="auto"/>
              </w:rPr>
            </w:pPr>
          </w:p>
        </w:tc>
      </w:tr>
      <w:tr>
        <w:trPr>
          <w:trHeight w:val="210"/>
        </w:trPr>
        <w:tc>
          <w:tcPr>
            <w:tcW w:w="710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260" w:type="dxa"/>
            <w:vAlign w:val="bottom"/>
          </w:tcPr>
          <w:p>
            <w:pPr>
              <w:spacing w:after="0"/>
              <w:rPr>
                <w:sz w:val="18"/>
                <w:szCs w:val="18"/>
                <w:color w:val="auto"/>
              </w:rPr>
            </w:pPr>
          </w:p>
        </w:tc>
        <w:tc>
          <w:tcPr>
            <w:tcW w:w="240" w:type="dxa"/>
            <w:vAlign w:val="bottom"/>
            <w:tcBorders>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464,498</w:t>
            </w:r>
          </w:p>
        </w:tc>
        <w:tc>
          <w:tcPr>
            <w:tcW w:w="26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40" w:type="dxa"/>
            <w:vAlign w:val="bottom"/>
            <w:tcBorders>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529,389</w:t>
            </w:r>
          </w:p>
        </w:tc>
        <w:tc>
          <w:tcPr>
            <w:tcW w:w="80" w:type="dxa"/>
            <w:vAlign w:val="bottom"/>
          </w:tcPr>
          <w:p>
            <w:pPr>
              <w:spacing w:after="0"/>
              <w:rPr>
                <w:sz w:val="18"/>
                <w:szCs w:val="18"/>
                <w:color w:val="auto"/>
              </w:rPr>
            </w:pPr>
          </w:p>
        </w:tc>
      </w:tr>
      <w:tr>
        <w:trPr>
          <w:trHeight w:val="20"/>
        </w:trPr>
        <w:tc>
          <w:tcPr>
            <w:tcW w:w="71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ectPr>
          <w:pgSz w:w="11900" w:h="16838" w:orient="portrait"/>
          <w:cols w:equalWidth="0" w:num="1">
            <w:col w:w="11420"/>
          </w:cols>
          <w:pgMar w:left="240" w:top="140" w:right="239" w:bottom="0" w:gutter="0" w:footer="0" w:header="0"/>
        </w:sectPr>
      </w:pPr>
    </w:p>
    <w:bookmarkStart w:id="3" w:name="page4"/>
    <w:bookmarkEnd w:id="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0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Supplemental cash flow information:</w:t>
            </w:r>
          </w:p>
        </w:tc>
        <w:tc>
          <w:tcPr>
            <w:tcW w:w="1300" w:type="dxa"/>
            <w:vAlign w:val="bottom"/>
            <w:tcBorders>
              <w:top w:val="single" w:sz="8" w:color="CCEEFF"/>
            </w:tcBorders>
            <w:shd w:val="clear" w:color="auto" w:fill="CCEEFF"/>
          </w:tcPr>
          <w:p>
            <w:pPr>
              <w:spacing w:after="0"/>
              <w:rPr>
                <w:sz w:val="19"/>
                <w:szCs w:val="19"/>
                <w:color w:val="auto"/>
              </w:rPr>
            </w:pPr>
          </w:p>
        </w:tc>
        <w:tc>
          <w:tcPr>
            <w:tcW w:w="520" w:type="dxa"/>
            <w:vAlign w:val="bottom"/>
            <w:tcBorders>
              <w:top w:val="single" w:sz="8" w:color="auto"/>
            </w:tcBorders>
            <w:shd w:val="clear" w:color="auto" w:fill="CCEEFF"/>
          </w:tcPr>
          <w:p>
            <w:pPr>
              <w:spacing w:after="0"/>
              <w:rPr>
                <w:sz w:val="19"/>
                <w:szCs w:val="19"/>
                <w:color w:val="auto"/>
              </w:rPr>
            </w:pPr>
          </w:p>
        </w:tc>
        <w:tc>
          <w:tcPr>
            <w:tcW w:w="840" w:type="dxa"/>
            <w:vAlign w:val="bottom"/>
            <w:tcBorders>
              <w:top w:val="single" w:sz="8" w:color="auto"/>
            </w:tcBorders>
            <w:shd w:val="clear" w:color="auto" w:fill="CCEEFF"/>
          </w:tcPr>
          <w:p>
            <w:pPr>
              <w:spacing w:after="0"/>
              <w:rPr>
                <w:sz w:val="19"/>
                <w:szCs w:val="19"/>
                <w:color w:val="auto"/>
              </w:rPr>
            </w:pPr>
          </w:p>
        </w:tc>
        <w:tc>
          <w:tcPr>
            <w:tcW w:w="260" w:type="dxa"/>
            <w:vAlign w:val="bottom"/>
            <w:tcBorders>
              <w:top w:val="single" w:sz="8" w:color="CCEEFF"/>
            </w:tcBorders>
            <w:shd w:val="clear" w:color="auto" w:fill="CCEEFF"/>
          </w:tcPr>
          <w:p>
            <w:pPr>
              <w:spacing w:after="0"/>
              <w:rPr>
                <w:sz w:val="19"/>
                <w:szCs w:val="19"/>
                <w:color w:val="auto"/>
              </w:rPr>
            </w:pPr>
          </w:p>
        </w:tc>
        <w:tc>
          <w:tcPr>
            <w:tcW w:w="480" w:type="dxa"/>
            <w:vAlign w:val="bottom"/>
            <w:tcBorders>
              <w:top w:val="single" w:sz="8" w:color="auto"/>
            </w:tcBorders>
            <w:shd w:val="clear" w:color="auto" w:fill="CCEEFF"/>
          </w:tcPr>
          <w:p>
            <w:pPr>
              <w:spacing w:after="0"/>
              <w:rPr>
                <w:sz w:val="19"/>
                <w:szCs w:val="19"/>
                <w:color w:val="auto"/>
              </w:rPr>
            </w:pPr>
          </w:p>
        </w:tc>
        <w:tc>
          <w:tcPr>
            <w:tcW w:w="880" w:type="dxa"/>
            <w:vAlign w:val="bottom"/>
            <w:tcBorders>
              <w:top w:val="single" w:sz="8" w:color="auto"/>
            </w:tcBorders>
            <w:shd w:val="clear" w:color="auto" w:fill="CCEEFF"/>
          </w:tcPr>
          <w:p>
            <w:pPr>
              <w:spacing w:after="0"/>
              <w:rPr>
                <w:sz w:val="19"/>
                <w:szCs w:val="19"/>
                <w:color w:val="auto"/>
              </w:rPr>
            </w:pPr>
          </w:p>
        </w:tc>
        <w:tc>
          <w:tcPr>
            <w:tcW w:w="80" w:type="dxa"/>
            <w:vAlign w:val="bottom"/>
            <w:tcBorders>
              <w:top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56"/>
        </w:trPr>
        <w:tc>
          <w:tcPr>
            <w:tcW w:w="7060" w:type="dxa"/>
            <w:vAlign w:val="bottom"/>
          </w:tcPr>
          <w:p>
            <w:pPr>
              <w:ind w:left="180"/>
              <w:spacing w:after="0"/>
              <w:rPr>
                <w:sz w:val="20"/>
                <w:szCs w:val="20"/>
                <w:color w:val="auto"/>
              </w:rPr>
            </w:pPr>
            <w:r>
              <w:rPr>
                <w:rFonts w:ascii="Arial" w:cs="Arial" w:eastAsia="Arial" w:hAnsi="Arial"/>
                <w:sz w:val="18"/>
                <w:szCs w:val="18"/>
                <w:color w:val="auto"/>
              </w:rPr>
              <w:t>Cash paid for interest</w:t>
            </w:r>
          </w:p>
        </w:tc>
        <w:tc>
          <w:tcPr>
            <w:tcW w:w="1820" w:type="dxa"/>
            <w:vAlign w:val="bottom"/>
            <w:gridSpan w:val="2"/>
          </w:tcPr>
          <w:p>
            <w:pPr>
              <w:jc w:val="right"/>
              <w:ind w:right="365"/>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7,542</w:t>
            </w:r>
          </w:p>
        </w:tc>
        <w:tc>
          <w:tcPr>
            <w:tcW w:w="740" w:type="dxa"/>
            <w:vAlign w:val="bottom"/>
            <w:gridSpan w:val="2"/>
          </w:tcPr>
          <w:p>
            <w:pPr>
              <w:jc w:val="right"/>
              <w:ind w:right="290"/>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599</w:t>
            </w: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7060" w:type="dxa"/>
            <w:vAlign w:val="bottom"/>
            <w:tcBorders>
              <w:top w:val="single" w:sz="8" w:color="CCEEFF"/>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Cash paid for income taxes,</w:t>
            </w:r>
          </w:p>
        </w:tc>
        <w:tc>
          <w:tcPr>
            <w:tcW w:w="1300" w:type="dxa"/>
            <w:vAlign w:val="bottom"/>
            <w:tcBorders>
              <w:top w:val="single" w:sz="8" w:color="CCEEFF"/>
              <w:bottom w:val="single" w:sz="8" w:color="CCEEFF"/>
            </w:tcBorders>
            <w:shd w:val="clear" w:color="auto" w:fill="CCEEFF"/>
          </w:tcPr>
          <w:p>
            <w:pPr>
              <w:spacing w:after="0"/>
              <w:rPr>
                <w:sz w:val="17"/>
                <w:szCs w:val="17"/>
                <w:color w:val="auto"/>
              </w:rPr>
            </w:pPr>
          </w:p>
        </w:tc>
        <w:tc>
          <w:tcPr>
            <w:tcW w:w="520" w:type="dxa"/>
            <w:vAlign w:val="bottom"/>
            <w:tcBorders>
              <w:top w:val="single" w:sz="8" w:color="auto"/>
              <w:bottom w:val="single" w:sz="8" w:color="auto"/>
            </w:tcBorders>
            <w:shd w:val="clear" w:color="auto" w:fill="CCEEFF"/>
          </w:tcPr>
          <w:p>
            <w:pPr>
              <w:jc w:val="right"/>
              <w:ind w:right="36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2,971</w:t>
            </w:r>
          </w:p>
        </w:tc>
        <w:tc>
          <w:tcPr>
            <w:tcW w:w="260" w:type="dxa"/>
            <w:vAlign w:val="bottom"/>
            <w:tcBorders>
              <w:top w:val="single" w:sz="8" w:color="CCEEFF"/>
              <w:bottom w:val="single" w:sz="8" w:color="CCEEFF"/>
            </w:tcBorders>
            <w:shd w:val="clear" w:color="auto" w:fill="CCEEFF"/>
          </w:tcPr>
          <w:p>
            <w:pPr>
              <w:spacing w:after="0"/>
              <w:rPr>
                <w:sz w:val="17"/>
                <w:szCs w:val="17"/>
                <w:color w:val="auto"/>
              </w:rPr>
            </w:pPr>
          </w:p>
        </w:tc>
        <w:tc>
          <w:tcPr>
            <w:tcW w:w="480" w:type="dxa"/>
            <w:vAlign w:val="bottom"/>
            <w:tcBorders>
              <w:top w:val="single" w:sz="8" w:color="auto"/>
              <w:bottom w:val="single" w:sz="8" w:color="auto"/>
            </w:tcBorders>
            <w:shd w:val="clear" w:color="auto" w:fill="CCEEFF"/>
          </w:tcPr>
          <w:p>
            <w:pPr>
              <w:jc w:val="right"/>
              <w:ind w:right="290"/>
              <w:spacing w:after="0" w:line="196" w:lineRule="exact"/>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271</w:t>
            </w: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060" w:type="dxa"/>
            <w:vAlign w:val="bottom"/>
            <w:vMerge w:val="restart"/>
          </w:tcPr>
          <w:p>
            <w:pPr>
              <w:ind w:left="18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1300" w:type="dxa"/>
            <w:vAlign w:val="bottom"/>
            <w:vMerge w:val="restart"/>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60" w:type="dxa"/>
            <w:vAlign w:val="bottom"/>
            <w:vMerge w:val="restart"/>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7060" w:type="dxa"/>
            <w:vAlign w:val="bottom"/>
            <w:tcBorders>
              <w:bottom w:val="single" w:sz="8" w:color="CCEEFF"/>
            </w:tcBorders>
            <w:vMerge w:val="continue"/>
          </w:tcPr>
          <w:p>
            <w:pPr>
              <w:spacing w:after="0"/>
              <w:rPr>
                <w:sz w:val="20"/>
                <w:szCs w:val="20"/>
                <w:color w:val="auto"/>
              </w:rPr>
            </w:pPr>
          </w:p>
        </w:tc>
        <w:tc>
          <w:tcPr>
            <w:tcW w:w="1300" w:type="dxa"/>
            <w:vAlign w:val="bottom"/>
            <w:tcBorders>
              <w:bottom w:val="single" w:sz="8" w:color="CCEEFF"/>
            </w:tcBorders>
            <w:vMerge w:val="continue"/>
          </w:tcPr>
          <w:p>
            <w:pPr>
              <w:spacing w:after="0"/>
              <w:rPr>
                <w:sz w:val="20"/>
                <w:szCs w:val="20"/>
                <w:color w:val="auto"/>
              </w:rPr>
            </w:pPr>
          </w:p>
        </w:tc>
        <w:tc>
          <w:tcPr>
            <w:tcW w:w="520" w:type="dxa"/>
            <w:vAlign w:val="bottom"/>
            <w:tcBorders>
              <w:bottom w:val="single" w:sz="8" w:color="auto"/>
            </w:tcBorders>
          </w:tcPr>
          <w:p>
            <w:pPr>
              <w:jc w:val="right"/>
              <w:ind w:right="365"/>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vMerge w:val="continue"/>
          </w:tcPr>
          <w:p>
            <w:pPr>
              <w:spacing w:after="0"/>
              <w:rPr>
                <w:sz w:val="20"/>
                <w:szCs w:val="20"/>
                <w:color w:val="auto"/>
              </w:rPr>
            </w:pPr>
          </w:p>
        </w:tc>
        <w:tc>
          <w:tcPr>
            <w:tcW w:w="480" w:type="dxa"/>
            <w:vAlign w:val="bottom"/>
            <w:tcBorders>
              <w:bottom w:val="single" w:sz="8" w:color="auto"/>
            </w:tcBorders>
          </w:tcPr>
          <w:p>
            <w:pPr>
              <w:jc w:val="right"/>
              <w:ind w:right="290"/>
              <w:spacing w:after="0" w:line="196" w:lineRule="exact"/>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3,212</w:t>
            </w:r>
          </w:p>
        </w:tc>
        <w:tc>
          <w:tcPr>
            <w:tcW w:w="8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197"/>
        </w:trPr>
        <w:tc>
          <w:tcPr>
            <w:tcW w:w="7060" w:type="dxa"/>
            <w:vAlign w:val="bottom"/>
            <w:tcBorders>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Reversal of deferred stock-based compensation due to adoption of FAS 123R</w:t>
            </w:r>
          </w:p>
        </w:tc>
        <w:tc>
          <w:tcPr>
            <w:tcW w:w="130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auto"/>
            </w:tcBorders>
            <w:shd w:val="clear" w:color="auto" w:fill="CCEEFF"/>
          </w:tcPr>
          <w:p>
            <w:pPr>
              <w:jc w:val="right"/>
              <w:ind w:right="365"/>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17"/>
                <w:szCs w:val="17"/>
                <w:color w:val="auto"/>
              </w:rPr>
            </w:pPr>
          </w:p>
        </w:tc>
        <w:tc>
          <w:tcPr>
            <w:tcW w:w="480" w:type="dxa"/>
            <w:vAlign w:val="bottom"/>
            <w:tcBorders>
              <w:bottom w:val="single" w:sz="8" w:color="auto"/>
            </w:tcBorders>
            <w:shd w:val="clear" w:color="auto" w:fill="CCEEFF"/>
          </w:tcPr>
          <w:p>
            <w:pPr>
              <w:jc w:val="right"/>
              <w:ind w:right="290"/>
              <w:spacing w:after="0" w:line="196" w:lineRule="exact"/>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61,987</w:t>
            </w:r>
          </w:p>
        </w:tc>
        <w:tc>
          <w:tcPr>
            <w:tcW w:w="8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0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200" w:firstLine="324"/>
        <w:spacing w:after="0" w:line="291" w:lineRule="auto"/>
        <w:rPr>
          <w:sz w:val="20"/>
          <w:szCs w:val="20"/>
          <w:color w:val="auto"/>
        </w:rPr>
      </w:pPr>
      <w:r>
        <w:rPr>
          <w:rFonts w:ascii="Arial" w:cs="Arial" w:eastAsia="Arial" w:hAnsi="Arial"/>
          <w:sz w:val="16"/>
          <w:szCs w:val="16"/>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5"/>
          <w:szCs w:val="15"/>
          <w:color w:val="auto"/>
        </w:rPr>
        <w:t>Fiscal year 2008 is comprised of a</w:t>
      </w:r>
    </w:p>
    <w:p>
      <w:pPr>
        <w:spacing w:after="0"/>
        <w:rPr>
          <w:sz w:val="20"/>
          <w:szCs w:val="20"/>
          <w:color w:val="auto"/>
        </w:rPr>
      </w:pPr>
      <w:r>
        <w:rPr>
          <w:rFonts w:ascii="Arial" w:cs="Arial" w:eastAsia="Arial" w:hAnsi="Arial"/>
          <w:sz w:val="18"/>
          <w:szCs w:val="18"/>
          <w:color w:val="auto"/>
        </w:rPr>
        <w:t>53-week period and fiscal year 2007 is comprised of a 52-week period.</w:t>
      </w:r>
    </w:p>
    <w:p>
      <w:pPr>
        <w:spacing w:after="0" w:line="211" w:lineRule="exact"/>
        <w:rPr>
          <w:sz w:val="20"/>
          <w:szCs w:val="20"/>
          <w:color w:val="auto"/>
        </w:rPr>
      </w:pPr>
    </w:p>
    <w:p>
      <w:pPr>
        <w:ind w:right="120" w:firstLine="324"/>
        <w:spacing w:after="0" w:line="293" w:lineRule="auto"/>
        <w:rPr>
          <w:sz w:val="20"/>
          <w:szCs w:val="20"/>
          <w:color w:val="auto"/>
        </w:rPr>
      </w:pPr>
      <w:r>
        <w:rPr>
          <w:rFonts w:ascii="Arial" w:cs="Arial" w:eastAsia="Arial" w:hAnsi="Arial"/>
          <w:sz w:val="16"/>
          <w:szCs w:val="16"/>
          <w:color w:val="auto"/>
        </w:rPr>
        <w:t>On February 21, 2006,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2006 Annual General Meeting. On June 9, 2006, shareholders at the Company’s 2006 Annual General Meeting approved an increase in the authorized share capital by 500.0 million shares of common stock. Stock certificates representing one additional share for each share held were delivered on July 24, 2006 (payment date) to all shareholders of record at the close of business on July 10, 2006 (record date). All share and per share amounts in these consolidated financial statements and related notes have been retroactively adjusted to reflect the stock split for all periods presented.</w:t>
      </w:r>
    </w:p>
    <w:p>
      <w:pPr>
        <w:spacing w:after="0" w:line="165" w:lineRule="exact"/>
        <w:rPr>
          <w:sz w:val="20"/>
          <w:szCs w:val="20"/>
          <w:color w:val="auto"/>
        </w:rPr>
      </w:pPr>
    </w:p>
    <w:p>
      <w:pPr>
        <w:ind w:right="60" w:firstLine="324"/>
        <w:spacing w:after="0" w:line="285" w:lineRule="auto"/>
        <w:rPr>
          <w:sz w:val="20"/>
          <w:szCs w:val="20"/>
          <w:color w:val="auto"/>
        </w:rPr>
      </w:pPr>
      <w:r>
        <w:rPr>
          <w:rFonts w:ascii="Arial" w:cs="Arial" w:eastAsia="Arial" w:hAnsi="Arial"/>
          <w:sz w:val="17"/>
          <w:szCs w:val="17"/>
          <w:color w:val="auto"/>
        </w:rPr>
        <w:t xml:space="preserve">The unaudited interim condensed consolidated financial statements have been prepared in accordance with </w:t>
      </w:r>
      <w:r>
        <w:rPr>
          <w:rFonts w:ascii="Arial" w:cs="Arial" w:eastAsia="Arial" w:hAnsi="Arial"/>
          <w:sz w:val="16"/>
          <w:szCs w:val="16"/>
          <w:color w:val="auto"/>
        </w:rPr>
        <w:t>accounting principles generally accepted in the</w:t>
      </w:r>
      <w:r>
        <w:rPr>
          <w:rFonts w:ascii="Arial" w:cs="Arial" w:eastAsia="Arial" w:hAnsi="Arial"/>
          <w:sz w:val="17"/>
          <w:szCs w:val="17"/>
          <w:color w:val="auto"/>
        </w:rPr>
        <w:t xml:space="preserve"> </w:t>
      </w:r>
      <w:r>
        <w:rPr>
          <w:rFonts w:ascii="Arial" w:cs="Arial" w:eastAsia="Arial" w:hAnsi="Arial"/>
          <w:sz w:val="16"/>
          <w:szCs w:val="16"/>
          <w:color w:val="auto"/>
        </w:rPr>
        <w:t>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presentation of the results for the interim periods have been included in the Company’s financial position as of April 28, 2007, the results of its operations for the three months ended April 28, 2007 and April 29, 2006, and its cash flows for the three months ended April 28, 2007 and April 29, 2006. The January 27, 2007 condensed consolidated balance sheet data was derived from audited consolidated financial statements included in the Company’s 2007 Annual Report on Form 10-K but does not include all disclosures required by GAAP.</w:t>
      </w:r>
    </w:p>
    <w:p>
      <w:pPr>
        <w:spacing w:after="0" w:line="172" w:lineRule="exact"/>
        <w:rPr>
          <w:sz w:val="20"/>
          <w:szCs w:val="20"/>
          <w:color w:val="auto"/>
        </w:rPr>
      </w:pPr>
    </w:p>
    <w:p>
      <w:pPr>
        <w:ind w:right="140" w:firstLine="324"/>
        <w:spacing w:after="0" w:line="258" w:lineRule="auto"/>
        <w:rPr>
          <w:sz w:val="20"/>
          <w:szCs w:val="20"/>
          <w:color w:val="auto"/>
        </w:rPr>
      </w:pPr>
      <w:r>
        <w:rPr>
          <w:rFonts w:ascii="Arial" w:cs="Arial" w:eastAsia="Arial" w:hAnsi="Arial"/>
          <w:sz w:val="18"/>
          <w:szCs w:val="18"/>
          <w:color w:val="auto"/>
        </w:rPr>
        <w:t xml:space="preserve">These condensed consolidated financial statements and related notes are unaudited and should be read in conjunction with the Company’s audited financial statements and related notes for the year ended January 27, 2007 included in the Company’s Annual Report on Form 10-K, as filed on July 2, 2007 with the Securities and Exchange Commission (“SEC”). </w:t>
      </w:r>
      <w:r>
        <w:rPr>
          <w:rFonts w:ascii="Arial" w:cs="Arial" w:eastAsia="Arial" w:hAnsi="Arial"/>
          <w:sz w:val="17"/>
          <w:szCs w:val="17"/>
          <w:color w:val="auto"/>
        </w:rPr>
        <w:t>The results of operations for the three months ended April 28, 2007 are not necessarily indicative of</w:t>
      </w:r>
      <w:r>
        <w:rPr>
          <w:rFonts w:ascii="Arial" w:cs="Arial" w:eastAsia="Arial" w:hAnsi="Arial"/>
          <w:sz w:val="18"/>
          <w:szCs w:val="18"/>
          <w:color w:val="auto"/>
        </w:rPr>
        <w:t xml:space="preserve"> </w:t>
      </w:r>
      <w:r>
        <w:rPr>
          <w:rFonts w:ascii="Arial" w:cs="Arial" w:eastAsia="Arial" w:hAnsi="Arial"/>
          <w:sz w:val="17"/>
          <w:szCs w:val="17"/>
          <w:color w:val="auto"/>
        </w:rPr>
        <w:t>the results that may be expected for any other interim period or for the full fiscal year.</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preparation of financial statements in conformity with GAAP requires management to make estimates and assumptions that affect the reported amounts of assets, liabilities, revenues and expenses and related disclosure of contingent assets and liabilities. On an on-going basis, the Company evaluates its estimates,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280" w:firstLine="324"/>
        <w:spacing w:after="0" w:line="264" w:lineRule="auto"/>
        <w:rPr>
          <w:sz w:val="20"/>
          <w:szCs w:val="20"/>
          <w:color w:val="auto"/>
        </w:rPr>
      </w:pPr>
      <w:r>
        <w:rPr>
          <w:rFonts w:ascii="Arial" w:cs="Arial" w:eastAsia="Arial" w:hAnsi="Arial"/>
          <w:sz w:val="18"/>
          <w:szCs w:val="18"/>
          <w:color w:val="auto"/>
        </w:rPr>
        <w:t>The unaudited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ectPr>
          <w:pgSz w:w="11900" w:h="16838" w:orient="portrait"/>
          <w:cols w:equalWidth="0" w:num="1">
            <w:col w:w="11420"/>
          </w:cols>
          <w:pgMar w:left="240" w:top="120" w:right="239" w:bottom="0" w:gutter="0" w:footer="0" w:header="0"/>
        </w:sectPr>
      </w:pPr>
    </w:p>
    <w:bookmarkStart w:id="4" w:name="page5"/>
    <w:bookmarkEnd w:id="4"/>
    <w:p>
      <w:pPr>
        <w:spacing w:after="0" w:line="39"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229"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gains and losses and declines in value judged to be other than temporary on available-for-sale securities are included in interest and other income, net.</w:t>
      </w:r>
    </w:p>
    <w:p>
      <w:pPr>
        <w:spacing w:after="0" w:line="181"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pacing w:after="0" w:line="22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 no collateral. The Company regularly reviews the allowance of bad debt and doubtful accounts by considering factors such as historical experience, credit quality, age of the account receivable balances and current economic conditions that may affect a customer’s ability to pay.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00" w:firstLine="324"/>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229" w:lineRule="exact"/>
        <w:rPr>
          <w:sz w:val="20"/>
          <w:szCs w:val="20"/>
          <w:color w:val="auto"/>
        </w:rPr>
      </w:pPr>
    </w:p>
    <w:p>
      <w:pPr>
        <w:ind w:right="260" w:firstLine="324"/>
        <w:spacing w:after="0" w:line="302"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lease or their estimated useful lives.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w:t>
      </w:r>
    </w:p>
    <w:p>
      <w:pPr>
        <w:spacing w:after="0" w:line="229"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Goodwill is recorded when the consideration paid for an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and four to seven years for customer contracts.</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Goodwill is measured and tested for impairment on an annual basis or more frequently if the Company believes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SFAS 142 because the fair value of the reporting unit has exceeded its net book value at every measurement date.</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229" w:lineRule="exact"/>
        <w:rPr>
          <w:sz w:val="20"/>
          <w:szCs w:val="20"/>
          <w:color w:val="auto"/>
        </w:rPr>
      </w:pPr>
    </w:p>
    <w:p>
      <w:pPr>
        <w:ind w:right="180" w:firstLine="324"/>
        <w:spacing w:after="0" w:line="257" w:lineRule="auto"/>
        <w:rPr>
          <w:sz w:val="20"/>
          <w:szCs w:val="20"/>
          <w:color w:val="auto"/>
        </w:rPr>
      </w:pPr>
      <w:r>
        <w:rPr>
          <w:rFonts w:ascii="Arial" w:cs="Arial" w:eastAsia="Arial" w:hAnsi="Arial"/>
          <w:sz w:val="18"/>
          <w:szCs w:val="18"/>
          <w:color w:val="auto"/>
        </w:rPr>
        <w:t>Long-lived assets include equipment, furniture and fixtures, privately held equity investments and intangible assets. Whenever events or changes in circumstances indicate that the carrying amount of long-lived assets may not be recoverable, the Company estimate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firstLine="324"/>
        <w:spacing w:after="0" w:line="264" w:lineRule="auto"/>
        <w:rPr>
          <w:sz w:val="20"/>
          <w:szCs w:val="20"/>
          <w:color w:val="auto"/>
        </w:rPr>
      </w:pPr>
      <w:r>
        <w:rPr>
          <w:rFonts w:ascii="Arial" w:cs="Arial" w:eastAsia="Arial" w:hAnsi="Arial"/>
          <w:sz w:val="18"/>
          <w:szCs w:val="18"/>
          <w:color w:val="auto"/>
        </w:rPr>
        <w:t>Certain reclassifications have been made to the Statement of Operations for the prior period balances in order to conform to the current period’s presentation. In the first quarter of fiscal 2008, the Company reclassified costs related to patent investigation and filing fees from research and development to general and administrative.</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ectPr>
          <w:pgSz w:w="11900" w:h="16877" w:orient="portrait"/>
          <w:cols w:equalWidth="0" w:num="1">
            <w:col w:w="11400"/>
          </w:cols>
          <w:pgMar w:left="240" w:top="125" w:right="259" w:bottom="0" w:gutter="0" w:footer="0" w:header="0"/>
        </w:sectPr>
      </w:pPr>
    </w:p>
    <w:bookmarkStart w:id="5" w:name="page6"/>
    <w:bookmarkEnd w:id="5"/>
    <w:p>
      <w:pPr>
        <w:ind w:right="160" w:firstLine="324"/>
        <w:spacing w:after="0" w:line="288"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69" w:lineRule="exact"/>
        <w:rPr>
          <w:sz w:val="20"/>
          <w:szCs w:val="20"/>
          <w:color w:val="auto"/>
        </w:rPr>
      </w:pPr>
    </w:p>
    <w:p>
      <w:pPr>
        <w:jc w:val="both"/>
        <w:ind w:right="600" w:firstLine="324"/>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81" w:lineRule="exact"/>
        <w:rPr>
          <w:sz w:val="20"/>
          <w:szCs w:val="20"/>
          <w:color w:val="auto"/>
        </w:rPr>
      </w:pPr>
    </w:p>
    <w:p>
      <w:pPr>
        <w:ind w:firstLine="324"/>
        <w:spacing w:after="0" w:line="264" w:lineRule="auto"/>
        <w:rPr>
          <w:sz w:val="20"/>
          <w:szCs w:val="20"/>
          <w:color w:val="auto"/>
        </w:rPr>
      </w:pPr>
      <w:r>
        <w:rPr>
          <w:rFonts w:ascii="Arial" w:cs="Arial" w:eastAsia="Arial" w:hAnsi="Arial"/>
          <w:sz w:val="18"/>
          <w:szCs w:val="18"/>
          <w:color w:val="auto"/>
        </w:rPr>
        <w:t>The provisions of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340"/>
        <w:spacing w:after="0" w:line="264" w:lineRule="auto"/>
        <w:rPr>
          <w:sz w:val="20"/>
          <w:szCs w:val="20"/>
          <w:color w:val="auto"/>
        </w:rPr>
      </w:pPr>
      <w:r>
        <w:rPr>
          <w:rFonts w:ascii="Arial" w:cs="Arial" w:eastAsia="Arial" w:hAnsi="Arial"/>
          <w:sz w:val="18"/>
          <w:szCs w:val="18"/>
          <w:color w:val="auto"/>
        </w:rPr>
        <w:t>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81"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88" w:lineRule="exact"/>
        <w:rPr>
          <w:sz w:val="20"/>
          <w:szCs w:val="20"/>
          <w:color w:val="auto"/>
        </w:rPr>
      </w:pPr>
    </w:p>
    <w:p>
      <w:pPr>
        <w:jc w:val="both"/>
        <w:ind w:right="300" w:firstLine="324"/>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ind w:right="20" w:firstLine="324"/>
        <w:spacing w:after="0" w:line="312" w:lineRule="auto"/>
        <w:rPr>
          <w:sz w:val="20"/>
          <w:szCs w:val="20"/>
          <w:color w:val="auto"/>
        </w:rPr>
      </w:pPr>
      <w:r>
        <w:rPr>
          <w:rFonts w:ascii="Arial" w:cs="Arial" w:eastAsia="Arial" w:hAnsi="Arial"/>
          <w:sz w:val="16"/>
          <w:szCs w:val="16"/>
          <w:color w:val="auto"/>
        </w:rPr>
        <w:t>Research and development and other costs consist primarily of $231.0 million and $126.9 million of research and development costs for the three months ended April 28, 2007 and April 29, 2006, respectively, excluding costs related to patent investigation and filings for the three month periods ended April 28, 2007 and April 29, 2006 which were $3.1 million and $2.3 million, respectively. Research and development and other costs are expensed as incurred.</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right="220" w:firstLine="324"/>
        <w:spacing w:after="0" w:line="264" w:lineRule="auto"/>
        <w:rPr>
          <w:sz w:val="20"/>
          <w:szCs w:val="20"/>
          <w:color w:val="auto"/>
        </w:rPr>
      </w:pPr>
      <w:r>
        <w:rPr>
          <w:rFonts w:ascii="Arial" w:cs="Arial" w:eastAsia="Arial" w:hAnsi="Arial"/>
          <w:sz w:val="18"/>
          <w:szCs w:val="18"/>
          <w:color w:val="auto"/>
        </w:rPr>
        <w:t>The Company has share-based payment awards to its employees and directors that are fully described in Notes 7 and 8. The stock-based compensation expenses are recorded in accordance with FASB Statement of Financial Accounting Standards No. 123 (revised 2004), “Share Based Payment” (SFAS 123R”).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229" w:lineRule="exact"/>
        <w:rPr>
          <w:sz w:val="20"/>
          <w:szCs w:val="20"/>
          <w:color w:val="auto"/>
        </w:rPr>
      </w:pPr>
    </w:p>
    <w:p>
      <w:pPr>
        <w:ind w:right="20" w:firstLine="324"/>
        <w:spacing w:after="0" w:line="286" w:lineRule="auto"/>
        <w:rPr>
          <w:sz w:val="20"/>
          <w:szCs w:val="20"/>
          <w:color w:val="auto"/>
        </w:rPr>
      </w:pPr>
      <w:r>
        <w:rPr>
          <w:rFonts w:ascii="Arial" w:cs="Arial" w:eastAsia="Arial" w:hAnsi="Arial"/>
          <w:sz w:val="16"/>
          <w:szCs w:val="16"/>
          <w:color w:val="auto"/>
        </w:rPr>
        <w:t>The Company accounts for income taxes in accordance with SFAS No. 109, “Accounting for Income Taxes” (“SFAS No. 109”). Under this method, the Company determines deferred tax assets and liabilities based upon the difference between the income tax bases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gains and losses, differences arise between the amount of taxable income and pretax financial income for a year and between the tax bases of assets or liabilities and their reported amounts in the financial statements. Because it is assumed that the reported amounts of assets and liabilities will be recovered and settled, respectively, a difference between the tax basis of an asset or a liability and its reported amount in the balance sheet will result in a taxable or a deductible amount in some future years when the related liabilities are settled or the reported amounts of assets are recovered, hence giving rise to a deferred tax liability or asset, respectively. The Company then assesses the likelihood that its deferred tax assets will be recovered from future taxable income and to the extent the Company believes that recovery is not likely, the Company establish a valuation allowance. The Company accounts for uncertain tax positions in accordance with FASB Interpretation No. 48 “Accounting for Uncertainty in Tax Positions” (“FIN 48”). The Company classifies accrued interest and penalties as part of the accrued FIN No. 48 liability and records the expense within the provision for income taxes.</w:t>
      </w:r>
    </w:p>
    <w:p>
      <w:pPr>
        <w:spacing w:after="0" w:line="175"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9 - Income Taxes of the consolidated financial statements for additional detail on the Company’s uncertain tax positions.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ectPr>
          <w:pgSz w:w="11900" w:h="16838" w:orient="portrait"/>
          <w:cols w:equalWidth="0" w:num="1">
            <w:col w:w="11400"/>
          </w:cols>
          <w:pgMar w:left="240" w:top="125" w:right="259" w:bottom="0" w:gutter="0" w:footer="0" w:header="0"/>
        </w:sectPr>
      </w:pPr>
    </w:p>
    <w:bookmarkStart w:id="6" w:name="page7"/>
    <w:bookmarkEnd w:id="6"/>
    <w:p>
      <w:pPr>
        <w:ind w:right="120" w:firstLine="324"/>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right="40" w:firstLine="324"/>
        <w:spacing w:after="0" w:line="272" w:lineRule="auto"/>
        <w:rPr>
          <w:sz w:val="20"/>
          <w:szCs w:val="20"/>
          <w:color w:val="auto"/>
        </w:rPr>
      </w:pPr>
      <w:r>
        <w:rPr>
          <w:rFonts w:ascii="Arial" w:cs="Arial" w:eastAsia="Arial" w:hAnsi="Arial"/>
          <w:sz w:val="17"/>
          <w:szCs w:val="17"/>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require service period. The Company currently accrues the cost of compensated absences for sabbatical programs when the eligible employee complete the requisite service period. The Company is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The Company adopted EITF 06-2 in the first quarter of fiscal 2008. The adoption did not have a material impact on the Company’s financial position and results of operations.</w:t>
      </w:r>
    </w:p>
    <w:p>
      <w:pPr>
        <w:spacing w:after="0" w:line="178"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the Company’s fiscal 2008, with the cumulative effect, if any, of the change in accounting principle recorded as an adjustment to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the Company adopted FIN 48. See Note 9 – Income Taxes for further details.</w:t>
      </w:r>
    </w:p>
    <w:p>
      <w:pPr>
        <w:spacing w:after="0" w:line="192" w:lineRule="exact"/>
        <w:rPr>
          <w:sz w:val="20"/>
          <w:szCs w:val="20"/>
          <w:color w:val="auto"/>
        </w:rPr>
      </w:pPr>
    </w:p>
    <w:p>
      <w:pPr>
        <w:ind w:right="34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The Company is currently evaluating the impact of SFAS 157 on the Company’s consolidated financial statements.</w:t>
      </w:r>
    </w:p>
    <w:p>
      <w:pPr>
        <w:spacing w:after="0" w:line="187"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The Company adopted SAB 108 at the end of fiscal 2007. The adoption did not have a material impact on the Company’s financial position and results of operations.</w:t>
      </w:r>
    </w:p>
    <w:p>
      <w:pPr>
        <w:spacing w:after="0" w:line="187" w:lineRule="exact"/>
        <w:rPr>
          <w:sz w:val="20"/>
          <w:szCs w:val="20"/>
          <w:color w:val="auto"/>
        </w:rPr>
      </w:pPr>
    </w:p>
    <w:p>
      <w:pPr>
        <w:jc w:val="both"/>
        <w:ind w:right="200" w:firstLine="324"/>
        <w:spacing w:after="0" w:line="276" w:lineRule="auto"/>
        <w:rPr>
          <w:sz w:val="20"/>
          <w:szCs w:val="20"/>
          <w:color w:val="auto"/>
        </w:rPr>
      </w:pPr>
      <w:r>
        <w:rPr>
          <w:rFonts w:ascii="Arial" w:cs="Arial" w:eastAsia="Arial" w:hAnsi="Arial"/>
          <w:sz w:val="17"/>
          <w:szCs w:val="17"/>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The Company is currently evaluating the potential impact of this statement.</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69"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Available-for-sale investments (in thousands)</w:t>
      </w: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Corporate debt securities</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Auction rate securities</w:t>
      </w:r>
    </w:p>
    <w:p>
      <w:pPr>
        <w:spacing w:after="0" w:line="23" w:lineRule="exact"/>
        <w:rPr>
          <w:sz w:val="20"/>
          <w:szCs w:val="20"/>
          <w:color w:val="auto"/>
        </w:rPr>
      </w:pPr>
    </w:p>
    <w:p>
      <w:pPr>
        <w:ind w:left="660"/>
        <w:spacing w:after="0" w:line="261" w:lineRule="auto"/>
        <w:rPr>
          <w:sz w:val="20"/>
          <w:szCs w:val="20"/>
          <w:color w:val="auto"/>
        </w:rPr>
      </w:pPr>
      <w:r>
        <w:rPr>
          <w:rFonts w:ascii="Arial" w:cs="Arial" w:eastAsia="Arial" w:hAnsi="Arial"/>
          <w:sz w:val="18"/>
          <w:szCs w:val="18"/>
          <w:color w:val="auto"/>
        </w:rPr>
        <w:t>U.S. Federal, state, county and municipal debt securities Short-term investments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940" w:type="dxa"/>
            <w:vAlign w:val="bottom"/>
            <w:tcBorders>
              <w:bottom w:val="single" w:sz="8" w:color="auto"/>
            </w:tcBorders>
            <w:gridSpan w:val="5"/>
          </w:tcPr>
          <w:p>
            <w:pPr>
              <w:jc w:val="center"/>
              <w:ind w:right="300"/>
              <w:spacing w:after="0"/>
              <w:rPr>
                <w:sz w:val="20"/>
                <w:szCs w:val="20"/>
                <w:color w:val="auto"/>
              </w:rPr>
            </w:pPr>
            <w:r>
              <w:rPr>
                <w:rFonts w:ascii="Arial" w:cs="Arial" w:eastAsia="Arial" w:hAnsi="Arial"/>
                <w:sz w:val="14"/>
                <w:szCs w:val="14"/>
                <w:b w:val="1"/>
                <w:bCs w:val="1"/>
                <w:color w:val="auto"/>
                <w:w w:val="97"/>
              </w:rPr>
              <w:t>April 28, 2007</w:t>
            </w: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6"/>
              </w:rPr>
              <w:t>Amortized</w:t>
            </w: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tcPr>
          <w:p>
            <w:pPr>
              <w:jc w:val="center"/>
              <w:ind w:right="124"/>
              <w:spacing w:after="0" w:line="102" w:lineRule="exact"/>
              <w:rPr>
                <w:sz w:val="20"/>
                <w:szCs w:val="20"/>
                <w:color w:val="auto"/>
              </w:rPr>
            </w:pPr>
            <w:r>
              <w:rPr>
                <w:rFonts w:ascii="Arial" w:cs="Arial" w:eastAsia="Arial" w:hAnsi="Arial"/>
                <w:sz w:val="11"/>
                <w:szCs w:val="11"/>
                <w:b w:val="1"/>
                <w:bCs w:val="1"/>
                <w:color w:val="auto"/>
              </w:rPr>
              <w:t>Gross</w:t>
            </w: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900" w:type="dxa"/>
            <w:vAlign w:val="bottom"/>
            <w:gridSpan w:val="2"/>
          </w:tcPr>
          <w:p>
            <w:pPr>
              <w:jc w:val="center"/>
              <w:ind w:right="300"/>
              <w:spacing w:after="0" w:line="102" w:lineRule="exact"/>
              <w:rPr>
                <w:sz w:val="20"/>
                <w:szCs w:val="20"/>
                <w:color w:val="auto"/>
              </w:rPr>
            </w:pPr>
            <w:r>
              <w:rPr>
                <w:rFonts w:ascii="Arial" w:cs="Arial" w:eastAsia="Arial" w:hAnsi="Arial"/>
                <w:sz w:val="11"/>
                <w:szCs w:val="11"/>
                <w:b w:val="1"/>
                <w:bCs w:val="1"/>
                <w:color w:val="auto"/>
              </w:rPr>
              <w:t>Gross</w:t>
            </w:r>
          </w:p>
        </w:tc>
        <w:tc>
          <w:tcPr>
            <w:tcW w:w="100" w:type="dxa"/>
            <w:vAlign w:val="bottom"/>
          </w:tcPr>
          <w:p>
            <w:pPr>
              <w:spacing w:after="0"/>
              <w:rPr>
                <w:sz w:val="8"/>
                <w:szCs w:val="8"/>
                <w:color w:val="auto"/>
              </w:rPr>
            </w:pPr>
          </w:p>
        </w:tc>
        <w:tc>
          <w:tcPr>
            <w:tcW w:w="760" w:type="dxa"/>
            <w:vAlign w:val="bottom"/>
            <w:vMerge w:val="restart"/>
          </w:tcPr>
          <w:p>
            <w:pPr>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Unrealized</w:t>
            </w:r>
          </w:p>
        </w:tc>
        <w:tc>
          <w:tcPr>
            <w:tcW w:w="200" w:type="dxa"/>
            <w:vAlign w:val="bottom"/>
          </w:tcPr>
          <w:p>
            <w:pPr>
              <w:spacing w:after="0"/>
              <w:rPr>
                <w:sz w:val="11"/>
                <w:szCs w:val="11"/>
                <w:color w:val="auto"/>
              </w:rPr>
            </w:pPr>
          </w:p>
        </w:tc>
        <w:tc>
          <w:tcPr>
            <w:tcW w:w="106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5"/>
              </w:rPr>
              <w:t>Unrealized</w:t>
            </w:r>
          </w:p>
        </w:tc>
        <w:tc>
          <w:tcPr>
            <w:tcW w:w="10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Pr>
          <w:p>
            <w:pPr>
              <w:jc w:val="center"/>
              <w:ind w:right="76"/>
              <w:spacing w:after="0"/>
              <w:rPr>
                <w:sz w:val="20"/>
                <w:szCs w:val="20"/>
                <w:color w:val="auto"/>
              </w:rPr>
            </w:pPr>
            <w:r>
              <w:rPr>
                <w:rFonts w:ascii="Arial" w:cs="Arial" w:eastAsia="Arial" w:hAnsi="Arial"/>
                <w:sz w:val="14"/>
                <w:szCs w:val="14"/>
                <w:b w:val="1"/>
                <w:bCs w:val="1"/>
                <w:color w:val="auto"/>
                <w:w w:val="89"/>
              </w:rPr>
              <w:t>Cost</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jc w:val="center"/>
              <w:ind w:right="124"/>
              <w:spacing w:after="0"/>
              <w:rPr>
                <w:sz w:val="20"/>
                <w:szCs w:val="20"/>
                <w:color w:val="auto"/>
              </w:rPr>
            </w:pPr>
            <w:r>
              <w:rPr>
                <w:rFonts w:ascii="Arial" w:cs="Arial" w:eastAsia="Arial" w:hAnsi="Arial"/>
                <w:sz w:val="14"/>
                <w:szCs w:val="14"/>
                <w:b w:val="1"/>
                <w:bCs w:val="1"/>
                <w:color w:val="auto"/>
                <w:w w:val="92"/>
              </w:rPr>
              <w:t>Gains</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760" w:type="dxa"/>
            <w:vAlign w:val="bottom"/>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3,576</w:t>
            </w:r>
          </w:p>
        </w:tc>
        <w:tc>
          <w:tcPr>
            <w:tcW w:w="220" w:type="dxa"/>
            <w:vAlign w:val="bottom"/>
          </w:tcPr>
          <w:p>
            <w:pPr>
              <w:spacing w:after="0"/>
              <w:rPr>
                <w:sz w:val="16"/>
                <w:szCs w:val="16"/>
                <w:color w:val="auto"/>
              </w:rPr>
            </w:pPr>
          </w:p>
        </w:tc>
        <w:tc>
          <w:tcPr>
            <w:tcW w:w="160" w:type="dxa"/>
            <w:vAlign w:val="bottom"/>
            <w:tcBorders>
              <w:top w:val="single" w:sz="8" w:color="auto"/>
            </w:tcBorders>
          </w:tcPr>
          <w:p>
            <w:pPr>
              <w:jc w:val="right"/>
              <w:ind w:right="7"/>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tcBorders>
          </w:tcPr>
          <w:p>
            <w:pPr>
              <w:ind w:left="480"/>
              <w:spacing w:after="0" w:line="195" w:lineRule="exact"/>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6"/>
                <w:szCs w:val="16"/>
                <w:color w:val="auto"/>
              </w:rPr>
            </w:pPr>
          </w:p>
        </w:tc>
        <w:tc>
          <w:tcPr>
            <w:tcW w:w="16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(40)</w:t>
            </w:r>
          </w:p>
        </w:tc>
        <w:tc>
          <w:tcPr>
            <w:tcW w:w="220" w:type="dxa"/>
            <w:vAlign w:val="bottom"/>
          </w:tcPr>
          <w:p>
            <w:pPr>
              <w:spacing w:after="0"/>
              <w:rPr>
                <w:sz w:val="16"/>
                <w:szCs w:val="16"/>
                <w:color w:val="auto"/>
              </w:rPr>
            </w:pPr>
          </w:p>
        </w:tc>
        <w:tc>
          <w:tcPr>
            <w:tcW w:w="10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3,536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99,953</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ind w:left="4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99,953</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25,252</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80" w:type="dxa"/>
            <w:vAlign w:val="bottom"/>
          </w:tcPr>
          <w:p>
            <w:pPr>
              <w:ind w:left="4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00" w:type="dxa"/>
            <w:vAlign w:val="bottom"/>
            <w:gridSpan w:val="2"/>
          </w:tcPr>
          <w:p>
            <w:pPr>
              <w:jc w:val="right"/>
              <w:ind w:right="80"/>
              <w:spacing w:after="0"/>
              <w:rPr>
                <w:sz w:val="20"/>
                <w:szCs w:val="20"/>
                <w:color w:val="auto"/>
              </w:rPr>
            </w:pPr>
            <w:r>
              <w:rPr>
                <w:rFonts w:ascii="Arial" w:cs="Arial" w:eastAsia="Arial" w:hAnsi="Arial"/>
                <w:sz w:val="18"/>
                <w:szCs w:val="18"/>
                <w:color w:val="auto"/>
              </w:rPr>
              <w:t>(296)</w:t>
            </w:r>
          </w:p>
        </w:tc>
        <w:tc>
          <w:tcPr>
            <w:tcW w:w="1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24,956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128,781</w:t>
            </w:r>
          </w:p>
        </w:tc>
        <w:tc>
          <w:tcPr>
            <w:tcW w:w="2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7"/>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ind w:left="4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(336</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128,445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40" w:type="dxa"/>
            <w:vAlign w:val="bottom"/>
            <w:tcBorders>
              <w:bottom w:val="single" w:sz="8" w:color="auto"/>
            </w:tcBorders>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2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940" w:type="dxa"/>
            <w:vAlign w:val="bottom"/>
            <w:tcBorders>
              <w:bottom w:val="single" w:sz="8" w:color="auto"/>
            </w:tcBorders>
            <w:gridSpan w:val="5"/>
          </w:tcPr>
          <w:p>
            <w:pPr>
              <w:jc w:val="center"/>
              <w:ind w:right="300"/>
              <w:spacing w:after="0"/>
              <w:rPr>
                <w:sz w:val="20"/>
                <w:szCs w:val="20"/>
                <w:color w:val="auto"/>
              </w:rPr>
            </w:pPr>
            <w:r>
              <w:rPr>
                <w:rFonts w:ascii="Arial" w:cs="Arial" w:eastAsia="Arial" w:hAnsi="Arial"/>
                <w:sz w:val="14"/>
                <w:szCs w:val="14"/>
                <w:b w:val="1"/>
                <w:bCs w:val="1"/>
                <w:color w:val="auto"/>
                <w:w w:val="92"/>
              </w:rPr>
              <w:t>January 27, 2007</w:t>
            </w:r>
          </w:p>
        </w:tc>
        <w:tc>
          <w:tcPr>
            <w:tcW w:w="10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2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6"/>
              </w:rPr>
              <w:t>Amortized</w:t>
            </w: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tcPr>
          <w:p>
            <w:pPr>
              <w:jc w:val="center"/>
              <w:ind w:right="124"/>
              <w:spacing w:after="0" w:line="102" w:lineRule="exact"/>
              <w:rPr>
                <w:sz w:val="20"/>
                <w:szCs w:val="20"/>
                <w:color w:val="auto"/>
              </w:rPr>
            </w:pPr>
            <w:r>
              <w:rPr>
                <w:rFonts w:ascii="Arial" w:cs="Arial" w:eastAsia="Arial" w:hAnsi="Arial"/>
                <w:sz w:val="11"/>
                <w:szCs w:val="11"/>
                <w:b w:val="1"/>
                <w:bCs w:val="1"/>
                <w:color w:val="auto"/>
              </w:rPr>
              <w:t>Gross</w:t>
            </w: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900" w:type="dxa"/>
            <w:vAlign w:val="bottom"/>
            <w:gridSpan w:val="2"/>
          </w:tcPr>
          <w:p>
            <w:pPr>
              <w:jc w:val="center"/>
              <w:ind w:right="300"/>
              <w:spacing w:after="0" w:line="102" w:lineRule="exact"/>
              <w:rPr>
                <w:sz w:val="20"/>
                <w:szCs w:val="20"/>
                <w:color w:val="auto"/>
              </w:rPr>
            </w:pPr>
            <w:r>
              <w:rPr>
                <w:rFonts w:ascii="Arial" w:cs="Arial" w:eastAsia="Arial" w:hAnsi="Arial"/>
                <w:sz w:val="11"/>
                <w:szCs w:val="11"/>
                <w:b w:val="1"/>
                <w:bCs w:val="1"/>
                <w:color w:val="auto"/>
              </w:rPr>
              <w:t>Gross</w:t>
            </w:r>
          </w:p>
        </w:tc>
        <w:tc>
          <w:tcPr>
            <w:tcW w:w="100" w:type="dxa"/>
            <w:vAlign w:val="bottom"/>
          </w:tcPr>
          <w:p>
            <w:pPr>
              <w:spacing w:after="0"/>
              <w:rPr>
                <w:sz w:val="8"/>
                <w:szCs w:val="8"/>
                <w:color w:val="auto"/>
              </w:rPr>
            </w:pPr>
          </w:p>
        </w:tc>
        <w:tc>
          <w:tcPr>
            <w:tcW w:w="760" w:type="dxa"/>
            <w:vAlign w:val="bottom"/>
            <w:vMerge w:val="restart"/>
          </w:tcPr>
          <w:p>
            <w:pPr>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Unrealized</w:t>
            </w:r>
          </w:p>
        </w:tc>
        <w:tc>
          <w:tcPr>
            <w:tcW w:w="200" w:type="dxa"/>
            <w:vAlign w:val="bottom"/>
          </w:tcPr>
          <w:p>
            <w:pPr>
              <w:spacing w:after="0"/>
              <w:rPr>
                <w:sz w:val="11"/>
                <w:szCs w:val="11"/>
                <w:color w:val="auto"/>
              </w:rPr>
            </w:pPr>
          </w:p>
        </w:tc>
        <w:tc>
          <w:tcPr>
            <w:tcW w:w="106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5"/>
              </w:rPr>
              <w:t>Unrealized</w:t>
            </w:r>
          </w:p>
        </w:tc>
        <w:tc>
          <w:tcPr>
            <w:tcW w:w="10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jc w:val="center"/>
              <w:ind w:right="76"/>
              <w:spacing w:after="0"/>
              <w:rPr>
                <w:sz w:val="20"/>
                <w:szCs w:val="20"/>
                <w:color w:val="auto"/>
              </w:rPr>
            </w:pPr>
            <w:r>
              <w:rPr>
                <w:rFonts w:ascii="Arial" w:cs="Arial" w:eastAsia="Arial" w:hAnsi="Arial"/>
                <w:sz w:val="14"/>
                <w:szCs w:val="14"/>
                <w:b w:val="1"/>
                <w:bCs w:val="1"/>
                <w:color w:val="auto"/>
                <w:w w:val="89"/>
              </w:rPr>
              <w:t>Cost</w:t>
            </w:r>
          </w:p>
        </w:tc>
        <w:tc>
          <w:tcPr>
            <w:tcW w:w="2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80" w:type="dxa"/>
            <w:vAlign w:val="bottom"/>
          </w:tcPr>
          <w:p>
            <w:pPr>
              <w:jc w:val="center"/>
              <w:ind w:right="124"/>
              <w:spacing w:after="0"/>
              <w:rPr>
                <w:sz w:val="20"/>
                <w:szCs w:val="20"/>
                <w:color w:val="auto"/>
              </w:rPr>
            </w:pPr>
            <w:r>
              <w:rPr>
                <w:rFonts w:ascii="Arial" w:cs="Arial" w:eastAsia="Arial" w:hAnsi="Arial"/>
                <w:sz w:val="14"/>
                <w:szCs w:val="14"/>
                <w:b w:val="1"/>
                <w:bCs w:val="1"/>
                <w:color w:val="auto"/>
                <w:w w:val="92"/>
              </w:rPr>
              <w:t>Gains</w:t>
            </w:r>
          </w:p>
        </w:tc>
        <w:tc>
          <w:tcPr>
            <w:tcW w:w="2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3"/>
                <w:szCs w:val="13"/>
                <w:color w:val="auto"/>
              </w:rPr>
            </w:pPr>
          </w:p>
        </w:tc>
        <w:tc>
          <w:tcPr>
            <w:tcW w:w="760" w:type="dxa"/>
            <w:vAlign w:val="bottom"/>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-2897505</wp:posOffset>
            </wp:positionH>
            <wp:positionV relativeFrom="paragraph">
              <wp:posOffset>-1121410</wp:posOffset>
            </wp:positionV>
            <wp:extent cx="548005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480050" cy="146050"/>
                    </a:xfrm>
                    <a:prstGeom prst="rect">
                      <a:avLst/>
                    </a:prstGeom>
                    <a:noFill/>
                  </pic:spPr>
                </pic:pic>
              </a:graphicData>
            </a:graphic>
          </wp:anchor>
        </w:drawing>
        <w:drawing>
          <wp:anchor simplePos="0" relativeHeight="251657728" behindDoc="1" locked="0" layoutInCell="0" allowOverlap="1">
            <wp:simplePos x="0" y="0"/>
            <wp:positionH relativeFrom="column">
              <wp:posOffset>-2897505</wp:posOffset>
            </wp:positionH>
            <wp:positionV relativeFrom="paragraph">
              <wp:posOffset>-838835</wp:posOffset>
            </wp:positionV>
            <wp:extent cx="5480050" cy="13716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5480050" cy="137160"/>
                    </a:xfrm>
                    <a:prstGeom prst="rect">
                      <a:avLst/>
                    </a:prstGeom>
                    <a:noFill/>
                  </pic:spPr>
                </pic:pic>
              </a:graphicData>
            </a:graphic>
          </wp:anchor>
        </w:drawing>
      </w:r>
    </w:p>
    <w:p>
      <w:pPr>
        <w:spacing w:after="0" w:line="1" w:lineRule="exact"/>
        <w:rPr>
          <w:sz w:val="20"/>
          <w:szCs w:val="20"/>
          <w:color w:val="auto"/>
        </w:rPr>
      </w:pPr>
    </w:p>
    <w:p>
      <w:pPr>
        <w:sectPr>
          <w:pgSz w:w="11900" w:h="16838" w:orient="portrait"/>
          <w:cols w:equalWidth="0" w:num="2">
            <w:col w:w="4720" w:space="500"/>
            <w:col w:w="6180"/>
          </w:cols>
          <w:pgMar w:left="240" w:top="125" w:right="259" w:bottom="69" w:gutter="0" w:footer="0" w:header="0"/>
          <w:type w:val="continuous"/>
        </w:sectPr>
      </w:pPr>
    </w:p>
    <w:tbl>
      <w:tblPr>
        <w:tblLayout w:type="fixed"/>
        <w:tblInd w:w="660" w:type="dxa"/>
        <w:tblCellMar>
          <w:top w:w="0" w:type="dxa"/>
          <w:left w:w="0" w:type="dxa"/>
          <w:bottom w:w="0" w:type="dxa"/>
          <w:right w:w="0" w:type="dxa"/>
        </w:tblCellMar>
      </w:tblPr>
      <w:tr>
        <w:trPr>
          <w:trHeight w:val="212"/>
        </w:trPr>
        <w:tc>
          <w:tcPr>
            <w:tcW w:w="45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3,547</w:t>
            </w:r>
          </w:p>
        </w:tc>
        <w:tc>
          <w:tcPr>
            <w:tcW w:w="22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jc w:val="right"/>
              <w:ind w:right="205"/>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2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2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25,300</w:t>
            </w: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80" w:type="dxa"/>
            <w:vAlign w:val="bottom"/>
          </w:tcPr>
          <w:p>
            <w:pPr>
              <w:ind w:left="2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(419)</w:t>
            </w:r>
          </w:p>
        </w:tc>
        <w:tc>
          <w:tcPr>
            <w:tcW w:w="2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24,881</w:t>
            </w:r>
          </w:p>
        </w:tc>
        <w:tc>
          <w:tcPr>
            <w:tcW w:w="40" w:type="dxa"/>
            <w:vAlign w:val="bottom"/>
          </w:tcPr>
          <w:p>
            <w:pPr>
              <w:spacing w:after="0"/>
              <w:rPr>
                <w:sz w:val="18"/>
                <w:szCs w:val="18"/>
                <w:color w:val="auto"/>
              </w:rPr>
            </w:pPr>
          </w:p>
        </w:tc>
      </w:tr>
      <w:tr>
        <w:trPr>
          <w:trHeight w:val="223"/>
        </w:trPr>
        <w:tc>
          <w:tcPr>
            <w:tcW w:w="45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28,847</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360" w:type="dxa"/>
            <w:vAlign w:val="bottom"/>
            <w:tcBorders>
              <w:top w:val="single" w:sz="8" w:color="auto"/>
              <w:bottom w:val="single" w:sz="8" w:color="auto"/>
            </w:tcBorders>
            <w:shd w:val="clear" w:color="auto" w:fill="CCEEFF"/>
          </w:tcPr>
          <w:p>
            <w:pPr>
              <w:jc w:val="right"/>
              <w:ind w:right="205"/>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bottom w:val="single" w:sz="8" w:color="CCEEFF"/>
            </w:tcBorders>
            <w:shd w:val="clear" w:color="auto" w:fill="CCEEFF"/>
          </w:tcPr>
          <w:p>
            <w:pPr>
              <w:spacing w:after="0"/>
              <w:rPr>
                <w:sz w:val="19"/>
                <w:szCs w:val="19"/>
                <w:color w:val="auto"/>
              </w:rPr>
            </w:pPr>
          </w:p>
        </w:tc>
        <w:tc>
          <w:tcPr>
            <w:tcW w:w="30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20" w:type="dxa"/>
            <w:vAlign w:val="bottom"/>
            <w:tcBorders>
              <w:top w:val="single" w:sz="8" w:color="CCEEFF"/>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r>
      <w:tr>
        <w:trPr>
          <w:trHeight w:val="20"/>
        </w:trPr>
        <w:tc>
          <w:tcPr>
            <w:tcW w:w="45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125" w:right="259" w:bottom="69" w:gutter="0" w:footer="0" w:header="0"/>
          <w:type w:val="continuous"/>
        </w:sectPr>
      </w:pPr>
    </w:p>
    <w:p>
      <w:pPr>
        <w:spacing w:after="0" w:line="56"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ectPr>
          <w:pgSz w:w="11900" w:h="16838" w:orient="portrait"/>
          <w:cols w:equalWidth="0" w:num="1">
            <w:col w:w="11400"/>
          </w:cols>
          <w:pgMar w:left="240" w:top="125" w:right="259" w:bottom="69" w:gutter="0" w:footer="0" w:header="0"/>
          <w:type w:val="continuous"/>
        </w:sectPr>
      </w:pPr>
    </w:p>
    <w:bookmarkStart w:id="7" w:name="page8"/>
    <w:bookmarkEnd w:id="7"/>
    <w:p>
      <w:pPr>
        <w:ind w:right="180" w:firstLine="324"/>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April 28, 2007 are presented in the following table (in thousands):</w:t>
      </w:r>
    </w:p>
    <w:p>
      <w:pPr>
        <w:spacing w:after="0" w:line="149"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4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940" w:type="dxa"/>
            <w:vAlign w:val="bottom"/>
            <w:gridSpan w:val="5"/>
          </w:tcPr>
          <w:p>
            <w:pPr>
              <w:ind w:left="340"/>
              <w:spacing w:after="0"/>
              <w:rPr>
                <w:sz w:val="20"/>
                <w:szCs w:val="20"/>
                <w:color w:val="auto"/>
              </w:rPr>
            </w:pPr>
            <w:r>
              <w:rPr>
                <w:rFonts w:ascii="Arial" w:cs="Arial" w:eastAsia="Arial" w:hAnsi="Arial"/>
                <w:sz w:val="14"/>
                <w:szCs w:val="14"/>
                <w:b w:val="1"/>
                <w:bCs w:val="1"/>
                <w:color w:val="auto"/>
              </w:rPr>
              <w:t>April 28, 2007</w:t>
            </w:r>
          </w:p>
        </w:tc>
        <w:tc>
          <w:tcPr>
            <w:tcW w:w="180" w:type="dxa"/>
            <w:vAlign w:val="bottom"/>
          </w:tcPr>
          <w:p>
            <w:pPr>
              <w:spacing w:after="0"/>
              <w:rPr>
                <w:sz w:val="14"/>
                <w:szCs w:val="14"/>
                <w:color w:val="auto"/>
              </w:rPr>
            </w:pPr>
          </w:p>
        </w:tc>
        <w:tc>
          <w:tcPr>
            <w:tcW w:w="1780" w:type="dxa"/>
            <w:vAlign w:val="bottom"/>
            <w:gridSpan w:val="5"/>
          </w:tcPr>
          <w:p>
            <w:pPr>
              <w:ind w:left="240"/>
              <w:spacing w:after="0"/>
              <w:rPr>
                <w:sz w:val="20"/>
                <w:szCs w:val="20"/>
                <w:color w:val="auto"/>
              </w:rPr>
            </w:pPr>
            <w:r>
              <w:rPr>
                <w:rFonts w:ascii="Arial" w:cs="Arial" w:eastAsia="Arial" w:hAnsi="Arial"/>
                <w:sz w:val="14"/>
                <w:szCs w:val="14"/>
                <w:b w:val="1"/>
                <w:bCs w:val="1"/>
                <w:color w:val="auto"/>
              </w:rPr>
              <w:t>January 28, 2007</w:t>
            </w:r>
          </w:p>
        </w:tc>
      </w:tr>
      <w:tr>
        <w:trPr>
          <w:trHeight w:val="102"/>
        </w:trPr>
        <w:tc>
          <w:tcPr>
            <w:tcW w:w="4540" w:type="dxa"/>
            <w:vAlign w:val="bottom"/>
          </w:tcPr>
          <w:p>
            <w:pPr>
              <w:spacing w:after="0"/>
              <w:rPr>
                <w:sz w:val="8"/>
                <w:szCs w:val="8"/>
                <w:color w:val="auto"/>
              </w:rPr>
            </w:pPr>
          </w:p>
        </w:tc>
        <w:tc>
          <w:tcPr>
            <w:tcW w:w="1060" w:type="dxa"/>
            <w:vAlign w:val="bottom"/>
            <w:tcBorders>
              <w:top w:val="single" w:sz="8" w:color="auto"/>
            </w:tcBorders>
            <w:gridSpan w:val="3"/>
          </w:tcPr>
          <w:p>
            <w:pPr>
              <w:jc w:val="center"/>
              <w:ind w:right="220"/>
              <w:spacing w:after="0" w:line="102" w:lineRule="exact"/>
              <w:rPr>
                <w:sz w:val="20"/>
                <w:szCs w:val="20"/>
                <w:color w:val="auto"/>
              </w:rPr>
            </w:pPr>
            <w:r>
              <w:rPr>
                <w:rFonts w:ascii="Arial" w:cs="Arial" w:eastAsia="Arial" w:hAnsi="Arial"/>
                <w:sz w:val="11"/>
                <w:szCs w:val="11"/>
                <w:b w:val="1"/>
                <w:bCs w:val="1"/>
                <w:color w:val="auto"/>
              </w:rPr>
              <w:t>Amortized</w:t>
            </w:r>
          </w:p>
        </w:tc>
        <w:tc>
          <w:tcPr>
            <w:tcW w:w="10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spacing w:after="0" w:line="102" w:lineRule="exact"/>
              <w:rPr>
                <w:sz w:val="20"/>
                <w:szCs w:val="20"/>
                <w:color w:val="auto"/>
              </w:rPr>
            </w:pPr>
            <w:r>
              <w:rPr>
                <w:rFonts w:ascii="Arial" w:cs="Arial" w:eastAsia="Arial" w:hAnsi="Arial"/>
                <w:sz w:val="11"/>
                <w:szCs w:val="11"/>
                <w:b w:val="1"/>
                <w:bCs w:val="1"/>
                <w:color w:val="auto"/>
              </w:rPr>
              <w:t>Estimated</w:t>
            </w:r>
          </w:p>
        </w:tc>
        <w:tc>
          <w:tcPr>
            <w:tcW w:w="220" w:type="dxa"/>
            <w:vAlign w:val="bottom"/>
          </w:tcPr>
          <w:p>
            <w:pPr>
              <w:spacing w:after="0"/>
              <w:rPr>
                <w:sz w:val="8"/>
                <w:szCs w:val="8"/>
                <w:color w:val="auto"/>
              </w:rPr>
            </w:pPr>
          </w:p>
        </w:tc>
        <w:tc>
          <w:tcPr>
            <w:tcW w:w="1040" w:type="dxa"/>
            <w:vAlign w:val="bottom"/>
            <w:tcBorders>
              <w:top w:val="single" w:sz="8" w:color="auto"/>
            </w:tcBorders>
            <w:gridSpan w:val="3"/>
          </w:tcPr>
          <w:p>
            <w:pPr>
              <w:jc w:val="center"/>
              <w:ind w:right="220"/>
              <w:spacing w:after="0" w:line="102" w:lineRule="exact"/>
              <w:rPr>
                <w:sz w:val="20"/>
                <w:szCs w:val="20"/>
                <w:color w:val="auto"/>
              </w:rPr>
            </w:pPr>
            <w:r>
              <w:rPr>
                <w:rFonts w:ascii="Arial" w:cs="Arial" w:eastAsia="Arial" w:hAnsi="Arial"/>
                <w:sz w:val="11"/>
                <w:szCs w:val="11"/>
                <w:b w:val="1"/>
                <w:bCs w:val="1"/>
                <w:color w:val="auto"/>
              </w:rPr>
              <w:t>Amortized</w:t>
            </w:r>
          </w:p>
        </w:tc>
        <w:tc>
          <w:tcPr>
            <w:tcW w:w="10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ind w:left="20"/>
              <w:spacing w:after="0" w:line="102" w:lineRule="exact"/>
              <w:rPr>
                <w:sz w:val="20"/>
                <w:szCs w:val="20"/>
                <w:color w:val="auto"/>
              </w:rPr>
            </w:pPr>
            <w:r>
              <w:rPr>
                <w:rFonts w:ascii="Arial" w:cs="Arial" w:eastAsia="Arial" w:hAnsi="Arial"/>
                <w:sz w:val="11"/>
                <w:szCs w:val="11"/>
                <w:b w:val="1"/>
                <w:bCs w:val="1"/>
                <w:color w:val="auto"/>
              </w:rPr>
              <w:t>Estimated</w:t>
            </w:r>
          </w:p>
        </w:tc>
        <w:tc>
          <w:tcPr>
            <w:tcW w:w="60" w:type="dxa"/>
            <w:vAlign w:val="bottom"/>
          </w:tcPr>
          <w:p>
            <w:pPr>
              <w:spacing w:after="0"/>
              <w:rPr>
                <w:sz w:val="8"/>
                <w:szCs w:val="8"/>
                <w:color w:val="auto"/>
              </w:rPr>
            </w:pPr>
          </w:p>
        </w:tc>
      </w:tr>
      <w:tr>
        <w:trPr>
          <w:trHeight w:val="162"/>
        </w:trPr>
        <w:tc>
          <w:tcPr>
            <w:tcW w:w="4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4"/>
                <w:szCs w:val="14"/>
                <w:color w:val="auto"/>
              </w:rPr>
            </w:pPr>
          </w:p>
        </w:tc>
        <w:tc>
          <w:tcPr>
            <w:tcW w:w="96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180" w:type="dxa"/>
            <w:vAlign w:val="bottom"/>
          </w:tcPr>
          <w:p>
            <w:pPr>
              <w:spacing w:after="0"/>
              <w:rPr>
                <w:sz w:val="14"/>
                <w:szCs w:val="14"/>
                <w:color w:val="auto"/>
              </w:rPr>
            </w:pPr>
          </w:p>
        </w:tc>
        <w:tc>
          <w:tcPr>
            <w:tcW w:w="8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4"/>
                <w:szCs w:val="14"/>
                <w:color w:val="auto"/>
              </w:rPr>
            </w:pPr>
          </w:p>
        </w:tc>
        <w:tc>
          <w:tcPr>
            <w:tcW w:w="82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45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80" w:type="dxa"/>
            <w:vAlign w:val="bottom"/>
            <w:tcBorders>
              <w:top w:val="single" w:sz="8" w:color="auto"/>
            </w:tcBorders>
            <w:shd w:val="clear" w:color="auto" w:fill="CCEEFF"/>
          </w:tcPr>
          <w:p>
            <w:pPr>
              <w:jc w:val="right"/>
              <w:ind w:right="1"/>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23,789</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23,540</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31"/>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8,581</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8,499</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5,039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4,952</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20,266</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19,873</w:t>
            </w:r>
          </w:p>
        </w:tc>
        <w:tc>
          <w:tcPr>
            <w:tcW w:w="60" w:type="dxa"/>
            <w:vAlign w:val="bottom"/>
          </w:tcPr>
          <w:p>
            <w:pPr>
              <w:spacing w:after="0"/>
              <w:rPr>
                <w:sz w:val="18"/>
                <w:szCs w:val="18"/>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99,953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99,953</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r>
      <w:tr>
        <w:trPr>
          <w:trHeight w:val="210"/>
        </w:trPr>
        <w:tc>
          <w:tcPr>
            <w:tcW w:w="4540" w:type="dxa"/>
            <w:vAlign w:val="bottom"/>
          </w:tcPr>
          <w:p>
            <w:pPr>
              <w:spacing w:after="0"/>
              <w:rPr>
                <w:sz w:val="18"/>
                <w:szCs w:val="18"/>
                <w:color w:val="auto"/>
              </w:rPr>
            </w:pPr>
          </w:p>
        </w:tc>
        <w:tc>
          <w:tcPr>
            <w:tcW w:w="180" w:type="dxa"/>
            <w:vAlign w:val="bottom"/>
            <w:tcBorders>
              <w:top w:val="single" w:sz="8" w:color="auto"/>
              <w:bottom w:val="single" w:sz="8" w:color="auto"/>
            </w:tcBorders>
          </w:tcPr>
          <w:p>
            <w:pPr>
              <w:jc w:val="right"/>
              <w:ind w:right="1"/>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128,781</w:t>
            </w:r>
          </w:p>
        </w:tc>
        <w:tc>
          <w:tcPr>
            <w:tcW w:w="2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128,445</w:t>
            </w:r>
          </w:p>
        </w:tc>
        <w:tc>
          <w:tcPr>
            <w:tcW w:w="220" w:type="dxa"/>
            <w:vAlign w:val="bottom"/>
          </w:tcPr>
          <w:p>
            <w:pPr>
              <w:spacing w:after="0"/>
              <w:rPr>
                <w:sz w:val="18"/>
                <w:szCs w:val="18"/>
                <w:color w:val="auto"/>
              </w:rPr>
            </w:pPr>
          </w:p>
        </w:tc>
        <w:tc>
          <w:tcPr>
            <w:tcW w:w="180" w:type="dxa"/>
            <w:vAlign w:val="bottom"/>
            <w:tcBorders>
              <w:top w:val="single" w:sz="8" w:color="auto"/>
              <w:bottom w:val="single" w:sz="8" w:color="auto"/>
            </w:tcBorders>
          </w:tcPr>
          <w:p>
            <w:pPr>
              <w:jc w:val="right"/>
              <w:ind w:right="31"/>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28,847</w:t>
            </w:r>
          </w:p>
        </w:tc>
        <w:tc>
          <w:tcPr>
            <w:tcW w:w="20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28,372</w:t>
            </w:r>
          </w:p>
        </w:tc>
        <w:tc>
          <w:tcPr>
            <w:tcW w:w="60" w:type="dxa"/>
            <w:vAlign w:val="bottom"/>
          </w:tcPr>
          <w:p>
            <w:pPr>
              <w:spacing w:after="0"/>
              <w:rPr>
                <w:sz w:val="18"/>
                <w:szCs w:val="18"/>
                <w:color w:val="auto"/>
              </w:rPr>
            </w:pPr>
          </w:p>
        </w:tc>
      </w:tr>
      <w:tr>
        <w:trPr>
          <w:trHeight w:val="20"/>
        </w:trPr>
        <w:tc>
          <w:tcPr>
            <w:tcW w:w="45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pacing w:after="0" w:line="15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880" w:type="dxa"/>
            <w:vAlign w:val="bottom"/>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60" w:type="dxa"/>
            <w:vAlign w:val="bottom"/>
            <w:tcBorders>
              <w:bottom w:val="single" w:sz="8" w:color="auto"/>
            </w:tcBorders>
            <w:gridSpan w:val="5"/>
          </w:tcPr>
          <w:p>
            <w:pPr>
              <w:jc w:val="center"/>
              <w:ind w:right="340"/>
              <w:spacing w:after="0"/>
              <w:rPr>
                <w:sz w:val="20"/>
                <w:szCs w:val="20"/>
                <w:color w:val="auto"/>
              </w:rPr>
            </w:pPr>
            <w:r>
              <w:rPr>
                <w:rFonts w:ascii="Arial" w:cs="Arial" w:eastAsia="Arial" w:hAnsi="Arial"/>
                <w:sz w:val="14"/>
                <w:szCs w:val="14"/>
                <w:b w:val="1"/>
                <w:bCs w:val="1"/>
                <w:color w:val="auto"/>
                <w:w w:val="97"/>
              </w:rPr>
              <w:t>April 28, 2007</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r>
      <w:tr>
        <w:trPr>
          <w:trHeight w:val="129"/>
        </w:trPr>
        <w:tc>
          <w:tcPr>
            <w:tcW w:w="3880" w:type="dxa"/>
            <w:vAlign w:val="bottom"/>
          </w:tcPr>
          <w:p>
            <w:pPr>
              <w:spacing w:after="0"/>
              <w:rPr>
                <w:sz w:val="11"/>
                <w:szCs w:val="11"/>
                <w:color w:val="auto"/>
              </w:rPr>
            </w:pPr>
          </w:p>
        </w:tc>
        <w:tc>
          <w:tcPr>
            <w:tcW w:w="2320" w:type="dxa"/>
            <w:vAlign w:val="bottom"/>
            <w:gridSpan w:val="5"/>
          </w:tcPr>
          <w:p>
            <w:pPr>
              <w:ind w:left="520"/>
              <w:spacing w:after="0" w:line="129" w:lineRule="exact"/>
              <w:rPr>
                <w:sz w:val="20"/>
                <w:szCs w:val="20"/>
                <w:color w:val="auto"/>
              </w:rPr>
            </w:pPr>
            <w:r>
              <w:rPr>
                <w:rFonts w:ascii="Arial" w:cs="Arial" w:eastAsia="Arial" w:hAnsi="Arial"/>
                <w:sz w:val="14"/>
                <w:szCs w:val="14"/>
                <w:b w:val="1"/>
                <w:bCs w:val="1"/>
                <w:color w:val="auto"/>
              </w:rPr>
              <w:t>Less than 12 months</w:t>
            </w:r>
          </w:p>
        </w:tc>
        <w:tc>
          <w:tcPr>
            <w:tcW w:w="2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260" w:type="dxa"/>
            <w:vAlign w:val="bottom"/>
            <w:gridSpan w:val="5"/>
          </w:tcPr>
          <w:p>
            <w:pPr>
              <w:jc w:val="center"/>
              <w:ind w:right="300"/>
              <w:spacing w:after="0" w:line="129" w:lineRule="exact"/>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0" w:type="dxa"/>
            <w:vAlign w:val="bottom"/>
            <w:gridSpan w:val="3"/>
          </w:tcPr>
          <w:p>
            <w:pPr>
              <w:jc w:val="right"/>
              <w:ind w:right="30"/>
              <w:spacing w:after="0" w:line="129" w:lineRule="exact"/>
              <w:rPr>
                <w:sz w:val="20"/>
                <w:szCs w:val="20"/>
                <w:color w:val="auto"/>
              </w:rPr>
            </w:pPr>
            <w:r>
              <w:rPr>
                <w:rFonts w:ascii="Arial" w:cs="Arial" w:eastAsia="Arial" w:hAnsi="Arial"/>
                <w:sz w:val="14"/>
                <w:szCs w:val="14"/>
                <w:b w:val="1"/>
                <w:bCs w:val="1"/>
                <w:color w:val="auto"/>
              </w:rPr>
              <w:t>Total</w:t>
            </w:r>
          </w:p>
        </w:tc>
        <w:tc>
          <w:tcPr>
            <w:tcW w:w="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r>
      <w:tr>
        <w:trPr>
          <w:trHeight w:val="102"/>
        </w:trPr>
        <w:tc>
          <w:tcPr>
            <w:tcW w:w="3880" w:type="dxa"/>
            <w:vAlign w:val="bottom"/>
          </w:tcPr>
          <w:p>
            <w:pPr>
              <w:spacing w:after="0"/>
              <w:rPr>
                <w:sz w:val="8"/>
                <w:szCs w:val="8"/>
                <w:color w:val="auto"/>
              </w:rPr>
            </w:pPr>
          </w:p>
        </w:tc>
        <w:tc>
          <w:tcPr>
            <w:tcW w:w="760" w:type="dxa"/>
            <w:vAlign w:val="bottom"/>
            <w:tcBorders>
              <w:top w:val="single" w:sz="8" w:color="auto"/>
            </w:tcBorders>
          </w:tcPr>
          <w:p>
            <w:pPr>
              <w:jc w:val="center"/>
              <w:ind w:left="190"/>
              <w:spacing w:after="0" w:line="102" w:lineRule="exact"/>
              <w:rPr>
                <w:sz w:val="20"/>
                <w:szCs w:val="20"/>
                <w:color w:val="auto"/>
              </w:rPr>
            </w:pPr>
            <w:r>
              <w:rPr>
                <w:rFonts w:ascii="Arial" w:cs="Arial" w:eastAsia="Arial" w:hAnsi="Arial"/>
                <w:sz w:val="11"/>
                <w:szCs w:val="11"/>
                <w:b w:val="1"/>
                <w:bCs w:val="1"/>
                <w:color w:val="auto"/>
              </w:rPr>
              <w:t>Fair</w:t>
            </w:r>
          </w:p>
        </w:tc>
        <w:tc>
          <w:tcPr>
            <w:tcW w:w="280" w:type="dxa"/>
            <w:vAlign w:val="bottom"/>
            <w:tcBorders>
              <w:top w:val="single" w:sz="8" w:color="auto"/>
            </w:tcBorders>
          </w:tcPr>
          <w:p>
            <w:pPr>
              <w:spacing w:after="0"/>
              <w:rPr>
                <w:sz w:val="8"/>
                <w:szCs w:val="8"/>
                <w:color w:val="auto"/>
              </w:rPr>
            </w:pPr>
          </w:p>
        </w:tc>
        <w:tc>
          <w:tcPr>
            <w:tcW w:w="2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ind w:right="59"/>
              <w:spacing w:after="0" w:line="102" w:lineRule="exact"/>
              <w:rPr>
                <w:sz w:val="20"/>
                <w:szCs w:val="20"/>
                <w:color w:val="auto"/>
              </w:rPr>
            </w:pPr>
            <w:r>
              <w:rPr>
                <w:rFonts w:ascii="Arial" w:cs="Arial" w:eastAsia="Arial" w:hAnsi="Arial"/>
                <w:sz w:val="11"/>
                <w:szCs w:val="11"/>
                <w:b w:val="1"/>
                <w:bCs w:val="1"/>
                <w:color w:val="auto"/>
              </w:rPr>
              <w:t>Unrealized</w:t>
            </w:r>
          </w:p>
        </w:tc>
        <w:tc>
          <w:tcPr>
            <w:tcW w:w="2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142"/>
              <w:spacing w:after="0" w:line="102" w:lineRule="exact"/>
              <w:rPr>
                <w:sz w:val="20"/>
                <w:szCs w:val="20"/>
                <w:color w:val="auto"/>
              </w:rPr>
            </w:pPr>
            <w:r>
              <w:rPr>
                <w:rFonts w:ascii="Arial" w:cs="Arial" w:eastAsia="Arial" w:hAnsi="Arial"/>
                <w:sz w:val="11"/>
                <w:szCs w:val="11"/>
                <w:b w:val="1"/>
                <w:bCs w:val="1"/>
                <w:color w:val="auto"/>
              </w:rPr>
              <w:t>Fair</w:t>
            </w:r>
          </w:p>
        </w:tc>
        <w:tc>
          <w:tcPr>
            <w:tcW w:w="2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60"/>
              <w:spacing w:after="0" w:line="102" w:lineRule="exact"/>
              <w:rPr>
                <w:sz w:val="20"/>
                <w:szCs w:val="20"/>
                <w:color w:val="auto"/>
              </w:rPr>
            </w:pPr>
            <w:r>
              <w:rPr>
                <w:rFonts w:ascii="Arial" w:cs="Arial" w:eastAsia="Arial" w:hAnsi="Arial"/>
                <w:sz w:val="11"/>
                <w:szCs w:val="11"/>
                <w:b w:val="1"/>
                <w:bCs w:val="1"/>
                <w:color w:val="auto"/>
              </w:rPr>
              <w:t>Unrealized</w:t>
            </w: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142"/>
              <w:spacing w:after="0" w:line="102" w:lineRule="exact"/>
              <w:rPr>
                <w:sz w:val="20"/>
                <w:szCs w:val="20"/>
                <w:color w:val="auto"/>
              </w:rPr>
            </w:pPr>
            <w:r>
              <w:rPr>
                <w:rFonts w:ascii="Arial" w:cs="Arial" w:eastAsia="Arial" w:hAnsi="Arial"/>
                <w:sz w:val="11"/>
                <w:szCs w:val="11"/>
                <w:b w:val="1"/>
                <w:bCs w:val="1"/>
                <w:color w:val="auto"/>
              </w:rPr>
              <w:t>Fair</w:t>
            </w:r>
          </w:p>
        </w:tc>
        <w:tc>
          <w:tcPr>
            <w:tcW w:w="26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ind w:right="6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r>
      <w:tr>
        <w:trPr>
          <w:trHeight w:val="162"/>
        </w:trPr>
        <w:tc>
          <w:tcPr>
            <w:tcW w:w="3880" w:type="dxa"/>
            <w:vAlign w:val="bottom"/>
          </w:tcPr>
          <w:p>
            <w:pPr>
              <w:spacing w:after="0"/>
              <w:rPr>
                <w:sz w:val="14"/>
                <w:szCs w:val="14"/>
                <w:color w:val="auto"/>
              </w:rPr>
            </w:pPr>
          </w:p>
        </w:tc>
        <w:tc>
          <w:tcPr>
            <w:tcW w:w="760" w:type="dxa"/>
            <w:vAlign w:val="bottom"/>
          </w:tcPr>
          <w:p>
            <w:pPr>
              <w:jc w:val="center"/>
              <w:ind w:left="190"/>
              <w:spacing w:after="0"/>
              <w:rPr>
                <w:sz w:val="20"/>
                <w:szCs w:val="20"/>
                <w:color w:val="auto"/>
              </w:rPr>
            </w:pPr>
            <w:r>
              <w:rPr>
                <w:rFonts w:ascii="Arial" w:cs="Arial" w:eastAsia="Arial" w:hAnsi="Arial"/>
                <w:sz w:val="14"/>
                <w:szCs w:val="14"/>
                <w:b w:val="1"/>
                <w:bCs w:val="1"/>
                <w:color w:val="auto"/>
                <w:w w:val="90"/>
              </w:rPr>
              <w:t>Value</w:t>
            </w: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jc w:val="center"/>
              <w:ind w:right="39"/>
              <w:spacing w:after="0"/>
              <w:rPr>
                <w:sz w:val="20"/>
                <w:szCs w:val="20"/>
                <w:color w:val="auto"/>
              </w:rPr>
            </w:pPr>
            <w:r>
              <w:rPr>
                <w:rFonts w:ascii="Arial" w:cs="Arial" w:eastAsia="Arial" w:hAnsi="Arial"/>
                <w:sz w:val="14"/>
                <w:szCs w:val="14"/>
                <w:b w:val="1"/>
                <w:bCs w:val="1"/>
                <w:color w:val="auto"/>
                <w:w w:val="82"/>
              </w:rPr>
              <w:t>Losses</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0" w:type="dxa"/>
            <w:vAlign w:val="bottom"/>
          </w:tcPr>
          <w:p>
            <w:pPr>
              <w:jc w:val="center"/>
              <w:ind w:right="122"/>
              <w:spacing w:after="0"/>
              <w:rPr>
                <w:sz w:val="20"/>
                <w:szCs w:val="20"/>
                <w:color w:val="auto"/>
              </w:rPr>
            </w:pPr>
            <w:r>
              <w:rPr>
                <w:rFonts w:ascii="Arial" w:cs="Arial" w:eastAsia="Arial" w:hAnsi="Arial"/>
                <w:sz w:val="14"/>
                <w:szCs w:val="14"/>
                <w:b w:val="1"/>
                <w:bCs w:val="1"/>
                <w:color w:val="auto"/>
                <w:w w:val="96"/>
              </w:rPr>
              <w:t>Value</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jc w:val="center"/>
              <w:ind w:right="142"/>
              <w:spacing w:after="0"/>
              <w:rPr>
                <w:sz w:val="20"/>
                <w:szCs w:val="20"/>
                <w:color w:val="auto"/>
              </w:rPr>
            </w:pPr>
            <w:r>
              <w:rPr>
                <w:rFonts w:ascii="Arial" w:cs="Arial" w:eastAsia="Arial" w:hAnsi="Arial"/>
                <w:sz w:val="14"/>
                <w:szCs w:val="14"/>
                <w:b w:val="1"/>
                <w:bCs w:val="1"/>
                <w:color w:val="auto"/>
                <w:w w:val="90"/>
              </w:rPr>
              <w:t>Value</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r>
      <w:tr>
        <w:trPr>
          <w:trHeight w:val="210"/>
        </w:trPr>
        <w:tc>
          <w:tcPr>
            <w:tcW w:w="38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760" w:type="dxa"/>
            <w:vAlign w:val="bottom"/>
            <w:tcBorders>
              <w:top w:val="single" w:sz="8" w:color="auto"/>
            </w:tcBorders>
            <w:shd w:val="clear" w:color="auto" w:fill="CCEEFF"/>
          </w:tcPr>
          <w:p>
            <w:pPr>
              <w:jc w:val="right"/>
              <w:ind w:right="610"/>
              <w:spacing w:after="0"/>
              <w:rPr>
                <w:sz w:val="20"/>
                <w:szCs w:val="20"/>
                <w:color w:val="auto"/>
              </w:rPr>
            </w:pPr>
            <w:r>
              <w:rPr>
                <w:rFonts w:ascii="Arial" w:cs="Arial" w:eastAsia="Arial" w:hAnsi="Arial"/>
                <w:sz w:val="15"/>
                <w:szCs w:val="15"/>
                <w:color w:val="auto"/>
                <w:w w:val="71"/>
              </w:rPr>
              <w:t>$</w:t>
            </w:r>
          </w:p>
        </w:tc>
        <w:tc>
          <w:tcPr>
            <w:tcW w:w="28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ind w:left="70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3,536</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3,536</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02"/>
        </w:trPr>
        <w:tc>
          <w:tcPr>
            <w:tcW w:w="3880" w:type="dxa"/>
            <w:vAlign w:val="bottom"/>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3880" w:type="dxa"/>
            <w:vAlign w:val="bottom"/>
          </w:tcPr>
          <w:p>
            <w:pPr>
              <w:ind w:left="180"/>
              <w:spacing w:after="0"/>
              <w:rPr>
                <w:sz w:val="20"/>
                <w:szCs w:val="20"/>
                <w:color w:val="auto"/>
              </w:rPr>
            </w:pPr>
            <w:r>
              <w:rPr>
                <w:rFonts w:ascii="Arial" w:cs="Arial" w:eastAsia="Arial" w:hAnsi="Arial"/>
                <w:sz w:val="18"/>
                <w:szCs w:val="18"/>
                <w:color w:val="auto"/>
              </w:rPr>
              <w:t>securities</w:t>
            </w:r>
          </w:p>
        </w:tc>
        <w:tc>
          <w:tcPr>
            <w:tcW w:w="760" w:type="dxa"/>
            <w:vAlign w:val="bottom"/>
          </w:tcPr>
          <w:p>
            <w:pPr>
              <w:spacing w:after="0"/>
              <w:rPr>
                <w:sz w:val="20"/>
                <w:szCs w:val="20"/>
                <w:color w:val="auto"/>
              </w:rPr>
            </w:pPr>
          </w:p>
        </w:tc>
        <w:tc>
          <w:tcPr>
            <w:tcW w:w="280" w:type="dxa"/>
            <w:vAlign w:val="bottom"/>
          </w:tcPr>
          <w:p>
            <w:pPr>
              <w:ind w:left="80"/>
              <w:spacing w:after="0"/>
              <w:rPr>
                <w:sz w:val="20"/>
                <w:szCs w:val="20"/>
                <w:color w:val="auto"/>
              </w:rPr>
            </w:pPr>
            <w:r>
              <w:rPr>
                <w:rFonts w:ascii="Arial" w:cs="Arial" w:eastAsia="Arial" w:hAnsi="Arial"/>
                <w:sz w:val="18"/>
                <w:szCs w:val="18"/>
                <w:color w:val="auto"/>
                <w:w w:val="99"/>
              </w:rPr>
              <w:t>—</w:t>
            </w: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80" w:type="dxa"/>
            <w:vAlign w:val="bottom"/>
          </w:tcPr>
          <w:p>
            <w:pPr>
              <w:ind w:left="700"/>
              <w:spacing w:after="0"/>
              <w:rPr>
                <w:sz w:val="20"/>
                <w:szCs w:val="20"/>
                <w:color w:val="auto"/>
              </w:rPr>
            </w:pPr>
            <w:r>
              <w:rPr>
                <w:rFonts w:ascii="Arial" w:cs="Arial" w:eastAsia="Arial" w:hAnsi="Arial"/>
                <w:sz w:val="18"/>
                <w:szCs w:val="18"/>
                <w:color w:val="auto"/>
                <w:w w:val="88"/>
              </w:rPr>
              <w:t>—</w:t>
            </w: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24,956</w:t>
            </w: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(296)</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24,956</w:t>
            </w:r>
          </w:p>
        </w:tc>
        <w:tc>
          <w:tcPr>
            <w:tcW w:w="2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(296)</w:t>
            </w:r>
          </w:p>
        </w:tc>
        <w:tc>
          <w:tcPr>
            <w:tcW w:w="40" w:type="dxa"/>
            <w:vAlign w:val="bottom"/>
          </w:tcPr>
          <w:p>
            <w:pPr>
              <w:spacing w:after="0"/>
              <w:rPr>
                <w:sz w:val="20"/>
                <w:szCs w:val="20"/>
                <w:color w:val="auto"/>
              </w:rPr>
            </w:pPr>
          </w:p>
        </w:tc>
      </w:tr>
      <w:tr>
        <w:trPr>
          <w:trHeight w:val="223"/>
        </w:trPr>
        <w:tc>
          <w:tcPr>
            <w:tcW w:w="388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760" w:type="dxa"/>
            <w:vAlign w:val="bottom"/>
            <w:tcBorders>
              <w:top w:val="single" w:sz="8" w:color="auto"/>
              <w:bottom w:val="single" w:sz="8" w:color="auto"/>
            </w:tcBorders>
            <w:shd w:val="clear" w:color="auto" w:fill="CCEEFF"/>
          </w:tcPr>
          <w:p>
            <w:pPr>
              <w:jc w:val="right"/>
              <w:ind w:right="610"/>
              <w:spacing w:after="0"/>
              <w:rPr>
                <w:sz w:val="20"/>
                <w:szCs w:val="20"/>
                <w:color w:val="auto"/>
              </w:rPr>
            </w:pPr>
            <w:r>
              <w:rPr>
                <w:rFonts w:ascii="Arial" w:cs="Arial" w:eastAsia="Arial" w:hAnsi="Arial"/>
                <w:sz w:val="15"/>
                <w:szCs w:val="15"/>
                <w:color w:val="auto"/>
                <w:w w:val="71"/>
              </w:rPr>
              <w:t>$</w:t>
            </w:r>
          </w:p>
        </w:tc>
        <w:tc>
          <w:tcPr>
            <w:tcW w:w="280" w:type="dxa"/>
            <w:vAlign w:val="bottom"/>
            <w:tcBorders>
              <w:top w:val="single" w:sz="8" w:color="auto"/>
              <w:bottom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ind w:left="70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28,492</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w:t>
            </w:r>
          </w:p>
        </w:tc>
        <w:tc>
          <w:tcPr>
            <w:tcW w:w="160" w:type="dxa"/>
            <w:vAlign w:val="bottom"/>
            <w:tcBorders>
              <w:top w:val="single" w:sz="8" w:color="CCEEFF"/>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28,492</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r>
      <w:tr>
        <w:trPr>
          <w:trHeight w:val="20"/>
        </w:trPr>
        <w:tc>
          <w:tcPr>
            <w:tcW w:w="388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683"/>
        </w:trPr>
        <w:tc>
          <w:tcPr>
            <w:tcW w:w="38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tcPr>
          <w:p>
            <w:pPr>
              <w:jc w:val="center"/>
              <w:ind w:right="19"/>
              <w:spacing w:after="0"/>
              <w:rPr>
                <w:sz w:val="20"/>
                <w:szCs w:val="20"/>
                <w:color w:val="auto"/>
              </w:rPr>
            </w:pPr>
            <w:r>
              <w:rPr>
                <w:rFonts w:ascii="Arial" w:cs="Arial" w:eastAsia="Arial" w:hAnsi="Arial"/>
                <w:sz w:val="18"/>
                <w:szCs w:val="18"/>
                <w:color w:val="auto"/>
                <w:w w:val="89"/>
              </w:rPr>
              <w:t>11</w:t>
            </w: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3880" w:type="dxa"/>
            <w:vAlign w:val="bottom"/>
            <w:tcBorders>
              <w:bottom w:val="single" w:sz="8" w:color="010101"/>
            </w:tcBorders>
          </w:tcPr>
          <w:p>
            <w:pPr>
              <w:spacing w:after="0"/>
              <w:rPr>
                <w:sz w:val="24"/>
                <w:szCs w:val="24"/>
                <w:color w:val="auto"/>
              </w:rPr>
            </w:pPr>
          </w:p>
        </w:tc>
        <w:tc>
          <w:tcPr>
            <w:tcW w:w="76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88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2260" w:type="dxa"/>
            <w:vAlign w:val="bottom"/>
            <w:tcBorders>
              <w:bottom w:val="single" w:sz="8" w:color="010101"/>
            </w:tcBorders>
            <w:gridSpan w:val="5"/>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80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8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r>
        <w:trPr>
          <w:trHeight w:val="496"/>
        </w:trPr>
        <w:tc>
          <w:tcPr>
            <w:tcW w:w="3880" w:type="dxa"/>
            <w:vAlign w:val="bottom"/>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260" w:type="dxa"/>
            <w:vAlign w:val="bottom"/>
            <w:tcBorders>
              <w:bottom w:val="single" w:sz="8" w:color="auto"/>
            </w:tcBorders>
            <w:gridSpan w:val="5"/>
          </w:tcPr>
          <w:p>
            <w:pPr>
              <w:jc w:val="center"/>
              <w:ind w:right="340"/>
              <w:spacing w:after="0"/>
              <w:rPr>
                <w:sz w:val="20"/>
                <w:szCs w:val="20"/>
                <w:color w:val="auto"/>
              </w:rPr>
            </w:pPr>
            <w:r>
              <w:rPr>
                <w:rFonts w:ascii="Arial" w:cs="Arial" w:eastAsia="Arial" w:hAnsi="Arial"/>
                <w:sz w:val="14"/>
                <w:szCs w:val="14"/>
                <w:b w:val="1"/>
                <w:bCs w:val="1"/>
                <w:color w:val="auto"/>
                <w:w w:val="92"/>
              </w:rPr>
              <w:t>January 27, 2007</w:t>
            </w: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8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29"/>
        </w:trPr>
        <w:tc>
          <w:tcPr>
            <w:tcW w:w="3880" w:type="dxa"/>
            <w:vAlign w:val="bottom"/>
          </w:tcPr>
          <w:p>
            <w:pPr>
              <w:spacing w:after="0"/>
              <w:rPr>
                <w:sz w:val="11"/>
                <w:szCs w:val="11"/>
                <w:color w:val="auto"/>
              </w:rPr>
            </w:pPr>
          </w:p>
        </w:tc>
        <w:tc>
          <w:tcPr>
            <w:tcW w:w="2320" w:type="dxa"/>
            <w:vAlign w:val="bottom"/>
            <w:gridSpan w:val="5"/>
          </w:tcPr>
          <w:p>
            <w:pPr>
              <w:ind w:left="520"/>
              <w:spacing w:after="0" w:line="129" w:lineRule="exact"/>
              <w:rPr>
                <w:sz w:val="20"/>
                <w:szCs w:val="20"/>
                <w:color w:val="auto"/>
              </w:rPr>
            </w:pPr>
            <w:r>
              <w:rPr>
                <w:rFonts w:ascii="Arial" w:cs="Arial" w:eastAsia="Arial" w:hAnsi="Arial"/>
                <w:sz w:val="14"/>
                <w:szCs w:val="14"/>
                <w:b w:val="1"/>
                <w:bCs w:val="1"/>
                <w:color w:val="auto"/>
              </w:rPr>
              <w:t>Less than 12 months</w:t>
            </w:r>
          </w:p>
        </w:tc>
        <w:tc>
          <w:tcPr>
            <w:tcW w:w="2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260" w:type="dxa"/>
            <w:vAlign w:val="bottom"/>
            <w:gridSpan w:val="5"/>
          </w:tcPr>
          <w:p>
            <w:pPr>
              <w:jc w:val="center"/>
              <w:ind w:right="300"/>
              <w:spacing w:after="0" w:line="129" w:lineRule="exact"/>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0" w:type="dxa"/>
            <w:vAlign w:val="bottom"/>
            <w:gridSpan w:val="3"/>
          </w:tcPr>
          <w:p>
            <w:pPr>
              <w:jc w:val="right"/>
              <w:ind w:right="30"/>
              <w:spacing w:after="0" w:line="129" w:lineRule="exact"/>
              <w:rPr>
                <w:sz w:val="20"/>
                <w:szCs w:val="20"/>
                <w:color w:val="auto"/>
              </w:rPr>
            </w:pPr>
            <w:r>
              <w:rPr>
                <w:rFonts w:ascii="Arial" w:cs="Arial" w:eastAsia="Arial" w:hAnsi="Arial"/>
                <w:sz w:val="14"/>
                <w:szCs w:val="14"/>
                <w:b w:val="1"/>
                <w:bCs w:val="1"/>
                <w:color w:val="auto"/>
              </w:rPr>
              <w:t>Total</w:t>
            </w:r>
          </w:p>
        </w:tc>
        <w:tc>
          <w:tcPr>
            <w:tcW w:w="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r>
      <w:tr>
        <w:trPr>
          <w:trHeight w:val="102"/>
        </w:trPr>
        <w:tc>
          <w:tcPr>
            <w:tcW w:w="3880" w:type="dxa"/>
            <w:vAlign w:val="bottom"/>
          </w:tcPr>
          <w:p>
            <w:pPr>
              <w:spacing w:after="0"/>
              <w:rPr>
                <w:sz w:val="8"/>
                <w:szCs w:val="8"/>
                <w:color w:val="auto"/>
              </w:rPr>
            </w:pPr>
          </w:p>
        </w:tc>
        <w:tc>
          <w:tcPr>
            <w:tcW w:w="760" w:type="dxa"/>
            <w:vAlign w:val="bottom"/>
            <w:tcBorders>
              <w:top w:val="single" w:sz="8" w:color="auto"/>
            </w:tcBorders>
          </w:tcPr>
          <w:p>
            <w:pPr>
              <w:jc w:val="center"/>
              <w:ind w:left="190"/>
              <w:spacing w:after="0" w:line="102" w:lineRule="exact"/>
              <w:rPr>
                <w:sz w:val="20"/>
                <w:szCs w:val="20"/>
                <w:color w:val="auto"/>
              </w:rPr>
            </w:pPr>
            <w:r>
              <w:rPr>
                <w:rFonts w:ascii="Arial" w:cs="Arial" w:eastAsia="Arial" w:hAnsi="Arial"/>
                <w:sz w:val="11"/>
                <w:szCs w:val="11"/>
                <w:b w:val="1"/>
                <w:bCs w:val="1"/>
                <w:color w:val="auto"/>
              </w:rPr>
              <w:t>Fair</w:t>
            </w:r>
          </w:p>
        </w:tc>
        <w:tc>
          <w:tcPr>
            <w:tcW w:w="280" w:type="dxa"/>
            <w:vAlign w:val="bottom"/>
            <w:tcBorders>
              <w:top w:val="single" w:sz="8" w:color="auto"/>
            </w:tcBorders>
          </w:tcPr>
          <w:p>
            <w:pPr>
              <w:spacing w:after="0"/>
              <w:rPr>
                <w:sz w:val="8"/>
                <w:szCs w:val="8"/>
                <w:color w:val="auto"/>
              </w:rPr>
            </w:pPr>
          </w:p>
        </w:tc>
        <w:tc>
          <w:tcPr>
            <w:tcW w:w="2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ind w:right="59"/>
              <w:spacing w:after="0" w:line="102" w:lineRule="exact"/>
              <w:rPr>
                <w:sz w:val="20"/>
                <w:szCs w:val="20"/>
                <w:color w:val="auto"/>
              </w:rPr>
            </w:pPr>
            <w:r>
              <w:rPr>
                <w:rFonts w:ascii="Arial" w:cs="Arial" w:eastAsia="Arial" w:hAnsi="Arial"/>
                <w:sz w:val="11"/>
                <w:szCs w:val="11"/>
                <w:b w:val="1"/>
                <w:bCs w:val="1"/>
                <w:color w:val="auto"/>
              </w:rPr>
              <w:t>Unrealized</w:t>
            </w:r>
          </w:p>
        </w:tc>
        <w:tc>
          <w:tcPr>
            <w:tcW w:w="2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142"/>
              <w:spacing w:after="0" w:line="102" w:lineRule="exact"/>
              <w:rPr>
                <w:sz w:val="20"/>
                <w:szCs w:val="20"/>
                <w:color w:val="auto"/>
              </w:rPr>
            </w:pPr>
            <w:r>
              <w:rPr>
                <w:rFonts w:ascii="Arial" w:cs="Arial" w:eastAsia="Arial" w:hAnsi="Arial"/>
                <w:sz w:val="11"/>
                <w:szCs w:val="11"/>
                <w:b w:val="1"/>
                <w:bCs w:val="1"/>
                <w:color w:val="auto"/>
              </w:rPr>
              <w:t>Fair</w:t>
            </w:r>
          </w:p>
        </w:tc>
        <w:tc>
          <w:tcPr>
            <w:tcW w:w="2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60"/>
              <w:spacing w:after="0" w:line="102" w:lineRule="exact"/>
              <w:rPr>
                <w:sz w:val="20"/>
                <w:szCs w:val="20"/>
                <w:color w:val="auto"/>
              </w:rPr>
            </w:pPr>
            <w:r>
              <w:rPr>
                <w:rFonts w:ascii="Arial" w:cs="Arial" w:eastAsia="Arial" w:hAnsi="Arial"/>
                <w:sz w:val="11"/>
                <w:szCs w:val="11"/>
                <w:b w:val="1"/>
                <w:bCs w:val="1"/>
                <w:color w:val="auto"/>
              </w:rPr>
              <w:t>Unrealized</w:t>
            </w: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142"/>
              <w:spacing w:after="0" w:line="102" w:lineRule="exact"/>
              <w:rPr>
                <w:sz w:val="20"/>
                <w:szCs w:val="20"/>
                <w:color w:val="auto"/>
              </w:rPr>
            </w:pPr>
            <w:r>
              <w:rPr>
                <w:rFonts w:ascii="Arial" w:cs="Arial" w:eastAsia="Arial" w:hAnsi="Arial"/>
                <w:sz w:val="11"/>
                <w:szCs w:val="11"/>
                <w:b w:val="1"/>
                <w:bCs w:val="1"/>
                <w:color w:val="auto"/>
              </w:rPr>
              <w:t>Fair</w:t>
            </w:r>
          </w:p>
        </w:tc>
        <w:tc>
          <w:tcPr>
            <w:tcW w:w="26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ind w:right="6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r>
      <w:tr>
        <w:trPr>
          <w:trHeight w:val="162"/>
        </w:trPr>
        <w:tc>
          <w:tcPr>
            <w:tcW w:w="3880" w:type="dxa"/>
            <w:vAlign w:val="bottom"/>
          </w:tcPr>
          <w:p>
            <w:pPr>
              <w:spacing w:after="0"/>
              <w:rPr>
                <w:sz w:val="14"/>
                <w:szCs w:val="14"/>
                <w:color w:val="auto"/>
              </w:rPr>
            </w:pPr>
          </w:p>
        </w:tc>
        <w:tc>
          <w:tcPr>
            <w:tcW w:w="760" w:type="dxa"/>
            <w:vAlign w:val="bottom"/>
          </w:tcPr>
          <w:p>
            <w:pPr>
              <w:jc w:val="center"/>
              <w:ind w:left="190"/>
              <w:spacing w:after="0"/>
              <w:rPr>
                <w:sz w:val="20"/>
                <w:szCs w:val="20"/>
                <w:color w:val="auto"/>
              </w:rPr>
            </w:pPr>
            <w:r>
              <w:rPr>
                <w:rFonts w:ascii="Arial" w:cs="Arial" w:eastAsia="Arial" w:hAnsi="Arial"/>
                <w:sz w:val="14"/>
                <w:szCs w:val="14"/>
                <w:b w:val="1"/>
                <w:bCs w:val="1"/>
                <w:color w:val="auto"/>
                <w:w w:val="90"/>
              </w:rPr>
              <w:t>Value</w:t>
            </w: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jc w:val="center"/>
              <w:ind w:right="39"/>
              <w:spacing w:after="0"/>
              <w:rPr>
                <w:sz w:val="20"/>
                <w:szCs w:val="20"/>
                <w:color w:val="auto"/>
              </w:rPr>
            </w:pPr>
            <w:r>
              <w:rPr>
                <w:rFonts w:ascii="Arial" w:cs="Arial" w:eastAsia="Arial" w:hAnsi="Arial"/>
                <w:sz w:val="14"/>
                <w:szCs w:val="14"/>
                <w:b w:val="1"/>
                <w:bCs w:val="1"/>
                <w:color w:val="auto"/>
                <w:w w:val="82"/>
              </w:rPr>
              <w:t>Losses</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0" w:type="dxa"/>
            <w:vAlign w:val="bottom"/>
          </w:tcPr>
          <w:p>
            <w:pPr>
              <w:jc w:val="center"/>
              <w:ind w:right="122"/>
              <w:spacing w:after="0"/>
              <w:rPr>
                <w:sz w:val="20"/>
                <w:szCs w:val="20"/>
                <w:color w:val="auto"/>
              </w:rPr>
            </w:pPr>
            <w:r>
              <w:rPr>
                <w:rFonts w:ascii="Arial" w:cs="Arial" w:eastAsia="Arial" w:hAnsi="Arial"/>
                <w:sz w:val="14"/>
                <w:szCs w:val="14"/>
                <w:b w:val="1"/>
                <w:bCs w:val="1"/>
                <w:color w:val="auto"/>
                <w:w w:val="96"/>
              </w:rPr>
              <w:t>Value</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jc w:val="center"/>
              <w:ind w:right="142"/>
              <w:spacing w:after="0"/>
              <w:rPr>
                <w:sz w:val="20"/>
                <w:szCs w:val="20"/>
                <w:color w:val="auto"/>
              </w:rPr>
            </w:pPr>
            <w:r>
              <w:rPr>
                <w:rFonts w:ascii="Arial" w:cs="Arial" w:eastAsia="Arial" w:hAnsi="Arial"/>
                <w:sz w:val="14"/>
                <w:szCs w:val="14"/>
                <w:b w:val="1"/>
                <w:bCs w:val="1"/>
                <w:color w:val="auto"/>
                <w:w w:val="90"/>
              </w:rPr>
              <w:t>Value</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r>
      <w:tr>
        <w:trPr>
          <w:trHeight w:val="210"/>
        </w:trPr>
        <w:tc>
          <w:tcPr>
            <w:tcW w:w="38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760" w:type="dxa"/>
            <w:vAlign w:val="bottom"/>
            <w:tcBorders>
              <w:top w:val="single" w:sz="8" w:color="auto"/>
            </w:tcBorders>
            <w:shd w:val="clear" w:color="auto" w:fill="CCEEFF"/>
          </w:tcPr>
          <w:p>
            <w:pPr>
              <w:jc w:val="right"/>
              <w:ind w:right="610"/>
              <w:spacing w:after="0"/>
              <w:rPr>
                <w:sz w:val="20"/>
                <w:szCs w:val="20"/>
                <w:color w:val="auto"/>
              </w:rPr>
            </w:pPr>
            <w:r>
              <w:rPr>
                <w:rFonts w:ascii="Arial" w:cs="Arial" w:eastAsia="Arial" w:hAnsi="Arial"/>
                <w:sz w:val="15"/>
                <w:szCs w:val="15"/>
                <w:color w:val="auto"/>
                <w:w w:val="71"/>
              </w:rPr>
              <w:t>$</w:t>
            </w:r>
          </w:p>
        </w:tc>
        <w:tc>
          <w:tcPr>
            <w:tcW w:w="28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ind w:left="70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02"/>
        </w:trPr>
        <w:tc>
          <w:tcPr>
            <w:tcW w:w="3880" w:type="dxa"/>
            <w:vAlign w:val="bottom"/>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3880" w:type="dxa"/>
            <w:vAlign w:val="bottom"/>
          </w:tcPr>
          <w:p>
            <w:pPr>
              <w:ind w:left="180"/>
              <w:spacing w:after="0"/>
              <w:rPr>
                <w:sz w:val="20"/>
                <w:szCs w:val="20"/>
                <w:color w:val="auto"/>
              </w:rPr>
            </w:pPr>
            <w:r>
              <w:rPr>
                <w:rFonts w:ascii="Arial" w:cs="Arial" w:eastAsia="Arial" w:hAnsi="Arial"/>
                <w:sz w:val="18"/>
                <w:szCs w:val="18"/>
                <w:color w:val="auto"/>
              </w:rPr>
              <w:t>securities</w:t>
            </w:r>
          </w:p>
        </w:tc>
        <w:tc>
          <w:tcPr>
            <w:tcW w:w="760" w:type="dxa"/>
            <w:vAlign w:val="bottom"/>
          </w:tcPr>
          <w:p>
            <w:pPr>
              <w:spacing w:after="0"/>
              <w:rPr>
                <w:sz w:val="20"/>
                <w:szCs w:val="20"/>
                <w:color w:val="auto"/>
              </w:rPr>
            </w:pPr>
          </w:p>
        </w:tc>
        <w:tc>
          <w:tcPr>
            <w:tcW w:w="280" w:type="dxa"/>
            <w:vAlign w:val="bottom"/>
          </w:tcPr>
          <w:p>
            <w:pPr>
              <w:ind w:left="80"/>
              <w:spacing w:after="0"/>
              <w:rPr>
                <w:sz w:val="20"/>
                <w:szCs w:val="20"/>
                <w:color w:val="auto"/>
              </w:rPr>
            </w:pPr>
            <w:r>
              <w:rPr>
                <w:rFonts w:ascii="Arial" w:cs="Arial" w:eastAsia="Arial" w:hAnsi="Arial"/>
                <w:sz w:val="18"/>
                <w:szCs w:val="18"/>
                <w:color w:val="auto"/>
                <w:w w:val="99"/>
              </w:rPr>
              <w:t>—</w:t>
            </w: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80" w:type="dxa"/>
            <w:vAlign w:val="bottom"/>
          </w:tcPr>
          <w:p>
            <w:pPr>
              <w:ind w:left="700"/>
              <w:spacing w:after="0"/>
              <w:rPr>
                <w:sz w:val="20"/>
                <w:szCs w:val="20"/>
                <w:color w:val="auto"/>
              </w:rPr>
            </w:pPr>
            <w:r>
              <w:rPr>
                <w:rFonts w:ascii="Arial" w:cs="Arial" w:eastAsia="Arial" w:hAnsi="Arial"/>
                <w:sz w:val="18"/>
                <w:szCs w:val="18"/>
                <w:color w:val="auto"/>
                <w:w w:val="88"/>
              </w:rPr>
              <w:t>—</w:t>
            </w:r>
          </w:p>
        </w:tc>
        <w:tc>
          <w:tcPr>
            <w:tcW w:w="2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24,881</w:t>
            </w: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(419)</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24,881</w:t>
            </w:r>
          </w:p>
        </w:tc>
        <w:tc>
          <w:tcPr>
            <w:tcW w:w="2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(419)</w:t>
            </w:r>
          </w:p>
        </w:tc>
        <w:tc>
          <w:tcPr>
            <w:tcW w:w="40" w:type="dxa"/>
            <w:vAlign w:val="bottom"/>
          </w:tcPr>
          <w:p>
            <w:pPr>
              <w:spacing w:after="0"/>
              <w:rPr>
                <w:sz w:val="20"/>
                <w:szCs w:val="20"/>
                <w:color w:val="auto"/>
              </w:rPr>
            </w:pPr>
          </w:p>
        </w:tc>
      </w:tr>
      <w:tr>
        <w:trPr>
          <w:trHeight w:val="223"/>
        </w:trPr>
        <w:tc>
          <w:tcPr>
            <w:tcW w:w="388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temporarily impaired securities</w:t>
            </w:r>
          </w:p>
        </w:tc>
        <w:tc>
          <w:tcPr>
            <w:tcW w:w="760" w:type="dxa"/>
            <w:vAlign w:val="bottom"/>
            <w:tcBorders>
              <w:top w:val="single" w:sz="8" w:color="auto"/>
              <w:bottom w:val="single" w:sz="8" w:color="auto"/>
            </w:tcBorders>
            <w:shd w:val="clear" w:color="auto" w:fill="CCEEFF"/>
          </w:tcPr>
          <w:p>
            <w:pPr>
              <w:jc w:val="right"/>
              <w:ind w:right="610"/>
              <w:spacing w:after="0"/>
              <w:rPr>
                <w:sz w:val="20"/>
                <w:szCs w:val="20"/>
                <w:color w:val="auto"/>
              </w:rPr>
            </w:pPr>
            <w:r>
              <w:rPr>
                <w:rFonts w:ascii="Arial" w:cs="Arial" w:eastAsia="Arial" w:hAnsi="Arial"/>
                <w:sz w:val="15"/>
                <w:szCs w:val="15"/>
                <w:color w:val="auto"/>
                <w:w w:val="71"/>
              </w:rPr>
              <w:t>$</w:t>
            </w:r>
          </w:p>
        </w:tc>
        <w:tc>
          <w:tcPr>
            <w:tcW w:w="280" w:type="dxa"/>
            <w:vAlign w:val="bottom"/>
            <w:tcBorders>
              <w:top w:val="single" w:sz="8" w:color="auto"/>
              <w:bottom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ind w:left="70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160" w:type="dxa"/>
            <w:vAlign w:val="bottom"/>
            <w:tcBorders>
              <w:top w:val="single" w:sz="8" w:color="CCEEFF"/>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r>
      <w:tr>
        <w:trPr>
          <w:trHeight w:val="20"/>
        </w:trPr>
        <w:tc>
          <w:tcPr>
            <w:tcW w:w="388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-1219200</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-1219200</wp:posOffset>
            </wp:positionV>
            <wp:extent cx="1270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2"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Inventories (in thousands)</w:t>
      </w:r>
    </w:p>
    <w:p>
      <w:pPr>
        <w:spacing w:after="0" w:line="191" w:lineRule="exact"/>
        <w:rPr>
          <w:sz w:val="20"/>
          <w:szCs w:val="20"/>
          <w:color w:val="auto"/>
        </w:rPr>
      </w:pPr>
    </w:p>
    <w:tbl>
      <w:tblPr>
        <w:tblLayout w:type="fixed"/>
        <w:tblInd w:w="26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7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7"/>
              </w:rPr>
              <w:t>April 28,</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4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January 27,</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80" w:type="dxa"/>
            <w:vAlign w:val="bottom"/>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578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ind w:left="160"/>
              <w:spacing w:after="0"/>
              <w:rPr>
                <w:sz w:val="20"/>
                <w:szCs w:val="20"/>
                <w:color w:val="auto"/>
              </w:rPr>
            </w:pPr>
            <w:r>
              <w:rPr>
                <w:rFonts w:ascii="Arial" w:cs="Arial" w:eastAsia="Arial" w:hAnsi="Arial"/>
                <w:sz w:val="14"/>
                <w:szCs w:val="14"/>
                <w:b w:val="1"/>
                <w:bCs w:val="1"/>
                <w:color w:val="auto"/>
              </w:rPr>
              <w:t>2007</w:t>
            </w: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83"/>
              </w:rPr>
              <w:t>2007</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Pr>
          <w:p>
            <w:pPr>
              <w:spacing w:after="0"/>
              <w:rPr>
                <w:sz w:val="18"/>
                <w:szCs w:val="18"/>
                <w:color w:val="auto"/>
              </w:rPr>
            </w:pPr>
          </w:p>
        </w:tc>
        <w:tc>
          <w:tcPr>
            <w:tcW w:w="6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Work-in-process</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ind w:left="160"/>
              <w:spacing w:after="0"/>
              <w:rPr>
                <w:sz w:val="20"/>
                <w:szCs w:val="20"/>
                <w:color w:val="auto"/>
              </w:rPr>
            </w:pPr>
            <w:r>
              <w:rPr>
                <w:rFonts w:ascii="Arial" w:cs="Arial" w:eastAsia="Arial" w:hAnsi="Arial"/>
                <w:sz w:val="18"/>
                <w:szCs w:val="18"/>
                <w:color w:val="auto"/>
                <w:w w:val="89"/>
              </w:rPr>
              <w:t>142,295</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97,529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610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Finished goods</w:t>
            </w:r>
          </w:p>
        </w:tc>
        <w:tc>
          <w:tcPr>
            <w:tcW w:w="2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ind w:left="160"/>
              <w:spacing w:after="0"/>
              <w:rPr>
                <w:sz w:val="20"/>
                <w:szCs w:val="20"/>
                <w:color w:val="auto"/>
              </w:rPr>
            </w:pPr>
            <w:r>
              <w:rPr>
                <w:rFonts w:ascii="Arial" w:cs="Arial" w:eastAsia="Arial" w:hAnsi="Arial"/>
                <w:sz w:val="18"/>
                <w:szCs w:val="18"/>
                <w:color w:val="auto"/>
                <w:w w:val="89"/>
              </w:rPr>
              <w:t>125,729</w:t>
            </w:r>
          </w:p>
        </w:tc>
        <w:tc>
          <w:tcPr>
            <w:tcW w:w="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149,874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80" w:type="dxa"/>
            <w:vAlign w:val="bottom"/>
          </w:tcPr>
          <w:p>
            <w:pPr>
              <w:spacing w:after="0"/>
              <w:rPr>
                <w:sz w:val="18"/>
                <w:szCs w:val="18"/>
                <w:color w:val="auto"/>
              </w:rPr>
            </w:pPr>
          </w:p>
        </w:tc>
        <w:tc>
          <w:tcPr>
            <w:tcW w:w="320" w:type="dxa"/>
            <w:vAlign w:val="bottom"/>
            <w:tcBorders>
              <w:bottom w:val="single" w:sz="8" w:color="CCEEFF"/>
            </w:tcBorders>
            <w:shd w:val="clear" w:color="auto" w:fill="CCEEFF"/>
          </w:tcPr>
          <w:p>
            <w:pPr>
              <w:spacing w:after="0"/>
              <w:rPr>
                <w:sz w:val="18"/>
                <w:szCs w:val="18"/>
                <w:color w:val="auto"/>
              </w:rPr>
            </w:pPr>
          </w:p>
        </w:tc>
        <w:tc>
          <w:tcPr>
            <w:tcW w:w="578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bottom w:val="single" w:sz="8" w:color="auto"/>
            </w:tcBorders>
            <w:shd w:val="clear" w:color="auto" w:fill="CCEEFF"/>
          </w:tcPr>
          <w:p>
            <w:pPr>
              <w:ind w:left="160"/>
              <w:spacing w:after="0"/>
              <w:rPr>
                <w:sz w:val="20"/>
                <w:szCs w:val="20"/>
                <w:color w:val="auto"/>
              </w:rPr>
            </w:pPr>
            <w:r>
              <w:rPr>
                <w:rFonts w:ascii="Arial" w:cs="Arial" w:eastAsia="Arial" w:hAnsi="Arial"/>
                <w:sz w:val="18"/>
                <w:szCs w:val="18"/>
                <w:color w:val="auto"/>
                <w:w w:val="89"/>
              </w:rPr>
              <w:t>268,024</w:t>
            </w:r>
          </w:p>
        </w:tc>
        <w:tc>
          <w:tcPr>
            <w:tcW w:w="2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247,403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8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Prepaid expenses and other current assets (in thousands)</w:t>
            </w: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6180" w:type="dxa"/>
            <w:vAlign w:val="bottom"/>
            <w:gridSpan w:val="3"/>
            <w:vMerge w:val="continue"/>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5"/>
        </w:trPr>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7"/>
              </w:rPr>
              <w:t>April 28,</w:t>
            </w: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60" w:type="dxa"/>
            <w:vAlign w:val="bottom"/>
          </w:tcPr>
          <w:p>
            <w:pPr>
              <w:jc w:val="center"/>
              <w:ind w:right="56"/>
              <w:spacing w:after="0"/>
              <w:rPr>
                <w:sz w:val="20"/>
                <w:szCs w:val="20"/>
                <w:color w:val="auto"/>
              </w:rPr>
            </w:pPr>
            <w:r>
              <w:rPr>
                <w:rFonts w:ascii="Arial" w:cs="Arial" w:eastAsia="Arial" w:hAnsi="Arial"/>
                <w:sz w:val="14"/>
                <w:szCs w:val="14"/>
                <w:b w:val="1"/>
                <w:bCs w:val="1"/>
                <w:color w:val="auto"/>
                <w:w w:val="93"/>
              </w:rPr>
              <w:t>January 27,</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7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2007</w:t>
            </w:r>
          </w:p>
        </w:tc>
        <w:tc>
          <w:tcPr>
            <w:tcW w:w="2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89"/>
              </w:rPr>
              <w:t>2007</w:t>
            </w:r>
          </w:p>
        </w:tc>
        <w:tc>
          <w:tcPr>
            <w:tcW w:w="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32,660</w:t>
            </w:r>
          </w:p>
        </w:tc>
        <w:tc>
          <w:tcPr>
            <w:tcW w:w="220" w:type="dxa"/>
            <w:vAlign w:val="bottom"/>
            <w:gridSpan w:val="2"/>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40,340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780" w:type="dxa"/>
            <w:vAlign w:val="bottom"/>
          </w:tcPr>
          <w:p>
            <w:pPr>
              <w:spacing w:after="0"/>
              <w:rPr>
                <w:sz w:val="20"/>
                <w:szCs w:val="20"/>
                <w:color w:val="auto"/>
              </w:rPr>
            </w:pPr>
            <w:r>
              <w:rPr>
                <w:rFonts w:ascii="Arial" w:cs="Arial" w:eastAsia="Arial" w:hAnsi="Arial"/>
                <w:sz w:val="18"/>
                <w:szCs w:val="18"/>
                <w:color w:val="auto"/>
              </w:rPr>
              <w:t>Prepayments for wafers (see Note 6)</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65,485</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29,973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Receivable from foundry</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19,334</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19,336</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7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w:t>
            </w:r>
          </w:p>
        </w:tc>
        <w:tc>
          <w:tcPr>
            <w:tcW w:w="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62,147</w:t>
            </w: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80,474</w:t>
            </w:r>
          </w:p>
        </w:tc>
        <w:tc>
          <w:tcPr>
            <w:tcW w:w="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78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179,626</w:t>
            </w:r>
          </w:p>
        </w:tc>
        <w:tc>
          <w:tcPr>
            <w:tcW w:w="220" w:type="dxa"/>
            <w:vAlign w:val="bottom"/>
            <w:tcBorders>
              <w:bottom w:val="single" w:sz="8" w:color="CCEEFF"/>
            </w:tcBorders>
            <w:gridSpan w:val="2"/>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170,123</w:t>
            </w:r>
          </w:p>
        </w:tc>
        <w:tc>
          <w:tcPr>
            <w:tcW w:w="2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7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Property and equipment (in thousands)</w:t>
      </w:r>
    </w:p>
    <w:p>
      <w:pPr>
        <w:spacing w:after="0" w:line="191"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45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April 28,</w:t>
            </w: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8"/>
              </w:rPr>
              <w:t>January 27,</w:t>
            </w:r>
          </w:p>
        </w:tc>
      </w:tr>
      <w:tr>
        <w:trPr>
          <w:trHeight w:val="162"/>
        </w:trPr>
        <w:tc>
          <w:tcPr>
            <w:tcW w:w="452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CCEEFF"/>
            </w:tcBorders>
          </w:tcPr>
          <w:p>
            <w:pPr>
              <w:spacing w:after="0"/>
              <w:rPr>
                <w:sz w:val="14"/>
                <w:szCs w:val="14"/>
                <w:color w:val="auto"/>
              </w:rPr>
            </w:pPr>
          </w:p>
        </w:tc>
      </w:tr>
      <w:tr>
        <w:trPr>
          <w:trHeight w:val="196"/>
        </w:trPr>
        <w:tc>
          <w:tcPr>
            <w:tcW w:w="45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4520" w:type="dxa"/>
            <w:vAlign w:val="bottom"/>
          </w:tcPr>
          <w:p>
            <w:pPr>
              <w:ind w:left="180"/>
              <w:spacing w:after="0"/>
              <w:rPr>
                <w:sz w:val="20"/>
                <w:szCs w:val="20"/>
                <w:color w:val="auto"/>
              </w:rPr>
            </w:pPr>
            <w:r>
              <w:rPr>
                <w:rFonts w:ascii="Arial" w:cs="Arial" w:eastAsia="Arial" w:hAnsi="Arial"/>
                <w:sz w:val="18"/>
                <w:szCs w:val="18"/>
                <w:color w:val="auto"/>
              </w:rPr>
              <w:t>Machinery and equipment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289,360</w:t>
            </w:r>
          </w:p>
        </w:tc>
        <w:tc>
          <w:tcPr>
            <w:tcW w:w="22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269,586</w:t>
            </w:r>
          </w:p>
        </w:tc>
        <w:tc>
          <w:tcPr>
            <w:tcW w:w="80" w:type="dxa"/>
            <w:vAlign w:val="bottom"/>
          </w:tcPr>
          <w:p>
            <w:pPr>
              <w:spacing w:after="0"/>
              <w:rPr>
                <w:sz w:val="18"/>
                <w:szCs w:val="18"/>
                <w:color w:val="auto"/>
              </w:rPr>
            </w:pPr>
          </w:p>
        </w:tc>
      </w:tr>
      <w:tr>
        <w:trPr>
          <w:trHeight w:val="216"/>
        </w:trPr>
        <w:tc>
          <w:tcPr>
            <w:tcW w:w="4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98,594</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131,869</w:t>
            </w:r>
          </w:p>
        </w:tc>
        <w:tc>
          <w:tcPr>
            <w:tcW w:w="80" w:type="dxa"/>
            <w:vAlign w:val="bottom"/>
            <w:shd w:val="clear" w:color="auto" w:fill="CCEEFF"/>
          </w:tcPr>
          <w:p>
            <w:pPr>
              <w:spacing w:after="0"/>
              <w:rPr>
                <w:sz w:val="18"/>
                <w:szCs w:val="18"/>
                <w:color w:val="auto"/>
              </w:rPr>
            </w:pPr>
          </w:p>
        </w:tc>
      </w:tr>
      <w:tr>
        <w:trPr>
          <w:trHeight w:val="216"/>
        </w:trPr>
        <w:tc>
          <w:tcPr>
            <w:tcW w:w="4520" w:type="dxa"/>
            <w:vAlign w:val="bottom"/>
          </w:tcPr>
          <w:p>
            <w:pPr>
              <w:ind w:left="180"/>
              <w:spacing w:after="0"/>
              <w:rPr>
                <w:sz w:val="20"/>
                <w:szCs w:val="20"/>
                <w:color w:val="auto"/>
              </w:rPr>
            </w:pPr>
            <w:r>
              <w:rPr>
                <w:rFonts w:ascii="Arial" w:cs="Arial" w:eastAsia="Arial" w:hAnsi="Arial"/>
                <w:sz w:val="18"/>
                <w:szCs w:val="18"/>
                <w:color w:val="auto"/>
              </w:rPr>
              <w:t>Furniture and fixtures</w:t>
            </w: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20,646</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20,551</w:t>
            </w:r>
          </w:p>
        </w:tc>
        <w:tc>
          <w:tcPr>
            <w:tcW w:w="80" w:type="dxa"/>
            <w:vAlign w:val="bottom"/>
          </w:tcPr>
          <w:p>
            <w:pPr>
              <w:spacing w:after="0"/>
              <w:rPr>
                <w:sz w:val="18"/>
                <w:szCs w:val="18"/>
                <w:color w:val="auto"/>
              </w:rPr>
            </w:pPr>
          </w:p>
        </w:tc>
      </w:tr>
      <w:tr>
        <w:trPr>
          <w:trHeight w:val="216"/>
        </w:trPr>
        <w:tc>
          <w:tcPr>
            <w:tcW w:w="4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Leasehold improvements</w:t>
            </w: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26,330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12,283</w:t>
            </w:r>
          </w:p>
        </w:tc>
        <w:tc>
          <w:tcPr>
            <w:tcW w:w="80" w:type="dxa"/>
            <w:vAlign w:val="bottom"/>
            <w:shd w:val="clear" w:color="auto" w:fill="CCEEFF"/>
          </w:tcPr>
          <w:p>
            <w:pPr>
              <w:spacing w:after="0"/>
              <w:rPr>
                <w:sz w:val="18"/>
                <w:szCs w:val="18"/>
                <w:color w:val="auto"/>
              </w:rPr>
            </w:pPr>
          </w:p>
        </w:tc>
      </w:tr>
      <w:tr>
        <w:trPr>
          <w:trHeight w:val="216"/>
        </w:trPr>
        <w:tc>
          <w:tcPr>
            <w:tcW w:w="4520" w:type="dxa"/>
            <w:vAlign w:val="bottom"/>
          </w:tcPr>
          <w:p>
            <w:pPr>
              <w:ind w:left="180"/>
              <w:spacing w:after="0"/>
              <w:rPr>
                <w:sz w:val="20"/>
                <w:szCs w:val="20"/>
                <w:color w:val="auto"/>
              </w:rPr>
            </w:pPr>
            <w:r>
              <w:rPr>
                <w:rFonts w:ascii="Arial" w:cs="Arial" w:eastAsia="Arial" w:hAnsi="Arial"/>
                <w:sz w:val="18"/>
                <w:szCs w:val="18"/>
                <w:color w:val="auto"/>
              </w:rPr>
              <w:t>Buildings</w:t>
            </w: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81,272</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81,274</w:t>
            </w:r>
          </w:p>
        </w:tc>
        <w:tc>
          <w:tcPr>
            <w:tcW w:w="80" w:type="dxa"/>
            <w:vAlign w:val="bottom"/>
          </w:tcPr>
          <w:p>
            <w:pPr>
              <w:spacing w:after="0"/>
              <w:rPr>
                <w:sz w:val="18"/>
                <w:szCs w:val="18"/>
                <w:color w:val="auto"/>
              </w:rPr>
            </w:pPr>
          </w:p>
        </w:tc>
      </w:tr>
      <w:tr>
        <w:trPr>
          <w:trHeight w:val="216"/>
        </w:trPr>
        <w:tc>
          <w:tcPr>
            <w:tcW w:w="4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Building improvements</w:t>
            </w: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24,481</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36,098</w:t>
            </w:r>
          </w:p>
        </w:tc>
        <w:tc>
          <w:tcPr>
            <w:tcW w:w="80" w:type="dxa"/>
            <w:vAlign w:val="bottom"/>
            <w:shd w:val="clear" w:color="auto" w:fill="CCEEFF"/>
          </w:tcPr>
          <w:p>
            <w:pPr>
              <w:spacing w:after="0"/>
              <w:rPr>
                <w:sz w:val="18"/>
                <w:szCs w:val="18"/>
                <w:color w:val="auto"/>
              </w:rPr>
            </w:pPr>
          </w:p>
        </w:tc>
      </w:tr>
      <w:tr>
        <w:trPr>
          <w:trHeight w:val="216"/>
        </w:trPr>
        <w:tc>
          <w:tcPr>
            <w:tcW w:w="4520" w:type="dxa"/>
            <w:vAlign w:val="bottom"/>
          </w:tcPr>
          <w:p>
            <w:pPr>
              <w:ind w:left="180"/>
              <w:spacing w:after="0"/>
              <w:rPr>
                <w:sz w:val="20"/>
                <w:szCs w:val="20"/>
                <w:color w:val="auto"/>
              </w:rPr>
            </w:pPr>
            <w:r>
              <w:rPr>
                <w:rFonts w:ascii="Arial" w:cs="Arial" w:eastAsia="Arial" w:hAnsi="Arial"/>
                <w:sz w:val="18"/>
                <w:szCs w:val="18"/>
                <w:color w:val="auto"/>
              </w:rPr>
              <w:t>Land</w:t>
            </w: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51,500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51,500</w:t>
            </w:r>
          </w:p>
        </w:tc>
        <w:tc>
          <w:tcPr>
            <w:tcW w:w="80" w:type="dxa"/>
            <w:vAlign w:val="bottom"/>
          </w:tcPr>
          <w:p>
            <w:pPr>
              <w:spacing w:after="0"/>
              <w:rPr>
                <w:sz w:val="18"/>
                <w:szCs w:val="18"/>
                <w:color w:val="auto"/>
              </w:rPr>
            </w:pPr>
          </w:p>
        </w:tc>
      </w:tr>
      <w:tr>
        <w:trPr>
          <w:trHeight w:val="216"/>
        </w:trPr>
        <w:tc>
          <w:tcPr>
            <w:tcW w:w="4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Construction in progress</w:t>
            </w:r>
          </w:p>
        </w:tc>
        <w:tc>
          <w:tcPr>
            <w:tcW w:w="7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86,141</w:t>
            </w:r>
          </w:p>
        </w:tc>
        <w:tc>
          <w:tcPr>
            <w:tcW w:w="2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78,579</w:t>
            </w:r>
          </w:p>
        </w:tc>
        <w:tc>
          <w:tcPr>
            <w:tcW w:w="80" w:type="dxa"/>
            <w:vAlign w:val="bottom"/>
            <w:shd w:val="clear" w:color="auto" w:fill="CCEEFF"/>
          </w:tcPr>
          <w:p>
            <w:pPr>
              <w:spacing w:after="0"/>
              <w:rPr>
                <w:sz w:val="18"/>
                <w:szCs w:val="18"/>
                <w:color w:val="auto"/>
              </w:rPr>
            </w:pPr>
          </w:p>
        </w:tc>
      </w:tr>
      <w:tr>
        <w:trPr>
          <w:trHeight w:val="210"/>
        </w:trPr>
        <w:tc>
          <w:tcPr>
            <w:tcW w:w="45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678,324</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681,740</w:t>
            </w:r>
          </w:p>
        </w:tc>
        <w:tc>
          <w:tcPr>
            <w:tcW w:w="80" w:type="dxa"/>
            <w:vAlign w:val="bottom"/>
          </w:tcPr>
          <w:p>
            <w:pPr>
              <w:spacing w:after="0"/>
              <w:rPr>
                <w:sz w:val="18"/>
                <w:szCs w:val="18"/>
                <w:color w:val="auto"/>
              </w:rPr>
            </w:pPr>
          </w:p>
        </w:tc>
      </w:tr>
      <w:tr>
        <w:trPr>
          <w:trHeight w:val="216"/>
        </w:trPr>
        <w:tc>
          <w:tcPr>
            <w:tcW w:w="45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Less: Accumulated depreciation and amortization</w:t>
            </w: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(244,247)</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5"/>
              </w:rPr>
              <w:t>(240,797)</w:t>
            </w:r>
          </w:p>
        </w:tc>
      </w:tr>
      <w:tr>
        <w:trPr>
          <w:trHeight w:val="210"/>
        </w:trPr>
        <w:tc>
          <w:tcPr>
            <w:tcW w:w="45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434,077</w:t>
            </w:r>
          </w:p>
        </w:tc>
        <w:tc>
          <w:tcPr>
            <w:tcW w:w="22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440,943</w:t>
            </w:r>
          </w:p>
        </w:tc>
        <w:tc>
          <w:tcPr>
            <w:tcW w:w="80" w:type="dxa"/>
            <w:vAlign w:val="bottom"/>
          </w:tcPr>
          <w:p>
            <w:pPr>
              <w:spacing w:after="0"/>
              <w:rPr>
                <w:sz w:val="18"/>
                <w:szCs w:val="18"/>
                <w:color w:val="auto"/>
              </w:rPr>
            </w:pPr>
          </w:p>
        </w:tc>
      </w:tr>
      <w:tr>
        <w:trPr>
          <w:trHeight w:val="20"/>
        </w:trPr>
        <w:tc>
          <w:tcPr>
            <w:tcW w:w="45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ectPr>
          <w:pgSz w:w="11900" w:h="16838" w:orient="portrait"/>
          <w:cols w:equalWidth="0" w:num="1">
            <w:col w:w="11460"/>
          </w:cols>
          <w:pgMar w:left="240" w:top="125" w:right="199" w:bottom="0" w:gutter="0" w:footer="0" w:header="0"/>
        </w:sectPr>
      </w:pPr>
    </w:p>
    <w:bookmarkStart w:id="8" w:name="page9"/>
    <w:bookmarkEnd w:id="8"/>
    <w:p>
      <w:pPr>
        <w:ind w:left="260"/>
        <w:spacing w:after="0"/>
        <w:rPr>
          <w:sz w:val="20"/>
          <w:szCs w:val="20"/>
          <w:color w:val="auto"/>
        </w:rPr>
      </w:pPr>
      <w:r>
        <w:rPr>
          <w:rFonts w:ascii="Arial" w:cs="Arial" w:eastAsia="Arial" w:hAnsi="Arial"/>
          <w:sz w:val="18"/>
          <w:szCs w:val="18"/>
          <w:b w:val="1"/>
          <w:bCs w:val="1"/>
          <w:color w:val="auto"/>
        </w:rPr>
        <w:t>Other non-current assets (in thousands)</w:t>
      </w:r>
    </w:p>
    <w:p>
      <w:pPr>
        <w:spacing w:after="0" w:line="191"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464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tcPr>
          <w:p>
            <w:pPr>
              <w:ind w:left="20"/>
              <w:spacing w:after="0"/>
              <w:rPr>
                <w:sz w:val="20"/>
                <w:szCs w:val="20"/>
                <w:color w:val="auto"/>
              </w:rPr>
            </w:pPr>
            <w:r>
              <w:rPr>
                <w:rFonts w:ascii="Arial" w:cs="Arial" w:eastAsia="Arial" w:hAnsi="Arial"/>
                <w:sz w:val="14"/>
                <w:szCs w:val="14"/>
                <w:b w:val="1"/>
                <w:bCs w:val="1"/>
                <w:color w:val="auto"/>
              </w:rPr>
              <w:t>April 28,</w:t>
            </w: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27,</w:t>
            </w:r>
          </w:p>
        </w:tc>
      </w:tr>
      <w:tr>
        <w:trPr>
          <w:trHeight w:val="161"/>
        </w:trPr>
        <w:tc>
          <w:tcPr>
            <w:tcW w:w="4640" w:type="dxa"/>
            <w:vAlign w:val="bottom"/>
            <w:tcBorders>
              <w:bottom w:val="single" w:sz="8" w:color="CCEEFF"/>
            </w:tcBorders>
          </w:tcPr>
          <w:p>
            <w:pPr>
              <w:spacing w:after="0"/>
              <w:rPr>
                <w:sz w:val="14"/>
                <w:szCs w:val="14"/>
                <w:color w:val="auto"/>
              </w:rPr>
            </w:pPr>
          </w:p>
        </w:tc>
        <w:tc>
          <w:tcPr>
            <w:tcW w:w="14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2007</w:t>
            </w: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2007</w:t>
            </w:r>
          </w:p>
        </w:tc>
        <w:tc>
          <w:tcPr>
            <w:tcW w:w="60" w:type="dxa"/>
            <w:vAlign w:val="bottom"/>
            <w:tcBorders>
              <w:bottom w:val="single" w:sz="8" w:color="CCEEFF"/>
            </w:tcBorders>
          </w:tcPr>
          <w:p>
            <w:pPr>
              <w:spacing w:after="0"/>
              <w:rPr>
                <w:sz w:val="14"/>
                <w:szCs w:val="14"/>
                <w:color w:val="auto"/>
              </w:rPr>
            </w:pPr>
          </w:p>
        </w:tc>
      </w:tr>
      <w:tr>
        <w:trPr>
          <w:trHeight w:val="210"/>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Long term prepayments for foundry capacity</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46,000</w:t>
            </w:r>
          </w:p>
        </w:tc>
        <w:tc>
          <w:tcPr>
            <w:tcW w:w="60" w:type="dxa"/>
            <w:vAlign w:val="bottom"/>
            <w:shd w:val="clear" w:color="auto" w:fill="CCEEFF"/>
          </w:tcPr>
          <w:p>
            <w:pPr>
              <w:spacing w:after="0"/>
              <w:rPr>
                <w:sz w:val="18"/>
                <w:szCs w:val="18"/>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Equity investments in private companies</w:t>
            </w:r>
          </w:p>
        </w:tc>
        <w:tc>
          <w:tcPr>
            <w:tcW w:w="1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6,734</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11,679</w:t>
            </w:r>
          </w:p>
        </w:tc>
        <w:tc>
          <w:tcPr>
            <w:tcW w:w="60" w:type="dxa"/>
            <w:vAlign w:val="bottom"/>
          </w:tcPr>
          <w:p>
            <w:pPr>
              <w:spacing w:after="0"/>
              <w:rPr>
                <w:sz w:val="18"/>
                <w:szCs w:val="18"/>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34,938</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32,161</w:t>
            </w:r>
          </w:p>
        </w:tc>
        <w:tc>
          <w:tcPr>
            <w:tcW w:w="60" w:type="dxa"/>
            <w:vAlign w:val="bottom"/>
            <w:shd w:val="clear" w:color="auto" w:fill="CCEEFF"/>
          </w:tcPr>
          <w:p>
            <w:pPr>
              <w:spacing w:after="0"/>
              <w:rPr>
                <w:sz w:val="18"/>
                <w:szCs w:val="18"/>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Technology licenses</w:t>
            </w:r>
          </w:p>
        </w:tc>
        <w:tc>
          <w:tcPr>
            <w:tcW w:w="1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27,493</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26,680</w:t>
            </w:r>
          </w:p>
        </w:tc>
        <w:tc>
          <w:tcPr>
            <w:tcW w:w="60" w:type="dxa"/>
            <w:vAlign w:val="bottom"/>
          </w:tcPr>
          <w:p>
            <w:pPr>
              <w:spacing w:after="0"/>
              <w:rPr>
                <w:sz w:val="18"/>
                <w:szCs w:val="18"/>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18,332</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18,332</w:t>
            </w:r>
          </w:p>
        </w:tc>
        <w:tc>
          <w:tcPr>
            <w:tcW w:w="60" w:type="dxa"/>
            <w:vAlign w:val="bottom"/>
            <w:shd w:val="clear" w:color="auto" w:fill="CCEEFF"/>
          </w:tcPr>
          <w:p>
            <w:pPr>
              <w:spacing w:after="0"/>
              <w:rPr>
                <w:sz w:val="18"/>
                <w:szCs w:val="18"/>
                <w:color w:val="auto"/>
              </w:rPr>
            </w:pPr>
          </w:p>
        </w:tc>
      </w:tr>
      <w:tr>
        <w:trPr>
          <w:trHeight w:val="216"/>
        </w:trPr>
        <w:tc>
          <w:tcPr>
            <w:tcW w:w="46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w:t>
            </w:r>
          </w:p>
        </w:tc>
        <w:tc>
          <w:tcPr>
            <w:tcW w:w="14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45,894</w:t>
            </w:r>
          </w:p>
        </w:tc>
        <w:tc>
          <w:tcPr>
            <w:tcW w:w="2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45,507</w:t>
            </w:r>
          </w:p>
        </w:tc>
        <w:tc>
          <w:tcPr>
            <w:tcW w:w="60" w:type="dxa"/>
            <w:vAlign w:val="bottom"/>
            <w:tcBorders>
              <w:bottom w:val="single" w:sz="8" w:color="CCEEFF"/>
            </w:tcBorders>
          </w:tcPr>
          <w:p>
            <w:pPr>
              <w:spacing w:after="0"/>
              <w:rPr>
                <w:sz w:val="18"/>
                <w:szCs w:val="18"/>
                <w:color w:val="auto"/>
              </w:rPr>
            </w:pPr>
          </w:p>
        </w:tc>
      </w:tr>
      <w:tr>
        <w:trPr>
          <w:trHeight w:val="210"/>
        </w:trPr>
        <w:tc>
          <w:tcPr>
            <w:tcW w:w="4640" w:type="dxa"/>
            <w:vAlign w:val="bottom"/>
            <w:tcBorders>
              <w:bottom w:val="single" w:sz="8" w:color="CCEEFF"/>
            </w:tcBorders>
            <w:shd w:val="clear" w:color="auto" w:fill="CCEEFF"/>
          </w:tcPr>
          <w:p>
            <w:pPr>
              <w:spacing w:after="0"/>
              <w:rPr>
                <w:sz w:val="18"/>
                <w:szCs w:val="18"/>
                <w:color w:val="auto"/>
              </w:rPr>
            </w:pPr>
          </w:p>
        </w:tc>
        <w:tc>
          <w:tcPr>
            <w:tcW w:w="14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173,391</w:t>
            </w:r>
          </w:p>
        </w:tc>
        <w:tc>
          <w:tcPr>
            <w:tcW w:w="20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180,359</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46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72"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80" w:type="dxa"/>
            <w:vAlign w:val="bottom"/>
          </w:tcPr>
          <w:p>
            <w:pPr>
              <w:spacing w:after="0"/>
              <w:rPr>
                <w:sz w:val="20"/>
                <w:szCs w:val="20"/>
                <w:color w:val="auto"/>
              </w:rPr>
            </w:pPr>
          </w:p>
        </w:tc>
        <w:tc>
          <w:tcPr>
            <w:tcW w:w="3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60" w:type="dxa"/>
            <w:vAlign w:val="bottom"/>
          </w:tcPr>
          <w:p>
            <w:pPr>
              <w:jc w:val="right"/>
              <w:ind w:right="313"/>
              <w:spacing w:after="0"/>
              <w:rPr>
                <w:sz w:val="20"/>
                <w:szCs w:val="20"/>
                <w:color w:val="auto"/>
              </w:rPr>
            </w:pPr>
            <w:r>
              <w:rPr>
                <w:rFonts w:ascii="Arial" w:cs="Arial" w:eastAsia="Arial" w:hAnsi="Arial"/>
                <w:sz w:val="18"/>
                <w:szCs w:val="18"/>
                <w:color w:val="auto"/>
              </w:rPr>
              <w:t>12</w:t>
            </w:r>
          </w:p>
        </w:tc>
        <w:tc>
          <w:tcPr>
            <w:tcW w:w="80" w:type="dxa"/>
            <w:vAlign w:val="bottom"/>
          </w:tcPr>
          <w:p>
            <w:pPr>
              <w:spacing w:after="0"/>
              <w:rPr>
                <w:sz w:val="20"/>
                <w:szCs w:val="20"/>
                <w:color w:val="auto"/>
              </w:rPr>
            </w:pPr>
          </w:p>
        </w:tc>
        <w:tc>
          <w:tcPr>
            <w:tcW w:w="51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5"/>
        </w:trPr>
        <w:tc>
          <w:tcPr>
            <w:tcW w:w="980" w:type="dxa"/>
            <w:vAlign w:val="bottom"/>
            <w:tcBorders>
              <w:bottom w:val="single" w:sz="8" w:color="010101"/>
            </w:tcBorders>
          </w:tcPr>
          <w:p>
            <w:pPr>
              <w:spacing w:after="0"/>
              <w:rPr>
                <w:sz w:val="24"/>
                <w:szCs w:val="24"/>
                <w:color w:val="auto"/>
              </w:rPr>
            </w:pPr>
          </w:p>
        </w:tc>
        <w:tc>
          <w:tcPr>
            <w:tcW w:w="316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66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518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4140" w:type="dxa"/>
            <w:vAlign w:val="bottom"/>
            <w:gridSpan w:val="2"/>
          </w:tcPr>
          <w:p>
            <w:pPr>
              <w:ind w:left="340"/>
              <w:spacing w:after="0"/>
              <w:rPr>
                <w:sz w:val="20"/>
                <w:szCs w:val="20"/>
                <w:color w:val="auto"/>
              </w:rPr>
            </w:pPr>
            <w:r>
              <w:rPr>
                <w:rFonts w:ascii="Arial" w:cs="Arial" w:eastAsia="Arial" w:hAnsi="Arial"/>
                <w:sz w:val="18"/>
                <w:szCs w:val="18"/>
                <w:b w:val="1"/>
                <w:bCs w:val="1"/>
                <w:color w:val="auto"/>
              </w:rPr>
              <w:t>Accrued liabilities (in thousands)</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98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jc w:val="center"/>
              <w:ind w:right="15"/>
              <w:spacing w:after="0"/>
              <w:rPr>
                <w:sz w:val="20"/>
                <w:szCs w:val="20"/>
                <w:color w:val="auto"/>
              </w:rPr>
            </w:pPr>
            <w:r>
              <w:rPr>
                <w:rFonts w:ascii="Arial" w:cs="Arial" w:eastAsia="Arial" w:hAnsi="Arial"/>
                <w:sz w:val="14"/>
                <w:szCs w:val="14"/>
                <w:b w:val="1"/>
                <w:bCs w:val="1"/>
                <w:color w:val="auto"/>
                <w:w w:val="97"/>
              </w:rPr>
              <w:t>April 28,</w:t>
            </w: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60" w:type="dxa"/>
            <w:vAlign w:val="bottom"/>
            <w:gridSpan w:val="4"/>
          </w:tcPr>
          <w:p>
            <w:pPr>
              <w:jc w:val="center"/>
              <w:ind w:right="5260"/>
              <w:spacing w:after="0"/>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62"/>
        </w:trPr>
        <w:tc>
          <w:tcPr>
            <w:tcW w:w="9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35"/>
              <w:spacing w:after="0"/>
              <w:rPr>
                <w:sz w:val="20"/>
                <w:szCs w:val="20"/>
                <w:color w:val="auto"/>
              </w:rPr>
            </w:pPr>
            <w:r>
              <w:rPr>
                <w:rFonts w:ascii="Arial" w:cs="Arial" w:eastAsia="Arial" w:hAnsi="Arial"/>
                <w:sz w:val="14"/>
                <w:szCs w:val="14"/>
                <w:b w:val="1"/>
                <w:bCs w:val="1"/>
                <w:color w:val="auto"/>
                <w:w w:val="89"/>
              </w:rPr>
              <w:t>2007</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53"/>
              <w:spacing w:after="0"/>
              <w:rPr>
                <w:sz w:val="20"/>
                <w:szCs w:val="20"/>
                <w:color w:val="auto"/>
              </w:rPr>
            </w:pPr>
            <w:r>
              <w:rPr>
                <w:rFonts w:ascii="Arial" w:cs="Arial" w:eastAsia="Arial" w:hAnsi="Arial"/>
                <w:sz w:val="14"/>
                <w:szCs w:val="14"/>
                <w:b w:val="1"/>
                <w:bCs w:val="1"/>
                <w:color w:val="auto"/>
                <w:w w:val="89"/>
              </w:rPr>
              <w:t>2007</w:t>
            </w:r>
          </w:p>
        </w:tc>
        <w:tc>
          <w:tcPr>
            <w:tcW w:w="80" w:type="dxa"/>
            <w:vAlign w:val="bottom"/>
            <w:tcBorders>
              <w:bottom w:val="single" w:sz="8" w:color="auto"/>
            </w:tcBorders>
          </w:tcPr>
          <w:p>
            <w:pPr>
              <w:spacing w:after="0"/>
              <w:rPr>
                <w:sz w:val="14"/>
                <w:szCs w:val="14"/>
                <w:color w:val="auto"/>
              </w:rPr>
            </w:pPr>
          </w:p>
        </w:tc>
        <w:tc>
          <w:tcPr>
            <w:tcW w:w="5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80" w:type="dxa"/>
            <w:vAlign w:val="bottom"/>
            <w:vMerge w:val="restart"/>
          </w:tcPr>
          <w:p>
            <w:pPr>
              <w:spacing w:after="0"/>
              <w:rPr>
                <w:sz w:val="18"/>
                <w:szCs w:val="18"/>
                <w:color w:val="auto"/>
              </w:rPr>
            </w:pPr>
          </w:p>
        </w:tc>
        <w:tc>
          <w:tcPr>
            <w:tcW w:w="3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vMerge w:val="continue"/>
          </w:tcPr>
          <w:p>
            <w:pPr>
              <w:spacing w:after="0"/>
              <w:rPr>
                <w:sz w:val="18"/>
                <w:szCs w:val="18"/>
                <w:color w:val="auto"/>
              </w:rPr>
            </w:pPr>
          </w:p>
        </w:tc>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Supply agreement liability (see Note 6)</w:t>
            </w:r>
          </w:p>
        </w:tc>
        <w:tc>
          <w:tcPr>
            <w:tcW w:w="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134,462</w:t>
            </w:r>
          </w:p>
        </w:tc>
        <w:tc>
          <w:tcPr>
            <w:tcW w:w="3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tcBorders>
              <w:right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8"/>
              </w:rPr>
              <w:t>174,724</w:t>
            </w:r>
          </w:p>
        </w:tc>
        <w:tc>
          <w:tcPr>
            <w:tcW w:w="518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160" w:type="dxa"/>
            <w:vAlign w:val="bottom"/>
          </w:tcPr>
          <w:p>
            <w:pPr>
              <w:spacing w:after="0"/>
              <w:rPr>
                <w:sz w:val="20"/>
                <w:szCs w:val="20"/>
                <w:color w:val="auto"/>
              </w:rPr>
            </w:pPr>
            <w:r>
              <w:rPr>
                <w:rFonts w:ascii="Arial" w:cs="Arial" w:eastAsia="Arial" w:hAnsi="Arial"/>
                <w:sz w:val="18"/>
                <w:szCs w:val="18"/>
                <w:color w:val="auto"/>
              </w:rPr>
              <w:t>Term loan obligations, current portion</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4,000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80"/>
              <w:spacing w:after="0"/>
              <w:rPr>
                <w:sz w:val="20"/>
                <w:szCs w:val="20"/>
                <w:color w:val="auto"/>
              </w:rPr>
            </w:pPr>
            <w:r>
              <w:rPr>
                <w:rFonts w:ascii="Arial" w:cs="Arial" w:eastAsia="Arial" w:hAnsi="Arial"/>
                <w:sz w:val="18"/>
                <w:szCs w:val="18"/>
                <w:color w:val="auto"/>
              </w:rPr>
              <w:t>4,000</w:t>
            </w: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7,753</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right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7,791</w:t>
            </w:r>
          </w:p>
        </w:tc>
        <w:tc>
          <w:tcPr>
            <w:tcW w:w="518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160" w:type="dxa"/>
            <w:vAlign w:val="bottom"/>
          </w:tcPr>
          <w:p>
            <w:pPr>
              <w:spacing w:after="0"/>
              <w:rPr>
                <w:sz w:val="20"/>
                <w:szCs w:val="20"/>
                <w:color w:val="auto"/>
              </w:rPr>
            </w:pPr>
            <w:r>
              <w:rPr>
                <w:rFonts w:ascii="Arial" w:cs="Arial" w:eastAsia="Arial" w:hAnsi="Arial"/>
                <w:sz w:val="18"/>
                <w:szCs w:val="18"/>
                <w:color w:val="auto"/>
                <w:w w:val="98"/>
              </w:rPr>
              <w:t>Accrued legal and professional services</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8,504</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80"/>
              <w:spacing w:after="0"/>
              <w:rPr>
                <w:sz w:val="20"/>
                <w:szCs w:val="20"/>
                <w:color w:val="auto"/>
              </w:rPr>
            </w:pPr>
            <w:r>
              <w:rPr>
                <w:rFonts w:ascii="Arial" w:cs="Arial" w:eastAsia="Arial" w:hAnsi="Arial"/>
                <w:sz w:val="18"/>
                <w:szCs w:val="18"/>
                <w:color w:val="auto"/>
              </w:rPr>
              <w:t>15,955</w:t>
            </w: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39,242</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right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57,502</w:t>
            </w:r>
          </w:p>
        </w:tc>
        <w:tc>
          <w:tcPr>
            <w:tcW w:w="518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80" w:type="dxa"/>
            <w:vAlign w:val="bottom"/>
          </w:tcPr>
          <w:p>
            <w:pPr>
              <w:spacing w:after="0"/>
              <w:rPr>
                <w:sz w:val="18"/>
                <w:szCs w:val="18"/>
                <w:color w:val="auto"/>
              </w:rPr>
            </w:pPr>
          </w:p>
        </w:tc>
        <w:tc>
          <w:tcPr>
            <w:tcW w:w="3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193,961</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8"/>
                <w:szCs w:val="18"/>
                <w:color w:val="auto"/>
                <w:w w:val="98"/>
              </w:rPr>
              <w:t>259,972</w:t>
            </w: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ind w:left="340"/>
              <w:spacing w:after="0"/>
              <w:rPr>
                <w:sz w:val="20"/>
                <w:szCs w:val="20"/>
                <w:color w:val="auto"/>
              </w:rPr>
            </w:pPr>
            <w:r>
              <w:rPr>
                <w:rFonts w:ascii="Arial" w:cs="Arial" w:eastAsia="Arial" w:hAnsi="Arial"/>
                <w:sz w:val="18"/>
                <w:szCs w:val="18"/>
                <w:b w:val="1"/>
                <w:bCs w:val="1"/>
                <w:color w:val="auto"/>
              </w:rPr>
              <w:t>Other long-term liabilities (in thousands)</w:t>
            </w: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4140" w:type="dxa"/>
            <w:vAlign w:val="bottom"/>
            <w:gridSpan w:val="2"/>
            <w:vMerge w:val="continue"/>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98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jc w:val="center"/>
              <w:ind w:right="55"/>
              <w:spacing w:after="0"/>
              <w:rPr>
                <w:sz w:val="20"/>
                <w:szCs w:val="20"/>
                <w:color w:val="auto"/>
              </w:rPr>
            </w:pPr>
            <w:r>
              <w:rPr>
                <w:rFonts w:ascii="Arial" w:cs="Arial" w:eastAsia="Arial" w:hAnsi="Arial"/>
                <w:sz w:val="14"/>
                <w:szCs w:val="14"/>
                <w:b w:val="1"/>
                <w:bCs w:val="1"/>
                <w:color w:val="auto"/>
                <w:w w:val="97"/>
              </w:rPr>
              <w:t>April 28,</w:t>
            </w: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60" w:type="dxa"/>
            <w:vAlign w:val="bottom"/>
            <w:gridSpan w:val="4"/>
          </w:tcPr>
          <w:p>
            <w:pPr>
              <w:jc w:val="center"/>
              <w:ind w:right="5300"/>
              <w:spacing w:after="0"/>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62"/>
        </w:trPr>
        <w:tc>
          <w:tcPr>
            <w:tcW w:w="9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55"/>
              <w:spacing w:after="0"/>
              <w:rPr>
                <w:sz w:val="20"/>
                <w:szCs w:val="20"/>
                <w:color w:val="auto"/>
              </w:rPr>
            </w:pPr>
            <w:r>
              <w:rPr>
                <w:rFonts w:ascii="Arial" w:cs="Arial" w:eastAsia="Arial" w:hAnsi="Arial"/>
                <w:sz w:val="14"/>
                <w:szCs w:val="14"/>
                <w:b w:val="1"/>
                <w:bCs w:val="1"/>
                <w:color w:val="auto"/>
                <w:w w:val="96"/>
              </w:rPr>
              <w:t>2007</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89"/>
              </w:rPr>
              <w:t>2007</w:t>
            </w:r>
          </w:p>
        </w:tc>
        <w:tc>
          <w:tcPr>
            <w:tcW w:w="80" w:type="dxa"/>
            <w:vAlign w:val="bottom"/>
          </w:tcPr>
          <w:p>
            <w:pPr>
              <w:spacing w:after="0"/>
              <w:rPr>
                <w:sz w:val="14"/>
                <w:szCs w:val="14"/>
                <w:color w:val="auto"/>
              </w:rPr>
            </w:pPr>
          </w:p>
        </w:tc>
        <w:tc>
          <w:tcPr>
            <w:tcW w:w="5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80" w:type="dxa"/>
            <w:vAlign w:val="bottom"/>
            <w:vMerge w:val="restart"/>
          </w:tcPr>
          <w:p>
            <w:pPr>
              <w:spacing w:after="0"/>
              <w:rPr>
                <w:sz w:val="18"/>
                <w:szCs w:val="18"/>
                <w:color w:val="auto"/>
              </w:rPr>
            </w:pPr>
          </w:p>
        </w:tc>
        <w:tc>
          <w:tcPr>
            <w:tcW w:w="3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vMerge w:val="continue"/>
          </w:tcPr>
          <w:p>
            <w:pPr>
              <w:spacing w:after="0"/>
              <w:rPr>
                <w:sz w:val="18"/>
                <w:szCs w:val="18"/>
                <w:color w:val="auto"/>
              </w:rPr>
            </w:pPr>
          </w:p>
        </w:tc>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40,692</w:t>
            </w:r>
          </w:p>
        </w:tc>
        <w:tc>
          <w:tcPr>
            <w:tcW w:w="380" w:type="dxa"/>
            <w:vAlign w:val="bottom"/>
            <w:gridSpan w:val="4"/>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34,326</w:t>
            </w:r>
          </w:p>
        </w:tc>
        <w:tc>
          <w:tcPr>
            <w:tcW w:w="80" w:type="dxa"/>
            <w:vAlign w:val="bottom"/>
            <w:tcBorders>
              <w:right w:val="single" w:sz="8" w:color="CCEEFF"/>
            </w:tcBorders>
            <w:shd w:val="clear" w:color="auto" w:fill="CCEEFF"/>
          </w:tcPr>
          <w:p>
            <w:pPr>
              <w:spacing w:after="0"/>
              <w:rPr>
                <w:sz w:val="18"/>
                <w:szCs w:val="18"/>
                <w:color w:val="auto"/>
              </w:rPr>
            </w:pP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160" w:type="dxa"/>
            <w:vAlign w:val="bottom"/>
          </w:tcPr>
          <w:p>
            <w:pPr>
              <w:spacing w:after="0"/>
              <w:rPr>
                <w:sz w:val="20"/>
                <w:szCs w:val="20"/>
                <w:color w:val="auto"/>
              </w:rPr>
            </w:pPr>
            <w:r>
              <w:rPr>
                <w:rFonts w:ascii="Arial" w:cs="Arial" w:eastAsia="Arial" w:hAnsi="Arial"/>
                <w:sz w:val="18"/>
                <w:szCs w:val="18"/>
                <w:color w:val="auto"/>
                <w:w w:val="97"/>
              </w:rPr>
              <w:t>Long-term facilities consolidation charge</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1,703</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2,447</w:t>
            </w:r>
          </w:p>
        </w:tc>
        <w:tc>
          <w:tcPr>
            <w:tcW w:w="80" w:type="dxa"/>
            <w:vAlign w:val="bottom"/>
          </w:tcPr>
          <w:p>
            <w:pPr>
              <w:spacing w:after="0"/>
              <w:rPr>
                <w:sz w:val="18"/>
                <w:szCs w:val="18"/>
                <w:color w:val="auto"/>
              </w:rPr>
            </w:pP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8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23,930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23,934</w:t>
            </w:r>
          </w:p>
        </w:tc>
        <w:tc>
          <w:tcPr>
            <w:tcW w:w="80" w:type="dxa"/>
            <w:vAlign w:val="bottom"/>
            <w:tcBorders>
              <w:right w:val="single" w:sz="8" w:color="CCEEFF"/>
            </w:tcBorders>
            <w:shd w:val="clear" w:color="auto" w:fill="CCEEFF"/>
          </w:tcPr>
          <w:p>
            <w:pPr>
              <w:spacing w:after="0"/>
              <w:rPr>
                <w:sz w:val="18"/>
                <w:szCs w:val="18"/>
                <w:color w:val="auto"/>
              </w:rPr>
            </w:pP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80" w:type="dxa"/>
            <w:vAlign w:val="bottom"/>
          </w:tcPr>
          <w:p>
            <w:pPr>
              <w:spacing w:after="0"/>
              <w:rPr>
                <w:sz w:val="18"/>
                <w:szCs w:val="18"/>
                <w:color w:val="auto"/>
              </w:rPr>
            </w:pPr>
          </w:p>
        </w:tc>
        <w:tc>
          <w:tcPr>
            <w:tcW w:w="3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66,325</w:t>
            </w:r>
          </w:p>
        </w:tc>
        <w:tc>
          <w:tcPr>
            <w:tcW w:w="220" w:type="dxa"/>
            <w:vAlign w:val="bottom"/>
            <w:gridSpan w:val="2"/>
          </w:tcPr>
          <w:p>
            <w:pPr>
              <w:spacing w:after="0"/>
              <w:rPr>
                <w:sz w:val="18"/>
                <w:szCs w:val="18"/>
                <w:color w:val="auto"/>
              </w:rPr>
            </w:pPr>
          </w:p>
        </w:tc>
        <w:tc>
          <w:tcPr>
            <w:tcW w:w="160" w:type="dxa"/>
            <w:vAlign w:val="bottom"/>
            <w:gridSpan w:val="2"/>
          </w:tcPr>
          <w:p>
            <w:pPr>
              <w:jc w:val="right"/>
              <w:ind w:right="7"/>
              <w:spacing w:after="0"/>
              <w:rPr>
                <w:sz w:val="20"/>
                <w:szCs w:val="20"/>
                <w:color w:val="auto"/>
              </w:rPr>
            </w:pPr>
            <w:r>
              <w:rPr>
                <w:rFonts w:ascii="Arial" w:cs="Arial" w:eastAsia="Arial" w:hAnsi="Arial"/>
                <w:sz w:val="15"/>
                <w:szCs w:val="15"/>
                <w:color w:val="auto"/>
                <w:w w:val="71"/>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60,707</w:t>
            </w:r>
          </w:p>
        </w:tc>
        <w:tc>
          <w:tcPr>
            <w:tcW w:w="80" w:type="dxa"/>
            <w:vAlign w:val="bottom"/>
          </w:tcPr>
          <w:p>
            <w:pPr>
              <w:spacing w:after="0"/>
              <w:rPr>
                <w:sz w:val="18"/>
                <w:szCs w:val="18"/>
                <w:color w:val="auto"/>
              </w:rPr>
            </w:pPr>
          </w:p>
        </w:tc>
        <w:tc>
          <w:tcPr>
            <w:tcW w:w="5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80" w:type="dxa"/>
            <w:vAlign w:val="bottom"/>
          </w:tcPr>
          <w:p>
            <w:pPr>
              <w:spacing w:after="0" w:line="20" w:lineRule="exact"/>
              <w:rPr>
                <w:sz w:val="1"/>
                <w:szCs w:val="1"/>
                <w:color w:val="auto"/>
              </w:rPr>
            </w:pPr>
          </w:p>
        </w:tc>
        <w:tc>
          <w:tcPr>
            <w:tcW w:w="3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-3046095</wp:posOffset>
            </wp:positionV>
            <wp:extent cx="1270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-3046095</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2"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Net (loss) income per share</w:t>
      </w:r>
    </w:p>
    <w:p>
      <w:pPr>
        <w:spacing w:after="0" w:line="229" w:lineRule="exact"/>
        <w:rPr>
          <w:sz w:val="20"/>
          <w:szCs w:val="20"/>
          <w:color w:val="auto"/>
        </w:rPr>
      </w:pPr>
    </w:p>
    <w:p>
      <w:pPr>
        <w:ind w:right="60" w:firstLine="324"/>
        <w:spacing w:after="0" w:line="279" w:lineRule="auto"/>
        <w:rPr>
          <w:sz w:val="20"/>
          <w:szCs w:val="20"/>
          <w:color w:val="auto"/>
        </w:rPr>
      </w:pPr>
      <w:r>
        <w:rPr>
          <w:rFonts w:ascii="Arial" w:cs="Arial" w:eastAsia="Arial" w:hAnsi="Arial"/>
          <w:sz w:val="17"/>
          <w:szCs w:val="17"/>
          <w:color w:val="auto"/>
        </w:rPr>
        <w:t>The Company reports both basic net (loss) income per share, which is based upon the weighted average number of common shares outstanding excluding contingently issuable or returnable shares, and diluted net (loss) income per share, which is based on the weighted average number of common shares outstanding and dilutive potential common shares. The computations of basic and diluted net (loss) income per share before change in accounting principle and basic and diluted net (loss) income per share are presented in the following table (in thousands, except per share amounts):</w:t>
      </w:r>
    </w:p>
    <w:p>
      <w:pPr>
        <w:spacing w:after="0" w:line="150"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4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20" w:type="dxa"/>
            <w:vAlign w:val="bottom"/>
            <w:gridSpan w:val="6"/>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02"/>
        </w:trPr>
        <w:tc>
          <w:tcPr>
            <w:tcW w:w="466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60" w:type="dxa"/>
            <w:vAlign w:val="bottom"/>
            <w:tcBorders>
              <w:top w:val="single" w:sz="8" w:color="auto"/>
            </w:tcBorders>
            <w:gridSpan w:val="2"/>
          </w:tcPr>
          <w:p>
            <w:pPr>
              <w:jc w:val="right"/>
              <w:ind w:right="220"/>
              <w:spacing w:after="0" w:line="103" w:lineRule="exact"/>
              <w:rPr>
                <w:sz w:val="20"/>
                <w:szCs w:val="20"/>
                <w:color w:val="auto"/>
              </w:rPr>
            </w:pPr>
            <w:r>
              <w:rPr>
                <w:rFonts w:ascii="Arial" w:cs="Arial" w:eastAsia="Arial" w:hAnsi="Arial"/>
                <w:sz w:val="11"/>
                <w:szCs w:val="11"/>
                <w:b w:val="1"/>
                <w:bCs w:val="1"/>
                <w:color w:val="auto"/>
              </w:rPr>
              <w:t>April 28,</w:t>
            </w:r>
          </w:p>
        </w:tc>
        <w:tc>
          <w:tcPr>
            <w:tcW w:w="6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right"/>
              <w:ind w:right="54"/>
              <w:spacing w:after="0" w:line="103" w:lineRule="exact"/>
              <w:rPr>
                <w:sz w:val="20"/>
                <w:szCs w:val="20"/>
                <w:color w:val="auto"/>
              </w:rPr>
            </w:pPr>
            <w:r>
              <w:rPr>
                <w:rFonts w:ascii="Arial" w:cs="Arial" w:eastAsia="Arial" w:hAnsi="Arial"/>
                <w:sz w:val="11"/>
                <w:szCs w:val="11"/>
                <w:b w:val="1"/>
                <w:bCs w:val="1"/>
                <w:color w:val="auto"/>
              </w:rPr>
              <w:t>April 29,</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46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ind w:left="160"/>
              <w:spacing w:after="0"/>
              <w:rPr>
                <w:sz w:val="20"/>
                <w:szCs w:val="20"/>
                <w:color w:val="auto"/>
              </w:rPr>
            </w:pPr>
            <w:r>
              <w:rPr>
                <w:rFonts w:ascii="Arial" w:cs="Arial" w:eastAsia="Arial" w:hAnsi="Arial"/>
                <w:sz w:val="14"/>
                <w:szCs w:val="14"/>
                <w:b w:val="1"/>
                <w:bCs w:val="1"/>
                <w:color w:val="auto"/>
              </w:rPr>
              <w:t>2007</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2006</w:t>
            </w:r>
          </w:p>
        </w:tc>
        <w:tc>
          <w:tcPr>
            <w:tcW w:w="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6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660" w:type="dxa"/>
            <w:vAlign w:val="bottom"/>
          </w:tcPr>
          <w:p>
            <w:pPr>
              <w:spacing w:after="0"/>
              <w:rPr>
                <w:sz w:val="20"/>
                <w:szCs w:val="20"/>
                <w:color w:val="auto"/>
              </w:rPr>
            </w:pPr>
            <w:r>
              <w:rPr>
                <w:rFonts w:ascii="Arial" w:cs="Arial" w:eastAsia="Arial" w:hAnsi="Arial"/>
                <w:sz w:val="18"/>
                <w:szCs w:val="18"/>
                <w:color w:val="auto"/>
              </w:rPr>
              <w:t>Income (loss) before change in accounting principle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(52,828)</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68,717</w:t>
            </w:r>
          </w:p>
        </w:tc>
        <w:tc>
          <w:tcPr>
            <w:tcW w:w="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466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Net (loss) income</w:t>
            </w: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(52,828</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77,563</w:t>
            </w: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660" w:type="dxa"/>
            <w:vAlign w:val="bottom"/>
            <w:vMerge w:val="restart"/>
          </w:tcPr>
          <w:p>
            <w:pPr>
              <w:spacing w:after="0"/>
              <w:rPr>
                <w:sz w:val="20"/>
                <w:szCs w:val="20"/>
                <w:color w:val="auto"/>
              </w:rPr>
            </w:pPr>
            <w:r>
              <w:rPr>
                <w:rFonts w:ascii="Arial" w:cs="Arial" w:eastAsia="Arial" w:hAnsi="Arial"/>
                <w:sz w:val="18"/>
                <w:szCs w:val="18"/>
                <w:color w:val="auto"/>
              </w:rPr>
              <w:t>Denominator:</w:t>
            </w: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6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of common stock outstanding</w:t>
            </w: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587,426</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583,702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660" w:type="dxa"/>
            <w:vAlign w:val="bottom"/>
          </w:tcPr>
          <w:p>
            <w:pPr>
              <w:ind w:left="180"/>
              <w:spacing w:after="0"/>
              <w:rPr>
                <w:sz w:val="20"/>
                <w:szCs w:val="20"/>
                <w:color w:val="auto"/>
              </w:rPr>
            </w:pPr>
            <w:r>
              <w:rPr>
                <w:rFonts w:ascii="Arial" w:cs="Arial" w:eastAsia="Arial" w:hAnsi="Arial"/>
                <w:sz w:val="18"/>
                <w:szCs w:val="18"/>
                <w:color w:val="auto"/>
              </w:rPr>
              <w:t>Weighted average shares — basic</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587,426</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583,702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Warrants</w:t>
            </w:r>
          </w:p>
        </w:tc>
        <w:tc>
          <w:tcPr>
            <w:tcW w:w="120" w:type="dxa"/>
            <w:vAlign w:val="bottom"/>
          </w:tcPr>
          <w:p>
            <w:pPr>
              <w:spacing w:after="0"/>
              <w:rPr>
                <w:sz w:val="18"/>
                <w:szCs w:val="18"/>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1,788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Common stock options and other</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54,026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466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Weighted average shares — diluted</w:t>
            </w:r>
          </w:p>
        </w:tc>
        <w:tc>
          <w:tcPr>
            <w:tcW w:w="120" w:type="dxa"/>
            <w:vAlign w:val="bottom"/>
            <w:tcBorders>
              <w:top w:val="single" w:sz="8" w:color="auto"/>
              <w:bottom w:val="single" w:sz="8" w:color="auto"/>
            </w:tcBorders>
          </w:tcPr>
          <w:p>
            <w:pPr>
              <w:spacing w:after="0"/>
              <w:rPr>
                <w:sz w:val="21"/>
                <w:szCs w:val="21"/>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587,426</w:t>
            </w:r>
          </w:p>
        </w:tc>
        <w:tc>
          <w:tcPr>
            <w:tcW w:w="140" w:type="dxa"/>
            <w:vAlign w:val="bottom"/>
            <w:tcBorders>
              <w:bottom w:val="single" w:sz="8" w:color="CCEEFF"/>
            </w:tcBorders>
          </w:tcPr>
          <w:p>
            <w:pPr>
              <w:spacing w:after="0"/>
              <w:rPr>
                <w:sz w:val="21"/>
                <w:szCs w:val="21"/>
                <w:color w:val="auto"/>
              </w:rPr>
            </w:pPr>
          </w:p>
        </w:tc>
        <w:tc>
          <w:tcPr>
            <w:tcW w:w="6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spacing w:after="0"/>
              <w:rPr>
                <w:sz w:val="21"/>
                <w:szCs w:val="21"/>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639,516</w:t>
            </w:r>
          </w:p>
        </w:tc>
        <w:tc>
          <w:tcPr>
            <w:tcW w:w="6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70"/>
        </w:trPr>
        <w:tc>
          <w:tcPr>
            <w:tcW w:w="466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Income (loss) before change in accounting principle</w:t>
            </w:r>
          </w:p>
        </w:tc>
        <w:tc>
          <w:tcPr>
            <w:tcW w:w="12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660" w:type="dxa"/>
            <w:vAlign w:val="bottom"/>
          </w:tcPr>
          <w:p>
            <w:pPr>
              <w:ind w:left="180"/>
              <w:spacing w:after="0"/>
              <w:rPr>
                <w:sz w:val="20"/>
                <w:szCs w:val="20"/>
                <w:color w:val="auto"/>
              </w:rPr>
            </w:pPr>
            <w:r>
              <w:rPr>
                <w:rFonts w:ascii="Arial" w:cs="Arial" w:eastAsia="Arial" w:hAnsi="Arial"/>
                <w:sz w:val="18"/>
                <w:szCs w:val="18"/>
                <w:color w:val="auto"/>
              </w:rPr>
              <w:t>Basic</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(0.09)</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0.12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Net (loss) income per share</w:t>
            </w: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60" w:type="dxa"/>
            <w:vAlign w:val="bottom"/>
          </w:tcPr>
          <w:p>
            <w:pPr>
              <w:ind w:left="180"/>
              <w:spacing w:after="0"/>
              <w:rPr>
                <w:sz w:val="20"/>
                <w:szCs w:val="20"/>
                <w:color w:val="auto"/>
              </w:rPr>
            </w:pPr>
            <w:r>
              <w:rPr>
                <w:rFonts w:ascii="Arial" w:cs="Arial" w:eastAsia="Arial" w:hAnsi="Arial"/>
                <w:sz w:val="18"/>
                <w:szCs w:val="18"/>
                <w:color w:val="auto"/>
              </w:rPr>
              <w:t>Diluted</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(0.09)</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0.12</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4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ind w:left="180"/>
              <w:spacing w:after="0"/>
              <w:rPr>
                <w:sz w:val="20"/>
                <w:szCs w:val="20"/>
                <w:color w:val="auto"/>
              </w:rPr>
            </w:pPr>
            <w:r>
              <w:rPr>
                <w:rFonts w:ascii="Arial" w:cs="Arial" w:eastAsia="Arial" w:hAnsi="Arial"/>
                <w:sz w:val="18"/>
                <w:szCs w:val="18"/>
                <w:color w:val="auto"/>
              </w:rPr>
              <w:t>13</w:t>
            </w: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anti-dilutive effects of warrants, common stock options, restricted stock and other securities totaling 43,930,082 shares were excluded from diluted net loss per share for the three months ended April 28, 2007.</w:t>
      </w:r>
    </w:p>
    <w:p>
      <w:pPr>
        <w:spacing w:after="0" w:line="170"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Options to purchase 12,792,650 common shares at a weighted average exercise price of $27.30 have been excluded from the computation of diluted net income per share for the three months ended April 29, 2006 based on the treasury stock method calculation.</w:t>
      </w:r>
    </w:p>
    <w:p>
      <w:pPr>
        <w:sectPr>
          <w:pgSz w:w="11900" w:h="16838" w:orient="portrait"/>
          <w:cols w:equalWidth="0" w:num="1">
            <w:col w:w="11460"/>
          </w:cols>
          <w:pgMar w:left="240" w:top="121" w:right="199" w:bottom="0" w:gutter="0" w:footer="0" w:header="0"/>
        </w:sectPr>
      </w:pPr>
    </w:p>
    <w:bookmarkStart w:id="9" w:name="page10"/>
    <w:bookmarkEnd w:id="9"/>
    <w:p>
      <w:pPr>
        <w:ind w:left="340"/>
        <w:spacing w:after="0"/>
        <w:rPr>
          <w:sz w:val="20"/>
          <w:szCs w:val="20"/>
          <w:color w:val="auto"/>
        </w:rPr>
      </w:pPr>
      <w:r>
        <w:rPr>
          <w:rFonts w:ascii="Arial" w:cs="Arial" w:eastAsia="Arial" w:hAnsi="Arial"/>
          <w:sz w:val="18"/>
          <w:szCs w:val="18"/>
          <w:b w:val="1"/>
          <w:bCs w:val="1"/>
          <w:color w:val="auto"/>
        </w:rPr>
        <w:t>Comprehensive (loss) income (in thousands)</w:t>
      </w: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Net (loss) income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wp:posOffset>
            </wp:positionH>
            <wp:positionV relativeFrom="paragraph">
              <wp:posOffset>-121920</wp:posOffset>
            </wp:positionV>
            <wp:extent cx="4193540" cy="1460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4193540" cy="146050"/>
                    </a:xfrm>
                    <a:prstGeom prst="rect">
                      <a:avLst/>
                    </a:prstGeom>
                    <a:noFill/>
                  </pic:spPr>
                </pic:pic>
              </a:graphicData>
            </a:graphic>
          </wp:anchor>
        </w:drawing>
      </w:r>
    </w:p>
    <w:p>
      <w:pPr>
        <w:spacing w:after="0" w:line="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Other comprehensive income:</w:t>
      </w:r>
    </w:p>
    <w:p>
      <w:pPr>
        <w:spacing w:after="0" w:line="23" w:lineRule="exact"/>
        <w:rPr>
          <w:sz w:val="20"/>
          <w:szCs w:val="20"/>
          <w:color w:val="auto"/>
        </w:rPr>
      </w:pPr>
    </w:p>
    <w:p>
      <w:pPr>
        <w:ind w:left="840" w:hanging="179"/>
        <w:spacing w:after="0" w:line="250" w:lineRule="auto"/>
        <w:rPr>
          <w:sz w:val="20"/>
          <w:szCs w:val="20"/>
          <w:color w:val="auto"/>
        </w:rPr>
      </w:pPr>
      <w:r>
        <w:rPr>
          <w:rFonts w:ascii="Arial" w:cs="Arial" w:eastAsia="Arial" w:hAnsi="Arial"/>
          <w:sz w:val="18"/>
          <w:szCs w:val="18"/>
          <w:color w:val="auto"/>
        </w:rPr>
        <w:t>Unrealized gain on available-for-sale investments and other, net of tax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wp:posOffset>
            </wp:positionH>
            <wp:positionV relativeFrom="paragraph">
              <wp:posOffset>-273050</wp:posOffset>
            </wp:positionV>
            <wp:extent cx="4193540" cy="2743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4193540" cy="274320"/>
                    </a:xfrm>
                    <a:prstGeom prst="rect">
                      <a:avLst/>
                    </a:prstGeom>
                    <a:noFill/>
                  </pic:spPr>
                </pic:pic>
              </a:graphicData>
            </a:graphic>
          </wp:anchor>
        </w:drawing>
      </w:r>
    </w:p>
    <w:p>
      <w:pPr>
        <w:ind w:left="660"/>
        <w:spacing w:after="0"/>
        <w:rPr>
          <w:sz w:val="20"/>
          <w:szCs w:val="20"/>
          <w:color w:val="auto"/>
        </w:rPr>
      </w:pPr>
      <w:r>
        <w:rPr>
          <w:rFonts w:ascii="Arial" w:cs="Arial" w:eastAsia="Arial" w:hAnsi="Arial"/>
          <w:sz w:val="18"/>
          <w:szCs w:val="18"/>
          <w:color w:val="auto"/>
        </w:rPr>
        <w:t>Total comprehensive (loss) income</w:t>
      </w:r>
    </w:p>
    <w:p>
      <w:pPr>
        <w:spacing w:after="0" w:line="20" w:lineRule="exact"/>
        <w:rPr>
          <w:sz w:val="20"/>
          <w:szCs w:val="20"/>
          <w:color w:val="auto"/>
        </w:rPr>
      </w:pPr>
      <w:r>
        <w:rPr>
          <w:sz w:val="20"/>
          <w:szCs w:val="20"/>
          <w:color w:val="auto"/>
        </w:rPr>
        <w:br w:type="column"/>
      </w:r>
    </w:p>
    <w:p>
      <w:pPr>
        <w:spacing w:after="0" w:line="394" w:lineRule="exact"/>
        <w:rPr>
          <w:sz w:val="20"/>
          <w:szCs w:val="20"/>
          <w:color w:val="auto"/>
        </w:rPr>
      </w:pPr>
    </w:p>
    <w:p>
      <w:pPr>
        <w:ind w:left="280"/>
        <w:spacing w:after="0"/>
        <w:rPr>
          <w:sz w:val="20"/>
          <w:szCs w:val="20"/>
          <w:color w:val="auto"/>
        </w:rPr>
      </w:pPr>
      <w:r>
        <w:rPr>
          <w:rFonts w:ascii="Arial" w:cs="Arial" w:eastAsia="Arial" w:hAnsi="Arial"/>
          <w:sz w:val="14"/>
          <w:szCs w:val="14"/>
          <w:b w:val="1"/>
          <w:bCs w:val="1"/>
          <w:color w:val="auto"/>
        </w:rPr>
        <w:t>Three Months Ended</w:t>
      </w:r>
    </w:p>
    <w:tbl>
      <w:tblPr>
        <w:tblLayout w:type="fixed"/>
        <w:tblInd w:w="0" w:type="dxa"/>
        <w:tblCellMar>
          <w:top w:w="0" w:type="dxa"/>
          <w:left w:w="0" w:type="dxa"/>
          <w:bottom w:w="0" w:type="dxa"/>
          <w:right w:w="0" w:type="dxa"/>
        </w:tblCellMar>
      </w:tblPr>
      <w:tr>
        <w:trPr>
          <w:trHeight w:val="113"/>
        </w:trPr>
        <w:tc>
          <w:tcPr>
            <w:tcW w:w="1040" w:type="dxa"/>
            <w:vAlign w:val="bottom"/>
            <w:tcBorders>
              <w:top w:val="single" w:sz="8" w:color="auto"/>
            </w:tcBorders>
            <w:gridSpan w:val="2"/>
          </w:tcPr>
          <w:p>
            <w:pPr>
              <w:jc w:val="center"/>
              <w:ind w:right="220"/>
              <w:spacing w:after="0" w:line="113" w:lineRule="exact"/>
              <w:rPr>
                <w:sz w:val="20"/>
                <w:szCs w:val="20"/>
                <w:color w:val="auto"/>
              </w:rPr>
            </w:pPr>
            <w:r>
              <w:rPr>
                <w:rFonts w:ascii="Arial" w:cs="Arial" w:eastAsia="Arial" w:hAnsi="Arial"/>
                <w:sz w:val="13"/>
                <w:szCs w:val="13"/>
                <w:b w:val="1"/>
                <w:bCs w:val="1"/>
                <w:color w:val="auto"/>
              </w:rPr>
              <w:t>April 28,</w:t>
            </w:r>
          </w:p>
        </w:tc>
        <w:tc>
          <w:tcPr>
            <w:tcW w:w="12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jc w:val="center"/>
              <w:ind w:right="45"/>
              <w:spacing w:after="0" w:line="113" w:lineRule="exact"/>
              <w:rPr>
                <w:sz w:val="20"/>
                <w:szCs w:val="20"/>
                <w:color w:val="auto"/>
              </w:rPr>
            </w:pPr>
            <w:r>
              <w:rPr>
                <w:rFonts w:ascii="Arial" w:cs="Arial" w:eastAsia="Arial" w:hAnsi="Arial"/>
                <w:sz w:val="13"/>
                <w:szCs w:val="13"/>
                <w:b w:val="1"/>
                <w:bCs w:val="1"/>
                <w:color w:val="auto"/>
              </w:rPr>
              <w:t>April 29,</w:t>
            </w:r>
          </w:p>
        </w:tc>
      </w:tr>
      <w:tr>
        <w:trPr>
          <w:trHeight w:val="161"/>
        </w:trPr>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2007</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05"/>
              <w:spacing w:after="0"/>
              <w:rPr>
                <w:sz w:val="20"/>
                <w:szCs w:val="20"/>
                <w:color w:val="auto"/>
              </w:rPr>
            </w:pPr>
            <w:r>
              <w:rPr>
                <w:rFonts w:ascii="Arial" w:cs="Arial" w:eastAsia="Arial" w:hAnsi="Arial"/>
                <w:sz w:val="14"/>
                <w:szCs w:val="14"/>
                <w:b w:val="1"/>
                <w:bCs w:val="1"/>
                <w:color w:val="auto"/>
              </w:rPr>
              <w:t>2006</w:t>
            </w:r>
          </w:p>
        </w:tc>
      </w:tr>
      <w:tr>
        <w:trPr>
          <w:trHeight w:val="224"/>
        </w:trPr>
        <w:tc>
          <w:tcPr>
            <w:tcW w:w="840" w:type="dxa"/>
            <w:vAlign w:val="bottom"/>
          </w:tcPr>
          <w:p>
            <w:pPr>
              <w:jc w:val="center"/>
              <w:spacing w:after="0"/>
              <w:rPr>
                <w:sz w:val="20"/>
                <w:szCs w:val="20"/>
                <w:color w:val="auto"/>
              </w:rPr>
            </w:pPr>
            <w:r>
              <w:rPr>
                <w:rFonts w:ascii="Arial" w:cs="Arial" w:eastAsia="Arial" w:hAnsi="Arial"/>
                <w:sz w:val="18"/>
                <w:szCs w:val="18"/>
                <w:color w:val="auto"/>
                <w:w w:val="96"/>
              </w:rPr>
              <w:t>$  (52,828)</w:t>
            </w:r>
          </w:p>
        </w:tc>
        <w:tc>
          <w:tcPr>
            <w:tcW w:w="20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77,563</w:t>
            </w:r>
          </w:p>
        </w:tc>
      </w:tr>
    </w:tbl>
    <w:p>
      <w:pPr>
        <w:spacing w:after="0" w:line="200" w:lineRule="exact"/>
        <w:rPr>
          <w:sz w:val="20"/>
          <w:szCs w:val="20"/>
          <w:color w:val="auto"/>
        </w:rPr>
      </w:pPr>
    </w:p>
    <w:p>
      <w:pPr>
        <w:spacing w:after="0" w:line="204" w:lineRule="exact"/>
        <w:rPr>
          <w:sz w:val="20"/>
          <w:szCs w:val="20"/>
          <w:color w:val="auto"/>
        </w:rPr>
      </w:pPr>
    </w:p>
    <w:p>
      <w:pPr>
        <w:jc w:val="right"/>
        <w:ind w:right="4260" w:firstLine="551"/>
        <w:spacing w:after="0" w:line="341" w:lineRule="auto"/>
        <w:tabs>
          <w:tab w:leader="none" w:pos="1595" w:val="left"/>
        </w:tabs>
        <w:numPr>
          <w:ilvl w:val="0"/>
          <w:numId w:val="3"/>
        </w:numPr>
        <w:rPr>
          <w:rFonts w:ascii="Arial" w:cs="Arial" w:eastAsia="Arial" w:hAnsi="Arial"/>
          <w:sz w:val="17"/>
          <w:szCs w:val="17"/>
          <w:color w:val="auto"/>
        </w:rPr>
      </w:pPr>
      <w:r>
        <w:rPr>
          <w:rFonts w:ascii="Arial" w:cs="Arial" w:eastAsia="Arial" w:hAnsi="Arial"/>
          <w:sz w:val="17"/>
          <w:szCs w:val="17"/>
          <w:color w:val="auto"/>
        </w:rPr>
        <w:t xml:space="preserve">406 </w:t>
      </w:r>
      <w:r>
        <w:rPr>
          <w:rFonts w:ascii="Arial" w:cs="Arial" w:eastAsia="Arial" w:hAnsi="Arial"/>
          <w:sz w:val="17"/>
          <w:szCs w:val="17"/>
          <w:u w:val="single" w:color="auto"/>
          <w:color w:val="auto"/>
        </w:rPr>
        <w:t>$  (52,633</w:t>
      </w:r>
      <w:r>
        <w:rPr>
          <w:rFonts w:ascii="Arial" w:cs="Arial" w:eastAsia="Arial" w:hAnsi="Arial"/>
          <w:sz w:val="17"/>
          <w:szCs w:val="17"/>
          <w:color w:val="auto"/>
        </w:rPr>
        <w:t xml:space="preserve">)  </w:t>
      </w:r>
      <w:r>
        <w:rPr>
          <w:rFonts w:ascii="Arial" w:cs="Arial" w:eastAsia="Arial" w:hAnsi="Arial"/>
          <w:sz w:val="17"/>
          <w:szCs w:val="17"/>
          <w:u w:val="single" w:color="auto"/>
          <w:color w:val="auto"/>
        </w:rPr>
        <w:t>$   77,969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-34290</wp:posOffset>
            </wp:positionV>
            <wp:extent cx="119189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191895" cy="8890"/>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-205740</wp:posOffset>
            </wp:positionV>
            <wp:extent cx="119189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191895"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4980" w:space="340"/>
            <w:col w:w="6140"/>
          </w:cols>
          <w:pgMar w:left="240" w:top="121" w:right="199" w:bottom="0" w:gutter="0" w:footer="0" w:header="0"/>
        </w:sectPr>
      </w:pPr>
    </w:p>
    <w:p>
      <w:pPr>
        <w:spacing w:after="0" w:line="14" w:lineRule="exact"/>
        <w:rPr>
          <w:sz w:val="20"/>
          <w:szCs w:val="20"/>
          <w:color w:val="auto"/>
        </w:rPr>
      </w:pPr>
    </w:p>
    <w:p>
      <w:pPr>
        <w:ind w:right="300" w:firstLine="324"/>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Business Combinations</w:t>
      </w:r>
    </w:p>
    <w:p>
      <w:pPr>
        <w:spacing w:after="0" w:line="229" w:lineRule="exact"/>
        <w:rPr>
          <w:sz w:val="20"/>
          <w:szCs w:val="20"/>
          <w:color w:val="auto"/>
        </w:rPr>
      </w:pPr>
    </w:p>
    <w:p>
      <w:pPr>
        <w:ind w:right="440" w:firstLine="324"/>
        <w:spacing w:after="0" w:line="264" w:lineRule="auto"/>
        <w:rPr>
          <w:sz w:val="20"/>
          <w:szCs w:val="20"/>
          <w:color w:val="auto"/>
        </w:rPr>
      </w:pPr>
      <w:r>
        <w:rPr>
          <w:rFonts w:ascii="Arial" w:cs="Arial" w:eastAsia="Arial" w:hAnsi="Arial"/>
          <w:sz w:val="18"/>
          <w:szCs w:val="18"/>
          <w:color w:val="auto"/>
        </w:rPr>
        <w:t>The Company acquired the semiconductor division of UTStarcom, Inc (“UTStarcom Business”), the printer semiconductor division of Avago Technologies Limited (“Avago Business”), Intel’s communications and applications business (“ICAP Business”) and assets of two other businesses from unrelated parties during fiscal 2007.</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UTStarcom Business</w:t>
      </w:r>
    </w:p>
    <w:p>
      <w:pPr>
        <w:spacing w:after="0" w:line="225" w:lineRule="exact"/>
        <w:rPr>
          <w:sz w:val="20"/>
          <w:szCs w:val="20"/>
          <w:color w:val="auto"/>
        </w:rPr>
      </w:pPr>
    </w:p>
    <w:p>
      <w:pPr>
        <w:ind w:right="120" w:firstLine="324"/>
        <w:spacing w:after="0" w:line="272" w:lineRule="auto"/>
        <w:rPr>
          <w:sz w:val="20"/>
          <w:szCs w:val="20"/>
          <w:color w:val="auto"/>
        </w:rPr>
      </w:pPr>
      <w:r>
        <w:rPr>
          <w:rFonts w:ascii="Arial" w:cs="Arial" w:eastAsia="Arial" w:hAnsi="Arial"/>
          <w:sz w:val="17"/>
          <w:szCs w:val="17"/>
          <w:color w:val="auto"/>
        </w:rPr>
        <w:t>The Company acquired the UTStarcom Business on February 16, 2006. The UTStarcom Business focuses on the design and development of personal handyphone systems (PHS) and next generation cellular communications technology. The primary reasons for the acquisition of the semiconductor division of UTStarcom were to strengthen and augment the Company’s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178" w:lineRule="exact"/>
        <w:rPr>
          <w:sz w:val="20"/>
          <w:szCs w:val="20"/>
          <w:color w:val="auto"/>
        </w:rPr>
      </w:pPr>
    </w:p>
    <w:p>
      <w:pPr>
        <w:ind w:right="120" w:firstLine="324"/>
        <w:spacing w:after="0" w:line="264" w:lineRule="auto"/>
        <w:rPr>
          <w:sz w:val="20"/>
          <w:szCs w:val="20"/>
          <w:color w:val="auto"/>
        </w:rPr>
      </w:pPr>
      <w:r>
        <w:rPr>
          <w:rFonts w:ascii="Arial" w:cs="Arial" w:eastAsia="Arial" w:hAnsi="Arial"/>
          <w:sz w:val="18"/>
          <w:szCs w:val="18"/>
          <w:color w:val="auto"/>
        </w:rPr>
        <w:t>Under the terms of the agreement, the Company paid $24.0 million in cash and an additional $16.0 million based on the achievement of certain defined milestones. The purchase price of the acquisition was $40.8 million, including the contingent consideration recognized of $16.0 million, and was determined as follows (in thousands):</w:t>
      </w:r>
    </w:p>
    <w:p>
      <w:pPr>
        <w:spacing w:after="0" w:line="196" w:lineRule="exact"/>
        <w:rPr>
          <w:sz w:val="20"/>
          <w:szCs w:val="20"/>
          <w:color w:val="auto"/>
        </w:rPr>
      </w:pPr>
    </w:p>
    <w:tbl>
      <w:tblPr>
        <w:tblLayout w:type="fixed"/>
        <w:tblInd w:w="1300" w:type="dxa"/>
        <w:tblCellMar>
          <w:top w:w="0" w:type="dxa"/>
          <w:left w:w="0" w:type="dxa"/>
          <w:bottom w:w="0" w:type="dxa"/>
          <w:right w:w="0" w:type="dxa"/>
        </w:tblCellMar>
      </w:tblPr>
      <w:tr>
        <w:trPr>
          <w:trHeight w:val="216"/>
        </w:trPr>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224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40,008</w:t>
            </w:r>
          </w:p>
        </w:tc>
        <w:tc>
          <w:tcPr>
            <w:tcW w:w="40" w:type="dxa"/>
            <w:vAlign w:val="bottom"/>
            <w:shd w:val="clear" w:color="auto" w:fill="CCEEFF"/>
          </w:tcPr>
          <w:p>
            <w:pPr>
              <w:spacing w:after="0"/>
              <w:rPr>
                <w:sz w:val="18"/>
                <w:szCs w:val="18"/>
                <w:color w:val="auto"/>
              </w:rPr>
            </w:pPr>
          </w:p>
        </w:tc>
      </w:tr>
      <w:tr>
        <w:trPr>
          <w:trHeight w:val="216"/>
        </w:trPr>
        <w:tc>
          <w:tcPr>
            <w:tcW w:w="36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Transaction costs</w:t>
            </w:r>
          </w:p>
        </w:tc>
        <w:tc>
          <w:tcPr>
            <w:tcW w:w="20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w:t>
            </w:r>
          </w:p>
        </w:tc>
        <w:tc>
          <w:tcPr>
            <w:tcW w:w="40" w:type="dxa"/>
            <w:vAlign w:val="bottom"/>
            <w:tcBorders>
              <w:bottom w:val="single" w:sz="8" w:color="CCEEFF"/>
            </w:tcBorders>
          </w:tcPr>
          <w:p>
            <w:pPr>
              <w:spacing w:after="0"/>
              <w:rPr>
                <w:sz w:val="18"/>
                <w:szCs w:val="18"/>
                <w:color w:val="auto"/>
              </w:rPr>
            </w:pPr>
          </w:p>
        </w:tc>
      </w:tr>
      <w:tr>
        <w:trPr>
          <w:trHeight w:val="210"/>
        </w:trPr>
        <w:tc>
          <w:tcPr>
            <w:tcW w:w="36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purchase price</w:t>
            </w:r>
          </w:p>
        </w:tc>
        <w:tc>
          <w:tcPr>
            <w:tcW w:w="204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40,800</w:t>
            </w:r>
          </w:p>
        </w:tc>
        <w:tc>
          <w:tcPr>
            <w:tcW w:w="40" w:type="dxa"/>
            <w:vAlign w:val="bottom"/>
            <w:tcBorders>
              <w:bottom w:val="single" w:sz="8" w:color="CCEEFF"/>
            </w:tcBorders>
            <w:shd w:val="clear" w:color="auto" w:fill="CCEEFF"/>
          </w:tcPr>
          <w:p>
            <w:pPr>
              <w:spacing w:after="0"/>
              <w:rPr>
                <w:sz w:val="18"/>
                <w:szCs w:val="18"/>
                <w:color w:val="auto"/>
              </w:rPr>
            </w:pPr>
          </w:p>
        </w:tc>
      </w:tr>
      <w:tr>
        <w:trPr>
          <w:trHeight w:val="20"/>
        </w:trPr>
        <w:tc>
          <w:tcPr>
            <w:tcW w:w="36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In the third quarter of fiscal 2007, the Company recorded additional purchase consideration of $16.0 million upon the achievement of the contingent milestones as defined in the purchase agreement. Approximately $8.7 million was preliminarily allocated as negative goodwill, calculated as the excess of the fair value of net tangible and intangible assets acquired over the purchase price. As a result of the contingent consideration, additional goodwill of $7.3 million was recorded.</w:t>
      </w:r>
    </w:p>
    <w:p>
      <w:pPr>
        <w:spacing w:after="0" w:line="187" w:lineRule="exact"/>
        <w:rPr>
          <w:sz w:val="20"/>
          <w:szCs w:val="20"/>
          <w:color w:val="auto"/>
        </w:rPr>
      </w:pPr>
    </w:p>
    <w:p>
      <w:pPr>
        <w:ind w:right="180" w:firstLine="324"/>
        <w:spacing w:after="0" w:line="308" w:lineRule="auto"/>
        <w:rPr>
          <w:sz w:val="20"/>
          <w:szCs w:val="20"/>
          <w:color w:val="auto"/>
        </w:rPr>
      </w:pPr>
      <w:r>
        <w:rPr>
          <w:rFonts w:ascii="Arial" w:cs="Arial" w:eastAsia="Arial" w:hAnsi="Arial"/>
          <w:sz w:val="17"/>
          <w:szCs w:val="17"/>
          <w:color w:val="auto"/>
        </w:rPr>
        <w:t>Under the purchase method of accounting, the total purchase price (including the contingent consideration recognized of $16.0 million) was allocated to net tangible and intangible assets based on their fair values as of the date of the completion of the acquisition as follows (in thousands):</w:t>
      </w:r>
    </w:p>
    <w:p>
      <w:pPr>
        <w:spacing w:after="0" w:line="16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160" w:type="dxa"/>
            <w:vAlign w:val="bottom"/>
          </w:tcPr>
          <w:p>
            <w:pPr>
              <w:spacing w:after="0"/>
              <w:rPr>
                <w:sz w:val="18"/>
                <w:szCs w:val="18"/>
                <w:color w:val="auto"/>
              </w:rPr>
            </w:pPr>
          </w:p>
        </w:tc>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34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2,097</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18"/>
                <w:szCs w:val="18"/>
                <w:color w:val="auto"/>
              </w:rPr>
            </w:pPr>
          </w:p>
        </w:tc>
        <w:tc>
          <w:tcPr>
            <w:tcW w:w="30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Fixed assets</w:t>
            </w:r>
          </w:p>
        </w:tc>
        <w:tc>
          <w:tcPr>
            <w:tcW w:w="32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611</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160" w:type="dxa"/>
            <w:vAlign w:val="bottom"/>
          </w:tcPr>
          <w:p>
            <w:pPr>
              <w:spacing w:after="0"/>
              <w:rPr>
                <w:sz w:val="18"/>
                <w:szCs w:val="18"/>
                <w:color w:val="auto"/>
              </w:rPr>
            </w:pPr>
          </w:p>
        </w:tc>
        <w:tc>
          <w:tcPr>
            <w:tcW w:w="3020" w:type="dxa"/>
            <w:vAlign w:val="bottom"/>
            <w:shd w:val="clear" w:color="auto" w:fill="CCEEFF"/>
          </w:tcPr>
          <w:p>
            <w:pPr>
              <w:spacing w:after="0"/>
              <w:rPr>
                <w:sz w:val="18"/>
                <w:szCs w:val="18"/>
                <w:color w:val="auto"/>
              </w:rPr>
            </w:pPr>
          </w:p>
        </w:tc>
        <w:tc>
          <w:tcPr>
            <w:tcW w:w="3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18"/>
                <w:szCs w:val="18"/>
                <w:color w:val="auto"/>
              </w:rPr>
            </w:pPr>
          </w:p>
        </w:tc>
        <w:tc>
          <w:tcPr>
            <w:tcW w:w="302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3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18"/>
                <w:szCs w:val="18"/>
                <w:color w:val="auto"/>
              </w:rPr>
            </w:pPr>
          </w:p>
        </w:tc>
        <w:tc>
          <w:tcPr>
            <w:tcW w:w="3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3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18"/>
                <w:szCs w:val="18"/>
                <w:color w:val="auto"/>
              </w:rPr>
            </w:pPr>
          </w:p>
        </w:tc>
        <w:tc>
          <w:tcPr>
            <w:tcW w:w="302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3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4,100</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18"/>
                <w:szCs w:val="18"/>
                <w:color w:val="auto"/>
              </w:rPr>
            </w:pPr>
          </w:p>
        </w:tc>
        <w:tc>
          <w:tcPr>
            <w:tcW w:w="3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Supply contract</w:t>
            </w:r>
          </w:p>
        </w:tc>
        <w:tc>
          <w:tcPr>
            <w:tcW w:w="3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18"/>
                <w:szCs w:val="18"/>
                <w:color w:val="auto"/>
              </w:rPr>
            </w:pPr>
          </w:p>
        </w:tc>
        <w:tc>
          <w:tcPr>
            <w:tcW w:w="302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3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13,900</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60" w:type="dxa"/>
            <w:vAlign w:val="bottom"/>
          </w:tcPr>
          <w:p>
            <w:pPr>
              <w:spacing w:after="0"/>
              <w:rPr>
                <w:sz w:val="18"/>
                <w:szCs w:val="18"/>
                <w:color w:val="auto"/>
              </w:rPr>
            </w:pPr>
          </w:p>
        </w:tc>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2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7,292</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160" w:type="dxa"/>
            <w:vAlign w:val="bottom"/>
          </w:tcPr>
          <w:p>
            <w:pPr>
              <w:spacing w:after="0"/>
              <w:rPr>
                <w:sz w:val="18"/>
                <w:szCs w:val="18"/>
                <w:color w:val="auto"/>
              </w:rPr>
            </w:pPr>
          </w:p>
        </w:tc>
        <w:tc>
          <w:tcPr>
            <w:tcW w:w="3020" w:type="dxa"/>
            <w:vAlign w:val="bottom"/>
          </w:tcPr>
          <w:p>
            <w:pPr>
              <w:ind w:left="360"/>
              <w:spacing w:after="0"/>
              <w:rPr>
                <w:sz w:val="20"/>
                <w:szCs w:val="20"/>
                <w:color w:val="auto"/>
              </w:rPr>
            </w:pPr>
            <w:r>
              <w:rPr>
                <w:rFonts w:ascii="Arial" w:cs="Arial" w:eastAsia="Arial" w:hAnsi="Arial"/>
                <w:sz w:val="18"/>
                <w:szCs w:val="18"/>
                <w:color w:val="auto"/>
              </w:rPr>
              <w:t>Total purchase price allocation</w:t>
            </w:r>
          </w:p>
        </w:tc>
        <w:tc>
          <w:tcPr>
            <w:tcW w:w="3220" w:type="dxa"/>
            <w:vAlign w:val="bottom"/>
          </w:tcPr>
          <w:p>
            <w:pPr>
              <w:spacing w:after="0"/>
              <w:rPr>
                <w:sz w:val="18"/>
                <w:szCs w:val="18"/>
                <w:color w:val="auto"/>
              </w:rPr>
            </w:pPr>
          </w:p>
        </w:tc>
        <w:tc>
          <w:tcPr>
            <w:tcW w:w="200" w:type="dxa"/>
            <w:vAlign w:val="bottom"/>
            <w:tcBorders>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40,800</w:t>
            </w: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160" w:type="dxa"/>
            <w:vAlign w:val="bottom"/>
          </w:tcPr>
          <w:p>
            <w:pPr>
              <w:spacing w:after="0" w:line="20" w:lineRule="exact"/>
              <w:rPr>
                <w:sz w:val="1"/>
                <w:szCs w:val="1"/>
                <w:color w:val="auto"/>
              </w:rPr>
            </w:pPr>
          </w:p>
        </w:tc>
        <w:tc>
          <w:tcPr>
            <w:tcW w:w="3020" w:type="dxa"/>
            <w:vAlign w:val="bottom"/>
          </w:tcPr>
          <w:p>
            <w:pPr>
              <w:spacing w:after="0" w:line="20" w:lineRule="exact"/>
              <w:rPr>
                <w:sz w:val="1"/>
                <w:szCs w:val="1"/>
                <w:color w:val="auto"/>
              </w:rPr>
            </w:pPr>
          </w:p>
        </w:tc>
        <w:tc>
          <w:tcPr>
            <w:tcW w:w="3220" w:type="dxa"/>
            <w:vAlign w:val="bottom"/>
            <w:vMerge w:val="restart"/>
          </w:tcPr>
          <w:p>
            <w:pPr>
              <w:jc w:val="right"/>
              <w:ind w:right="2510"/>
              <w:spacing w:after="0"/>
              <w:rPr>
                <w:sz w:val="20"/>
                <w:szCs w:val="20"/>
                <w:color w:val="auto"/>
              </w:rPr>
            </w:pPr>
            <w:r>
              <w:rPr>
                <w:rFonts w:ascii="Arial" w:cs="Arial" w:eastAsia="Arial" w:hAnsi="Arial"/>
                <w:sz w:val="18"/>
                <w:szCs w:val="18"/>
                <w:color w:val="auto"/>
              </w:rPr>
              <w:t>14</w:t>
            </w:r>
          </w:p>
        </w:tc>
        <w:tc>
          <w:tcPr>
            <w:tcW w:w="2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2160" w:type="dxa"/>
            <w:vAlign w:val="bottom"/>
          </w:tcPr>
          <w:p>
            <w:pPr>
              <w:spacing w:after="0"/>
              <w:rPr>
                <w:sz w:val="24"/>
                <w:szCs w:val="24"/>
                <w:color w:val="auto"/>
              </w:rPr>
            </w:pPr>
          </w:p>
        </w:tc>
        <w:tc>
          <w:tcPr>
            <w:tcW w:w="3020" w:type="dxa"/>
            <w:vAlign w:val="bottom"/>
          </w:tcPr>
          <w:p>
            <w:pPr>
              <w:spacing w:after="0"/>
              <w:rPr>
                <w:sz w:val="24"/>
                <w:szCs w:val="24"/>
                <w:color w:val="auto"/>
              </w:rPr>
            </w:pPr>
          </w:p>
        </w:tc>
        <w:tc>
          <w:tcPr>
            <w:tcW w:w="322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160" w:type="dxa"/>
            <w:vAlign w:val="bottom"/>
            <w:tcBorders>
              <w:bottom w:val="single" w:sz="8" w:color="010101"/>
            </w:tcBorders>
          </w:tcPr>
          <w:p>
            <w:pPr>
              <w:spacing w:after="0"/>
              <w:rPr>
                <w:sz w:val="24"/>
                <w:szCs w:val="24"/>
                <w:color w:val="auto"/>
              </w:rPr>
            </w:pPr>
          </w:p>
        </w:tc>
        <w:tc>
          <w:tcPr>
            <w:tcW w:w="3020" w:type="dxa"/>
            <w:vAlign w:val="bottom"/>
            <w:tcBorders>
              <w:bottom w:val="single" w:sz="8" w:color="010101"/>
            </w:tcBorders>
          </w:tcPr>
          <w:p>
            <w:pPr>
              <w:spacing w:after="0"/>
              <w:rPr>
                <w:sz w:val="24"/>
                <w:szCs w:val="24"/>
                <w:color w:val="auto"/>
              </w:rPr>
            </w:pPr>
          </w:p>
        </w:tc>
        <w:tc>
          <w:tcPr>
            <w:tcW w:w="32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680" w:type="dxa"/>
            <w:vAlign w:val="bottom"/>
            <w:tcBorders>
              <w:bottom w:val="single" w:sz="8" w:color="010101"/>
            </w:tcBorders>
          </w:tcPr>
          <w:p>
            <w:pPr>
              <w:spacing w:after="0"/>
              <w:rPr>
                <w:sz w:val="24"/>
                <w:szCs w:val="24"/>
                <w:color w:val="auto"/>
              </w:rPr>
            </w:pPr>
          </w:p>
        </w:tc>
        <w:tc>
          <w:tcPr>
            <w:tcW w:w="218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27"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four years. 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four-year contract.</w:t>
      </w:r>
    </w:p>
    <w:p>
      <w:pPr>
        <w:spacing w:after="0" w:line="167" w:lineRule="exact"/>
        <w:rPr>
          <w:sz w:val="20"/>
          <w:szCs w:val="20"/>
          <w:color w:val="auto"/>
        </w:rPr>
      </w:pPr>
    </w:p>
    <w:p>
      <w:pPr>
        <w:ind w:right="74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existing technology, 4.0 years for core technology, 4.0 years for the supply contract, and 4.0 years for customer relationships.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Avago Business</w:t>
      </w:r>
    </w:p>
    <w:p>
      <w:pPr>
        <w:sectPr>
          <w:pgSz w:w="11900" w:h="16838" w:orient="portrait"/>
          <w:cols w:equalWidth="0" w:num="1">
            <w:col w:w="11460"/>
          </w:cols>
          <w:pgMar w:left="240" w:top="121" w:right="199" w:bottom="0" w:gutter="0" w:footer="0" w:header="0"/>
          <w:type w:val="continuous"/>
        </w:sectPr>
      </w:pPr>
    </w:p>
    <w:bookmarkStart w:id="10" w:name="page11"/>
    <w:bookmarkEnd w:id="10"/>
    <w:p>
      <w:pPr>
        <w:ind w:right="120" w:firstLine="324"/>
        <w:spacing w:after="0" w:line="276" w:lineRule="auto"/>
        <w:rPr>
          <w:sz w:val="20"/>
          <w:szCs w:val="20"/>
          <w:color w:val="auto"/>
        </w:rPr>
      </w:pPr>
      <w:r>
        <w:rPr>
          <w:rFonts w:ascii="Arial" w:cs="Arial" w:eastAsia="Arial" w:hAnsi="Arial"/>
          <w:sz w:val="17"/>
          <w:szCs w:val="17"/>
          <w:color w:val="auto"/>
        </w:rPr>
        <w:t>The Company acquired the Avago Business on May 1, 2006. The Avago Business focuses on the design and development of system-on-chip and system level solutions for both inkjet and laser jet printer systems. The primary purpose and benefits of the acquisition were to obtain, accelerate and strengthen the Company’s entry into the printer market, leverage its portfolio of complementary technology and obtain important printer systems level knowledge. These factors contributed to a purchase price that was in excess of the fair value of the Avago Business net tangible and intangible assets acquired. The Company recorded goodwill, which is not deductible for tax purposes, in connection with this transaction.</w:t>
      </w:r>
    </w:p>
    <w:p>
      <w:pPr>
        <w:spacing w:after="0" w:line="173" w:lineRule="exact"/>
        <w:rPr>
          <w:sz w:val="20"/>
          <w:szCs w:val="20"/>
          <w:color w:val="auto"/>
        </w:rPr>
      </w:pPr>
    </w:p>
    <w:p>
      <w:pPr>
        <w:ind w:right="260" w:firstLine="324"/>
        <w:spacing w:after="0" w:line="264" w:lineRule="auto"/>
        <w:rPr>
          <w:sz w:val="20"/>
          <w:szCs w:val="20"/>
          <w:color w:val="auto"/>
        </w:rPr>
      </w:pPr>
      <w:r>
        <w:rPr>
          <w:rFonts w:ascii="Arial" w:cs="Arial" w:eastAsia="Arial" w:hAnsi="Arial"/>
          <w:sz w:val="18"/>
          <w:szCs w:val="18"/>
          <w:color w:val="auto"/>
        </w:rPr>
        <w:t>Under the terms of the agreement, the Company paid $249.6 million in cash and may pay up to an additional $35.0 million in cash if certain defined milestones are achieved. The purchase price of the acquisition, including the contingent consideration recognized of $10.0 million, was $263.0 million and was determined as follows (in thousands):</w:t>
      </w:r>
    </w:p>
    <w:p>
      <w:pPr>
        <w:spacing w:after="0" w:line="196" w:lineRule="exact"/>
        <w:rPr>
          <w:sz w:val="20"/>
          <w:szCs w:val="20"/>
          <w:color w:val="auto"/>
        </w:rPr>
      </w:pPr>
    </w:p>
    <w:tbl>
      <w:tblPr>
        <w:tblLayout w:type="fixed"/>
        <w:tblInd w:w="980" w:type="dxa"/>
        <w:tblCellMar>
          <w:top w:w="0" w:type="dxa"/>
          <w:left w:w="0" w:type="dxa"/>
          <w:bottom w:w="0" w:type="dxa"/>
          <w:right w:w="0" w:type="dxa"/>
        </w:tblCellMar>
      </w:tblPr>
      <w:tr>
        <w:trPr>
          <w:trHeight w:val="216"/>
        </w:trPr>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259,591</w:t>
            </w:r>
          </w:p>
        </w:tc>
        <w:tc>
          <w:tcPr>
            <w:tcW w:w="60" w:type="dxa"/>
            <w:vAlign w:val="bottom"/>
            <w:shd w:val="clear" w:color="auto" w:fill="CCEEFF"/>
          </w:tcPr>
          <w:p>
            <w:pPr>
              <w:spacing w:after="0"/>
              <w:rPr>
                <w:sz w:val="18"/>
                <w:szCs w:val="18"/>
                <w:color w:val="auto"/>
              </w:rPr>
            </w:pPr>
          </w:p>
        </w:tc>
      </w:tr>
      <w:tr>
        <w:trPr>
          <w:trHeight w:val="216"/>
        </w:trPr>
        <w:tc>
          <w:tcPr>
            <w:tcW w:w="63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Transaction costs</w:t>
            </w:r>
          </w:p>
        </w:tc>
        <w:tc>
          <w:tcPr>
            <w:tcW w:w="1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3,388</w:t>
            </w:r>
          </w:p>
        </w:tc>
        <w:tc>
          <w:tcPr>
            <w:tcW w:w="60" w:type="dxa"/>
            <w:vAlign w:val="bottom"/>
            <w:tcBorders>
              <w:bottom w:val="single" w:sz="8" w:color="CCEEFF"/>
            </w:tcBorders>
          </w:tcPr>
          <w:p>
            <w:pPr>
              <w:spacing w:after="0"/>
              <w:rPr>
                <w:sz w:val="18"/>
                <w:szCs w:val="18"/>
                <w:color w:val="auto"/>
              </w:rPr>
            </w:pPr>
          </w:p>
        </w:tc>
      </w:tr>
      <w:tr>
        <w:trPr>
          <w:trHeight w:val="210"/>
        </w:trPr>
        <w:tc>
          <w:tcPr>
            <w:tcW w:w="634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purchase price</w:t>
            </w:r>
          </w:p>
        </w:tc>
        <w:tc>
          <w:tcPr>
            <w:tcW w:w="160" w:type="dxa"/>
            <w:vAlign w:val="bottom"/>
            <w:tcBorders>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262,979</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63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In the third quarter of fiscal 2007, the Company recorded additional purchase consideration with a corresponding increase in goodwill of $10.0 million based on the achievement of certain levels of revenue of the past year. The remaining contingent consideration of up to $25.0 million is still outstanding and may result in the recognition of additional purchase consideration in the future. The remaining contingent consideration is based on the achievement of a certain level of revenue over a one year period ending October 2007. Additionally, in the third quarter of fiscal 2007, the Company recorded an adjustment of $1.9 million relating to inventory acquired at the acquisition date, resulting in a corresponding reduction in goodwill. In the first quarter of fiscal 2008, the Company recorded an adjustment of $1.3 million relating to a reduction of an accrued liability recorded in the original purchase accounting resulting in a corresponding decrease in goodwill.</w:t>
      </w:r>
    </w:p>
    <w:p>
      <w:pPr>
        <w:spacing w:after="0" w:line="189" w:lineRule="exact"/>
        <w:rPr>
          <w:sz w:val="20"/>
          <w:szCs w:val="20"/>
          <w:color w:val="auto"/>
        </w:rPr>
      </w:pPr>
    </w:p>
    <w:p>
      <w:pPr>
        <w:ind w:right="180" w:firstLine="324"/>
        <w:spacing w:after="0" w:line="342" w:lineRule="auto"/>
        <w:rPr>
          <w:sz w:val="20"/>
          <w:szCs w:val="20"/>
          <w:color w:val="auto"/>
        </w:rPr>
      </w:pPr>
      <w:r>
        <w:rPr>
          <w:rFonts w:ascii="Arial" w:cs="Arial" w:eastAsia="Arial" w:hAnsi="Arial"/>
          <w:sz w:val="16"/>
          <w:szCs w:val="16"/>
          <w:color w:val="auto"/>
        </w:rPr>
        <w:t>Under the purchase method of accounting, the total purchase price (including the contingent consideration recognized of $10.0 million) was allocated to net tangible and intangible assets based on their fair values as of the date of completion of the acquisition, as adjusted, as follows (in thousands):</w:t>
      </w:r>
    </w:p>
    <w:p>
      <w:pPr>
        <w:spacing w:after="0" w:line="13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98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w:t>
            </w:r>
          </w:p>
        </w:tc>
        <w:tc>
          <w:tcPr>
            <w:tcW w:w="2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Current assets</w:t>
            </w:r>
          </w:p>
        </w:tc>
        <w:tc>
          <w:tcPr>
            <w:tcW w:w="2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3,704</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w:t>
            </w:r>
          </w:p>
        </w:tc>
        <w:tc>
          <w:tcPr>
            <w:tcW w:w="2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2,183</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2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23,896</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Fixed assets</w:t>
            </w:r>
          </w:p>
        </w:tc>
        <w:tc>
          <w:tcPr>
            <w:tcW w:w="2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14,305</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Other current assets</w:t>
            </w:r>
          </w:p>
        </w:tc>
        <w:tc>
          <w:tcPr>
            <w:tcW w:w="2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2,750</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2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(11,940)</w:t>
            </w: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Accrued employee benefits</w:t>
            </w:r>
          </w:p>
        </w:tc>
        <w:tc>
          <w:tcPr>
            <w:tcW w:w="2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(3,998)</w:t>
            </w: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80" w:type="dxa"/>
            <w:vAlign w:val="bottom"/>
          </w:tcPr>
          <w:p>
            <w:pPr>
              <w:spacing w:after="0"/>
              <w:rPr>
                <w:sz w:val="18"/>
                <w:szCs w:val="18"/>
                <w:color w:val="auto"/>
              </w:rPr>
            </w:pPr>
          </w:p>
        </w:tc>
        <w:tc>
          <w:tcPr>
            <w:tcW w:w="3600" w:type="dxa"/>
            <w:vAlign w:val="bottom"/>
            <w:tcBorders>
              <w:top w:val="single" w:sz="8" w:color="CCEEFF"/>
            </w:tcBorders>
            <w:shd w:val="clear" w:color="auto" w:fill="CCEEFF"/>
          </w:tcPr>
          <w:p>
            <w:pPr>
              <w:spacing w:after="0"/>
              <w:rPr>
                <w:sz w:val="18"/>
                <w:szCs w:val="18"/>
                <w:color w:val="auto"/>
              </w:rPr>
            </w:pPr>
          </w:p>
        </w:tc>
        <w:tc>
          <w:tcPr>
            <w:tcW w:w="27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32,771</w:t>
            </w:r>
          </w:p>
        </w:tc>
        <w:tc>
          <w:tcPr>
            <w:tcW w:w="80" w:type="dxa"/>
            <w:vAlign w:val="bottom"/>
            <w:tcBorders>
              <w:top w:val="single" w:sz="8" w:color="CCEEFF"/>
            </w:tcBorders>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2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2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40,200</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2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Goodwill</w:t>
            </w:r>
          </w:p>
        </w:tc>
        <w:tc>
          <w:tcPr>
            <w:tcW w:w="270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80,808</w:t>
            </w:r>
          </w:p>
        </w:tc>
        <w:tc>
          <w:tcPr>
            <w:tcW w:w="80" w:type="dxa"/>
            <w:vAlign w:val="bottom"/>
            <w:tcBorders>
              <w:bottom w:val="single" w:sz="8" w:color="CCEEFF"/>
            </w:tcBorders>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80" w:type="dxa"/>
            <w:vAlign w:val="bottom"/>
          </w:tcPr>
          <w:p>
            <w:pPr>
              <w:spacing w:after="0"/>
              <w:rPr>
                <w:sz w:val="18"/>
                <w:szCs w:val="18"/>
                <w:color w:val="auto"/>
              </w:rPr>
            </w:pPr>
          </w:p>
        </w:tc>
        <w:tc>
          <w:tcPr>
            <w:tcW w:w="36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purchase price allocation</w:t>
            </w:r>
          </w:p>
        </w:tc>
        <w:tc>
          <w:tcPr>
            <w:tcW w:w="270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262,979</w:t>
            </w:r>
          </w:p>
        </w:tc>
        <w:tc>
          <w:tcPr>
            <w:tcW w:w="80" w:type="dxa"/>
            <w:vAlign w:val="bottom"/>
            <w:tcBorders>
              <w:bottom w:val="single" w:sz="8" w:color="CCEEFF"/>
            </w:tcBorders>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80" w:type="dxa"/>
            <w:vAlign w:val="bottom"/>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2700" w:type="dxa"/>
            <w:vAlign w:val="bottom"/>
            <w:vMerge w:val="restart"/>
          </w:tcPr>
          <w:p>
            <w:pPr>
              <w:jc w:val="right"/>
              <w:ind w:right="1390"/>
              <w:spacing w:after="0"/>
              <w:rPr>
                <w:sz w:val="20"/>
                <w:szCs w:val="20"/>
                <w:color w:val="auto"/>
              </w:rPr>
            </w:pPr>
            <w:r>
              <w:rPr>
                <w:rFonts w:ascii="Arial" w:cs="Arial" w:eastAsia="Arial" w:hAnsi="Arial"/>
                <w:sz w:val="18"/>
                <w:szCs w:val="18"/>
                <w:color w:val="auto"/>
              </w:rPr>
              <w:t>15</w:t>
            </w: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98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980" w:type="dxa"/>
            <w:vAlign w:val="bottom"/>
            <w:tcBorders>
              <w:bottom w:val="single" w:sz="8" w:color="010101"/>
            </w:tcBorders>
          </w:tcPr>
          <w:p>
            <w:pPr>
              <w:spacing w:after="0"/>
              <w:rPr>
                <w:sz w:val="24"/>
                <w:szCs w:val="24"/>
                <w:color w:val="auto"/>
              </w:rPr>
            </w:pPr>
          </w:p>
        </w:tc>
        <w:tc>
          <w:tcPr>
            <w:tcW w:w="3600" w:type="dxa"/>
            <w:vAlign w:val="bottom"/>
            <w:tcBorders>
              <w:bottom w:val="single" w:sz="8" w:color="010101"/>
            </w:tcBorders>
          </w:tcPr>
          <w:p>
            <w:pPr>
              <w:spacing w:after="0"/>
              <w:rPr>
                <w:sz w:val="24"/>
                <w:szCs w:val="24"/>
                <w:color w:val="auto"/>
              </w:rPr>
            </w:pPr>
          </w:p>
        </w:tc>
        <w:tc>
          <w:tcPr>
            <w:tcW w:w="270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6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326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27" w:lineRule="exact"/>
        <w:rPr>
          <w:sz w:val="20"/>
          <w:szCs w:val="20"/>
          <w:color w:val="auto"/>
        </w:rPr>
      </w:pPr>
    </w:p>
    <w:p>
      <w:pPr>
        <w:ind w:right="140" w:firstLine="324"/>
        <w:spacing w:after="0" w:line="273" w:lineRule="auto"/>
        <w:rPr>
          <w:sz w:val="20"/>
          <w:szCs w:val="20"/>
          <w:color w:val="auto"/>
        </w:rPr>
      </w:pPr>
      <w:r>
        <w:rPr>
          <w:rFonts w:ascii="Arial" w:cs="Arial" w:eastAsia="Arial" w:hAnsi="Arial"/>
          <w:sz w:val="17"/>
          <w:szCs w:val="17"/>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six years. 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w:t>
      </w:r>
    </w:p>
    <w:p>
      <w:pPr>
        <w:spacing w:after="0" w:line="178" w:lineRule="exact"/>
        <w:rPr>
          <w:sz w:val="20"/>
          <w:szCs w:val="20"/>
          <w:color w:val="auto"/>
        </w:rPr>
      </w:pPr>
    </w:p>
    <w:p>
      <w:pPr>
        <w:ind w:right="26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existing technology, 4.9 years for core technology and 5.0 years for customer relationships.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ICAP Business</w:t>
      </w:r>
    </w:p>
    <w:p>
      <w:pPr>
        <w:spacing w:after="0" w:line="225" w:lineRule="exact"/>
        <w:rPr>
          <w:sz w:val="20"/>
          <w:szCs w:val="20"/>
          <w:color w:val="auto"/>
        </w:rPr>
      </w:pPr>
    </w:p>
    <w:p>
      <w:pPr>
        <w:ind w:right="180" w:firstLine="324"/>
        <w:spacing w:after="0" w:line="255" w:lineRule="auto"/>
        <w:rPr>
          <w:sz w:val="20"/>
          <w:szCs w:val="20"/>
          <w:color w:val="auto"/>
        </w:rPr>
      </w:pPr>
      <w:r>
        <w:rPr>
          <w:rFonts w:ascii="Arial" w:cs="Arial" w:eastAsia="Arial" w:hAnsi="Arial"/>
          <w:sz w:val="18"/>
          <w:szCs w:val="18"/>
          <w:color w:val="auto"/>
        </w:rPr>
        <w:t>The Company acquired the ICAP Business on November 8, 2006. The ICAP Business designs, manufactures, and markets applications and communications processors for cellular phones, personal digital assistants, and other personal devices. The primary purpose and benefits of the acquisition were to obtain, accelerate and strengthen the Company’s entry into the wireless handheld device market, leverage its portfolio of complementary technology and obtain important wireless systems level knowledge. These factors contributed to a purchase price that was in excess of the fair value of the ICAP Business net tangible and intangible assets acquired. The Company recorded goodwill, which is not deductible for tax purposes, in connection with this transaction.</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purchase price of the acquisition was $605.9 million, determined as follows (in thousands):</w:t>
      </w:r>
    </w:p>
    <w:p>
      <w:pPr>
        <w:spacing w:after="0" w:line="240" w:lineRule="exact"/>
        <w:rPr>
          <w:sz w:val="20"/>
          <w:szCs w:val="20"/>
          <w:color w:val="auto"/>
        </w:rPr>
      </w:pPr>
    </w:p>
    <w:tbl>
      <w:tblPr>
        <w:tblLayout w:type="fixed"/>
        <w:tblInd w:w="980" w:type="dxa"/>
        <w:tblCellMar>
          <w:top w:w="0" w:type="dxa"/>
          <w:left w:w="0" w:type="dxa"/>
          <w:bottom w:w="0" w:type="dxa"/>
          <w:right w:w="0" w:type="dxa"/>
        </w:tblCellMar>
      </w:tblPr>
      <w:tr>
        <w:trPr>
          <w:trHeight w:val="216"/>
        </w:trPr>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600,000</w:t>
            </w:r>
          </w:p>
        </w:tc>
        <w:tc>
          <w:tcPr>
            <w:tcW w:w="60" w:type="dxa"/>
            <w:vAlign w:val="bottom"/>
            <w:shd w:val="clear" w:color="auto" w:fill="CCEEFF"/>
          </w:tcPr>
          <w:p>
            <w:pPr>
              <w:spacing w:after="0"/>
              <w:rPr>
                <w:sz w:val="18"/>
                <w:szCs w:val="18"/>
                <w:color w:val="auto"/>
              </w:rPr>
            </w:pPr>
          </w:p>
        </w:tc>
      </w:tr>
      <w:tr>
        <w:trPr>
          <w:trHeight w:val="216"/>
        </w:trPr>
        <w:tc>
          <w:tcPr>
            <w:tcW w:w="63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Transaction costs</w:t>
            </w:r>
          </w:p>
        </w:tc>
        <w:tc>
          <w:tcPr>
            <w:tcW w:w="1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5,857</w:t>
            </w:r>
          </w:p>
        </w:tc>
        <w:tc>
          <w:tcPr>
            <w:tcW w:w="60" w:type="dxa"/>
            <w:vAlign w:val="bottom"/>
            <w:tcBorders>
              <w:bottom w:val="single" w:sz="8" w:color="CCEEFF"/>
            </w:tcBorders>
          </w:tcPr>
          <w:p>
            <w:pPr>
              <w:spacing w:after="0"/>
              <w:rPr>
                <w:sz w:val="18"/>
                <w:szCs w:val="18"/>
                <w:color w:val="auto"/>
              </w:rPr>
            </w:pPr>
          </w:p>
        </w:tc>
      </w:tr>
      <w:tr>
        <w:trPr>
          <w:trHeight w:val="210"/>
        </w:trPr>
        <w:tc>
          <w:tcPr>
            <w:tcW w:w="634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purchase price</w:t>
            </w:r>
          </w:p>
        </w:tc>
        <w:tc>
          <w:tcPr>
            <w:tcW w:w="160" w:type="dxa"/>
            <w:vAlign w:val="bottom"/>
            <w:tcBorders>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605,857</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63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completion of the acquisition as follows (in thousands):</w:t>
      </w:r>
    </w:p>
    <w:p>
      <w:pPr>
        <w:sectPr>
          <w:pgSz w:w="11900" w:h="16838" w:orient="portrait"/>
          <w:cols w:equalWidth="0" w:num="1">
            <w:col w:w="11460"/>
          </w:cols>
          <w:pgMar w:left="240" w:top="125" w:right="199" w:bottom="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3,847</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ind w:left="180"/>
              <w:spacing w:after="0"/>
              <w:rPr>
                <w:sz w:val="20"/>
                <w:szCs w:val="20"/>
                <w:color w:val="auto"/>
              </w:rPr>
            </w:pPr>
            <w:r>
              <w:rPr>
                <w:rFonts w:ascii="Arial" w:cs="Arial" w:eastAsia="Arial" w:hAnsi="Arial"/>
                <w:sz w:val="18"/>
                <w:szCs w:val="18"/>
                <w:color w:val="auto"/>
              </w:rPr>
              <w:t>Fixed assets</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45,076</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w:t>
            </w:r>
          </w:p>
        </w:tc>
        <w:tc>
          <w:tcPr>
            <w:tcW w:w="2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4,550</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ind w:left="180"/>
              <w:spacing w:after="0"/>
              <w:rPr>
                <w:sz w:val="20"/>
                <w:szCs w:val="20"/>
                <w:color w:val="auto"/>
              </w:rPr>
            </w:pPr>
            <w:r>
              <w:rPr>
                <w:rFonts w:ascii="Arial" w:cs="Arial" w:eastAsia="Arial" w:hAnsi="Arial"/>
                <w:sz w:val="18"/>
                <w:szCs w:val="18"/>
                <w:color w:val="auto"/>
              </w:rPr>
              <w:t>Other assets</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4,864</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Severance pay fund</w:t>
            </w:r>
          </w:p>
        </w:tc>
        <w:tc>
          <w:tcPr>
            <w:tcW w:w="2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13,301</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ind w:left="180"/>
              <w:spacing w:after="0"/>
              <w:rPr>
                <w:sz w:val="20"/>
                <w:szCs w:val="20"/>
                <w:color w:val="auto"/>
              </w:rPr>
            </w:pPr>
            <w:r>
              <w:rPr>
                <w:rFonts w:ascii="Arial" w:cs="Arial" w:eastAsia="Arial" w:hAnsi="Arial"/>
                <w:sz w:val="18"/>
                <w:szCs w:val="18"/>
                <w:color w:val="auto"/>
              </w:rPr>
              <w:t>Long-term deferred tax asset</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813</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2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(6,577)</w:t>
            </w: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ind w:left="180"/>
              <w:spacing w:after="0"/>
              <w:rPr>
                <w:sz w:val="20"/>
                <w:szCs w:val="20"/>
                <w:color w:val="auto"/>
              </w:rPr>
            </w:pPr>
            <w:r>
              <w:rPr>
                <w:rFonts w:ascii="Arial" w:cs="Arial" w:eastAsia="Arial" w:hAnsi="Arial"/>
                <w:sz w:val="18"/>
                <w:szCs w:val="18"/>
                <w:color w:val="auto"/>
              </w:rPr>
              <w:t>Accrued compensation</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(12,236)</w:t>
            </w: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supply agreement</w:t>
            </w:r>
          </w:p>
        </w:tc>
        <w:tc>
          <w:tcPr>
            <w:tcW w:w="2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5"/>
              </w:rPr>
              <w:t>(219,000)</w:t>
            </w: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ind w:left="180"/>
              <w:spacing w:after="0"/>
              <w:rPr>
                <w:sz w:val="20"/>
                <w:szCs w:val="20"/>
                <w:color w:val="auto"/>
              </w:rPr>
            </w:pPr>
            <w:r>
              <w:rPr>
                <w:rFonts w:ascii="Arial" w:cs="Arial" w:eastAsia="Arial" w:hAnsi="Arial"/>
                <w:sz w:val="18"/>
                <w:szCs w:val="18"/>
                <w:color w:val="auto"/>
              </w:rPr>
              <w:t>Long-term liabilities</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(14,831)</w:t>
            </w: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80" w:type="dxa"/>
            <w:vAlign w:val="bottom"/>
          </w:tcPr>
          <w:p>
            <w:pPr>
              <w:spacing w:after="0"/>
              <w:rPr>
                <w:sz w:val="18"/>
                <w:szCs w:val="18"/>
                <w:color w:val="auto"/>
              </w:rPr>
            </w:pPr>
          </w:p>
        </w:tc>
        <w:tc>
          <w:tcPr>
            <w:tcW w:w="3660" w:type="dxa"/>
            <w:vAlign w:val="bottom"/>
            <w:tcBorders>
              <w:top w:val="single" w:sz="8" w:color="CCEEFF"/>
            </w:tcBorders>
            <w:shd w:val="clear" w:color="auto" w:fill="CCEEFF"/>
          </w:tcPr>
          <w:p>
            <w:pPr>
              <w:spacing w:after="0"/>
              <w:rPr>
                <w:sz w:val="18"/>
                <w:szCs w:val="18"/>
                <w:color w:val="auto"/>
              </w:rPr>
            </w:pPr>
          </w:p>
        </w:tc>
        <w:tc>
          <w:tcPr>
            <w:tcW w:w="26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(180,193)</w:t>
            </w:r>
          </w:p>
        </w:tc>
        <w:tc>
          <w:tcPr>
            <w:tcW w:w="80" w:type="dxa"/>
            <w:vAlign w:val="bottom"/>
            <w:tcBorders>
              <w:top w:val="single" w:sz="8" w:color="CCEEFF"/>
            </w:tcBorders>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2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190,700</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136,300</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2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59,900</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77,800</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80" w:type="dxa"/>
            <w:vAlign w:val="bottom"/>
          </w:tcPr>
          <w:p>
            <w:pPr>
              <w:spacing w:after="0"/>
              <w:rPr>
                <w:sz w:val="18"/>
                <w:szCs w:val="18"/>
                <w:color w:val="auto"/>
              </w:rPr>
            </w:pPr>
          </w:p>
        </w:tc>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6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321,350</w:t>
            </w:r>
          </w:p>
        </w:tc>
        <w:tc>
          <w:tcPr>
            <w:tcW w:w="80" w:type="dxa"/>
            <w:vAlign w:val="bottom"/>
            <w:shd w:val="clear" w:color="auto" w:fill="CCEEFF"/>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80" w:type="dxa"/>
            <w:vAlign w:val="bottom"/>
          </w:tcPr>
          <w:p>
            <w:pPr>
              <w:spacing w:after="0"/>
              <w:rPr>
                <w:sz w:val="18"/>
                <w:szCs w:val="18"/>
                <w:color w:val="auto"/>
              </w:rPr>
            </w:pPr>
          </w:p>
        </w:tc>
        <w:tc>
          <w:tcPr>
            <w:tcW w:w="3660" w:type="dxa"/>
            <w:vAlign w:val="bottom"/>
          </w:tcPr>
          <w:p>
            <w:pPr>
              <w:ind w:left="360"/>
              <w:spacing w:after="0"/>
              <w:rPr>
                <w:sz w:val="20"/>
                <w:szCs w:val="20"/>
                <w:color w:val="auto"/>
              </w:rPr>
            </w:pPr>
            <w:r>
              <w:rPr>
                <w:rFonts w:ascii="Arial" w:cs="Arial" w:eastAsia="Arial" w:hAnsi="Arial"/>
                <w:sz w:val="18"/>
                <w:szCs w:val="18"/>
                <w:color w:val="auto"/>
              </w:rPr>
              <w:t>Total purchase price allocation</w:t>
            </w:r>
          </w:p>
        </w:tc>
        <w:tc>
          <w:tcPr>
            <w:tcW w:w="2640" w:type="dxa"/>
            <w:vAlign w:val="bottom"/>
          </w:tcPr>
          <w:p>
            <w:pPr>
              <w:spacing w:after="0"/>
              <w:rPr>
                <w:sz w:val="18"/>
                <w:szCs w:val="18"/>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605,857</w:t>
            </w:r>
          </w:p>
        </w:tc>
        <w:tc>
          <w:tcPr>
            <w:tcW w:w="80" w:type="dxa"/>
            <w:vAlign w:val="bottom"/>
          </w:tcPr>
          <w:p>
            <w:pPr>
              <w:spacing w:after="0"/>
              <w:rPr>
                <w:sz w:val="18"/>
                <w:szCs w:val="18"/>
                <w:color w:val="auto"/>
              </w:rPr>
            </w:pPr>
          </w:p>
        </w:tc>
        <w:tc>
          <w:tcPr>
            <w:tcW w:w="3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8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2640" w:type="dxa"/>
            <w:vAlign w:val="bottom"/>
            <w:vMerge w:val="restart"/>
          </w:tcPr>
          <w:p>
            <w:pPr>
              <w:jc w:val="right"/>
              <w:ind w:right="1390"/>
              <w:spacing w:after="0"/>
              <w:rPr>
                <w:sz w:val="20"/>
                <w:szCs w:val="20"/>
                <w:color w:val="auto"/>
              </w:rPr>
            </w:pPr>
            <w:r>
              <w:rPr>
                <w:rFonts w:ascii="Arial" w:cs="Arial" w:eastAsia="Arial" w:hAnsi="Arial"/>
                <w:sz w:val="18"/>
                <w:szCs w:val="18"/>
                <w:color w:val="auto"/>
              </w:rPr>
              <w:t>16</w:t>
            </w:r>
          </w:p>
        </w:tc>
        <w:tc>
          <w:tcPr>
            <w:tcW w:w="1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98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264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980" w:type="dxa"/>
            <w:vAlign w:val="bottom"/>
            <w:tcBorders>
              <w:bottom w:val="single" w:sz="8" w:color="010101"/>
            </w:tcBorders>
          </w:tcPr>
          <w:p>
            <w:pPr>
              <w:spacing w:after="0"/>
              <w:rPr>
                <w:sz w:val="24"/>
                <w:szCs w:val="24"/>
                <w:color w:val="auto"/>
              </w:rPr>
            </w:pPr>
          </w:p>
        </w:tc>
        <w:tc>
          <w:tcPr>
            <w:tcW w:w="3660" w:type="dxa"/>
            <w:vAlign w:val="bottom"/>
            <w:tcBorders>
              <w:bottom w:val="single" w:sz="8" w:color="010101"/>
            </w:tcBorders>
          </w:tcPr>
          <w:p>
            <w:pPr>
              <w:spacing w:after="0"/>
              <w:rPr>
                <w:sz w:val="24"/>
                <w:szCs w:val="24"/>
                <w:color w:val="auto"/>
              </w:rPr>
            </w:pPr>
          </w:p>
        </w:tc>
        <w:tc>
          <w:tcPr>
            <w:tcW w:w="264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70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326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27" w:lineRule="exact"/>
        <w:rPr>
          <w:sz w:val="20"/>
          <w:szCs w:val="20"/>
          <w:color w:val="auto"/>
        </w:rPr>
      </w:pPr>
    </w:p>
    <w:p>
      <w:pPr>
        <w:ind w:right="120" w:firstLine="324"/>
        <w:spacing w:after="0" w:line="291" w:lineRule="auto"/>
        <w:rPr>
          <w:sz w:val="20"/>
          <w:szCs w:val="20"/>
          <w:color w:val="auto"/>
        </w:rPr>
      </w:pPr>
      <w:r>
        <w:rPr>
          <w:rFonts w:ascii="Arial" w:cs="Arial" w:eastAsia="Arial" w:hAnsi="Arial"/>
          <w:sz w:val="16"/>
          <w:szCs w:val="16"/>
          <w:color w:val="auto"/>
        </w:rPr>
        <w:t>The amortizable intangible assets of $386.9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one to seven years. The existing technology comprises of products which have reached technological feasibility and includes the chipsets which have been completed and shipping in volume to customers. Core technology and patents represent a combination of processes, patents and trade secrets developed though years of experience in design and development of the products. Customer relationships represent future projected revenue that will be derived from sales of future versions of existing products that will be sold to existing customers. The Company has not provided a deferred tax liability on $386.9 million of purchased intangibles during the year as the intangibles are recorded in jurisdictions with a zero tax rate.</w:t>
      </w:r>
    </w:p>
    <w:p>
      <w:pPr>
        <w:spacing w:after="0" w:line="167" w:lineRule="exact"/>
        <w:rPr>
          <w:sz w:val="20"/>
          <w:szCs w:val="20"/>
          <w:color w:val="auto"/>
        </w:rPr>
      </w:pPr>
    </w:p>
    <w:p>
      <w:pPr>
        <w:ind w:right="120" w:firstLine="324"/>
        <w:spacing w:after="0" w:line="287" w:lineRule="auto"/>
        <w:rPr>
          <w:sz w:val="20"/>
          <w:szCs w:val="20"/>
          <w:color w:val="auto"/>
        </w:rPr>
      </w:pPr>
      <w:r>
        <w:rPr>
          <w:rFonts w:ascii="Arial" w:cs="Arial" w:eastAsia="Arial" w:hAnsi="Arial"/>
          <w:sz w:val="16"/>
          <w:szCs w:val="16"/>
          <w:color w:val="auto"/>
        </w:rPr>
        <w:t>Of the total purchase price, $77.8 million was allocated to in-process research and development (“IPRD”) based upon the fair values of assets acquired and was charged to expense in the fourth quarter of fiscal 2007. The ICAP Business was developing new products that had not reached technological feasibility and which had no alternative use and therefore was immediately written-off. The projects in process consisted of the development of new features and functionalities for sophisticated processors necessary to address customer needs, drive market acceptance and fuel the overall revenue growth profile of the acquired products.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ranging from 24.0% to 27.0% were used for IPRD. At the time of the acquisition, there were three significant projects in progress that were approximately 56.0% complete with aggregate costs to complete of $31.0 million. The projects are expected to be completed during fiscal 2008.</w:t>
      </w:r>
    </w:p>
    <w:p>
      <w:pPr>
        <w:spacing w:after="0" w:line="173" w:lineRule="exact"/>
        <w:rPr>
          <w:sz w:val="20"/>
          <w:szCs w:val="20"/>
          <w:color w:val="auto"/>
        </w:rPr>
      </w:pPr>
    </w:p>
    <w:p>
      <w:pPr>
        <w:jc w:val="both"/>
        <w:ind w:right="420" w:firstLine="324"/>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81" w:lineRule="exact"/>
        <w:rPr>
          <w:sz w:val="20"/>
          <w:szCs w:val="20"/>
          <w:color w:val="auto"/>
        </w:rPr>
      </w:pPr>
    </w:p>
    <w:p>
      <w:pPr>
        <w:ind w:right="32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ICAP Business are 4.2 years for existing technology, 7.0 years for core technology and 7.0 years for customer relationships.</w:t>
      </w:r>
    </w:p>
    <w:p>
      <w:pPr>
        <w:spacing w:after="0" w:line="170"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The results of operations of the Avago Business and the ICAP Business have been included in the Company’s consolidated statements of operations since their respective acquisition dates. The following unaudited pro forma information presents a summary of the results of operations of the Company assuming the acquisition of these business occurred at the beginning of the period presented (in thousands, except for per share amounts):</w:t>
      </w:r>
    </w:p>
    <w:p>
      <w:pPr>
        <w:spacing w:after="0" w:line="108"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3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1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3"/>
              </w:rPr>
              <w:t>Three Months</w:t>
            </w:r>
          </w:p>
        </w:tc>
      </w:tr>
      <w:tr>
        <w:trPr>
          <w:trHeight w:val="162"/>
        </w:trPr>
        <w:tc>
          <w:tcPr>
            <w:tcW w:w="3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Ended</w:t>
            </w:r>
          </w:p>
        </w:tc>
      </w:tr>
      <w:tr>
        <w:trPr>
          <w:trHeight w:val="129"/>
        </w:trPr>
        <w:tc>
          <w:tcPr>
            <w:tcW w:w="3480" w:type="dxa"/>
            <w:vAlign w:val="bottom"/>
            <w:tcBorders>
              <w:bottom w:val="single" w:sz="8" w:color="CCEEFF"/>
            </w:tcBorders>
          </w:tcPr>
          <w:p>
            <w:pPr>
              <w:spacing w:after="0"/>
              <w:rPr>
                <w:sz w:val="11"/>
                <w:szCs w:val="11"/>
                <w:color w:val="auto"/>
              </w:rPr>
            </w:pPr>
          </w:p>
        </w:tc>
        <w:tc>
          <w:tcPr>
            <w:tcW w:w="1660" w:type="dxa"/>
            <w:vAlign w:val="bottom"/>
            <w:tcBorders>
              <w:bottom w:val="single" w:sz="8" w:color="CCEEFF"/>
            </w:tcBorders>
          </w:tcPr>
          <w:p>
            <w:pPr>
              <w:spacing w:after="0"/>
              <w:rPr>
                <w:sz w:val="11"/>
                <w:szCs w:val="11"/>
                <w:color w:val="auto"/>
              </w:rPr>
            </w:pPr>
          </w:p>
        </w:tc>
        <w:tc>
          <w:tcPr>
            <w:tcW w:w="1000" w:type="dxa"/>
            <w:vAlign w:val="bottom"/>
            <w:tcBorders>
              <w:top w:val="single" w:sz="8" w:color="auto"/>
              <w:bottom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5"/>
              </w:rPr>
              <w:t>April 29, 2006</w:t>
            </w:r>
          </w:p>
        </w:tc>
        <w:tc>
          <w:tcPr>
            <w:tcW w:w="100" w:type="dxa"/>
            <w:vAlign w:val="bottom"/>
            <w:tcBorders>
              <w:bottom w:val="single" w:sz="8" w:color="CCEEFF"/>
            </w:tcBorders>
          </w:tcPr>
          <w:p>
            <w:pPr>
              <w:spacing w:after="0"/>
              <w:rPr>
                <w:sz w:val="11"/>
                <w:szCs w:val="11"/>
                <w:color w:val="auto"/>
              </w:rPr>
            </w:pPr>
          </w:p>
        </w:tc>
      </w:tr>
      <w:tr>
        <w:trPr>
          <w:trHeight w:val="210"/>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6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670,452</w:t>
            </w:r>
          </w:p>
        </w:tc>
        <w:tc>
          <w:tcPr>
            <w:tcW w:w="100" w:type="dxa"/>
            <w:vAlign w:val="bottom"/>
            <w:shd w:val="clear" w:color="auto" w:fill="CCEEFF"/>
          </w:tcPr>
          <w:p>
            <w:pPr>
              <w:spacing w:after="0"/>
              <w:rPr>
                <w:sz w:val="18"/>
                <w:szCs w:val="18"/>
                <w:color w:val="auto"/>
              </w:rPr>
            </w:pPr>
          </w:p>
        </w:tc>
      </w:tr>
      <w:tr>
        <w:trPr>
          <w:trHeight w:val="216"/>
        </w:trPr>
        <w:tc>
          <w:tcPr>
            <w:tcW w:w="3480" w:type="dxa"/>
            <w:vAlign w:val="bottom"/>
          </w:tcPr>
          <w:p>
            <w:pPr>
              <w:spacing w:after="0"/>
              <w:rPr>
                <w:sz w:val="20"/>
                <w:szCs w:val="20"/>
                <w:color w:val="auto"/>
              </w:rPr>
            </w:pPr>
            <w:r>
              <w:rPr>
                <w:rFonts w:ascii="Arial" w:cs="Arial" w:eastAsia="Arial" w:hAnsi="Arial"/>
                <w:sz w:val="18"/>
                <w:szCs w:val="18"/>
                <w:color w:val="auto"/>
              </w:rPr>
              <w:t>Net loss</w:t>
            </w:r>
          </w:p>
        </w:tc>
        <w:tc>
          <w:tcPr>
            <w:tcW w:w="1840" w:type="dxa"/>
            <w:vAlign w:val="bottom"/>
            <w:gridSpan w:val="2"/>
          </w:tcPr>
          <w:p>
            <w:pPr>
              <w:jc w:val="right"/>
              <w:ind w:right="27"/>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(76,128)</w:t>
            </w:r>
          </w:p>
        </w:tc>
      </w:tr>
      <w:tr>
        <w:trPr>
          <w:trHeight w:val="216"/>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Basic net loss per share</w:t>
            </w:r>
          </w:p>
        </w:tc>
        <w:tc>
          <w:tcPr>
            <w:tcW w:w="184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(0.13)</w:t>
            </w:r>
          </w:p>
        </w:tc>
      </w:tr>
      <w:tr>
        <w:trPr>
          <w:trHeight w:val="230"/>
        </w:trPr>
        <w:tc>
          <w:tcPr>
            <w:tcW w:w="348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1840" w:type="dxa"/>
            <w:vAlign w:val="bottom"/>
            <w:gridSpan w:val="2"/>
          </w:tcPr>
          <w:p>
            <w:pPr>
              <w:jc w:val="right"/>
              <w:ind w:right="27"/>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(0.13)</w:t>
            </w:r>
          </w:p>
        </w:tc>
      </w:tr>
    </w:tbl>
    <w:p>
      <w:pPr>
        <w:spacing w:after="0" w:line="241"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Other acquisitions</w:t>
      </w:r>
    </w:p>
    <w:p>
      <w:pPr>
        <w:spacing w:after="0" w:line="225" w:lineRule="exact"/>
        <w:rPr>
          <w:sz w:val="20"/>
          <w:szCs w:val="20"/>
          <w:color w:val="auto"/>
        </w:rPr>
      </w:pPr>
    </w:p>
    <w:p>
      <w:pPr>
        <w:jc w:val="center"/>
        <w:ind w:right="80"/>
        <w:spacing w:after="0"/>
        <w:rPr>
          <w:sz w:val="20"/>
          <w:szCs w:val="20"/>
          <w:color w:val="auto"/>
        </w:rPr>
      </w:pPr>
      <w:r>
        <w:rPr>
          <w:rFonts w:ascii="Arial" w:cs="Arial" w:eastAsia="Arial" w:hAnsi="Arial"/>
          <w:sz w:val="17"/>
          <w:szCs w:val="17"/>
          <w:color w:val="auto"/>
        </w:rPr>
        <w:t>During fiscal 2007, the Company completed the acquisition of the assets of two other businesses from unrelated parties with purchase prices totaling</w:t>
      </w:r>
    </w:p>
    <w:p>
      <w:pPr>
        <w:spacing w:after="0" w:line="35"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color w:val="auto"/>
        </w:rPr>
        <w:t>$16.7 million. Under the purchase method of accounting, the total purchase price was allocated to net tangible and intangible assets based on their fair values as of the date of the completion of the respective acquisitions. The Company</w:t>
      </w:r>
    </w:p>
    <w:p>
      <w:pPr>
        <w:sectPr>
          <w:pgSz w:w="11900" w:h="16838" w:orient="portrait"/>
          <w:cols w:equalWidth="0" w:num="1">
            <w:col w:w="11460"/>
          </w:cols>
          <w:pgMar w:left="240" w:top="140" w:right="199" w:bottom="771" w:gutter="0" w:footer="0" w:header="0"/>
        </w:sectPr>
      </w:pPr>
    </w:p>
    <w:p>
      <w:pPr>
        <w:spacing w:after="0" w:line="400" w:lineRule="exact"/>
        <w:rPr>
          <w:sz w:val="20"/>
          <w:szCs w:val="20"/>
          <w:color w:val="auto"/>
        </w:rPr>
      </w:pPr>
    </w:p>
    <w:p>
      <w:pPr>
        <w:jc w:val="center"/>
        <w:ind w:right="40"/>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40" w:right="199" w:bottom="771" w:gutter="0" w:footer="0" w:header="0"/>
          <w:type w:val="continuous"/>
        </w:sectPr>
      </w:pPr>
    </w:p>
    <w:bookmarkStart w:id="12" w:name="page13"/>
    <w:bookmarkEnd w:id="12"/>
    <w:p>
      <w:pPr>
        <w:ind w:right="40"/>
        <w:spacing w:after="0" w:line="277" w:lineRule="auto"/>
        <w:rPr>
          <w:sz w:val="20"/>
          <w:szCs w:val="20"/>
          <w:color w:val="auto"/>
        </w:rPr>
      </w:pPr>
      <w:r>
        <w:rPr>
          <w:rFonts w:ascii="Arial" w:cs="Arial" w:eastAsia="Arial" w:hAnsi="Arial"/>
          <w:sz w:val="18"/>
          <w:szCs w:val="18"/>
          <w:color w:val="auto"/>
        </w:rPr>
        <w:t>recorded acquired net tangible assets of $0.4 million, deferred tax liability of $3.0 million, amortizable intangible assets of $10.1 million and goodwill of $9.2 million. The intangible assets are being amortized over their useful lives ranging from one to eight years.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Goodwill and Acquired Intangible Assets</w:t>
      </w:r>
    </w:p>
    <w:p>
      <w:pPr>
        <w:spacing w:after="0" w:line="207" w:lineRule="exact"/>
        <w:rPr>
          <w:sz w:val="20"/>
          <w:szCs w:val="20"/>
          <w:color w:val="auto"/>
        </w:rPr>
      </w:pPr>
    </w:p>
    <w:tbl>
      <w:tblPr>
        <w:tblLayout w:type="fixed"/>
        <w:tblInd w:w="980" w:type="dxa"/>
        <w:tblCellMar>
          <w:top w:w="0" w:type="dxa"/>
          <w:left w:w="0" w:type="dxa"/>
          <w:bottom w:w="0" w:type="dxa"/>
          <w:right w:w="0" w:type="dxa"/>
        </w:tblCellMar>
      </w:tblPr>
      <w:tr>
        <w:trPr>
          <w:trHeight w:val="171"/>
        </w:trPr>
        <w:tc>
          <w:tcPr>
            <w:tcW w:w="1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7"/>
          </w:tcPr>
          <w:p>
            <w:pPr>
              <w:jc w:val="right"/>
              <w:ind w:right="100"/>
              <w:spacing w:after="0"/>
              <w:rPr>
                <w:sz w:val="20"/>
                <w:szCs w:val="20"/>
                <w:color w:val="auto"/>
              </w:rPr>
            </w:pPr>
            <w:r>
              <w:rPr>
                <w:rFonts w:ascii="Arial" w:cs="Arial" w:eastAsia="Arial" w:hAnsi="Arial"/>
                <w:sz w:val="14"/>
                <w:szCs w:val="14"/>
                <w:b w:val="1"/>
                <w:bCs w:val="1"/>
                <w:color w:val="auto"/>
              </w:rPr>
              <w:t>As of April 28, 2007</w:t>
            </w:r>
          </w:p>
        </w:tc>
        <w:tc>
          <w:tcPr>
            <w:tcW w:w="7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As of January 27, 2007</w:t>
            </w:r>
          </w:p>
        </w:tc>
        <w:tc>
          <w:tcPr>
            <w:tcW w:w="7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5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Pr>
          <w:p>
            <w:pPr>
              <w:jc w:val="center"/>
              <w:ind w:right="59"/>
              <w:spacing w:after="0" w:line="102" w:lineRule="exact"/>
              <w:rPr>
                <w:sz w:val="20"/>
                <w:szCs w:val="20"/>
                <w:color w:val="auto"/>
              </w:rPr>
            </w:pPr>
            <w:r>
              <w:rPr>
                <w:rFonts w:ascii="Arial" w:cs="Arial" w:eastAsia="Arial" w:hAnsi="Arial"/>
                <w:sz w:val="11"/>
                <w:szCs w:val="11"/>
                <w:b w:val="1"/>
                <w:bCs w:val="1"/>
                <w:color w:val="auto"/>
              </w:rPr>
              <w:t>Gross</w:t>
            </w:r>
          </w:p>
        </w:tc>
        <w:tc>
          <w:tcPr>
            <w:tcW w:w="160" w:type="dxa"/>
            <w:vAlign w:val="bottom"/>
          </w:tcPr>
          <w:p>
            <w:pPr>
              <w:spacing w:after="0"/>
              <w:rPr>
                <w:sz w:val="8"/>
                <w:szCs w:val="8"/>
                <w:color w:val="auto"/>
              </w:rPr>
            </w:pPr>
          </w:p>
        </w:tc>
        <w:tc>
          <w:tcPr>
            <w:tcW w:w="9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Accumulated</w:t>
            </w: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tcPr>
          <w:p>
            <w:pPr>
              <w:jc w:val="center"/>
              <w:ind w:right="38"/>
              <w:spacing w:after="0" w:line="102" w:lineRule="exact"/>
              <w:rPr>
                <w:sz w:val="20"/>
                <w:szCs w:val="20"/>
                <w:color w:val="auto"/>
              </w:rPr>
            </w:pPr>
            <w:r>
              <w:rPr>
                <w:rFonts w:ascii="Arial" w:cs="Arial" w:eastAsia="Arial" w:hAnsi="Arial"/>
                <w:sz w:val="11"/>
                <w:szCs w:val="11"/>
                <w:b w:val="1"/>
                <w:bCs w:val="1"/>
                <w:color w:val="auto"/>
              </w:rPr>
              <w:t>Net</w:t>
            </w: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gridSpan w:val="2"/>
          </w:tcPr>
          <w:p>
            <w:pPr>
              <w:jc w:val="center"/>
              <w:ind w:right="280"/>
              <w:spacing w:after="0" w:line="102" w:lineRule="exact"/>
              <w:rPr>
                <w:sz w:val="20"/>
                <w:szCs w:val="20"/>
                <w:color w:val="auto"/>
              </w:rPr>
            </w:pPr>
            <w:r>
              <w:rPr>
                <w:rFonts w:ascii="Arial" w:cs="Arial" w:eastAsia="Arial" w:hAnsi="Arial"/>
                <w:sz w:val="11"/>
                <w:szCs w:val="11"/>
                <w:b w:val="1"/>
                <w:bCs w:val="1"/>
                <w:color w:val="auto"/>
              </w:rPr>
              <w:t>Gross</w:t>
            </w:r>
          </w:p>
        </w:tc>
        <w:tc>
          <w:tcPr>
            <w:tcW w:w="1040" w:type="dxa"/>
            <w:vAlign w:val="bottom"/>
            <w:gridSpan w:val="3"/>
            <w:vMerge w:val="restart"/>
          </w:tcPr>
          <w:p>
            <w:pPr>
              <w:jc w:val="right"/>
              <w:ind w:right="200"/>
              <w:spacing w:after="0"/>
              <w:rPr>
                <w:sz w:val="20"/>
                <w:szCs w:val="20"/>
                <w:color w:val="auto"/>
              </w:rPr>
            </w:pPr>
            <w:r>
              <w:rPr>
                <w:rFonts w:ascii="Arial" w:cs="Arial" w:eastAsia="Arial" w:hAnsi="Arial"/>
                <w:sz w:val="14"/>
                <w:szCs w:val="14"/>
                <w:b w:val="1"/>
                <w:bCs w:val="1"/>
                <w:color w:val="auto"/>
                <w:w w:val="93"/>
              </w:rPr>
              <w:t>Accumulated</w:t>
            </w:r>
          </w:p>
        </w:tc>
        <w:tc>
          <w:tcPr>
            <w:tcW w:w="140" w:type="dxa"/>
            <w:vAlign w:val="bottom"/>
          </w:tcPr>
          <w:p>
            <w:pPr>
              <w:spacing w:after="0"/>
              <w:rPr>
                <w:sz w:val="8"/>
                <w:szCs w:val="8"/>
                <w:color w:val="auto"/>
              </w:rPr>
            </w:pPr>
          </w:p>
        </w:tc>
        <w:tc>
          <w:tcPr>
            <w:tcW w:w="760" w:type="dxa"/>
            <w:vAlign w:val="bottom"/>
          </w:tcPr>
          <w:p>
            <w:pPr>
              <w:jc w:val="center"/>
              <w:ind w:right="58"/>
              <w:spacing w:after="0" w:line="102" w:lineRule="exact"/>
              <w:rPr>
                <w:sz w:val="20"/>
                <w:szCs w:val="20"/>
                <w:color w:val="auto"/>
              </w:rPr>
            </w:pPr>
            <w:r>
              <w:rPr>
                <w:rFonts w:ascii="Arial" w:cs="Arial" w:eastAsia="Arial" w:hAnsi="Arial"/>
                <w:sz w:val="11"/>
                <w:szCs w:val="11"/>
                <w:b w:val="1"/>
                <w:bCs w:val="1"/>
                <w:color w:val="auto"/>
              </w:rPr>
              <w:t>Net</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1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jc w:val="center"/>
              <w:ind w:right="39"/>
              <w:spacing w:after="0" w:line="135" w:lineRule="exact"/>
              <w:rPr>
                <w:sz w:val="20"/>
                <w:szCs w:val="20"/>
                <w:color w:val="auto"/>
              </w:rPr>
            </w:pPr>
            <w:r>
              <w:rPr>
                <w:rFonts w:ascii="Arial" w:cs="Arial" w:eastAsia="Arial" w:hAnsi="Arial"/>
                <w:sz w:val="14"/>
                <w:szCs w:val="14"/>
                <w:b w:val="1"/>
                <w:bCs w:val="1"/>
                <w:color w:val="auto"/>
              </w:rPr>
              <w:t>Carrying</w:t>
            </w:r>
          </w:p>
        </w:tc>
        <w:tc>
          <w:tcPr>
            <w:tcW w:w="16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jc w:val="center"/>
              <w:ind w:right="38"/>
              <w:spacing w:after="0" w:line="135" w:lineRule="exact"/>
              <w:rPr>
                <w:sz w:val="20"/>
                <w:szCs w:val="20"/>
                <w:color w:val="auto"/>
              </w:rPr>
            </w:pPr>
            <w:r>
              <w:rPr>
                <w:rFonts w:ascii="Arial" w:cs="Arial" w:eastAsia="Arial" w:hAnsi="Arial"/>
                <w:sz w:val="14"/>
                <w:szCs w:val="14"/>
                <w:b w:val="1"/>
                <w:bCs w:val="1"/>
                <w:color w:val="auto"/>
                <w:w w:val="97"/>
              </w:rPr>
              <w:t>Carrying</w:t>
            </w: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rPr>
              <w:t>Carrying</w:t>
            </w:r>
          </w:p>
        </w:tc>
        <w:tc>
          <w:tcPr>
            <w:tcW w:w="104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8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rPr>
              <w:t>Carrying</w:t>
            </w:r>
          </w:p>
        </w:tc>
        <w:tc>
          <w:tcPr>
            <w:tcW w:w="0" w:type="dxa"/>
            <w:vAlign w:val="bottom"/>
          </w:tcPr>
          <w:p>
            <w:pPr>
              <w:spacing w:after="0"/>
              <w:rPr>
                <w:sz w:val="1"/>
                <w:szCs w:val="1"/>
                <w:color w:val="auto"/>
              </w:rPr>
            </w:pPr>
          </w:p>
        </w:tc>
      </w:tr>
      <w:tr>
        <w:trPr>
          <w:trHeight w:val="162"/>
        </w:trPr>
        <w:tc>
          <w:tcPr>
            <w:tcW w:w="1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jc w:val="center"/>
              <w:ind w:right="39"/>
              <w:spacing w:after="0"/>
              <w:rPr>
                <w:sz w:val="20"/>
                <w:szCs w:val="20"/>
                <w:color w:val="auto"/>
              </w:rPr>
            </w:pPr>
            <w:r>
              <w:rPr>
                <w:rFonts w:ascii="Arial" w:cs="Arial" w:eastAsia="Arial" w:hAnsi="Arial"/>
                <w:sz w:val="14"/>
                <w:szCs w:val="14"/>
                <w:b w:val="1"/>
                <w:bCs w:val="1"/>
                <w:color w:val="auto"/>
                <w:w w:val="94"/>
              </w:rPr>
              <w:t>Amount</w:t>
            </w:r>
          </w:p>
        </w:tc>
        <w:tc>
          <w:tcPr>
            <w:tcW w:w="160" w:type="dxa"/>
            <w:vAlign w:val="bottom"/>
          </w:tcPr>
          <w:p>
            <w:pPr>
              <w:spacing w:after="0"/>
              <w:rPr>
                <w:sz w:val="14"/>
                <w:szCs w:val="14"/>
                <w:color w:val="auto"/>
              </w:rPr>
            </w:pPr>
          </w:p>
        </w:tc>
        <w:tc>
          <w:tcPr>
            <w:tcW w:w="980" w:type="dxa"/>
            <w:vAlign w:val="bottom"/>
            <w:gridSpan w:val="3"/>
          </w:tcPr>
          <w:p>
            <w:pPr>
              <w:ind w:left="20"/>
              <w:spacing w:after="0"/>
              <w:rPr>
                <w:sz w:val="20"/>
                <w:szCs w:val="20"/>
                <w:color w:val="auto"/>
              </w:rPr>
            </w:pPr>
            <w:r>
              <w:rPr>
                <w:rFonts w:ascii="Arial" w:cs="Arial" w:eastAsia="Arial" w:hAnsi="Arial"/>
                <w:sz w:val="14"/>
                <w:szCs w:val="14"/>
                <w:b w:val="1"/>
                <w:bCs w:val="1"/>
                <w:color w:val="auto"/>
              </w:rPr>
              <w:t>Amortization</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jc w:val="center"/>
              <w:ind w:right="38"/>
              <w:spacing w:after="0"/>
              <w:rPr>
                <w:sz w:val="20"/>
                <w:szCs w:val="20"/>
                <w:color w:val="auto"/>
              </w:rPr>
            </w:pPr>
            <w:r>
              <w:rPr>
                <w:rFonts w:ascii="Arial" w:cs="Arial" w:eastAsia="Arial" w:hAnsi="Arial"/>
                <w:sz w:val="14"/>
                <w:szCs w:val="14"/>
                <w:b w:val="1"/>
                <w:bCs w:val="1"/>
                <w:color w:val="auto"/>
                <w:w w:val="98"/>
              </w:rPr>
              <w:t>Amount</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Amount</w:t>
            </w:r>
          </w:p>
        </w:tc>
        <w:tc>
          <w:tcPr>
            <w:tcW w:w="104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5"/>
              </w:rPr>
              <w:t>Amortization</w:t>
            </w:r>
          </w:p>
        </w:tc>
        <w:tc>
          <w:tcPr>
            <w:tcW w:w="140" w:type="dxa"/>
            <w:vAlign w:val="bottom"/>
          </w:tcPr>
          <w:p>
            <w:pPr>
              <w:spacing w:after="0"/>
              <w:rPr>
                <w:sz w:val="14"/>
                <w:szCs w:val="14"/>
                <w:color w:val="auto"/>
              </w:rPr>
            </w:pPr>
          </w:p>
        </w:tc>
        <w:tc>
          <w:tcPr>
            <w:tcW w:w="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182"/>
        </w:trPr>
        <w:tc>
          <w:tcPr>
            <w:tcW w:w="150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Purchased</w:t>
            </w:r>
          </w:p>
        </w:tc>
        <w:tc>
          <w:tcPr>
            <w:tcW w:w="1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technology</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703,398</w:t>
            </w:r>
          </w:p>
        </w:tc>
        <w:tc>
          <w:tcPr>
            <w:tcW w:w="32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(480,948)</w:t>
            </w:r>
          </w:p>
        </w:tc>
        <w:tc>
          <w:tcPr>
            <w:tcW w:w="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222,450</w:t>
            </w:r>
          </w:p>
        </w:tc>
        <w:tc>
          <w:tcPr>
            <w:tcW w:w="2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703,398</w:t>
            </w: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(462,403)</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240,995</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Core technology</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209,700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(33,155)</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176,545</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209,700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(23,508)</w:t>
            </w: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186,192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w w:val="94"/>
              </w:rPr>
              <w:t>Customer contracts</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183,000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(39,446)</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143,554</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183,000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(30,318)</w:t>
            </w:r>
          </w:p>
        </w:tc>
        <w:tc>
          <w:tcPr>
            <w:tcW w:w="14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152,682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0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(267)</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(211)</w:t>
            </w:r>
          </w:p>
        </w:tc>
        <w:tc>
          <w:tcPr>
            <w:tcW w:w="1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500" w:type="dxa"/>
            <w:vAlign w:val="bottom"/>
            <w:vMerge w:val="restart"/>
          </w:tcPr>
          <w:p>
            <w:pPr>
              <w:ind w:left="180"/>
              <w:spacing w:after="0" w:line="201" w:lineRule="exact"/>
              <w:rPr>
                <w:sz w:val="20"/>
                <w:szCs w:val="20"/>
                <w:color w:val="auto"/>
              </w:rPr>
            </w:pPr>
            <w:r>
              <w:rPr>
                <w:rFonts w:ascii="Arial" w:cs="Arial" w:eastAsia="Arial" w:hAnsi="Arial"/>
                <w:sz w:val="18"/>
                <w:szCs w:val="18"/>
                <w:color w:val="auto"/>
              </w:rPr>
              <w:t>Total intangible</w:t>
            </w:r>
          </w:p>
        </w:tc>
        <w:tc>
          <w:tcPr>
            <w:tcW w:w="1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1500" w:type="dxa"/>
            <w:vAlign w:val="bottom"/>
            <w:vMerge w:val="continue"/>
          </w:tcPr>
          <w:p>
            <w:pPr>
              <w:spacing w:after="0"/>
              <w:rPr>
                <w:sz w:val="15"/>
                <w:szCs w:val="15"/>
                <w:color w:val="auto"/>
              </w:rPr>
            </w:pPr>
          </w:p>
        </w:tc>
        <w:tc>
          <w:tcPr>
            <w:tcW w:w="120" w:type="dxa"/>
            <w:vAlign w:val="bottom"/>
            <w:vMerge w:val="restart"/>
          </w:tcPr>
          <w:p>
            <w:pPr>
              <w:spacing w:after="0"/>
              <w:rPr>
                <w:sz w:val="15"/>
                <w:szCs w:val="15"/>
                <w:color w:val="auto"/>
              </w:rPr>
            </w:pP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vMerge w:val="restart"/>
          </w:tcPr>
          <w:p>
            <w:pPr>
              <w:jc w:val="right"/>
              <w:spacing w:after="0"/>
              <w:rPr>
                <w:sz w:val="20"/>
                <w:szCs w:val="20"/>
                <w:color w:val="auto"/>
              </w:rPr>
            </w:pPr>
            <w:r>
              <w:rPr>
                <w:rFonts w:ascii="Arial" w:cs="Arial" w:eastAsia="Arial" w:hAnsi="Arial"/>
                <w:sz w:val="18"/>
                <w:szCs w:val="18"/>
                <w:color w:val="auto"/>
                <w:w w:val="89"/>
              </w:rPr>
              <w:t>1,097,098</w:t>
            </w:r>
          </w:p>
        </w:tc>
        <w:tc>
          <w:tcPr>
            <w:tcW w:w="160" w:type="dxa"/>
            <w:vAlign w:val="bottom"/>
            <w:vMerge w:val="restart"/>
          </w:tcPr>
          <w:p>
            <w:pPr>
              <w:spacing w:after="0"/>
              <w:rPr>
                <w:sz w:val="15"/>
                <w:szCs w:val="15"/>
                <w:color w:val="auto"/>
              </w:rPr>
            </w:pPr>
          </w:p>
        </w:tc>
        <w:tc>
          <w:tcPr>
            <w:tcW w:w="160" w:type="dxa"/>
            <w:vAlign w:val="bottom"/>
            <w:vMerge w:val="restart"/>
          </w:tcPr>
          <w:p>
            <w:pPr>
              <w:spacing w:after="0"/>
              <w:rPr>
                <w:sz w:val="20"/>
                <w:szCs w:val="20"/>
                <w:color w:val="auto"/>
              </w:rPr>
            </w:pPr>
            <w:r>
              <w:rPr>
                <w:rFonts w:ascii="Arial" w:cs="Arial" w:eastAsia="Arial" w:hAnsi="Arial"/>
                <w:sz w:val="18"/>
                <w:szCs w:val="18"/>
                <w:color w:val="auto"/>
              </w:rPr>
              <w:t>$</w:t>
            </w:r>
          </w:p>
        </w:tc>
        <w:tc>
          <w:tcPr>
            <w:tcW w:w="820" w:type="dxa"/>
            <w:vAlign w:val="bottom"/>
            <w:gridSpan w:val="2"/>
            <w:vMerge w:val="restart"/>
          </w:tcPr>
          <w:p>
            <w:pPr>
              <w:jc w:val="right"/>
              <w:ind w:right="40"/>
              <w:spacing w:after="0"/>
              <w:rPr>
                <w:sz w:val="20"/>
                <w:szCs w:val="20"/>
                <w:color w:val="auto"/>
              </w:rPr>
            </w:pPr>
            <w:r>
              <w:rPr>
                <w:rFonts w:ascii="Arial" w:cs="Arial" w:eastAsia="Arial" w:hAnsi="Arial"/>
                <w:sz w:val="18"/>
                <w:szCs w:val="18"/>
                <w:color w:val="auto"/>
                <w:w w:val="98"/>
              </w:rPr>
              <w:t>(553,916)</w:t>
            </w:r>
          </w:p>
        </w:tc>
        <w:tc>
          <w:tcPr>
            <w:tcW w:w="1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543,182</w:t>
            </w:r>
          </w:p>
        </w:tc>
        <w:tc>
          <w:tcPr>
            <w:tcW w:w="28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w w:val="89"/>
              </w:rPr>
              <w:t>1,097,098</w:t>
            </w:r>
          </w:p>
        </w:tc>
        <w:tc>
          <w:tcPr>
            <w:tcW w:w="160" w:type="dxa"/>
            <w:vAlign w:val="bottom"/>
          </w:tcPr>
          <w:p>
            <w:pPr>
              <w:spacing w:after="0"/>
              <w:rPr>
                <w:sz w:val="15"/>
                <w:szCs w:val="15"/>
                <w:color w:val="auto"/>
              </w:rPr>
            </w:pPr>
          </w:p>
        </w:tc>
        <w:tc>
          <w:tcPr>
            <w:tcW w:w="16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w w:val="98"/>
              </w:rPr>
              <w:t>(516,540)</w:t>
            </w: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580,558</w:t>
            </w: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1500" w:type="dxa"/>
            <w:vAlign w:val="bottom"/>
          </w:tcPr>
          <w:p>
            <w:pPr>
              <w:ind w:left="360"/>
              <w:spacing w:after="0"/>
              <w:rPr>
                <w:sz w:val="20"/>
                <w:szCs w:val="20"/>
                <w:color w:val="auto"/>
              </w:rPr>
            </w:pPr>
            <w:r>
              <w:rPr>
                <w:rFonts w:ascii="Arial" w:cs="Arial" w:eastAsia="Arial" w:hAnsi="Arial"/>
                <w:sz w:val="18"/>
                <w:szCs w:val="18"/>
                <w:color w:val="auto"/>
              </w:rPr>
              <w:t>assets</w:t>
            </w:r>
          </w:p>
        </w:tc>
        <w:tc>
          <w:tcPr>
            <w:tcW w:w="120" w:type="dxa"/>
            <w:vAlign w:val="bottom"/>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740" w:type="dxa"/>
            <w:vAlign w:val="bottom"/>
            <w:vMerge w:val="continue"/>
          </w:tcPr>
          <w:p>
            <w:pPr>
              <w:spacing w:after="0"/>
              <w:rPr>
                <w:sz w:val="18"/>
                <w:szCs w:val="18"/>
                <w:color w:val="auto"/>
              </w:rPr>
            </w:pPr>
          </w:p>
        </w:tc>
        <w:tc>
          <w:tcPr>
            <w:tcW w:w="160" w:type="dxa"/>
            <w:vAlign w:val="bottom"/>
            <w:vMerge w:val="continue"/>
          </w:tcPr>
          <w:p>
            <w:pPr>
              <w:spacing w:after="0"/>
              <w:rPr>
                <w:sz w:val="18"/>
                <w:szCs w:val="18"/>
                <w:color w:val="auto"/>
              </w:rPr>
            </w:pPr>
          </w:p>
        </w:tc>
        <w:tc>
          <w:tcPr>
            <w:tcW w:w="160" w:type="dxa"/>
            <w:vAlign w:val="bottom"/>
            <w:vMerge w:val="continue"/>
          </w:tcPr>
          <w:p>
            <w:pPr>
              <w:spacing w:after="0"/>
              <w:rPr>
                <w:sz w:val="18"/>
                <w:szCs w:val="18"/>
                <w:color w:val="auto"/>
              </w:rPr>
            </w:pPr>
          </w:p>
        </w:tc>
        <w:tc>
          <w:tcPr>
            <w:tcW w:w="820" w:type="dxa"/>
            <w:vAlign w:val="bottom"/>
            <w:gridSpan w:val="2"/>
            <w:vMerge w:val="continue"/>
          </w:tcPr>
          <w:p>
            <w:pPr>
              <w:spacing w:after="0"/>
              <w:rPr>
                <w:sz w:val="18"/>
                <w:szCs w:val="18"/>
                <w:color w:val="auto"/>
              </w:rPr>
            </w:pPr>
          </w:p>
        </w:tc>
        <w:tc>
          <w:tcPr>
            <w:tcW w:w="160" w:type="dxa"/>
            <w:vAlign w:val="bottom"/>
            <w:gridSpan w:val="2"/>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280" w:type="dxa"/>
            <w:vAlign w:val="bottom"/>
            <w:gridSpan w:val="2"/>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vMerge w:val="continue"/>
          </w:tcPr>
          <w:p>
            <w:pPr>
              <w:spacing w:after="0"/>
              <w:rPr>
                <w:sz w:val="18"/>
                <w:szCs w:val="18"/>
                <w:color w:val="auto"/>
              </w:rPr>
            </w:pPr>
          </w:p>
        </w:tc>
        <w:tc>
          <w:tcPr>
            <w:tcW w:w="880" w:type="dxa"/>
            <w:vAlign w:val="bottom"/>
            <w:gridSpan w:val="2"/>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760" w:type="dxa"/>
            <w:vAlign w:val="bottom"/>
            <w:vMerge w:val="continue"/>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5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540" w:firstLine="243"/>
        <w:spacing w:after="0" w:line="277" w:lineRule="auto"/>
        <w:rPr>
          <w:sz w:val="20"/>
          <w:szCs w:val="20"/>
          <w:color w:val="auto"/>
        </w:rPr>
      </w:pPr>
      <w:r>
        <w:rPr>
          <w:rFonts w:ascii="Arial" w:cs="Arial" w:eastAsia="Arial" w:hAnsi="Arial"/>
          <w:sz w:val="18"/>
          <w:szCs w:val="18"/>
          <w:color w:val="auto"/>
        </w:rPr>
        <w:t>The decrease in goodwill of $1.6 million during the three months ended April 28, 2007 was due primarily to an adjustment of $1.3 million from the acquisition of the Avago Business (see Note 4) and other adjustments.</w:t>
      </w:r>
    </w:p>
    <w:p>
      <w:pPr>
        <w:spacing w:after="0" w:line="170"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Purchased technology is amortized on a straight-line basis over their estimated useful lives of one to six years. Core technology is amortized on a straight-line basis over its estimated useful lives of one to eight years. Customer contracts and related relationships are amortized on a straight-line basis over their estimated useful lives of four to seven years. The supply contract is amortized on a straight-line basis over its estimated useful life of four years. The aggregate amortization expense of identified intangible assets was $37.4 million in the first quarter of fiscal 2008 and $17.4 million in the first quarter of fiscal 2007. The estimated total amortization expenses of acquired intangible assets are $111.0 million for the remaining nine months of fiscal 2008, $142.1 million in fiscal 2009, $115.0 million in fiscal 2010, $82.9 million in fiscal 2011, $40.8 million in fiscal 2012, $29.8 million in fiscal 2013, $21.4 million in fiscal 2014 and $0.2 million for fiscal 2015.</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Commitments and Contingencies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Warranty Obligations</w:t>
      </w:r>
    </w:p>
    <w:p>
      <w:pPr>
        <w:spacing w:after="0" w:line="229"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months ended April 28, 2007 and April 29, 2006 (in thousands):</w:t>
      </w:r>
    </w:p>
    <w:p>
      <w:pPr>
        <w:spacing w:after="0" w:line="149" w:lineRule="exact"/>
        <w:rPr>
          <w:sz w:val="20"/>
          <w:szCs w:val="20"/>
          <w:color w:val="auto"/>
        </w:rPr>
      </w:pPr>
    </w:p>
    <w:tbl>
      <w:tblPr>
        <w:tblLayout w:type="fixed"/>
        <w:tblInd w:w="980" w:type="dxa"/>
        <w:tblCellMar>
          <w:top w:w="0" w:type="dxa"/>
          <w:left w:w="0" w:type="dxa"/>
          <w:bottom w:w="0" w:type="dxa"/>
          <w:right w:w="0" w:type="dxa"/>
        </w:tblCellMar>
      </w:tblPr>
      <w:tr>
        <w:trPr>
          <w:trHeight w:val="171"/>
        </w:trPr>
        <w:tc>
          <w:tcPr>
            <w:tcW w:w="3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80" w:type="dxa"/>
            <w:vAlign w:val="bottom"/>
            <w:gridSpan w:val="5"/>
          </w:tcPr>
          <w:p>
            <w:pPr>
              <w:jc w:val="right"/>
              <w:ind w:right="40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368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4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April 28,</w:t>
            </w: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right"/>
              <w:ind w:right="79"/>
              <w:spacing w:after="0" w:line="102" w:lineRule="exact"/>
              <w:rPr>
                <w:sz w:val="20"/>
                <w:szCs w:val="20"/>
                <w:color w:val="auto"/>
              </w:rPr>
            </w:pPr>
            <w:r>
              <w:rPr>
                <w:rFonts w:ascii="Arial" w:cs="Arial" w:eastAsia="Arial" w:hAnsi="Arial"/>
                <w:sz w:val="11"/>
                <w:szCs w:val="11"/>
                <w:b w:val="1"/>
                <w:bCs w:val="1"/>
                <w:color w:val="auto"/>
              </w:rPr>
              <w:t>April 29,</w:t>
            </w:r>
          </w:p>
        </w:tc>
        <w:tc>
          <w:tcPr>
            <w:tcW w:w="100" w:type="dxa"/>
            <w:vAlign w:val="bottom"/>
          </w:tcPr>
          <w:p>
            <w:pPr>
              <w:spacing w:after="0"/>
              <w:rPr>
                <w:sz w:val="8"/>
                <w:szCs w:val="8"/>
                <w:color w:val="auto"/>
              </w:rPr>
            </w:pPr>
          </w:p>
        </w:tc>
      </w:tr>
      <w:tr>
        <w:trPr>
          <w:trHeight w:val="162"/>
        </w:trPr>
        <w:tc>
          <w:tcPr>
            <w:tcW w:w="36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00"/>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9"/>
              <w:spacing w:after="0"/>
              <w:rPr>
                <w:sz w:val="20"/>
                <w:szCs w:val="20"/>
                <w:color w:val="auto"/>
              </w:rPr>
            </w:pPr>
            <w:r>
              <w:rPr>
                <w:rFonts w:ascii="Arial" w:cs="Arial" w:eastAsia="Arial" w:hAnsi="Arial"/>
                <w:sz w:val="14"/>
                <w:szCs w:val="14"/>
                <w:b w:val="1"/>
                <w:bCs w:val="1"/>
                <w:color w:val="auto"/>
              </w:rPr>
              <w:t>2006</w:t>
            </w:r>
          </w:p>
        </w:tc>
        <w:tc>
          <w:tcPr>
            <w:tcW w:w="100" w:type="dxa"/>
            <w:vAlign w:val="bottom"/>
            <w:tcBorders>
              <w:bottom w:val="single" w:sz="8" w:color="CCEEFF"/>
            </w:tcBorders>
          </w:tcPr>
          <w:p>
            <w:pPr>
              <w:spacing w:after="0"/>
              <w:rPr>
                <w:sz w:val="14"/>
                <w:szCs w:val="14"/>
                <w:color w:val="auto"/>
              </w:rPr>
            </w:pPr>
          </w:p>
        </w:tc>
      </w:tr>
      <w:tr>
        <w:trPr>
          <w:trHeight w:val="182"/>
        </w:trPr>
        <w:tc>
          <w:tcPr>
            <w:tcW w:w="368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Warranty accrual (included in accrued</w:t>
            </w:r>
          </w:p>
        </w:tc>
        <w:tc>
          <w:tcPr>
            <w:tcW w:w="120" w:type="dxa"/>
            <w:vAlign w:val="bottom"/>
            <w:shd w:val="clear" w:color="auto" w:fill="CCEEFF"/>
          </w:tcPr>
          <w:p>
            <w:pPr>
              <w:spacing w:after="0"/>
              <w:rPr>
                <w:sz w:val="15"/>
                <w:szCs w:val="15"/>
                <w:color w:val="auto"/>
              </w:rPr>
            </w:pPr>
          </w:p>
        </w:tc>
        <w:tc>
          <w:tcPr>
            <w:tcW w:w="7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7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r>
      <w:tr>
        <w:trPr>
          <w:trHeight w:val="230"/>
        </w:trPr>
        <w:tc>
          <w:tcPr>
            <w:tcW w:w="36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liabilities):</w:t>
            </w: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r>
      <w:tr>
        <w:trPr>
          <w:trHeight w:val="216"/>
        </w:trPr>
        <w:tc>
          <w:tcPr>
            <w:tcW w:w="368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2,567</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3,914</w:t>
            </w:r>
          </w:p>
        </w:tc>
        <w:tc>
          <w:tcPr>
            <w:tcW w:w="100" w:type="dxa"/>
            <w:vAlign w:val="bottom"/>
          </w:tcPr>
          <w:p>
            <w:pPr>
              <w:spacing w:after="0"/>
              <w:rPr>
                <w:sz w:val="18"/>
                <w:szCs w:val="18"/>
                <w:color w:val="auto"/>
              </w:rPr>
            </w:pP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100" w:type="dxa"/>
            <w:vAlign w:val="bottom"/>
            <w:shd w:val="clear" w:color="auto" w:fill="CCEEFF"/>
          </w:tcPr>
          <w:p>
            <w:pPr>
              <w:spacing w:after="0"/>
              <w:rPr>
                <w:sz w:val="18"/>
                <w:szCs w:val="18"/>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12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(241)</w:t>
            </w:r>
          </w:p>
        </w:tc>
        <w:tc>
          <w:tcPr>
            <w:tcW w:w="12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(30)</w:t>
            </w:r>
          </w:p>
        </w:tc>
      </w:tr>
      <w:tr>
        <w:trPr>
          <w:trHeight w:val="210"/>
        </w:trPr>
        <w:tc>
          <w:tcPr>
            <w:tcW w:w="368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2,534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20" w:firstLine="243"/>
        <w:spacing w:after="0" w:line="272" w:lineRule="auto"/>
        <w:rPr>
          <w:sz w:val="20"/>
          <w:szCs w:val="20"/>
          <w:color w:val="auto"/>
        </w:rPr>
      </w:pPr>
      <w:r>
        <w:rPr>
          <w:rFonts w:ascii="Arial" w:cs="Arial" w:eastAsia="Arial" w:hAnsi="Arial"/>
          <w:sz w:val="17"/>
          <w:szCs w:val="17"/>
          <w:color w:val="auto"/>
        </w:rPr>
        <w:t>In connection with the acquisition of the ICAP Business, the Company entered into a product supply agreement with Intel. Under the terms of the agreement the Company has committed to purchase a minimum number of wafers through June 2008.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agreement requires the Company to prepay for certain wafers six months in advance of delivery and issue non cancellable purchase orders at least six months in advance of requested delivery dates for all purchases under the supply agreement. As of April 28, 2007, the Company recorded $65.5 million in prepaid assets for prepayment of wafers and had non cancellable purchase orders outstanding of $319.7 million.</w:t>
      </w:r>
    </w:p>
    <w:p>
      <w:pPr>
        <w:spacing w:after="0" w:line="178" w:lineRule="exact"/>
        <w:rPr>
          <w:sz w:val="20"/>
          <w:szCs w:val="20"/>
          <w:color w:val="auto"/>
        </w:rPr>
      </w:pPr>
    </w:p>
    <w:p>
      <w:pPr>
        <w:ind w:right="480" w:firstLine="243"/>
        <w:spacing w:after="0" w:line="264"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April 28, 2007, these foundries had incurred approximately $118.9 million of manufacturing expenses on the Company’s outstanding purchase orders.</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until December 31, 2015. As of April 28, 2007, payments totaling $174.2 million which is included in prepaid expenses and other current assets and other non-current assets have been made and approximately $101.5 million of the prepayment has been utilized as of April 28, 2007. At April 28, 2007, there are no more outstanding commitments under the agreement.</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6"/>
          <w:szCs w:val="16"/>
          <w:color w:val="auto"/>
        </w:rPr>
        <w:t>As of April 28, 2007, the Company had approximately $85.2 million of other outstanding non-cancellable purchase orders for capital purchase obligations.</w:t>
      </w:r>
    </w:p>
    <w:p>
      <w:pPr>
        <w:sectPr>
          <w:pgSz w:w="11900" w:h="16838" w:orient="portrait"/>
          <w:cols w:equalWidth="0" w:num="1">
            <w:col w:w="11420"/>
          </w:cols>
          <w:pgMar w:left="240" w:top="125" w:right="239" w:bottom="242" w:gutter="0" w:footer="0" w:header="0"/>
        </w:sectPr>
      </w:pPr>
    </w:p>
    <w:p>
      <w:pPr>
        <w:spacing w:after="0" w:line="248" w:lineRule="exact"/>
        <w:rPr>
          <w:sz w:val="20"/>
          <w:szCs w:val="20"/>
          <w:color w:val="auto"/>
        </w:rPr>
      </w:pPr>
    </w:p>
    <w:p>
      <w:pPr>
        <w:ind w:left="260"/>
        <w:spacing w:after="0"/>
        <w:rPr>
          <w:sz w:val="20"/>
          <w:szCs w:val="20"/>
          <w:color w:val="auto"/>
        </w:rPr>
      </w:pPr>
      <w:r>
        <w:rPr>
          <w:rFonts w:ascii="Arial" w:cs="Arial" w:eastAsia="Arial" w:hAnsi="Arial"/>
          <w:sz w:val="15"/>
          <w:szCs w:val="15"/>
          <w:b w:val="1"/>
          <w:bCs w:val="1"/>
          <w:i w:val="1"/>
          <w:iCs w:val="1"/>
          <w:color w:val="auto"/>
        </w:rPr>
        <w:t>Contingencies</w:t>
      </w:r>
    </w:p>
    <w:p>
      <w:pPr>
        <w:sectPr>
          <w:pgSz w:w="11900" w:h="16838" w:orient="portrait"/>
          <w:cols w:equalWidth="0" w:num="1">
            <w:col w:w="11420"/>
          </w:cols>
          <w:pgMar w:left="240" w:top="125" w:right="239" w:bottom="242" w:gutter="0" w:footer="0" w:header="0"/>
          <w:type w:val="continuous"/>
        </w:sectPr>
      </w:pPr>
    </w:p>
    <w:bookmarkStart w:id="13" w:name="page14"/>
    <w:bookmarkEnd w:id="13"/>
    <w:p>
      <w:pPr>
        <w:ind w:firstLine="324"/>
        <w:spacing w:after="0" w:line="283"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Company’s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189"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the Company for improperly obtaining and using information and technologies during the course of the negotiations with our personnel regarding the potential acquisition of certain Jasmine assets by the Company. The lawsuit claims that the Company’s officers improperly obtained and used such information and technologies after</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the Company signed a non-disclosure agreement with Jasmine. The Company believes the claims asserted against its officers and the Company are without merit and the Company intends to defend all claims vigorously.</w:t>
      </w:r>
    </w:p>
    <w:p>
      <w:pPr>
        <w:spacing w:after="0" w:line="170"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w:t>
      </w:r>
    </w:p>
    <w:p>
      <w:pPr>
        <w:spacing w:after="0" w:line="197" w:lineRule="exact"/>
        <w:rPr>
          <w:sz w:val="20"/>
          <w:szCs w:val="20"/>
          <w:color w:val="auto"/>
        </w:rPr>
      </w:pPr>
    </w:p>
    <w:p>
      <w:pPr>
        <w:ind w:right="60" w:firstLine="324"/>
        <w:spacing w:after="0" w:line="268" w:lineRule="auto"/>
        <w:rPr>
          <w:sz w:val="20"/>
          <w:szCs w:val="20"/>
          <w:color w:val="auto"/>
        </w:rPr>
      </w:pPr>
      <w:r>
        <w:rPr>
          <w:rFonts w:ascii="Arial" w:cs="Arial" w:eastAsia="Arial" w:hAnsi="Arial"/>
          <w:sz w:val="17"/>
          <w:szCs w:val="17"/>
          <w:i w:val="1"/>
          <w:iCs w:val="1"/>
          <w:color w:val="auto"/>
        </w:rPr>
        <w:t xml:space="preserve">CSIRO Litigation. </w:t>
      </w:r>
      <w:r>
        <w:rPr>
          <w:rFonts w:ascii="Arial" w:cs="Arial" w:eastAsia="Arial" w:hAnsi="Arial"/>
          <w:sz w:val="17"/>
          <w:szCs w:val="17"/>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the Company has acknowledged the demands and incurred costs in response to them.</w:t>
      </w:r>
    </w:p>
    <w:p>
      <w:pPr>
        <w:spacing w:after="0" w:line="185" w:lineRule="exact"/>
        <w:rPr>
          <w:sz w:val="20"/>
          <w:szCs w:val="20"/>
          <w:color w:val="auto"/>
        </w:rPr>
      </w:pPr>
    </w:p>
    <w:p>
      <w:pPr>
        <w:ind w:right="60" w:firstLine="324"/>
        <w:spacing w:after="0" w:line="302"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 seeks damages and a license for the Company and its customers on reasonable and non-discriminatory terms in the event the Company’s 802.11a/g wireless LAN products are found to infringe and the CSIRO patent is found to be valid and enforceable. CSIRO has not yet responded to the complaint.</w:t>
      </w:r>
    </w:p>
    <w:p>
      <w:pPr>
        <w:sectPr>
          <w:pgSz w:w="11900" w:h="16838" w:orient="portrait"/>
          <w:cols w:equalWidth="0" w:num="1">
            <w:col w:w="11400"/>
          </w:cols>
          <w:pgMar w:left="240" w:top="125" w:right="259" w:bottom="2" w:gutter="0" w:footer="0" w:header="0"/>
        </w:sectPr>
      </w:pPr>
    </w:p>
    <w:bookmarkStart w:id="14" w:name="page15"/>
    <w:bookmarkEnd w:id="14"/>
    <w:p>
      <w:pPr>
        <w:ind w:right="220" w:firstLine="324"/>
        <w:spacing w:after="0" w:line="271"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July 7,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79"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our current and former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the Company files restated financial statements with the SEC.</w:t>
      </w:r>
    </w:p>
    <w:p>
      <w:pPr>
        <w:spacing w:after="0" w:line="167"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i w:val="1"/>
          <w:iCs w:val="1"/>
          <w:color w:val="auto"/>
        </w:rPr>
        <w:t xml:space="preserve">SEC and United States Attorney Inquiries. </w:t>
      </w:r>
      <w:r>
        <w:rPr>
          <w:rFonts w:ascii="Arial" w:cs="Arial" w:eastAsia="Arial" w:hAnsi="Arial"/>
          <w:sz w:val="18"/>
          <w:szCs w:val="18"/>
          <w:color w:val="auto"/>
        </w:rPr>
        <w:t>In July 2006, the Company received a letter of informal inquiry from the Securities and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Commission (“SEC”) requesting certain documents 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 this matter. On June 8, 2007, the Company received a document subpoena from the SEC. The Company has cooperated with the SEC and the United States Attorney regarding these matters and intends to continue to do so. The Company cannot predict the outcome of these investigations.</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other legal proceedings and claims arising in the normal course of business.</w:t>
      </w:r>
    </w:p>
    <w:p>
      <w:pPr>
        <w:spacing w:after="0" w:line="225"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However,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Stock-Based Compensation</w:t>
      </w:r>
    </w:p>
    <w:p>
      <w:pPr>
        <w:spacing w:after="0" w:line="229"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Effective from January 29, 2006, the Company adopted FASB Statement of Financial Accounting Standards No. 123 (revised 2004), “Share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The Company has applied the provisions of SAB 107 in its adoption of SFAS 123R.</w:t>
      </w:r>
    </w:p>
    <w:p>
      <w:pPr>
        <w:spacing w:after="0" w:line="166" w:lineRule="exact"/>
        <w:rPr>
          <w:sz w:val="20"/>
          <w:szCs w:val="20"/>
          <w:color w:val="auto"/>
        </w:rPr>
      </w:pPr>
    </w:p>
    <w:p>
      <w:pPr>
        <w:ind w:right="160" w:firstLine="324"/>
        <w:spacing w:after="0" w:line="277"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under the accelerated method of amortization.</w:t>
      </w:r>
    </w:p>
    <w:p>
      <w:pPr>
        <w:spacing w:after="0" w:line="170"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225" w:lineRule="exact"/>
        <w:rPr>
          <w:sz w:val="20"/>
          <w:szCs w:val="20"/>
          <w:color w:val="auto"/>
        </w:rPr>
      </w:pPr>
    </w:p>
    <w:p>
      <w:pPr>
        <w:ind w:right="140" w:firstLine="324"/>
        <w:spacing w:after="0" w:line="264" w:lineRule="auto"/>
        <w:rPr>
          <w:sz w:val="20"/>
          <w:szCs w:val="20"/>
          <w:color w:val="auto"/>
        </w:rPr>
      </w:pPr>
      <w:r>
        <w:rPr>
          <w:rFonts w:ascii="Arial" w:cs="Arial" w:eastAsia="Arial" w:hAnsi="Arial"/>
          <w:sz w:val="18"/>
          <w:szCs w:val="18"/>
          <w:color w:val="auto"/>
        </w:rPr>
        <w:t>The adoption of SFAS 123R resulted in a cumulative benefit from change in accounting principle of $8.8 million net of tax as of the year ended January 27, 2007, reflecting the net cumulative impact of estimated forfeitures that were previously no included in the determination of historic stock-based compensation expense in periods prior to January 28, 2006.</w:t>
      </w:r>
    </w:p>
    <w:p>
      <w:pPr>
        <w:sectPr>
          <w:pgSz w:w="11900" w:h="16838" w:orient="portrait"/>
          <w:cols w:equalWidth="0" w:num="1">
            <w:col w:w="11420"/>
          </w:cols>
          <w:pgMar w:left="240" w:top="125" w:right="239" w:bottom="0" w:gutter="0" w:footer="0" w:header="0"/>
        </w:sectPr>
      </w:pP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21</w:t>
      </w:r>
    </w:p>
    <w:p>
      <w:pPr>
        <w:sectPr>
          <w:pgSz w:w="11900" w:h="16838" w:orient="portrait"/>
          <w:cols w:equalWidth="0" w:num="1">
            <w:col w:w="11420"/>
          </w:cols>
          <w:pgMar w:left="240" w:top="125" w:right="239" w:bottom="0" w:gutter="0" w:footer="0" w:header="0"/>
          <w:type w:val="continuous"/>
        </w:sectPr>
      </w:pPr>
    </w:p>
    <w:bookmarkStart w:id="15" w:name="page16"/>
    <w:bookmarkEnd w:id="15"/>
    <w:p>
      <w:pPr>
        <w:ind w:left="3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The following table presents details of stock-based compensation expenses by functional line item (in thousands):</w:t>
      </w:r>
    </w:p>
    <w:p>
      <w:pPr>
        <w:spacing w:after="0" w:line="203"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5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20" w:type="dxa"/>
            <w:vAlign w:val="bottom"/>
            <w:gridSpan w:val="5"/>
          </w:tcPr>
          <w:p>
            <w:pPr>
              <w:jc w:val="right"/>
              <w:ind w:right="34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520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right"/>
              <w:ind w:right="79"/>
              <w:spacing w:after="0" w:line="103"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right"/>
              <w:ind w:right="58"/>
              <w:spacing w:after="0" w:line="103" w:lineRule="exact"/>
              <w:rPr>
                <w:sz w:val="20"/>
                <w:szCs w:val="20"/>
                <w:color w:val="auto"/>
              </w:rPr>
            </w:pPr>
            <w:r>
              <w:rPr>
                <w:rFonts w:ascii="Arial" w:cs="Arial" w:eastAsia="Arial" w:hAnsi="Arial"/>
                <w:sz w:val="11"/>
                <w:szCs w:val="11"/>
                <w:b w:val="1"/>
                <w:bCs w:val="1"/>
                <w:color w:val="auto"/>
              </w:rPr>
              <w:t>April 29,</w:t>
            </w:r>
          </w:p>
        </w:tc>
        <w:tc>
          <w:tcPr>
            <w:tcW w:w="60" w:type="dxa"/>
            <w:vAlign w:val="bottom"/>
          </w:tcPr>
          <w:p>
            <w:pPr>
              <w:spacing w:after="0"/>
              <w:rPr>
                <w:sz w:val="8"/>
                <w:szCs w:val="8"/>
                <w:color w:val="auto"/>
              </w:rPr>
            </w:pPr>
          </w:p>
        </w:tc>
      </w:tr>
      <w:tr>
        <w:trPr>
          <w:trHeight w:val="161"/>
        </w:trPr>
        <w:tc>
          <w:tcPr>
            <w:tcW w:w="5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9"/>
              <w:spacing w:after="0"/>
              <w:rPr>
                <w:sz w:val="20"/>
                <w:szCs w:val="20"/>
                <w:color w:val="auto"/>
              </w:rPr>
            </w:pPr>
            <w:r>
              <w:rPr>
                <w:rFonts w:ascii="Arial" w:cs="Arial" w:eastAsia="Arial" w:hAnsi="Arial"/>
                <w:sz w:val="14"/>
                <w:szCs w:val="14"/>
                <w:b w:val="1"/>
                <w:bCs w:val="1"/>
                <w:color w:val="auto"/>
              </w:rPr>
              <w:t>2007</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8"/>
              <w:spacing w:after="0"/>
              <w:rPr>
                <w:sz w:val="20"/>
                <w:szCs w:val="20"/>
                <w:color w:val="auto"/>
              </w:rPr>
            </w:pPr>
            <w:r>
              <w:rPr>
                <w:rFonts w:ascii="Arial" w:cs="Arial" w:eastAsia="Arial" w:hAnsi="Arial"/>
                <w:sz w:val="14"/>
                <w:szCs w:val="14"/>
                <w:b w:val="1"/>
                <w:bCs w:val="1"/>
                <w:color w:val="auto"/>
              </w:rPr>
              <w:t>2006</w:t>
            </w:r>
          </w:p>
        </w:tc>
        <w:tc>
          <w:tcPr>
            <w:tcW w:w="60" w:type="dxa"/>
            <w:vAlign w:val="bottom"/>
            <w:tcBorders>
              <w:bottom w:val="single" w:sz="8" w:color="CCEEFF"/>
            </w:tcBorders>
          </w:tcPr>
          <w:p>
            <w:pPr>
              <w:spacing w:after="0"/>
              <w:rPr>
                <w:sz w:val="14"/>
                <w:szCs w:val="14"/>
                <w:color w:val="auto"/>
              </w:rPr>
            </w:pPr>
          </w:p>
        </w:tc>
      </w:tr>
      <w:tr>
        <w:trPr>
          <w:trHeight w:val="210"/>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2,434</w:t>
            </w:r>
          </w:p>
        </w:tc>
        <w:tc>
          <w:tcPr>
            <w:tcW w:w="60" w:type="dxa"/>
            <w:vAlign w:val="bottom"/>
            <w:shd w:val="clear" w:color="auto" w:fill="CCEEFF"/>
          </w:tcPr>
          <w:p>
            <w:pPr>
              <w:spacing w:after="0"/>
              <w:rPr>
                <w:sz w:val="18"/>
                <w:szCs w:val="18"/>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32,042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30,437</w:t>
            </w:r>
          </w:p>
        </w:tc>
        <w:tc>
          <w:tcPr>
            <w:tcW w:w="60" w:type="dxa"/>
            <w:vAlign w:val="bottom"/>
          </w:tcPr>
          <w:p>
            <w:pPr>
              <w:spacing w:after="0"/>
              <w:rPr>
                <w:sz w:val="18"/>
                <w:szCs w:val="18"/>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7,151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8,234</w:t>
            </w:r>
          </w:p>
        </w:tc>
        <w:tc>
          <w:tcPr>
            <w:tcW w:w="60" w:type="dxa"/>
            <w:vAlign w:val="bottom"/>
            <w:shd w:val="clear" w:color="auto" w:fill="CCEEFF"/>
          </w:tcPr>
          <w:p>
            <w:pPr>
              <w:spacing w:after="0"/>
              <w:rPr>
                <w:sz w:val="18"/>
                <w:szCs w:val="18"/>
                <w:color w:val="auto"/>
              </w:rPr>
            </w:pPr>
          </w:p>
        </w:tc>
      </w:tr>
      <w:tr>
        <w:trPr>
          <w:trHeight w:val="216"/>
        </w:trPr>
        <w:tc>
          <w:tcPr>
            <w:tcW w:w="52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General and administrative</w:t>
            </w:r>
          </w:p>
        </w:tc>
        <w:tc>
          <w:tcPr>
            <w:tcW w:w="12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4,557</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7,657</w:t>
            </w:r>
          </w:p>
        </w:tc>
        <w:tc>
          <w:tcPr>
            <w:tcW w:w="60" w:type="dxa"/>
            <w:vAlign w:val="bottom"/>
            <w:tcBorders>
              <w:bottom w:val="single" w:sz="8" w:color="CCEEFF"/>
            </w:tcBorders>
          </w:tcPr>
          <w:p>
            <w:pPr>
              <w:spacing w:after="0"/>
              <w:rPr>
                <w:sz w:val="18"/>
                <w:szCs w:val="18"/>
                <w:color w:val="auto"/>
              </w:rPr>
            </w:pPr>
          </w:p>
        </w:tc>
      </w:tr>
      <w:tr>
        <w:trPr>
          <w:trHeight w:val="210"/>
        </w:trPr>
        <w:tc>
          <w:tcPr>
            <w:tcW w:w="5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46,768</w:t>
            </w:r>
          </w:p>
        </w:tc>
        <w:tc>
          <w:tcPr>
            <w:tcW w:w="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48,762</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5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60" w:firstLine="324"/>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49"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100" w:type="dxa"/>
            <w:vAlign w:val="bottom"/>
          </w:tcPr>
          <w:p>
            <w:pPr>
              <w:spacing w:after="0"/>
              <w:rPr>
                <w:sz w:val="14"/>
                <w:szCs w:val="14"/>
                <w:color w:val="auto"/>
              </w:rPr>
            </w:pPr>
          </w:p>
        </w:tc>
        <w:tc>
          <w:tcPr>
            <w:tcW w:w="2460" w:type="dxa"/>
            <w:vAlign w:val="bottom"/>
            <w:gridSpan w:val="4"/>
          </w:tcPr>
          <w:p>
            <w:pPr>
              <w:jc w:val="right"/>
              <w:ind w:right="760"/>
              <w:spacing w:after="0"/>
              <w:rPr>
                <w:sz w:val="20"/>
                <w:szCs w:val="20"/>
                <w:color w:val="auto"/>
              </w:rPr>
            </w:pPr>
            <w:r>
              <w:rPr>
                <w:rFonts w:ascii="Arial" w:cs="Arial" w:eastAsia="Arial" w:hAnsi="Arial"/>
                <w:sz w:val="14"/>
                <w:szCs w:val="14"/>
                <w:b w:val="1"/>
                <w:bCs w:val="1"/>
                <w:color w:val="auto"/>
              </w:rPr>
              <w:t>Stock Option Plans</w:t>
            </w:r>
          </w:p>
        </w:tc>
        <w:tc>
          <w:tcPr>
            <w:tcW w:w="1320" w:type="dxa"/>
            <w:vAlign w:val="bottom"/>
            <w:gridSpan w:val="3"/>
          </w:tcPr>
          <w:p>
            <w:pPr>
              <w:ind w:left="960"/>
              <w:spacing w:after="0"/>
              <w:rPr>
                <w:sz w:val="20"/>
                <w:szCs w:val="20"/>
                <w:color w:val="auto"/>
              </w:rPr>
            </w:pPr>
            <w:r>
              <w:rPr>
                <w:rFonts w:ascii="Arial" w:cs="Arial" w:eastAsia="Arial" w:hAnsi="Arial"/>
                <w:sz w:val="14"/>
                <w:szCs w:val="14"/>
                <w:b w:val="1"/>
                <w:bCs w:val="1"/>
                <w:color w:val="auto"/>
                <w:w w:val="90"/>
              </w:rPr>
              <w:t>ESPP</w:t>
            </w:r>
          </w:p>
        </w:tc>
        <w:tc>
          <w:tcPr>
            <w:tcW w:w="960" w:type="dxa"/>
            <w:vAlign w:val="bottom"/>
          </w:tcPr>
          <w:p>
            <w:pPr>
              <w:spacing w:after="0"/>
              <w:rPr>
                <w:sz w:val="14"/>
                <w:szCs w:val="14"/>
                <w:color w:val="auto"/>
              </w:rPr>
            </w:pPr>
          </w:p>
        </w:tc>
        <w:tc>
          <w:tcPr>
            <w:tcW w:w="280" w:type="dxa"/>
            <w:vAlign w:val="bottom"/>
          </w:tcPr>
          <w:p>
            <w:pPr>
              <w:spacing w:after="0"/>
              <w:rPr>
                <w:sz w:val="14"/>
                <w:szCs w:val="14"/>
                <w:color w:val="auto"/>
              </w:rPr>
            </w:pPr>
          </w:p>
        </w:tc>
      </w:tr>
      <w:tr>
        <w:trPr>
          <w:trHeight w:val="129"/>
        </w:trPr>
        <w:tc>
          <w:tcPr>
            <w:tcW w:w="2100" w:type="dxa"/>
            <w:vAlign w:val="bottom"/>
          </w:tcPr>
          <w:p>
            <w:pPr>
              <w:spacing w:after="0"/>
              <w:rPr>
                <w:sz w:val="11"/>
                <w:szCs w:val="11"/>
                <w:color w:val="auto"/>
              </w:rPr>
            </w:pPr>
          </w:p>
        </w:tc>
        <w:tc>
          <w:tcPr>
            <w:tcW w:w="2240" w:type="dxa"/>
            <w:vAlign w:val="bottom"/>
            <w:tcBorders>
              <w:top w:val="single" w:sz="8" w:color="auto"/>
              <w:bottom w:val="single" w:sz="8" w:color="auto"/>
            </w:tcBorders>
            <w:gridSpan w:val="3"/>
          </w:tcPr>
          <w:p>
            <w:pPr>
              <w:jc w:val="right"/>
              <w:ind w:right="374"/>
              <w:spacing w:after="0" w:line="129" w:lineRule="exact"/>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1"/>
                <w:szCs w:val="11"/>
                <w:color w:val="auto"/>
              </w:rPr>
            </w:pPr>
          </w:p>
        </w:tc>
        <w:tc>
          <w:tcPr>
            <w:tcW w:w="2280" w:type="dxa"/>
            <w:vAlign w:val="bottom"/>
            <w:tcBorders>
              <w:top w:val="single" w:sz="8" w:color="auto"/>
              <w:bottom w:val="single" w:sz="8" w:color="auto"/>
            </w:tcBorders>
            <w:gridSpan w:val="4"/>
          </w:tcPr>
          <w:p>
            <w:pPr>
              <w:ind w:left="560"/>
              <w:spacing w:after="0" w:line="129" w:lineRule="exact"/>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1"/>
                <w:szCs w:val="11"/>
                <w:color w:val="auto"/>
              </w:rPr>
            </w:pPr>
          </w:p>
        </w:tc>
      </w:tr>
      <w:tr>
        <w:trPr>
          <w:trHeight w:val="129"/>
        </w:trPr>
        <w:tc>
          <w:tcPr>
            <w:tcW w:w="2100" w:type="dxa"/>
            <w:vAlign w:val="bottom"/>
            <w:tcBorders>
              <w:bottom w:val="single" w:sz="8" w:color="CCEEFF"/>
            </w:tcBorders>
          </w:tcPr>
          <w:p>
            <w:pPr>
              <w:spacing w:after="0"/>
              <w:rPr>
                <w:sz w:val="11"/>
                <w:szCs w:val="11"/>
                <w:color w:val="auto"/>
              </w:rPr>
            </w:pPr>
          </w:p>
        </w:tc>
        <w:tc>
          <w:tcPr>
            <w:tcW w:w="102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28, 2007</w:t>
            </w:r>
          </w:p>
        </w:tc>
        <w:tc>
          <w:tcPr>
            <w:tcW w:w="220" w:type="dxa"/>
            <w:vAlign w:val="bottom"/>
            <w:tcBorders>
              <w:bottom w:val="single" w:sz="8" w:color="CCEEFF"/>
            </w:tcBorders>
          </w:tcPr>
          <w:p>
            <w:pPr>
              <w:spacing w:after="0"/>
              <w:rPr>
                <w:sz w:val="11"/>
                <w:szCs w:val="11"/>
                <w:color w:val="auto"/>
              </w:rPr>
            </w:pPr>
          </w:p>
        </w:tc>
        <w:tc>
          <w:tcPr>
            <w:tcW w:w="100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April 29, 2006</w:t>
            </w:r>
          </w:p>
        </w:tc>
        <w:tc>
          <w:tcPr>
            <w:tcW w:w="220" w:type="dxa"/>
            <w:vAlign w:val="bottom"/>
            <w:tcBorders>
              <w:bottom w:val="single" w:sz="8" w:color="CCEEFF"/>
            </w:tcBorders>
          </w:tcPr>
          <w:p>
            <w:pPr>
              <w:spacing w:after="0"/>
              <w:rPr>
                <w:sz w:val="11"/>
                <w:szCs w:val="11"/>
                <w:color w:val="auto"/>
              </w:rPr>
            </w:pPr>
          </w:p>
        </w:tc>
        <w:tc>
          <w:tcPr>
            <w:tcW w:w="1020" w:type="dxa"/>
            <w:vAlign w:val="bottom"/>
            <w:tcBorders>
              <w:bottom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April 28, 2007</w:t>
            </w:r>
          </w:p>
        </w:tc>
        <w:tc>
          <w:tcPr>
            <w:tcW w:w="220" w:type="dxa"/>
            <w:vAlign w:val="bottom"/>
            <w:tcBorders>
              <w:bottom w:val="single" w:sz="8" w:color="CCEEFF"/>
            </w:tcBorders>
          </w:tcPr>
          <w:p>
            <w:pPr>
              <w:spacing w:after="0"/>
              <w:rPr>
                <w:sz w:val="11"/>
                <w:szCs w:val="11"/>
                <w:color w:val="auto"/>
              </w:rPr>
            </w:pPr>
          </w:p>
        </w:tc>
        <w:tc>
          <w:tcPr>
            <w:tcW w:w="80" w:type="dxa"/>
            <w:vAlign w:val="bottom"/>
            <w:tcBorders>
              <w:bottom w:val="single" w:sz="8" w:color="auto"/>
            </w:tcBorders>
          </w:tcPr>
          <w:p>
            <w:pPr>
              <w:spacing w:after="0"/>
              <w:rPr>
                <w:sz w:val="11"/>
                <w:szCs w:val="11"/>
                <w:color w:val="auto"/>
              </w:rPr>
            </w:pPr>
          </w:p>
        </w:tc>
        <w:tc>
          <w:tcPr>
            <w:tcW w:w="96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5"/>
              </w:rPr>
              <w:t>April 29, 2006</w:t>
            </w:r>
          </w:p>
        </w:tc>
        <w:tc>
          <w:tcPr>
            <w:tcW w:w="280" w:type="dxa"/>
            <w:vAlign w:val="bottom"/>
            <w:tcBorders>
              <w:bottom w:val="single" w:sz="8" w:color="CCEEFF"/>
            </w:tcBorders>
          </w:tcPr>
          <w:p>
            <w:pPr>
              <w:spacing w:after="0"/>
              <w:rPr>
                <w:sz w:val="11"/>
                <w:szCs w:val="11"/>
                <w:color w:val="auto"/>
              </w:rPr>
            </w:pPr>
          </w:p>
        </w:tc>
      </w:tr>
      <w:tr>
        <w:trPr>
          <w:trHeight w:val="210"/>
        </w:trPr>
        <w:tc>
          <w:tcPr>
            <w:tcW w:w="21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45%</w:t>
            </w: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1020" w:type="dxa"/>
            <w:vAlign w:val="bottom"/>
            <w:shd w:val="clear" w:color="auto" w:fill="CCEEFF"/>
          </w:tcPr>
          <w:p>
            <w:pPr>
              <w:ind w:left="84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59% - 73%</w:t>
            </w:r>
          </w:p>
        </w:tc>
      </w:tr>
      <w:tr>
        <w:trPr>
          <w:trHeight w:val="216"/>
        </w:trPr>
        <w:tc>
          <w:tcPr>
            <w:tcW w:w="2100" w:type="dxa"/>
            <w:vAlign w:val="bottom"/>
          </w:tcPr>
          <w:p>
            <w:pPr>
              <w:spacing w:after="0"/>
              <w:rPr>
                <w:sz w:val="20"/>
                <w:szCs w:val="20"/>
                <w:color w:val="auto"/>
              </w:rPr>
            </w:pPr>
            <w:r>
              <w:rPr>
                <w:rFonts w:ascii="Arial" w:cs="Arial" w:eastAsia="Arial" w:hAnsi="Arial"/>
                <w:sz w:val="18"/>
                <w:szCs w:val="18"/>
                <w:color w:val="auto"/>
              </w:rPr>
              <w:t>Expected life (in years)</w:t>
            </w:r>
          </w:p>
        </w:tc>
        <w:tc>
          <w:tcPr>
            <w:tcW w:w="1020" w:type="dxa"/>
            <w:vAlign w:val="bottom"/>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4.7</w:t>
            </w:r>
          </w:p>
        </w:tc>
        <w:tc>
          <w:tcPr>
            <w:tcW w:w="220" w:type="dxa"/>
            <w:vAlign w:val="bottom"/>
          </w:tcPr>
          <w:p>
            <w:pPr>
              <w:spacing w:after="0"/>
              <w:rPr>
                <w:sz w:val="18"/>
                <w:szCs w:val="18"/>
                <w:color w:val="auto"/>
              </w:rPr>
            </w:pPr>
          </w:p>
        </w:tc>
        <w:tc>
          <w:tcPr>
            <w:tcW w:w="1320" w:type="dxa"/>
            <w:vAlign w:val="bottom"/>
            <w:gridSpan w:val="3"/>
          </w:tcPr>
          <w:p>
            <w:pPr>
              <w:ind w:left="84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1.3</w:t>
            </w:r>
          </w:p>
        </w:tc>
        <w:tc>
          <w:tcPr>
            <w:tcW w:w="280" w:type="dxa"/>
            <w:vAlign w:val="bottom"/>
          </w:tcPr>
          <w:p>
            <w:pPr>
              <w:spacing w:after="0"/>
              <w:rPr>
                <w:sz w:val="18"/>
                <w:szCs w:val="18"/>
                <w:color w:val="auto"/>
              </w:rPr>
            </w:pPr>
          </w:p>
        </w:tc>
      </w:tr>
      <w:tr>
        <w:trPr>
          <w:trHeight w:val="216"/>
        </w:trPr>
        <w:tc>
          <w:tcPr>
            <w:tcW w:w="21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4.6%</w:t>
            </w: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w:t>
            </w:r>
          </w:p>
        </w:tc>
        <w:tc>
          <w:tcPr>
            <w:tcW w:w="1320" w:type="dxa"/>
            <w:vAlign w:val="bottom"/>
            <w:gridSpan w:val="3"/>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w:t>
            </w:r>
          </w:p>
        </w:tc>
      </w:tr>
      <w:tr>
        <w:trPr>
          <w:trHeight w:val="230"/>
        </w:trPr>
        <w:tc>
          <w:tcPr>
            <w:tcW w:w="2100" w:type="dxa"/>
            <w:vAlign w:val="bottom"/>
          </w:tcPr>
          <w:p>
            <w:pPr>
              <w:spacing w:after="0"/>
              <w:rPr>
                <w:sz w:val="20"/>
                <w:szCs w:val="20"/>
                <w:color w:val="auto"/>
              </w:rPr>
            </w:pPr>
            <w:r>
              <w:rPr>
                <w:rFonts w:ascii="Arial" w:cs="Arial" w:eastAsia="Arial" w:hAnsi="Arial"/>
                <w:sz w:val="18"/>
                <w:szCs w:val="18"/>
                <w:color w:val="auto"/>
              </w:rPr>
              <w:t>Dividend yield</w:t>
            </w:r>
          </w:p>
        </w:tc>
        <w:tc>
          <w:tcPr>
            <w:tcW w:w="12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320" w:type="dxa"/>
            <w:vAlign w:val="bottom"/>
            <w:gridSpan w:val="3"/>
          </w:tcPr>
          <w:p>
            <w:pPr>
              <w:ind w:left="84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bl>
    <w:p>
      <w:pPr>
        <w:spacing w:after="0" w:line="241" w:lineRule="exact"/>
        <w:rPr>
          <w:sz w:val="20"/>
          <w:szCs w:val="20"/>
          <w:color w:val="auto"/>
        </w:rPr>
      </w:pPr>
    </w:p>
    <w:p>
      <w:pPr>
        <w:ind w:right="100" w:firstLine="324"/>
        <w:spacing w:after="0" w:line="286" w:lineRule="auto"/>
        <w:rPr>
          <w:sz w:val="20"/>
          <w:szCs w:val="20"/>
          <w:color w:val="auto"/>
        </w:rPr>
      </w:pPr>
      <w:r>
        <w:rPr>
          <w:rFonts w:ascii="Arial" w:cs="Arial" w:eastAsia="Arial" w:hAnsi="Arial"/>
          <w:sz w:val="17"/>
          <w:szCs w:val="17"/>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w:t>
      </w:r>
    </w:p>
    <w:p>
      <w:pPr>
        <w:spacing w:after="0" w:line="225" w:lineRule="exact"/>
        <w:rPr>
          <w:sz w:val="20"/>
          <w:szCs w:val="20"/>
          <w:color w:val="auto"/>
        </w:rPr>
      </w:pPr>
    </w:p>
    <w:p>
      <w:pPr>
        <w:jc w:val="both"/>
        <w:ind w:right="180" w:firstLine="324"/>
        <w:spacing w:after="0" w:line="264"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w:t>
      </w:r>
    </w:p>
    <w:p>
      <w:pPr>
        <w:spacing w:after="0" w:line="181" w:lineRule="exact"/>
        <w:rPr>
          <w:sz w:val="20"/>
          <w:szCs w:val="20"/>
          <w:color w:val="auto"/>
        </w:rPr>
      </w:pPr>
    </w:p>
    <w:p>
      <w:pPr>
        <w:ind w:right="240" w:firstLine="324"/>
        <w:spacing w:after="0" w:line="277" w:lineRule="auto"/>
        <w:rPr>
          <w:sz w:val="20"/>
          <w:szCs w:val="20"/>
          <w:color w:val="auto"/>
        </w:rPr>
      </w:pPr>
      <w:r>
        <w:rPr>
          <w:rFonts w:ascii="Arial" w:cs="Arial" w:eastAsia="Arial" w:hAnsi="Arial"/>
          <w:sz w:val="18"/>
          <w:szCs w:val="18"/>
          <w:color w:val="auto"/>
        </w:rPr>
        <w:t>The weighted average fair values per share of the of options granted in the three month period ended April 28, 2007 and April 29, 2006 was $7.71 and $15.42, respectively.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Shareholders’ Equity</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In April 1995, the Company adopted the 1995 Stock Option Plan (the “Option Plan”). The Option Plan, as amended, had 324,289,786 shares of common stock reserved for issuance thereunder as of April 28, 2007.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2" w:lineRule="exact"/>
        <w:rPr>
          <w:sz w:val="20"/>
          <w:szCs w:val="20"/>
          <w:color w:val="auto"/>
        </w:rPr>
      </w:pPr>
    </w:p>
    <w:p>
      <w:pPr>
        <w:ind w:right="300" w:firstLine="324"/>
        <w:spacing w:after="0" w:line="259" w:lineRule="auto"/>
        <w:rPr>
          <w:sz w:val="20"/>
          <w:szCs w:val="20"/>
          <w:color w:val="auto"/>
        </w:rPr>
      </w:pPr>
      <w:r>
        <w:rPr>
          <w:rFonts w:ascii="Arial" w:cs="Arial" w:eastAsia="Arial" w:hAnsi="Arial"/>
          <w:sz w:val="18"/>
          <w:szCs w:val="18"/>
          <w:color w:val="auto"/>
        </w:rPr>
        <w:t>In August 1997, the Company adopted the 1997 Directors’ Stock Option Plan (the “Directors’ Plan”). The Directors’ Plan had 3,600,000 shares of common stock reserved thereunder as of April 28, 2007.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87" w:lineRule="exact"/>
        <w:rPr>
          <w:sz w:val="20"/>
          <w:szCs w:val="20"/>
          <w:color w:val="auto"/>
        </w:rPr>
      </w:pPr>
    </w:p>
    <w:p>
      <w:pPr>
        <w:ind w:right="600" w:firstLine="324"/>
        <w:spacing w:after="0" w:line="277" w:lineRule="auto"/>
        <w:rPr>
          <w:sz w:val="20"/>
          <w:szCs w:val="20"/>
          <w:color w:val="auto"/>
        </w:rPr>
      </w:pPr>
      <w:r>
        <w:rPr>
          <w:rFonts w:ascii="Arial" w:cs="Arial" w:eastAsia="Arial" w:hAnsi="Arial"/>
          <w:sz w:val="18"/>
          <w:szCs w:val="18"/>
          <w:color w:val="auto"/>
        </w:rPr>
        <w:t>In addition, the Company can also grant restricted stock. Restricted stock are share awards that entitle the holder to receive tradable shares of the Company’s common stock upon vesting.</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60" w:firstLine="324"/>
        <w:spacing w:after="0" w:line="288"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33,871,612 shares of common stock reserve for issuance thereunder as of April 28, 2007. Under the Purchase Plan, employees are granted the right to purchase shares of common stock at a price per share that is 85% of the lesser of the fair market value of the shares at (i) the participant’s entry date into the two-year offering period, or</w:t>
      </w:r>
    </w:p>
    <w:p>
      <w:pPr>
        <w:jc w:val="both"/>
        <w:ind w:right="40" w:firstLine="8"/>
        <w:spacing w:after="0" w:line="323" w:lineRule="auto"/>
        <w:tabs>
          <w:tab w:leader="none" w:pos="265" w:val="left"/>
        </w:tabs>
        <w:numPr>
          <w:ilvl w:val="0"/>
          <w:numId w:val="4"/>
        </w:numPr>
        <w:rPr>
          <w:rFonts w:ascii="Arial" w:cs="Arial" w:eastAsia="Arial" w:hAnsi="Arial"/>
          <w:sz w:val="16"/>
          <w:szCs w:val="16"/>
          <w:color w:val="auto"/>
        </w:rPr>
      </w:pPr>
      <w:r>
        <w:rPr>
          <w:rFonts w:ascii="Arial" w:cs="Arial" w:eastAsia="Arial" w:hAnsi="Arial"/>
          <w:sz w:val="16"/>
          <w:szCs w:val="16"/>
          <w:color w:val="auto"/>
        </w:rPr>
        <w:t>the end of each six-month purchase period within the offering period. Participants purchase stock using payroll deductions, which may not exceed 20% of their total cash compensation. Offering and purchase periods begin on December 1 and June 1 of each year. For the three months ended April 28, 2007, there</w:t>
      </w:r>
    </w:p>
    <w:p>
      <w:pPr>
        <w:sectPr>
          <w:pgSz w:w="11900" w:h="16838" w:orient="portrait"/>
          <w:cols w:equalWidth="0" w:num="1">
            <w:col w:w="11400"/>
          </w:cols>
          <w:pgMar w:left="240" w:top="517" w:right="259" w:bottom="0" w:gutter="0" w:footer="0" w:header="0"/>
        </w:sectPr>
      </w:pPr>
    </w:p>
    <w:bookmarkStart w:id="16" w:name="page17"/>
    <w:bookmarkEnd w:id="16"/>
    <w:p>
      <w:pPr>
        <w:ind w:right="120"/>
        <w:spacing w:after="0" w:line="342" w:lineRule="auto"/>
        <w:rPr>
          <w:sz w:val="20"/>
          <w:szCs w:val="20"/>
          <w:color w:val="auto"/>
        </w:rPr>
      </w:pPr>
      <w:r>
        <w:rPr>
          <w:rFonts w:ascii="Arial" w:cs="Arial" w:eastAsia="Arial" w:hAnsi="Arial"/>
          <w:sz w:val="16"/>
          <w:szCs w:val="16"/>
          <w:color w:val="auto"/>
        </w:rPr>
        <w:t>was no stock-based compensation expense related to the activity under the Purchase Plan. The Company did not issue any shares under the Purchase Plan in the three months ended April 28, 2007. As of April 28, 2007, there was no unrecognized compensation cost related to the Purchase Plan.</w:t>
      </w:r>
    </w:p>
    <w:p>
      <w:pPr>
        <w:spacing w:after="0" w:line="124" w:lineRule="exact"/>
        <w:rPr>
          <w:sz w:val="20"/>
          <w:szCs w:val="20"/>
          <w:color w:val="auto"/>
        </w:rPr>
      </w:pPr>
    </w:p>
    <w:p>
      <w:pPr>
        <w:ind w:right="160" w:firstLine="324"/>
        <w:spacing w:after="0" w:line="277" w:lineRule="auto"/>
        <w:rPr>
          <w:sz w:val="20"/>
          <w:szCs w:val="20"/>
          <w:color w:val="auto"/>
        </w:rPr>
      </w:pPr>
      <w:r>
        <w:rPr>
          <w:rFonts w:ascii="Arial" w:cs="Arial" w:eastAsia="Arial" w:hAnsi="Arial"/>
          <w:sz w:val="18"/>
          <w:szCs w:val="18"/>
          <w:color w:val="auto"/>
        </w:rPr>
        <w:t>Stock option activity under the Company’s stock option plans for the three months ended April 28, 2007 is summarized below (in thousands, except per share amounts):</w:t>
      </w:r>
    </w:p>
    <w:p>
      <w:pPr>
        <w:spacing w:after="0" w:line="132"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37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1"/>
              </w:rPr>
              <w:t>Weighted</w:t>
            </w:r>
          </w:p>
        </w:tc>
        <w:tc>
          <w:tcPr>
            <w:tcW w:w="1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3700" w:type="dxa"/>
            <w:vAlign w:val="bottom"/>
          </w:tcPr>
          <w:p>
            <w:pPr>
              <w:spacing w:after="0"/>
              <w:rPr>
                <w:sz w:val="11"/>
                <w:szCs w:val="11"/>
                <w:color w:val="auto"/>
              </w:rPr>
            </w:pPr>
          </w:p>
        </w:tc>
        <w:tc>
          <w:tcPr>
            <w:tcW w:w="13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0"/>
              </w:rPr>
              <w:t>Options</w:t>
            </w:r>
          </w:p>
        </w:tc>
        <w:tc>
          <w:tcPr>
            <w:tcW w:w="180" w:type="dxa"/>
            <w:vAlign w:val="bottom"/>
          </w:tcPr>
          <w:p>
            <w:pPr>
              <w:spacing w:after="0"/>
              <w:rPr>
                <w:sz w:val="11"/>
                <w:szCs w:val="11"/>
                <w:color w:val="auto"/>
              </w:rPr>
            </w:pPr>
          </w:p>
        </w:tc>
        <w:tc>
          <w:tcPr>
            <w:tcW w:w="114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0"/>
              </w:rPr>
              <w:t>Average</w:t>
            </w:r>
          </w:p>
        </w:tc>
        <w:tc>
          <w:tcPr>
            <w:tcW w:w="120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0"/>
              </w:rPr>
              <w:t>Restricted Stock</w:t>
            </w:r>
          </w:p>
        </w:tc>
        <w:tc>
          <w:tcPr>
            <w:tcW w:w="0" w:type="dxa"/>
            <w:vAlign w:val="bottom"/>
          </w:tcPr>
          <w:p>
            <w:pPr>
              <w:spacing w:after="0"/>
              <w:rPr>
                <w:sz w:val="1"/>
                <w:szCs w:val="1"/>
                <w:color w:val="auto"/>
              </w:rPr>
            </w:pPr>
          </w:p>
        </w:tc>
      </w:tr>
      <w:tr>
        <w:trPr>
          <w:trHeight w:val="135"/>
        </w:trPr>
        <w:tc>
          <w:tcPr>
            <w:tcW w:w="3700" w:type="dxa"/>
            <w:vAlign w:val="bottom"/>
          </w:tcPr>
          <w:p>
            <w:pPr>
              <w:spacing w:after="0"/>
              <w:rPr>
                <w:sz w:val="11"/>
                <w:szCs w:val="11"/>
                <w:color w:val="auto"/>
              </w:rPr>
            </w:pPr>
          </w:p>
        </w:tc>
        <w:tc>
          <w:tcPr>
            <w:tcW w:w="130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4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Exercise</w:t>
            </w:r>
          </w:p>
        </w:tc>
        <w:tc>
          <w:tcPr>
            <w:tcW w:w="12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700" w:type="dxa"/>
            <w:vAlign w:val="bottom"/>
          </w:tcPr>
          <w:p>
            <w:pPr>
              <w:spacing w:after="0"/>
              <w:rPr>
                <w:sz w:val="14"/>
                <w:szCs w:val="14"/>
                <w:color w:val="auto"/>
              </w:rPr>
            </w:pPr>
          </w:p>
        </w:tc>
        <w:tc>
          <w:tcPr>
            <w:tcW w:w="13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Outstanding</w:t>
            </w:r>
          </w:p>
        </w:tc>
        <w:tc>
          <w:tcPr>
            <w:tcW w:w="180" w:type="dxa"/>
            <w:vAlign w:val="bottom"/>
          </w:tcPr>
          <w:p>
            <w:pPr>
              <w:spacing w:after="0"/>
              <w:rPr>
                <w:sz w:val="14"/>
                <w:szCs w:val="14"/>
                <w:color w:val="auto"/>
              </w:rPr>
            </w:pPr>
          </w:p>
        </w:tc>
        <w:tc>
          <w:tcPr>
            <w:tcW w:w="11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3"/>
              </w:rPr>
              <w:t>Price</w:t>
            </w:r>
          </w:p>
        </w:tc>
        <w:tc>
          <w:tcPr>
            <w:tcW w:w="120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2"/>
              </w:rPr>
              <w:t>Outstanding</w:t>
            </w:r>
          </w:p>
        </w:tc>
        <w:tc>
          <w:tcPr>
            <w:tcW w:w="0" w:type="dxa"/>
            <w:vAlign w:val="bottom"/>
          </w:tcPr>
          <w:p>
            <w:pPr>
              <w:spacing w:after="0"/>
              <w:rPr>
                <w:sz w:val="1"/>
                <w:szCs w:val="1"/>
                <w:color w:val="auto"/>
              </w:rPr>
            </w:pPr>
          </w:p>
        </w:tc>
      </w:tr>
      <w:tr>
        <w:trPr>
          <w:trHeight w:val="129"/>
        </w:trPr>
        <w:tc>
          <w:tcPr>
            <w:tcW w:w="3700" w:type="dxa"/>
            <w:vAlign w:val="bottom"/>
          </w:tcPr>
          <w:p>
            <w:pPr>
              <w:spacing w:after="0"/>
              <w:rPr>
                <w:sz w:val="11"/>
                <w:szCs w:val="11"/>
                <w:color w:val="auto"/>
              </w:rPr>
            </w:pPr>
          </w:p>
        </w:tc>
        <w:tc>
          <w:tcPr>
            <w:tcW w:w="10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22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1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118,627</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22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tcPr>
          <w:p>
            <w:pPr>
              <w:ind w:left="180"/>
              <w:spacing w:after="0"/>
              <w:rPr>
                <w:sz w:val="20"/>
                <w:szCs w:val="20"/>
                <w:color w:val="auto"/>
              </w:rPr>
            </w:pPr>
            <w:r>
              <w:rPr>
                <w:rFonts w:ascii="Arial" w:cs="Arial" w:eastAsia="Arial" w:hAnsi="Arial"/>
                <w:sz w:val="18"/>
                <w:szCs w:val="18"/>
                <w:color w:val="auto"/>
              </w:rPr>
              <w:t>Options granted</w:t>
            </w:r>
          </w:p>
        </w:tc>
        <w:tc>
          <w:tcPr>
            <w:tcW w:w="1080" w:type="dxa"/>
            <w:vAlign w:val="bottom"/>
          </w:tcPr>
          <w:p>
            <w:pPr>
              <w:jc w:val="right"/>
              <w:spacing w:after="0"/>
              <w:rPr>
                <w:sz w:val="20"/>
                <w:szCs w:val="20"/>
                <w:color w:val="auto"/>
              </w:rPr>
            </w:pPr>
            <w:r>
              <w:rPr>
                <w:rFonts w:ascii="Arial" w:cs="Arial" w:eastAsia="Arial" w:hAnsi="Arial"/>
                <w:sz w:val="18"/>
                <w:szCs w:val="18"/>
                <w:color w:val="auto"/>
              </w:rPr>
              <w:t>1,505</w:t>
            </w:r>
          </w:p>
        </w:tc>
        <w:tc>
          <w:tcPr>
            <w:tcW w:w="22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16.95</w:t>
            </w:r>
          </w:p>
        </w:tc>
        <w:tc>
          <w:tcPr>
            <w:tcW w:w="22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forfeited/canceled/expired</w:t>
            </w: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(1,592)</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16.66</w:t>
            </w: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16"/>
        </w:trPr>
        <w:tc>
          <w:tcPr>
            <w:tcW w:w="3700" w:type="dxa"/>
            <w:vAlign w:val="bottom"/>
          </w:tcPr>
          <w:p>
            <w:pPr>
              <w:ind w:left="180"/>
              <w:spacing w:after="0"/>
              <w:rPr>
                <w:sz w:val="20"/>
                <w:szCs w:val="20"/>
                <w:color w:val="auto"/>
              </w:rPr>
            </w:pPr>
            <w:r>
              <w:rPr>
                <w:rFonts w:ascii="Arial" w:cs="Arial" w:eastAsia="Arial" w:hAnsi="Arial"/>
                <w:sz w:val="18"/>
                <w:szCs w:val="18"/>
                <w:color w:val="auto"/>
              </w:rPr>
              <w:t>Options exercised</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0.00</w:t>
            </w:r>
          </w:p>
        </w:tc>
        <w:tc>
          <w:tcPr>
            <w:tcW w:w="22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28, 2007</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118,540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2,563</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00" w:type="dxa"/>
            <w:vAlign w:val="bottom"/>
            <w:vMerge w:val="restart"/>
          </w:tcPr>
          <w:p>
            <w:pPr>
              <w:spacing w:after="0"/>
              <w:rPr>
                <w:sz w:val="20"/>
                <w:szCs w:val="20"/>
                <w:color w:val="auto"/>
              </w:rPr>
            </w:pPr>
            <w:r>
              <w:rPr>
                <w:rFonts w:ascii="Arial" w:cs="Arial" w:eastAsia="Arial" w:hAnsi="Arial"/>
                <w:sz w:val="18"/>
                <w:szCs w:val="18"/>
                <w:color w:val="auto"/>
              </w:rPr>
              <w:t>Vested or expected to vest at April 28, 2007</w:t>
            </w:r>
          </w:p>
        </w:tc>
        <w:tc>
          <w:tcPr>
            <w:tcW w:w="10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vMerge w:val="restart"/>
          </w:tcPr>
          <w:p>
            <w:pPr>
              <w:jc w:val="right"/>
              <w:spacing w:after="0"/>
              <w:rPr>
                <w:sz w:val="20"/>
                <w:szCs w:val="20"/>
                <w:color w:val="auto"/>
              </w:rPr>
            </w:pPr>
            <w:r>
              <w:rPr>
                <w:rFonts w:ascii="Arial" w:cs="Arial" w:eastAsia="Arial" w:hAnsi="Arial"/>
                <w:sz w:val="18"/>
                <w:szCs w:val="18"/>
                <w:color w:val="auto"/>
              </w:rPr>
              <w:t>13.27</w:t>
            </w:r>
          </w:p>
        </w:tc>
        <w:tc>
          <w:tcPr>
            <w:tcW w:w="220" w:type="dxa"/>
            <w:vAlign w:val="bottom"/>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3700" w:type="dxa"/>
            <w:vAlign w:val="bottom"/>
            <w:tcBorders>
              <w:bottom w:val="single" w:sz="8" w:color="CCEEFF"/>
            </w:tcBorders>
            <w:vMerge w:val="continue"/>
          </w:tcPr>
          <w:p>
            <w:pPr>
              <w:spacing w:after="0"/>
              <w:rPr>
                <w:sz w:val="20"/>
                <w:szCs w:val="20"/>
                <w:color w:val="auto"/>
              </w:rPr>
            </w:pPr>
          </w:p>
        </w:tc>
        <w:tc>
          <w:tcPr>
            <w:tcW w:w="10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111,789</w:t>
            </w:r>
          </w:p>
        </w:tc>
        <w:tc>
          <w:tcPr>
            <w:tcW w:w="220" w:type="dxa"/>
            <w:vAlign w:val="bottom"/>
            <w:tcBorders>
              <w:bottom w:val="single" w:sz="8" w:color="CCEEFF"/>
            </w:tcBorders>
          </w:tcPr>
          <w:p>
            <w:pPr>
              <w:spacing w:after="0"/>
              <w:rPr>
                <w:sz w:val="20"/>
                <w:szCs w:val="20"/>
                <w:color w:val="auto"/>
              </w:rPr>
            </w:pPr>
          </w:p>
        </w:tc>
        <w:tc>
          <w:tcPr>
            <w:tcW w:w="180" w:type="dxa"/>
            <w:vAlign w:val="bottom"/>
            <w:tcBorders>
              <w:bottom w:val="single" w:sz="8" w:color="CCEEFF"/>
            </w:tcBorders>
            <w:vMerge w:val="continue"/>
          </w:tcPr>
          <w:p>
            <w:pPr>
              <w:spacing w:after="0"/>
              <w:rPr>
                <w:sz w:val="20"/>
                <w:szCs w:val="20"/>
                <w:color w:val="auto"/>
              </w:rPr>
            </w:pPr>
          </w:p>
        </w:tc>
        <w:tc>
          <w:tcPr>
            <w:tcW w:w="920" w:type="dxa"/>
            <w:vAlign w:val="bottom"/>
            <w:tcBorders>
              <w:bottom w:val="single" w:sz="8" w:color="CCEEFF"/>
            </w:tcBorders>
            <w:vMerge w:val="continue"/>
          </w:tcPr>
          <w:p>
            <w:pPr>
              <w:spacing w:after="0"/>
              <w:rPr>
                <w:sz w:val="20"/>
                <w:szCs w:val="20"/>
                <w:color w:val="auto"/>
              </w:rPr>
            </w:pPr>
          </w:p>
        </w:tc>
        <w:tc>
          <w:tcPr>
            <w:tcW w:w="220" w:type="dxa"/>
            <w:vAlign w:val="bottom"/>
            <w:tcBorders>
              <w:bottom w:val="single" w:sz="8" w:color="CCEEFF"/>
            </w:tcBorders>
          </w:tcPr>
          <w:p>
            <w:pPr>
              <w:spacing w:after="0"/>
              <w:rPr>
                <w:sz w:val="20"/>
                <w:szCs w:val="20"/>
                <w:color w:val="auto"/>
              </w:rPr>
            </w:pP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2,372</w:t>
            </w:r>
          </w:p>
        </w:tc>
        <w:tc>
          <w:tcPr>
            <w:tcW w:w="8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197"/>
        </w:trPr>
        <w:tc>
          <w:tcPr>
            <w:tcW w:w="3700" w:type="dxa"/>
            <w:vAlign w:val="bottom"/>
            <w:tcBorders>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Exercisable at April 28, 2007</w:t>
            </w:r>
          </w:p>
        </w:tc>
        <w:tc>
          <w:tcPr>
            <w:tcW w:w="108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50,466</w:t>
            </w:r>
          </w:p>
        </w:tc>
        <w:tc>
          <w:tcPr>
            <w:tcW w:w="220" w:type="dxa"/>
            <w:vAlign w:val="bottom"/>
            <w:tcBorders>
              <w:bottom w:val="single" w:sz="8" w:color="CCEEFF"/>
            </w:tcBorders>
            <w:shd w:val="clear" w:color="auto" w:fill="CCEEFF"/>
          </w:tcPr>
          <w:p>
            <w:pPr>
              <w:spacing w:after="0"/>
              <w:rPr>
                <w:sz w:val="17"/>
                <w:szCs w:val="17"/>
                <w:color w:val="auto"/>
              </w:rPr>
            </w:pPr>
          </w:p>
        </w:tc>
        <w:tc>
          <w:tcPr>
            <w:tcW w:w="18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8.10</w:t>
            </w:r>
          </w:p>
        </w:tc>
        <w:tc>
          <w:tcPr>
            <w:tcW w:w="220" w:type="dxa"/>
            <w:vAlign w:val="bottom"/>
            <w:tcBorders>
              <w:bottom w:val="single" w:sz="8" w:color="CCEEFF"/>
            </w:tcBorders>
            <w:shd w:val="clear" w:color="auto" w:fill="CCEEFF"/>
          </w:tcPr>
          <w:p>
            <w:pPr>
              <w:spacing w:after="0"/>
              <w:rPr>
                <w:sz w:val="17"/>
                <w:szCs w:val="17"/>
                <w:color w:val="auto"/>
              </w:rPr>
            </w:pPr>
          </w:p>
        </w:tc>
        <w:tc>
          <w:tcPr>
            <w:tcW w:w="112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3700" w:type="dxa"/>
            <w:vAlign w:val="bottom"/>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 w:firstLine="324"/>
        <w:spacing w:after="0" w:line="277" w:lineRule="auto"/>
        <w:rPr>
          <w:sz w:val="20"/>
          <w:szCs w:val="20"/>
          <w:color w:val="auto"/>
        </w:rPr>
      </w:pPr>
      <w:r>
        <w:rPr>
          <w:rFonts w:ascii="Arial" w:cs="Arial" w:eastAsia="Arial" w:hAnsi="Arial"/>
          <w:sz w:val="18"/>
          <w:szCs w:val="18"/>
          <w:color w:val="auto"/>
        </w:rPr>
        <w:t>Included in the preceding table are 1,690,000 shares of options granted to certain officers at an exercise price of $24.80 that will become exercisable only upon the achievement of specified annual earnings per share targets through fiscal 2010.</w:t>
      </w:r>
    </w:p>
    <w:p>
      <w:pPr>
        <w:spacing w:after="0" w:line="170"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April 28, 2007 was $625.7 million and 6.7 years, respectively. The aggregate intrinsic value and weighted average remaining contractual term of options exercisable at April 28, 2007 was $453.4 million and 5.3 years, respectively. The aggregate intrinsic value is calculated based on the Company’s closing stock price for all in-the-money options as of April 28, 2007.</w:t>
      </w:r>
    </w:p>
    <w:p>
      <w:pPr>
        <w:spacing w:after="0" w:line="187"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aggregate intrinsic value and weighted average remaining contractual term of restricted stock vested and expected to vest as of April 28, 2007 was $38.6 million and 1.2 years, respectively.</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Included in the table below is activity related to the nonvested portion of the stock based arrangements as follows:</w:t>
      </w:r>
    </w:p>
    <w:p>
      <w:pPr>
        <w:spacing w:after="0" w:line="187"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2500" w:type="dxa"/>
            <w:vAlign w:val="bottom"/>
          </w:tcPr>
          <w:p>
            <w:pPr>
              <w:spacing w:after="0"/>
              <w:rPr>
                <w:sz w:val="14"/>
                <w:szCs w:val="14"/>
                <w:color w:val="auto"/>
              </w:rPr>
            </w:pPr>
          </w:p>
        </w:tc>
        <w:tc>
          <w:tcPr>
            <w:tcW w:w="104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89"/>
              </w:rPr>
              <w:t>Nonvested</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1"/>
              </w:rPr>
              <w:t>Weighted</w:t>
            </w:r>
          </w:p>
        </w:tc>
        <w:tc>
          <w:tcPr>
            <w:tcW w:w="10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9"/>
              </w:rPr>
              <w:t>Nonvested</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250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0"/>
              </w:rPr>
              <w:t>Average</w:t>
            </w:r>
          </w:p>
        </w:tc>
        <w:tc>
          <w:tcPr>
            <w:tcW w:w="106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Restricted</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2500" w:type="dxa"/>
            <w:vAlign w:val="bottom"/>
          </w:tcPr>
          <w:p>
            <w:pPr>
              <w:spacing w:after="0"/>
              <w:rPr>
                <w:sz w:val="11"/>
                <w:szCs w:val="11"/>
                <w:color w:val="auto"/>
              </w:rPr>
            </w:pPr>
          </w:p>
        </w:tc>
        <w:tc>
          <w:tcPr>
            <w:tcW w:w="104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0"/>
              </w:rPr>
              <w:t>Options</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7"/>
              </w:rPr>
              <w:t>Grant Date</w:t>
            </w:r>
          </w:p>
        </w:tc>
        <w:tc>
          <w:tcPr>
            <w:tcW w:w="1060" w:type="dxa"/>
            <w:vAlign w:val="bottom"/>
            <w:gridSpan w:val="2"/>
          </w:tcPr>
          <w:p>
            <w:pPr>
              <w:jc w:val="center"/>
              <w:ind w:right="120"/>
              <w:spacing w:after="0" w:line="135" w:lineRule="exact"/>
              <w:rPr>
                <w:sz w:val="20"/>
                <w:szCs w:val="20"/>
                <w:color w:val="auto"/>
              </w:rPr>
            </w:pPr>
            <w:r>
              <w:rPr>
                <w:rFonts w:ascii="Arial" w:cs="Arial" w:eastAsia="Arial" w:hAnsi="Arial"/>
                <w:sz w:val="14"/>
                <w:szCs w:val="14"/>
                <w:b w:val="1"/>
                <w:bCs w:val="1"/>
                <w:color w:val="auto"/>
                <w:w w:val="89"/>
              </w:rPr>
              <w:t>Stock</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2500" w:type="dxa"/>
            <w:vAlign w:val="bottom"/>
          </w:tcPr>
          <w:p>
            <w:pPr>
              <w:spacing w:after="0"/>
              <w:rPr>
                <w:sz w:val="14"/>
                <w:szCs w:val="14"/>
                <w:color w:val="auto"/>
              </w:rPr>
            </w:pPr>
          </w:p>
        </w:tc>
        <w:tc>
          <w:tcPr>
            <w:tcW w:w="10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Outstanding</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5"/>
              </w:rPr>
              <w:t>Fair Value</w:t>
            </w:r>
          </w:p>
        </w:tc>
        <w:tc>
          <w:tcPr>
            <w:tcW w:w="10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2"/>
              </w:rPr>
              <w:t>Outstanding</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84,731</w:t>
            </w:r>
          </w:p>
        </w:tc>
        <w:tc>
          <w:tcPr>
            <w:tcW w:w="14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8.72</w:t>
            </w:r>
          </w:p>
        </w:tc>
        <w:tc>
          <w:tcPr>
            <w:tcW w:w="18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1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00" w:type="dxa"/>
            <w:vAlign w:val="bottom"/>
          </w:tcPr>
          <w:p>
            <w:pPr>
              <w:ind w:left="180"/>
              <w:spacing w:after="0"/>
              <w:rPr>
                <w:sz w:val="20"/>
                <w:szCs w:val="20"/>
                <w:color w:val="auto"/>
              </w:rPr>
            </w:pPr>
            <w:r>
              <w:rPr>
                <w:rFonts w:ascii="Arial" w:cs="Arial" w:eastAsia="Arial" w:hAnsi="Arial"/>
                <w:sz w:val="18"/>
                <w:szCs w:val="18"/>
                <w:color w:val="auto"/>
              </w:rPr>
              <w:t>Granted</w:t>
            </w:r>
          </w:p>
        </w:tc>
        <w:tc>
          <w:tcPr>
            <w:tcW w:w="900" w:type="dxa"/>
            <w:vAlign w:val="bottom"/>
          </w:tcPr>
          <w:p>
            <w:pPr>
              <w:jc w:val="right"/>
              <w:spacing w:after="0"/>
              <w:rPr>
                <w:sz w:val="20"/>
                <w:szCs w:val="20"/>
                <w:color w:val="auto"/>
              </w:rPr>
            </w:pPr>
            <w:r>
              <w:rPr>
                <w:rFonts w:ascii="Arial" w:cs="Arial" w:eastAsia="Arial" w:hAnsi="Arial"/>
                <w:sz w:val="18"/>
                <w:szCs w:val="18"/>
                <w:color w:val="auto"/>
              </w:rPr>
              <w:t>1,505</w:t>
            </w:r>
          </w:p>
        </w:tc>
        <w:tc>
          <w:tcPr>
            <w:tcW w:w="14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6.77</w:t>
            </w:r>
          </w:p>
        </w:tc>
        <w:tc>
          <w:tcPr>
            <w:tcW w:w="18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16.95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0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(9,136)</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4.69</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(1,598)</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6.96</w:t>
            </w:r>
          </w:p>
        </w:tc>
        <w:tc>
          <w:tcPr>
            <w:tcW w:w="18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(58)</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19.30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5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28, 2007</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75,502</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8.13</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2,671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19.91</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50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40" w:firstLine="324"/>
        <w:spacing w:after="0" w:line="286" w:lineRule="auto"/>
        <w:rPr>
          <w:sz w:val="20"/>
          <w:szCs w:val="20"/>
          <w:color w:val="auto"/>
        </w:rPr>
      </w:pPr>
      <w:r>
        <w:rPr>
          <w:rFonts w:ascii="Arial" w:cs="Arial" w:eastAsia="Arial" w:hAnsi="Arial"/>
          <w:sz w:val="17"/>
          <w:szCs w:val="17"/>
          <w:color w:val="auto"/>
        </w:rPr>
        <w:t>The Company’s current practice is to issue new shares to satisfy share option exercises. As of April 28, 2007, compensation costs related to nonvested awards not yet recognized amounted to $506.7 million. The unamortized compensation expense for stock options and restricted stock will be amortized on a straight-line basis and is expected to be recognized over a weighted-average period of 2.3 years and 2.6 years, respectively.</w:t>
      </w:r>
    </w:p>
    <w:p>
      <w:pPr>
        <w:spacing w:after="0" w:line="166"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There was no total tax benefit attributable to options exercised in the three months ended April 28, 2007. There were no excess tax benefits from stock-based compensation as reported on the condensed consolidated statement of cash flows in financing activities represents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ind w:firstLine="324"/>
        <w:spacing w:after="0" w:line="297" w:lineRule="auto"/>
        <w:rPr>
          <w:sz w:val="20"/>
          <w:szCs w:val="20"/>
          <w:color w:val="auto"/>
        </w:rPr>
      </w:pPr>
      <w:r>
        <w:rPr>
          <w:rFonts w:ascii="Arial" w:cs="Arial" w:eastAsia="Arial" w:hAnsi="Arial"/>
          <w:sz w:val="16"/>
          <w:szCs w:val="16"/>
          <w:color w:val="auto"/>
        </w:rPr>
        <w:t>Under applicable securities laws, the Company suspended all stock option exercise transactions under its Stock Option Plan effective on the close of business on September 7, 2006. On September 8, 2006, management communicated the trading suspension, which was expected to last until the Company files its delinquent SEC reports, to all option holders. As a result, the exercisability on all outstanding options, including vested awards held by certain separated employees, was modified. Incremental compensation costs, representing the excess of the fair value of the modified award over the fair value of the original award immediately before the filing of the Company’s delinquent SEC reports, on affected awards will be recognized the second half of fiscal 2008.</w:t>
      </w:r>
    </w:p>
    <w:p>
      <w:pPr>
        <w:spacing w:after="0" w:line="15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In the first quarter of fiscal 2007, the Company granted 140,000 restricted stock awards to its employees under the 1995 Stock Option Plan. Such awards generally vest over a period of five years from the date of grant. The restricted stock awards have the voting rights of common stock and the shares underlying the restricted are considered issued and outstanding. The Company expenses the cost of the restricted stock awards, which is determined to be the fair market value of the shares at the date of grant, ratably over the period during which the restrictions lapse. The grant of restricted stock awards is deducted from the shares available for grant under the Company’s stock option plan. Restricted stock activity under the Company’s stock option plans for the three months ended April 28, 2007 is summarized below (in thousands, except per share amounts):</w:t>
      </w:r>
    </w:p>
    <w:p>
      <w:pPr>
        <w:spacing w:after="0" w:line="140" w:lineRule="exact"/>
        <w:rPr>
          <w:sz w:val="20"/>
          <w:szCs w:val="20"/>
          <w:color w:val="auto"/>
        </w:rPr>
      </w:pPr>
    </w:p>
    <w:tbl>
      <w:tblPr>
        <w:tblLayout w:type="fixed"/>
        <w:tblInd w:w="5860" w:type="dxa"/>
        <w:tblCellMar>
          <w:top w:w="0" w:type="dxa"/>
          <w:left w:w="0" w:type="dxa"/>
          <w:bottom w:w="0" w:type="dxa"/>
          <w:right w:w="0" w:type="dxa"/>
        </w:tblCellMar>
      </w:tblPr>
      <w:tr>
        <w:trPr>
          <w:trHeight w:val="161"/>
        </w:trPr>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60" w:type="dxa"/>
            <w:vAlign w:val="bottom"/>
          </w:tcPr>
          <w:p>
            <w:pPr>
              <w:jc w:val="center"/>
              <w:spacing w:after="0"/>
              <w:rPr>
                <w:sz w:val="20"/>
                <w:szCs w:val="20"/>
                <w:color w:val="auto"/>
              </w:rPr>
            </w:pPr>
            <w:r>
              <w:rPr>
                <w:rFonts w:ascii="Arial" w:cs="Arial" w:eastAsia="Arial" w:hAnsi="Arial"/>
                <w:sz w:val="14"/>
                <w:szCs w:val="14"/>
                <w:b w:val="1"/>
                <w:bCs w:val="1"/>
                <w:color w:val="auto"/>
                <w:w w:val="95"/>
              </w:rPr>
              <w:t>Weighted</w:t>
            </w:r>
          </w:p>
        </w:tc>
        <w:tc>
          <w:tcPr>
            <w:tcW w:w="0" w:type="dxa"/>
            <w:vAlign w:val="bottom"/>
          </w:tcPr>
          <w:p>
            <w:pPr>
              <w:spacing w:after="0"/>
              <w:rPr>
                <w:sz w:val="1"/>
                <w:szCs w:val="1"/>
                <w:color w:val="auto"/>
              </w:rPr>
            </w:pPr>
          </w:p>
        </w:tc>
      </w:tr>
      <w:tr>
        <w:trPr>
          <w:trHeight w:val="135"/>
        </w:trPr>
        <w:tc>
          <w:tcPr>
            <w:tcW w:w="124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0"/>
              </w:rPr>
              <w:t>Restricted Stock</w:t>
            </w:r>
          </w:p>
        </w:tc>
        <w:tc>
          <w:tcPr>
            <w:tcW w:w="10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1240" w:type="dxa"/>
            <w:vAlign w:val="bottom"/>
            <w:gridSpan w:val="2"/>
            <w:vMerge w:val="continue"/>
          </w:tcPr>
          <w:p>
            <w:pPr>
              <w:spacing w:after="0"/>
              <w:rPr>
                <w:sz w:val="11"/>
                <w:szCs w:val="11"/>
                <w:color w:val="auto"/>
              </w:rPr>
            </w:pPr>
          </w:p>
        </w:tc>
        <w:tc>
          <w:tcPr>
            <w:tcW w:w="10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10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Outstanding</w:t>
            </w:r>
          </w:p>
        </w:tc>
        <w:tc>
          <w:tcPr>
            <w:tcW w:w="220" w:type="dxa"/>
            <w:vAlign w:val="bottom"/>
          </w:tcPr>
          <w:p>
            <w:pPr>
              <w:spacing w:after="0"/>
              <w:rPr>
                <w:sz w:val="14"/>
                <w:szCs w:val="14"/>
                <w:color w:val="auto"/>
              </w:rPr>
            </w:pPr>
          </w:p>
        </w:tc>
        <w:tc>
          <w:tcPr>
            <w:tcW w:w="10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25" w:right="239" w:bottom="0" w:gutter="0" w:footer="0" w:header="0"/>
        </w:sectPr>
      </w:pPr>
    </w:p>
    <w:p>
      <w:pPr>
        <w:spacing w:after="0" w:line="16" w:lineRule="exact"/>
        <w:rPr>
          <w:sz w:val="20"/>
          <w:szCs w:val="20"/>
          <w:color w:val="auto"/>
        </w:rPr>
      </w:pPr>
    </w:p>
    <w:tbl>
      <w:tblPr>
        <w:tblLayout w:type="fixed"/>
        <w:tblInd w:w="980" w:type="dxa"/>
        <w:tblCellMar>
          <w:top w:w="0" w:type="dxa"/>
          <w:left w:w="0" w:type="dxa"/>
          <w:bottom w:w="0" w:type="dxa"/>
          <w:right w:w="0" w:type="dxa"/>
        </w:tblCellMar>
      </w:tblPr>
      <w:tr>
        <w:trPr>
          <w:trHeight w:val="216"/>
        </w:trPr>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21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140</w:t>
            </w:r>
          </w:p>
        </w:tc>
        <w:tc>
          <w:tcPr>
            <w:tcW w:w="4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32.21</w:t>
            </w:r>
          </w:p>
        </w:tc>
      </w:tr>
      <w:tr>
        <w:trPr>
          <w:trHeight w:val="216"/>
        </w:trPr>
        <w:tc>
          <w:tcPr>
            <w:tcW w:w="3820" w:type="dxa"/>
            <w:vAlign w:val="bottom"/>
          </w:tcPr>
          <w:p>
            <w:pPr>
              <w:ind w:left="180"/>
              <w:spacing w:after="0"/>
              <w:rPr>
                <w:sz w:val="20"/>
                <w:szCs w:val="20"/>
                <w:color w:val="auto"/>
              </w:rPr>
            </w:pPr>
            <w:r>
              <w:rPr>
                <w:rFonts w:ascii="Arial" w:cs="Arial" w:eastAsia="Arial" w:hAnsi="Arial"/>
                <w:sz w:val="18"/>
                <w:szCs w:val="18"/>
                <w:color w:val="auto"/>
              </w:rPr>
              <w:t>Restricted stock granted</w:t>
            </w:r>
          </w:p>
        </w:tc>
        <w:tc>
          <w:tcPr>
            <w:tcW w:w="218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78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16"/>
        </w:trPr>
        <w:tc>
          <w:tcPr>
            <w:tcW w:w="3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Restricted stock forfeited</w:t>
            </w:r>
          </w:p>
        </w:tc>
        <w:tc>
          <w:tcPr>
            <w:tcW w:w="21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7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bl>
    <w:p>
      <w:pPr>
        <w:sectPr>
          <w:pgSz w:w="11900" w:h="16838" w:orient="portrait"/>
          <w:cols w:equalWidth="0" w:num="1">
            <w:col w:w="11420"/>
          </w:cols>
          <w:pgMar w:left="240" w:top="125" w:right="239" w:bottom="0" w:gutter="0" w:footer="0" w:header="0"/>
          <w:type w:val="continuous"/>
        </w:sectPr>
      </w:pPr>
    </w:p>
    <w:bookmarkStart w:id="17" w:name="page18"/>
    <w:bookmarkEnd w:id="17"/>
    <w:p>
      <w:pPr>
        <w:spacing w:after="0" w:line="41" w:lineRule="exact"/>
        <w:rPr>
          <w:sz w:val="20"/>
          <w:szCs w:val="20"/>
          <w:color w:val="auto"/>
        </w:rPr>
      </w:pPr>
    </w:p>
    <w:tbl>
      <w:tblPr>
        <w:tblLayout w:type="fixed"/>
        <w:tblInd w:w="980" w:type="dxa"/>
        <w:tblCellMar>
          <w:top w:w="0" w:type="dxa"/>
          <w:left w:w="0" w:type="dxa"/>
          <w:bottom w:w="0" w:type="dxa"/>
          <w:right w:w="0" w:type="dxa"/>
        </w:tblCellMar>
      </w:tblPr>
      <w:tr>
        <w:trPr>
          <w:trHeight w:val="230"/>
        </w:trPr>
        <w:tc>
          <w:tcPr>
            <w:tcW w:w="4880" w:type="dxa"/>
            <w:vAlign w:val="bottom"/>
          </w:tcPr>
          <w:p>
            <w:pPr>
              <w:ind w:left="180"/>
              <w:spacing w:after="0"/>
              <w:rPr>
                <w:sz w:val="20"/>
                <w:szCs w:val="20"/>
                <w:color w:val="auto"/>
              </w:rPr>
            </w:pPr>
            <w:r>
              <w:rPr>
                <w:rFonts w:ascii="Arial" w:cs="Arial" w:eastAsia="Arial" w:hAnsi="Arial"/>
                <w:sz w:val="18"/>
                <w:szCs w:val="18"/>
                <w:color w:val="auto"/>
              </w:rPr>
              <w:t>Restricted stock vested</w:t>
            </w:r>
          </w:p>
        </w:tc>
        <w:tc>
          <w:tcPr>
            <w:tcW w:w="10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0"/>
        </w:trPr>
        <w:tc>
          <w:tcPr>
            <w:tcW w:w="48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28, 2007</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360" w:type="dxa"/>
            <w:vAlign w:val="bottom"/>
            <w:tcBorders>
              <w:top w:val="single" w:sz="8" w:color="auto"/>
              <w:bottom w:val="single" w:sz="8" w:color="auto"/>
            </w:tcBorders>
            <w:shd w:val="clear" w:color="auto" w:fill="CCEEFF"/>
          </w:tcPr>
          <w:p>
            <w:pPr>
              <w:jc w:val="right"/>
              <w:ind w:right="20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32.21</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8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No restricted stock awards vested during the three months ended April 28, 2007. Based on the closing price of the Company’s stock of $16.28, on April 27, 2007, the total pretax intrinsic value of all outstanding restricted stock was $2.3 million.</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Taxes</w:t>
      </w:r>
    </w:p>
    <w:p>
      <w:pPr>
        <w:spacing w:after="0" w:line="22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Effective January 28, 2007, the Company adopted the provisions of Financial Standards Accounting Board Interpretation No. 48, Accounting for Uncertainty in Income Taxes (“FIN 48”). The adoption of FIN 48 did not result in any reclassifications of uncertain tax liabilities and did not have a cumulative impact to retained earnings. As of January 28, 2007, the Company’s liabilities for unrecognized tax benefits totaled $116.8 million which includes interest and penalties of $31.5 million. The Company recorded an increase of its unrecognized tax benefits of approximately $3.9 million during the quarter ended April 28, 2007, which included penalties and interest of $2.4 million. This amount is included in other long-term tax liabilities and includes penalties and interest. The cumulative uncertain tax position balance as of April 28, 2007 is $120.7 million, if recognized, would favorably affect the Company’s effective tax rate.</w:t>
      </w:r>
    </w:p>
    <w:p>
      <w:pPr>
        <w:spacing w:after="0" w:line="189" w:lineRule="exact"/>
        <w:rPr>
          <w:sz w:val="20"/>
          <w:szCs w:val="20"/>
          <w:color w:val="auto"/>
        </w:rPr>
      </w:pPr>
    </w:p>
    <w:p>
      <w:pPr>
        <w:ind w:right="300" w:firstLine="324"/>
        <w:spacing w:after="0" w:line="277" w:lineRule="auto"/>
        <w:rPr>
          <w:sz w:val="20"/>
          <w:szCs w:val="20"/>
          <w:color w:val="auto"/>
        </w:rPr>
      </w:pPr>
      <w:r>
        <w:rPr>
          <w:rFonts w:ascii="Arial" w:cs="Arial" w:eastAsia="Arial" w:hAnsi="Arial"/>
          <w:sz w:val="18"/>
          <w:szCs w:val="18"/>
          <w:color w:val="auto"/>
        </w:rPr>
        <w:t>In accordance with the Company’s accounting policy, the Company recognizes accrued interest and penalties related to unrecognized tax benefits as a component of tax expense. This policy did not change as a result of the adoption of FIN 48.</w:t>
      </w:r>
    </w:p>
    <w:p>
      <w:pPr>
        <w:spacing w:after="0" w:line="170"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The Company conducts business globally and, as a result, one or more of its subsidiaries files income tax returns in the U.S. federal jurisdiction and various state and foreign jurisdictions. The Company is subject to examination by tax authorities throughout the world, including such major jurisdictions as Singapore, Japan, Taiwan, China, India, Israel, Netherlands, Switzerland, the United Kingdom, and the United States. The Company is subject to non-U.S. income tax examinations for years beginning with fiscal year 2002 and for U.S. income tax examinations beginning with fiscal year 2004. The U.S. subsidiaries are currently under audit by the U.S. tax authorities for the fiscal years 2004, 2005 and 2006. The U.S. tax authorities are also reviewing employment taxes with regard to the re-measured stock options. The Company has accrued for the employment taxes and believes that it has adequately provided for this liability. The Company does not believe that the total amount of unrecognized benefits will significantly change within the next year.</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Related Party Transactions</w:t>
      </w:r>
    </w:p>
    <w:p>
      <w:pPr>
        <w:spacing w:after="0" w:line="229"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During the first quarters of fiscal 2008 and 2007, the Company incurred approximately none and $0.4 million, respectively, of expenses from an unrelated third-party entity, ACM Aviation, Inc. (“ACM”), for charter aircraft services provided to Marvell Semiconductor, Inc. (“MSI”) for Estopia Air LLC (“Estopia Air”). The aircraft provided by ACM to the Company for such services is owned by Estopia Air. The Company’s Chairman, President and Chief Executive Officer, Sehat Sutardja, Ph.D, and the Company’s Director of Strategic Marketing and Business Development, Weili Dai, through their control and ownership of Estopia Air, own the aircraft provided by ACM. Expenses were incurred for business travel use of the aircraft at a cost determined to be at fair market value.</w:t>
      </w:r>
    </w:p>
    <w:p>
      <w:pPr>
        <w:spacing w:after="0" w:line="193"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On February 19, 2005, the Company, through its subsidiaries MSI and Marvell Asia Pte. Ltd. (“MAPL”), entered into a development agreement with MagnetoX Inc. (“MagnetoX”). The development agreement has substantially similar terms as other development agreements with other parties. The Company did not recognize any revenue from the development agreement during the first quarter of fiscal 2008 and fiscal 2007. Total revenue expected to be recognized from the development agreement is $1.0 million. Herbert Chang, one of the Company’s directors, is Chairman of the Board, President and Chief Executive Officer of MagnetoX. Estopia LLC (“Estopia”) is also a shareholder of MagnetoX. Sehat Sutardja, Ph.D., and Weili Dai, through their ownership and control of Estopia, are indirect shareholders of MagnetoX.</w:t>
      </w:r>
    </w:p>
    <w:p>
      <w:pPr>
        <w:spacing w:after="0" w:line="193" w:lineRule="exact"/>
        <w:rPr>
          <w:sz w:val="20"/>
          <w:szCs w:val="20"/>
          <w:color w:val="auto"/>
        </w:rPr>
      </w:pPr>
    </w:p>
    <w:p>
      <w:pPr>
        <w:ind w:right="60" w:firstLine="324"/>
        <w:spacing w:after="0" w:line="293" w:lineRule="auto"/>
        <w:rPr>
          <w:sz w:val="20"/>
          <w:szCs w:val="20"/>
          <w:color w:val="auto"/>
        </w:rPr>
      </w:pPr>
      <w:r>
        <w:rPr>
          <w:rFonts w:ascii="Arial" w:cs="Arial" w:eastAsia="Arial" w:hAnsi="Arial"/>
          <w:sz w:val="16"/>
          <w:szCs w:val="16"/>
          <w:color w:val="auto"/>
        </w:rPr>
        <w:t>On August 19, 2005, the Company, through its subsidiaries MSI and Marvell International Ltd., entered into a License and Manufacturing Services Agreement (the “License Agreement”) with C2 Microsystems, Inc. (“C2Micro”). The License Agreement has substantially similar terms as other license and manufacturing services agreements with other third parties. The Company recognized $30,000 of revenue under the License Agreement with C2 Micro during the first quarter of fiscal 2008 and $0.2 million of revenue during the first quarter of fiscal 2007. Sehat Sutardja, Ph.D., and Weili Dai, through their ownership and control of Estopia, are indirect shareholders of C2Micro. Herbert Chang, through his ownership and control of C-Squared venture entities, is also an indirect shareholder of C2Micro. Pantas Sutardja, Ph.D., the Company’s Chief Technology Officer, is also a shareholder of C2Micro.</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Subsequent Events</w:t>
      </w:r>
    </w:p>
    <w:p>
      <w:pPr>
        <w:spacing w:after="0" w:line="229" w:lineRule="exact"/>
        <w:rPr>
          <w:sz w:val="20"/>
          <w:szCs w:val="20"/>
          <w:color w:val="auto"/>
        </w:rPr>
      </w:pPr>
    </w:p>
    <w:p>
      <w:pPr>
        <w:ind w:right="500" w:firstLine="324"/>
        <w:spacing w:after="0" w:line="277" w:lineRule="auto"/>
        <w:rPr>
          <w:sz w:val="20"/>
          <w:szCs w:val="20"/>
          <w:color w:val="auto"/>
        </w:rPr>
      </w:pPr>
      <w:r>
        <w:rPr>
          <w:rFonts w:ascii="Arial" w:cs="Arial" w:eastAsia="Arial" w:hAnsi="Arial"/>
          <w:sz w:val="18"/>
          <w:szCs w:val="18"/>
          <w:color w:val="auto"/>
        </w:rPr>
        <w:t>On May 18, 2007, the Company completed the acquisition of a private company for a purchase price of $9.4 million in cash. The private company designs and develops software for the optical storage applications.</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180" w:firstLine="369"/>
        <w:spacing w:after="0" w:line="290" w:lineRule="auto"/>
        <w:rPr>
          <w:sz w:val="20"/>
          <w:szCs w:val="20"/>
          <w:color w:val="auto"/>
        </w:rPr>
      </w:pPr>
      <w:r>
        <w:rPr>
          <w:rFonts w:ascii="Arial" w:cs="Arial" w:eastAsia="Arial" w:hAnsi="Arial"/>
          <w:sz w:val="16"/>
          <w:szCs w:val="16"/>
          <w:i w:val="1"/>
          <w:iCs w:val="1"/>
          <w:color w:val="auto"/>
        </w:rPr>
        <w:t>The statements contained in this Quarterly Report on Form 10-Q that are not purely historical are forward-looking statements within the meaning of Section 27A of the Securities Act of 1933, as amended, and Section 21E of the Securities Act of 1934, as amended, including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 of additional growth in fiscal 2008 due to various reasons, including expected increases in shipments of cellular and handheld,</w:t>
      </w:r>
    </w:p>
    <w:p>
      <w:pPr>
        <w:sectPr>
          <w:pgSz w:w="11900" w:h="16879" w:orient="portrait"/>
          <w:cols w:equalWidth="0" w:num="1">
            <w:col w:w="11420"/>
          </w:cols>
          <w:pgMar w:left="240" w:top="125" w:right="239" w:bottom="0" w:gutter="0" w:footer="0" w:header="0"/>
        </w:sectPr>
      </w:pPr>
    </w:p>
    <w:bookmarkStart w:id="18" w:name="page19"/>
    <w:bookmarkEnd w:id="18"/>
    <w:p>
      <w:pPr>
        <w:spacing w:after="0" w:line="283" w:lineRule="auto"/>
        <w:rPr>
          <w:sz w:val="20"/>
          <w:szCs w:val="20"/>
          <w:color w:val="auto"/>
        </w:rPr>
      </w:pPr>
      <w:r>
        <w:rPr>
          <w:rFonts w:ascii="Arial" w:cs="Arial" w:eastAsia="Arial" w:hAnsi="Arial"/>
          <w:sz w:val="16"/>
          <w:szCs w:val="16"/>
          <w:i w:val="1"/>
          <w:iCs w:val="1"/>
          <w:color w:val="auto"/>
        </w:rPr>
        <w:t>printer ASIC and our WLAN products from new design wins, and our belief that our analog, mixed signal, digital signal processing and embedded microprocessor integrated circuit technology can be leveraged into other large volume and diverse markets; the potential opportunities for a new generation of integrated circuit solutions in response to growing demand for products enabling the storage, transmission and management of large volumes of data at high speeds; the anticipated benefits of consolidating our facilities and the sufficiency of our facilities; the anticipated features and benefits of our technology solutions; our strategy and components of our strategy, including our intention to expand our market position by developing new signal processing technologies, to leverage our technology for broadband communications applications, to continue to extend our leadership position for storage market applications, and to strengthen and expand our relationship with customers using a variety of techniques; the anticipated needs of our customers; our expectations to transition our semiconductor products to increasingly smaller line width geometries; our intention to continue to use widely available CMOS processes to manufacture our products; the benefits of our fabless manufacturing approach;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of legal proceedings and claims; our expectations regarding the adequacy of our capital resources to meet our capital needs; our expectations regarding the growth in business and operations; our expectations regarding our compliance with SEC periodic reporting requirements and NASDAQ listing requirements; our expectations regarding the impact of the restatement of our financial statements in connection with the internal review of our historical stock option granting; our plans regarding remediation of 2007 material weakness and expectations regarding the effectiveness of those remediation efforts; our plan regarding dividends;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risk that other remediation efforts will be insufficient to address our material weakness in internal controls and the outcome pending or future litigation and legal proceedings.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4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60" w:firstLine="324"/>
        <w:spacing w:after="0" w:line="269" w:lineRule="auto"/>
        <w:rPr>
          <w:sz w:val="20"/>
          <w:szCs w:val="20"/>
          <w:color w:val="auto"/>
        </w:rPr>
      </w:pPr>
      <w:r>
        <w:rPr>
          <w:rFonts w:ascii="Arial" w:cs="Arial" w:eastAsia="Arial" w:hAnsi="Arial"/>
          <w:sz w:val="17"/>
          <w:szCs w:val="17"/>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In June 2003, we acquired RADLAN Computer Communications Ltd. (RADLAN), a leading provider of embedded networking software, for aggregate consideration of approximately $134.7 million.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$40.8 million. The semiconductor design</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business of UTStarcom designs and supplies chipsets for cellular phone applications. In May 2006, we acquired the printer semiconductor business of Avago Technologies Limited for $263.0 million, including earnout payments of $10.0 million subsequently recognized during fiscal 2007 when milestones were met and potential additional earnout payments of up to $25.0 million. The printer semiconductor division of Avago designs and develops system-on-chip and system level solutions for both inkjet and laser jet printer systems. In November 2006, we completed the acquisition of the communications and applications processor business of Intel Corporation for approximately $605.9 million. The communications and applications processor business of Intel designs and develops cellular baseband processors for multi-mode, multi-band wireless handheld devices such as cellular handsets, PDAs and smartphones.</w:t>
      </w:r>
    </w:p>
    <w:p>
      <w:pPr>
        <w:spacing w:after="0" w:line="165"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(WLAN)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80" w:firstLine="369"/>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additional week in a 53-week year is added to the fourth quarter, making such quarter consist of 14 weeks. Fiscal year 2008 is comprised of 53 weeks.</w:t>
      </w:r>
    </w:p>
    <w:p>
      <w:pPr>
        <w:sectPr>
          <w:pgSz w:w="11900" w:h="16838" w:orient="portrait"/>
          <w:cols w:equalWidth="0" w:num="1">
            <w:col w:w="11400"/>
          </w:cols>
          <w:pgMar w:left="240" w:top="125" w:right="259" w:bottom="0" w:gutter="0" w:footer="0" w:header="0"/>
        </w:sectPr>
      </w:pPr>
    </w:p>
    <w:bookmarkStart w:id="19" w:name="page20"/>
    <w:bookmarkEnd w:id="19"/>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27, 2007. There have been no material changes in any of our accounting policies during fiscal 2008.</w:t>
      </w:r>
    </w:p>
    <w:p>
      <w:pPr>
        <w:spacing w:after="0" w:line="189"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On January 28, 2007, we adopted the provisions of FASB Interpretation No. 48, “Accounting for Uncertainty in Income Taxes – an Interpretation of FASB Statement No. 109” (“FIN 48”) to account for uncertain tax positions. Adoption of FIN 48 did not have any impact on our condensed consolidated statement of operations, and the impact on our condensed consolidated balance sheet is summarized in Note 9 – Income Taxes. The application of income tax law is inherently complex. Laws and regulations in this area are voluminous and are often ambiguous. As such, we are required to make many subjective assumptions and judgments regarding our income tax exposures. Interpretations of and guidance surrounding income tax laws and regulations are subject to change over time. As such, changes in our subjective assumptions and judgments can materially affect our consolidated financial position, results of operations and cash flows.</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460" w:type="dxa"/>
            <w:vAlign w:val="bottom"/>
            <w:gridSpan w:val="5"/>
          </w:tcPr>
          <w:p>
            <w:pPr>
              <w:jc w:val="right"/>
              <w:ind w:right="607"/>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40" w:type="dxa"/>
            <w:vAlign w:val="bottom"/>
          </w:tcPr>
          <w:p>
            <w:pPr>
              <w:spacing w:after="0"/>
              <w:rPr>
                <w:sz w:val="8"/>
                <w:szCs w:val="8"/>
                <w:color w:val="auto"/>
              </w:rPr>
            </w:pPr>
          </w:p>
        </w:tc>
        <w:tc>
          <w:tcPr>
            <w:tcW w:w="4780" w:type="dxa"/>
            <w:vAlign w:val="bottom"/>
          </w:tcPr>
          <w:p>
            <w:pPr>
              <w:spacing w:after="0"/>
              <w:rPr>
                <w:sz w:val="8"/>
                <w:szCs w:val="8"/>
                <w:color w:val="auto"/>
              </w:rPr>
            </w:pPr>
          </w:p>
        </w:tc>
        <w:tc>
          <w:tcPr>
            <w:tcW w:w="1260" w:type="dxa"/>
            <w:vAlign w:val="bottom"/>
            <w:tcBorders>
              <w:top w:val="single" w:sz="8" w:color="auto"/>
            </w:tcBorders>
            <w:gridSpan w:val="2"/>
          </w:tcPr>
          <w:p>
            <w:pPr>
              <w:jc w:val="right"/>
              <w:ind w:right="390"/>
              <w:spacing w:after="0" w:line="103" w:lineRule="exact"/>
              <w:rPr>
                <w:sz w:val="20"/>
                <w:szCs w:val="20"/>
                <w:color w:val="auto"/>
              </w:rPr>
            </w:pPr>
            <w:r>
              <w:rPr>
                <w:rFonts w:ascii="Arial" w:cs="Arial" w:eastAsia="Arial" w:hAnsi="Arial"/>
                <w:sz w:val="11"/>
                <w:szCs w:val="11"/>
                <w:b w:val="1"/>
                <w:bCs w:val="1"/>
                <w:color w:val="auto"/>
              </w:rPr>
              <w:t>April 28,</w:t>
            </w:r>
          </w:p>
        </w:tc>
        <w:tc>
          <w:tcPr>
            <w:tcW w:w="1020" w:type="dxa"/>
            <w:vAlign w:val="bottom"/>
            <w:tcBorders>
              <w:top w:val="single" w:sz="8" w:color="auto"/>
            </w:tcBorders>
            <w:gridSpan w:val="2"/>
          </w:tcPr>
          <w:p>
            <w:pPr>
              <w:jc w:val="right"/>
              <w:ind w:right="165"/>
              <w:spacing w:after="0" w:line="103" w:lineRule="exact"/>
              <w:rPr>
                <w:sz w:val="20"/>
                <w:szCs w:val="20"/>
                <w:color w:val="auto"/>
              </w:rPr>
            </w:pPr>
            <w:r>
              <w:rPr>
                <w:rFonts w:ascii="Arial" w:cs="Arial" w:eastAsia="Arial" w:hAnsi="Arial"/>
                <w:sz w:val="11"/>
                <w:szCs w:val="11"/>
                <w:b w:val="1"/>
                <w:bCs w:val="1"/>
                <w:color w:val="auto"/>
              </w:rPr>
              <w:t>April 29,</w:t>
            </w:r>
          </w:p>
        </w:tc>
        <w:tc>
          <w:tcPr>
            <w:tcW w:w="180" w:type="dxa"/>
            <w:vAlign w:val="bottom"/>
          </w:tcPr>
          <w:p>
            <w:pPr>
              <w:spacing w:after="0"/>
              <w:rPr>
                <w:sz w:val="8"/>
                <w:szCs w:val="8"/>
                <w:color w:val="auto"/>
              </w:rPr>
            </w:pPr>
          </w:p>
        </w:tc>
        <w:tc>
          <w:tcPr>
            <w:tcW w:w="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0" w:type="dxa"/>
            <w:vAlign w:val="bottom"/>
          </w:tcPr>
          <w:p>
            <w:pPr>
              <w:spacing w:after="0"/>
              <w:rPr>
                <w:sz w:val="8"/>
                <w:szCs w:val="8"/>
                <w:color w:val="auto"/>
              </w:rPr>
            </w:pPr>
          </w:p>
        </w:tc>
        <w:tc>
          <w:tcPr>
            <w:tcW w:w="9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340" w:type="dxa"/>
            <w:vAlign w:val="bottom"/>
          </w:tcPr>
          <w:p>
            <w:pPr>
              <w:spacing w:after="0"/>
              <w:rPr>
                <w:sz w:val="14"/>
                <w:szCs w:val="14"/>
                <w:color w:val="auto"/>
              </w:rPr>
            </w:pPr>
          </w:p>
        </w:tc>
        <w:tc>
          <w:tcPr>
            <w:tcW w:w="4780" w:type="dxa"/>
            <w:vAlign w:val="bottom"/>
            <w:tcBorders>
              <w:bottom w:val="single" w:sz="8" w:color="CCEEFF"/>
            </w:tcBorders>
          </w:tcPr>
          <w:p>
            <w:pPr>
              <w:spacing w:after="0"/>
              <w:rPr>
                <w:sz w:val="14"/>
                <w:szCs w:val="14"/>
                <w:color w:val="auto"/>
              </w:rPr>
            </w:pPr>
          </w:p>
        </w:tc>
        <w:tc>
          <w:tcPr>
            <w:tcW w:w="1020" w:type="dxa"/>
            <w:vAlign w:val="bottom"/>
            <w:tcBorders>
              <w:bottom w:val="single" w:sz="8" w:color="auto"/>
            </w:tcBorders>
          </w:tcPr>
          <w:p>
            <w:pPr>
              <w:jc w:val="right"/>
              <w:ind w:right="294"/>
              <w:spacing w:after="0"/>
              <w:rPr>
                <w:sz w:val="20"/>
                <w:szCs w:val="20"/>
                <w:color w:val="auto"/>
              </w:rPr>
            </w:pPr>
            <w:r>
              <w:rPr>
                <w:rFonts w:ascii="Arial" w:cs="Arial" w:eastAsia="Arial" w:hAnsi="Arial"/>
                <w:sz w:val="14"/>
                <w:szCs w:val="14"/>
                <w:b w:val="1"/>
                <w:bCs w:val="1"/>
                <w:color w:val="auto"/>
              </w:rPr>
              <w:t>2007</w:t>
            </w:r>
          </w:p>
        </w:tc>
        <w:tc>
          <w:tcPr>
            <w:tcW w:w="240" w:type="dxa"/>
            <w:vAlign w:val="bottom"/>
            <w:tcBorders>
              <w:bottom w:val="single" w:sz="8" w:color="CCEEFF"/>
            </w:tcBorders>
          </w:tcPr>
          <w:p>
            <w:pPr>
              <w:spacing w:after="0"/>
              <w:rPr>
                <w:sz w:val="14"/>
                <w:szCs w:val="14"/>
                <w:color w:val="auto"/>
              </w:rPr>
            </w:pPr>
          </w:p>
        </w:tc>
        <w:tc>
          <w:tcPr>
            <w:tcW w:w="780" w:type="dxa"/>
            <w:vAlign w:val="bottom"/>
            <w:tcBorders>
              <w:bottom w:val="single" w:sz="8" w:color="auto"/>
            </w:tcBorders>
          </w:tcPr>
          <w:p>
            <w:pPr>
              <w:jc w:val="right"/>
              <w:ind w:right="53"/>
              <w:spacing w:after="0"/>
              <w:rPr>
                <w:sz w:val="20"/>
                <w:szCs w:val="20"/>
                <w:color w:val="auto"/>
              </w:rPr>
            </w:pPr>
            <w:r>
              <w:rPr>
                <w:rFonts w:ascii="Arial" w:cs="Arial" w:eastAsia="Arial" w:hAnsi="Arial"/>
                <w:sz w:val="14"/>
                <w:szCs w:val="14"/>
                <w:b w:val="1"/>
                <w:bCs w:val="1"/>
                <w:color w:val="auto"/>
              </w:rPr>
              <w:t>2006</w:t>
            </w: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6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100.0%</w:t>
            </w:r>
          </w:p>
        </w:tc>
        <w:tc>
          <w:tcPr>
            <w:tcW w:w="120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w:t>
            </w:r>
          </w:p>
        </w:tc>
        <w:tc>
          <w:tcPr>
            <w:tcW w:w="2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46.1</w:t>
            </w:r>
          </w:p>
        </w:tc>
        <w:tc>
          <w:tcPr>
            <w:tcW w:w="18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1020" w:type="dxa"/>
            <w:vAlign w:val="bottom"/>
          </w:tcPr>
          <w:p>
            <w:pPr>
              <w:jc w:val="right"/>
              <w:spacing w:after="0"/>
              <w:rPr>
                <w:sz w:val="20"/>
                <w:szCs w:val="20"/>
                <w:color w:val="auto"/>
              </w:rPr>
            </w:pPr>
            <w:r>
              <w:rPr>
                <w:rFonts w:ascii="Arial" w:cs="Arial" w:eastAsia="Arial" w:hAnsi="Arial"/>
                <w:sz w:val="18"/>
                <w:szCs w:val="18"/>
                <w:color w:val="auto"/>
              </w:rPr>
              <w:t>36.9</w:t>
            </w:r>
          </w:p>
        </w:tc>
        <w:tc>
          <w:tcPr>
            <w:tcW w:w="240" w:type="dxa"/>
            <w:vAlign w:val="bottom"/>
          </w:tcPr>
          <w:p>
            <w:pPr>
              <w:spacing w:after="0"/>
              <w:rPr>
                <w:sz w:val="18"/>
                <w:szCs w:val="18"/>
                <w:color w:val="auto"/>
              </w:rPr>
            </w:pP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24.8</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2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18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020" w:type="dxa"/>
            <w:vAlign w:val="bottom"/>
          </w:tcPr>
          <w:p>
            <w:pPr>
              <w:jc w:val="right"/>
              <w:spacing w:after="0"/>
              <w:rPr>
                <w:sz w:val="20"/>
                <w:szCs w:val="20"/>
                <w:color w:val="auto"/>
              </w:rPr>
            </w:pPr>
            <w:r>
              <w:rPr>
                <w:rFonts w:ascii="Arial" w:cs="Arial" w:eastAsia="Arial" w:hAnsi="Arial"/>
                <w:sz w:val="18"/>
                <w:szCs w:val="18"/>
                <w:color w:val="auto"/>
              </w:rPr>
              <w:t>3.8</w:t>
            </w:r>
          </w:p>
        </w:tc>
        <w:tc>
          <w:tcPr>
            <w:tcW w:w="240" w:type="dxa"/>
            <w:vAlign w:val="bottom"/>
          </w:tcPr>
          <w:p>
            <w:pPr>
              <w:spacing w:after="0"/>
              <w:rPr>
                <w:sz w:val="18"/>
                <w:szCs w:val="18"/>
                <w:color w:val="auto"/>
              </w:rPr>
            </w:pP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3.5</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w:t>
            </w:r>
          </w:p>
        </w:tc>
        <w:tc>
          <w:tcPr>
            <w:tcW w:w="240" w:type="dxa"/>
            <w:vAlign w:val="bottom"/>
            <w:shd w:val="clear" w:color="auto" w:fill="CCEEFF"/>
          </w:tcPr>
          <w:p>
            <w:pPr>
              <w:spacing w:after="0"/>
              <w:rPr>
                <w:sz w:val="18"/>
                <w:szCs w:val="18"/>
                <w:color w:val="auto"/>
              </w:rPr>
            </w:pPr>
          </w:p>
        </w:tc>
        <w:tc>
          <w:tcPr>
            <w:tcW w:w="10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18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106.0</w:t>
            </w:r>
          </w:p>
        </w:tc>
        <w:tc>
          <w:tcPr>
            <w:tcW w:w="240" w:type="dxa"/>
            <w:vAlign w:val="bottom"/>
            <w:tcBorders>
              <w:bottom w:val="single" w:sz="8" w:color="CCEEFF"/>
            </w:tcBorders>
          </w:tcPr>
          <w:p>
            <w:pPr>
              <w:spacing w:after="0"/>
              <w:rPr>
                <w:sz w:val="18"/>
                <w:szCs w:val="18"/>
                <w:color w:val="auto"/>
              </w:rPr>
            </w:pPr>
          </w:p>
        </w:tc>
        <w:tc>
          <w:tcPr>
            <w:tcW w:w="10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85.2</w:t>
            </w:r>
          </w:p>
        </w:tc>
        <w:tc>
          <w:tcPr>
            <w:tcW w:w="180" w:type="dxa"/>
            <w:vAlign w:val="bottom"/>
            <w:tcBorders>
              <w:bottom w:val="single" w:sz="8" w:color="CCEEFF"/>
            </w:tcBorders>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Operating (loss) income</w:t>
            </w:r>
          </w:p>
        </w:tc>
        <w:tc>
          <w:tcPr>
            <w:tcW w:w="126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(6.0)</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18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020" w:type="dxa"/>
            <w:vAlign w:val="bottom"/>
          </w:tcPr>
          <w:p>
            <w:pPr>
              <w:jc w:val="right"/>
              <w:spacing w:after="0"/>
              <w:rPr>
                <w:sz w:val="20"/>
                <w:szCs w:val="20"/>
                <w:color w:val="auto"/>
              </w:rPr>
            </w:pPr>
            <w:r>
              <w:rPr>
                <w:rFonts w:ascii="Arial" w:cs="Arial" w:eastAsia="Arial" w:hAnsi="Arial"/>
                <w:sz w:val="18"/>
                <w:szCs w:val="18"/>
                <w:color w:val="auto"/>
              </w:rPr>
              <w:t>0.2</w:t>
            </w:r>
          </w:p>
        </w:tc>
        <w:tc>
          <w:tcPr>
            <w:tcW w:w="240" w:type="dxa"/>
            <w:vAlign w:val="bottom"/>
          </w:tcPr>
          <w:p>
            <w:pPr>
              <w:spacing w:after="0"/>
              <w:rPr>
                <w:sz w:val="18"/>
                <w:szCs w:val="18"/>
                <w:color w:val="auto"/>
              </w:rPr>
            </w:pP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1.5</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26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(1.6)</w:t>
            </w:r>
          </w:p>
        </w:tc>
        <w:tc>
          <w:tcPr>
            <w:tcW w:w="1200" w:type="dxa"/>
            <w:vAlign w:val="bottom"/>
            <w:tcBorders>
              <w:right w:val="single" w:sz="8" w:color="CCEEFF"/>
            </w:tcBorders>
            <w:gridSpan w:val="3"/>
            <w:shd w:val="clear" w:color="auto" w:fill="CCEEFF"/>
          </w:tcPr>
          <w:p>
            <w:pPr>
              <w:jc w:val="right"/>
              <w:ind w:right="47"/>
              <w:spacing w:after="0"/>
              <w:rPr>
                <w:sz w:val="20"/>
                <w:szCs w:val="20"/>
                <w:color w:val="auto"/>
              </w:rPr>
            </w:pPr>
            <w:r>
              <w:rPr>
                <w:rFonts w:ascii="Arial" w:cs="Arial" w:eastAsia="Arial" w:hAnsi="Arial"/>
                <w:sz w:val="18"/>
                <w:szCs w:val="18"/>
                <w:color w:val="auto"/>
              </w:rPr>
              <w:t>(0.1)</w:t>
            </w: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0" w:type="dxa"/>
            <w:vAlign w:val="bottom"/>
          </w:tcPr>
          <w:p>
            <w:pPr>
              <w:spacing w:after="0" w:line="20" w:lineRule="exact"/>
              <w:rPr>
                <w:sz w:val="1"/>
                <w:szCs w:val="1"/>
                <w:color w:val="auto"/>
              </w:rPr>
            </w:pPr>
          </w:p>
        </w:tc>
        <w:tc>
          <w:tcPr>
            <w:tcW w:w="4780" w:type="dxa"/>
            <w:vAlign w:val="bottom"/>
            <w:vMerge w:val="restart"/>
          </w:tcPr>
          <w:p>
            <w:pPr>
              <w:spacing w:after="0"/>
              <w:rPr>
                <w:sz w:val="20"/>
                <w:szCs w:val="20"/>
                <w:color w:val="auto"/>
              </w:rPr>
            </w:pPr>
            <w:r>
              <w:rPr>
                <w:rFonts w:ascii="Arial" w:cs="Arial" w:eastAsia="Arial" w:hAnsi="Arial"/>
                <w:sz w:val="18"/>
                <w:szCs w:val="18"/>
                <w:color w:val="auto"/>
              </w:rPr>
              <w:t>(Loss) income before income taxes</w:t>
            </w:r>
          </w:p>
        </w:tc>
        <w:tc>
          <w:tcPr>
            <w:tcW w:w="10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vMerge w:val="continue"/>
          </w:tcPr>
          <w:p>
            <w:pPr>
              <w:spacing w:after="0"/>
              <w:rPr>
                <w:sz w:val="18"/>
                <w:szCs w:val="18"/>
                <w:color w:val="auto"/>
              </w:rPr>
            </w:pPr>
          </w:p>
        </w:tc>
        <w:tc>
          <w:tcPr>
            <w:tcW w:w="1260" w:type="dxa"/>
            <w:vAlign w:val="bottom"/>
            <w:gridSpan w:val="2"/>
          </w:tcPr>
          <w:p>
            <w:pPr>
              <w:jc w:val="right"/>
              <w:ind w:right="90"/>
              <w:spacing w:after="0"/>
              <w:rPr>
                <w:sz w:val="20"/>
                <w:szCs w:val="20"/>
                <w:color w:val="auto"/>
              </w:rPr>
            </w:pPr>
            <w:r>
              <w:rPr>
                <w:rFonts w:ascii="Arial" w:cs="Arial" w:eastAsia="Arial" w:hAnsi="Arial"/>
                <w:sz w:val="18"/>
                <w:szCs w:val="18"/>
                <w:color w:val="auto"/>
              </w:rPr>
              <w:t>(7.4)</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16.2</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240" w:type="dxa"/>
            <w:vAlign w:val="bottom"/>
            <w:shd w:val="clear" w:color="auto" w:fill="CCEEFF"/>
          </w:tcPr>
          <w:p>
            <w:pPr>
              <w:spacing w:after="0"/>
              <w:rPr>
                <w:sz w:val="18"/>
                <w:szCs w:val="18"/>
                <w:color w:val="auto"/>
              </w:rPr>
            </w:pPr>
          </w:p>
        </w:tc>
        <w:tc>
          <w:tcPr>
            <w:tcW w:w="10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18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(Loss) income before change in accounting policy</w:t>
            </w:r>
          </w:p>
        </w:tc>
        <w:tc>
          <w:tcPr>
            <w:tcW w:w="1260" w:type="dxa"/>
            <w:vAlign w:val="bottom"/>
            <w:gridSpan w:val="2"/>
          </w:tcPr>
          <w:p>
            <w:pPr>
              <w:jc w:val="right"/>
              <w:ind w:right="90"/>
              <w:spacing w:after="0"/>
              <w:rPr>
                <w:sz w:val="20"/>
                <w:szCs w:val="20"/>
                <w:color w:val="auto"/>
              </w:rPr>
            </w:pPr>
            <w:r>
              <w:rPr>
                <w:rFonts w:ascii="Arial" w:cs="Arial" w:eastAsia="Arial" w:hAnsi="Arial"/>
                <w:sz w:val="18"/>
                <w:szCs w:val="18"/>
                <w:color w:val="auto"/>
              </w:rPr>
              <w:t>(8.3)</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13.2</w:t>
            </w: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40" w:type="dxa"/>
            <w:vAlign w:val="bottom"/>
          </w:tcPr>
          <w:p>
            <w:pPr>
              <w:spacing w:after="0"/>
              <w:rPr>
                <w:sz w:val="17"/>
                <w:szCs w:val="17"/>
                <w:color w:val="auto"/>
              </w:rPr>
            </w:pPr>
          </w:p>
        </w:tc>
        <w:tc>
          <w:tcPr>
            <w:tcW w:w="47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7"/>
              </w:rPr>
              <w:t>Cumulative effect of change in accounting principle, net of tax</w:t>
            </w:r>
          </w:p>
        </w:tc>
        <w:tc>
          <w:tcPr>
            <w:tcW w:w="10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80" w:type="dxa"/>
            <w:vAlign w:val="bottom"/>
            <w:tcBorders>
              <w:right w:val="single" w:sz="8" w:color="CCEEFF"/>
            </w:tcBorders>
            <w:shd w:val="clear" w:color="auto" w:fill="CCEEFF"/>
          </w:tcPr>
          <w:p>
            <w:pPr>
              <w:spacing w:after="0"/>
              <w:rPr>
                <w:sz w:val="17"/>
                <w:szCs w:val="17"/>
                <w:color w:val="auto"/>
              </w:rPr>
            </w:pPr>
          </w:p>
        </w:tc>
        <w:tc>
          <w:tcPr>
            <w:tcW w:w="7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40" w:type="dxa"/>
            <w:vAlign w:val="bottom"/>
          </w:tcPr>
          <w:p>
            <w:pPr>
              <w:spacing w:after="0"/>
              <w:rPr>
                <w:sz w:val="20"/>
                <w:szCs w:val="20"/>
                <w:color w:val="auto"/>
              </w:rPr>
            </w:pPr>
          </w:p>
        </w:tc>
        <w:tc>
          <w:tcPr>
            <w:tcW w:w="4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w:t>
            </w:r>
          </w:p>
        </w:tc>
        <w:tc>
          <w:tcPr>
            <w:tcW w:w="126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80" w:type="dxa"/>
            <w:vAlign w:val="bottom"/>
            <w:tcBorders>
              <w:right w:val="single" w:sz="8" w:color="CCEEFF"/>
            </w:tcBorders>
            <w:shd w:val="clear" w:color="auto" w:fill="CCEEFF"/>
          </w:tcPr>
          <w:p>
            <w:pPr>
              <w:spacing w:after="0"/>
              <w:rPr>
                <w:sz w:val="20"/>
                <w:szCs w:val="20"/>
                <w:color w:val="auto"/>
              </w:rPr>
            </w:pPr>
          </w:p>
        </w:tc>
        <w:tc>
          <w:tcPr>
            <w:tcW w:w="7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34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Net income (loss)</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(8.3</w:t>
            </w:r>
          </w:p>
        </w:tc>
        <w:tc>
          <w:tcPr>
            <w:tcW w:w="240" w:type="dxa"/>
            <w:vAlign w:val="bottom"/>
          </w:tcPr>
          <w:p>
            <w:pPr>
              <w:jc w:val="right"/>
              <w:spacing w:after="0"/>
              <w:rPr>
                <w:sz w:val="20"/>
                <w:szCs w:val="20"/>
                <w:color w:val="auto"/>
              </w:rPr>
            </w:pPr>
            <w:r>
              <w:rPr>
                <w:rFonts w:ascii="Arial" w:cs="Arial" w:eastAsia="Arial" w:hAnsi="Arial"/>
                <w:sz w:val="18"/>
                <w:szCs w:val="18"/>
                <w:color w:val="auto"/>
                <w:w w:val="81"/>
              </w:rPr>
              <w:t>)%</w:t>
            </w:r>
          </w:p>
        </w:tc>
        <w:tc>
          <w:tcPr>
            <w:tcW w:w="10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14.9</w:t>
            </w:r>
          </w:p>
        </w:tc>
        <w:tc>
          <w:tcPr>
            <w:tcW w:w="180" w:type="dxa"/>
            <w:vAlign w:val="bottom"/>
          </w:tcPr>
          <w:p>
            <w:pPr>
              <w:jc w:val="right"/>
              <w:spacing w:after="0"/>
              <w:rPr>
                <w:sz w:val="20"/>
                <w:szCs w:val="20"/>
                <w:color w:val="auto"/>
              </w:rPr>
            </w:pPr>
            <w:r>
              <w:rPr>
                <w:rFonts w:ascii="Arial" w:cs="Arial" w:eastAsia="Arial" w:hAnsi="Arial"/>
                <w:sz w:val="18"/>
                <w:szCs w:val="18"/>
                <w:color w:val="auto"/>
                <w:w w:val="74"/>
              </w:rPr>
              <w:t>%</w:t>
            </w: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80"/>
        </w:trPr>
        <w:tc>
          <w:tcPr>
            <w:tcW w:w="5120" w:type="dxa"/>
            <w:vAlign w:val="bottom"/>
            <w:gridSpan w:val="2"/>
          </w:tcPr>
          <w:p>
            <w:pPr>
              <w:spacing w:after="0"/>
              <w:rPr>
                <w:sz w:val="20"/>
                <w:szCs w:val="20"/>
                <w:color w:val="auto"/>
              </w:rPr>
            </w:pPr>
            <w:r>
              <w:rPr>
                <w:rFonts w:ascii="Arial" w:cs="Arial" w:eastAsia="Arial" w:hAnsi="Arial"/>
                <w:sz w:val="18"/>
                <w:szCs w:val="18"/>
                <w:b w:val="1"/>
                <w:bCs w:val="1"/>
                <w:color w:val="auto"/>
              </w:rPr>
              <w:t>Three Months Ended April 28, 2007 and April 29, 2006</w:t>
            </w: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40" w:type="dxa"/>
            <w:vAlign w:val="bottom"/>
          </w:tcPr>
          <w:p>
            <w:pPr>
              <w:spacing w:after="0"/>
              <w:rPr>
                <w:sz w:val="24"/>
                <w:szCs w:val="24"/>
                <w:color w:val="auto"/>
              </w:rPr>
            </w:pPr>
          </w:p>
        </w:tc>
        <w:tc>
          <w:tcPr>
            <w:tcW w:w="4780" w:type="dxa"/>
            <w:vAlign w:val="bottom"/>
          </w:tcPr>
          <w:p>
            <w:pPr>
              <w:spacing w:after="0"/>
              <w:rPr>
                <w:sz w:val="20"/>
                <w:szCs w:val="20"/>
                <w:color w:val="auto"/>
              </w:rPr>
            </w:pPr>
            <w:r>
              <w:rPr>
                <w:rFonts w:ascii="Arial" w:cs="Arial" w:eastAsia="Arial" w:hAnsi="Arial"/>
                <w:sz w:val="18"/>
                <w:szCs w:val="18"/>
                <w:i w:val="1"/>
                <w:iCs w:val="1"/>
                <w:color w:val="auto"/>
              </w:rPr>
              <w:t>Net Revenue</w:t>
            </w: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34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40" w:type="dxa"/>
            <w:vAlign w:val="bottom"/>
            <w:gridSpan w:val="5"/>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340" w:type="dxa"/>
            <w:vAlign w:val="bottom"/>
          </w:tcPr>
          <w:p>
            <w:pPr>
              <w:spacing w:after="0"/>
              <w:rPr>
                <w:sz w:val="8"/>
                <w:szCs w:val="8"/>
                <w:color w:val="auto"/>
              </w:rPr>
            </w:pPr>
          </w:p>
        </w:tc>
        <w:tc>
          <w:tcPr>
            <w:tcW w:w="47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240" w:type="dxa"/>
            <w:vAlign w:val="bottom"/>
          </w:tcPr>
          <w:p>
            <w:pPr>
              <w:spacing w:after="0"/>
              <w:rPr>
                <w:sz w:val="8"/>
                <w:szCs w:val="8"/>
                <w:color w:val="auto"/>
              </w:rPr>
            </w:pPr>
          </w:p>
        </w:tc>
        <w:tc>
          <w:tcPr>
            <w:tcW w:w="780" w:type="dxa"/>
            <w:vAlign w:val="bottom"/>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920" w:type="dxa"/>
            <w:vAlign w:val="bottom"/>
            <w:tcBorders>
              <w:top w:val="single" w:sz="8" w:color="auto"/>
            </w:tcBorders>
            <w:gridSpan w:val="2"/>
          </w:tcPr>
          <w:p>
            <w:pPr>
              <w:jc w:val="center"/>
              <w:ind w:right="182"/>
              <w:spacing w:after="0" w:line="102" w:lineRule="exact"/>
              <w:rPr>
                <w:sz w:val="20"/>
                <w:szCs w:val="20"/>
                <w:color w:val="auto"/>
              </w:rPr>
            </w:pPr>
            <w:r>
              <w:rPr>
                <w:rFonts w:ascii="Arial" w:cs="Arial" w:eastAsia="Arial" w:hAnsi="Arial"/>
                <w:sz w:val="11"/>
                <w:szCs w:val="11"/>
                <w:b w:val="1"/>
                <w:bCs w:val="1"/>
                <w:color w:val="auto"/>
              </w:rPr>
              <w:t>April 28,</w:t>
            </w:r>
          </w:p>
        </w:tc>
        <w:tc>
          <w:tcPr>
            <w:tcW w:w="260" w:type="dxa"/>
            <w:vAlign w:val="bottom"/>
            <w:tcBorders>
              <w:top w:val="single" w:sz="8" w:color="auto"/>
            </w:tcBorders>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center"/>
              <w:ind w:right="127"/>
              <w:spacing w:after="0" w:line="102" w:lineRule="exact"/>
              <w:rPr>
                <w:sz w:val="20"/>
                <w:szCs w:val="20"/>
                <w:color w:val="auto"/>
              </w:rPr>
            </w:pPr>
            <w:r>
              <w:rPr>
                <w:rFonts w:ascii="Arial" w:cs="Arial" w:eastAsia="Arial" w:hAnsi="Arial"/>
                <w:sz w:val="11"/>
                <w:szCs w:val="11"/>
                <w:b w:val="1"/>
                <w:bCs w:val="1"/>
                <w:color w:val="auto"/>
              </w:rPr>
              <w:t>April 29,</w:t>
            </w:r>
          </w:p>
        </w:tc>
        <w:tc>
          <w:tcPr>
            <w:tcW w:w="260" w:type="dxa"/>
            <w:vAlign w:val="bottom"/>
          </w:tcPr>
          <w:p>
            <w:pPr>
              <w:spacing w:after="0"/>
              <w:rPr>
                <w:sz w:val="8"/>
                <w:szCs w:val="8"/>
                <w:color w:val="auto"/>
              </w:rPr>
            </w:pPr>
          </w:p>
        </w:tc>
        <w:tc>
          <w:tcPr>
            <w:tcW w:w="118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 Change</w:t>
            </w:r>
          </w:p>
        </w:tc>
        <w:tc>
          <w:tcPr>
            <w:tcW w:w="2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40" w:type="dxa"/>
            <w:vAlign w:val="bottom"/>
            <w:tcBorders>
              <w:bottom w:val="single" w:sz="8" w:color="CCEEFF"/>
            </w:tcBorders>
          </w:tcPr>
          <w:p>
            <w:pPr>
              <w:spacing w:after="0"/>
              <w:rPr>
                <w:sz w:val="14"/>
                <w:szCs w:val="14"/>
                <w:color w:val="auto"/>
              </w:rPr>
            </w:pPr>
          </w:p>
        </w:tc>
        <w:tc>
          <w:tcPr>
            <w:tcW w:w="4780" w:type="dxa"/>
            <w:vAlign w:val="bottom"/>
            <w:tcBorders>
              <w:bottom w:val="single" w:sz="8" w:color="CCEEFF"/>
            </w:tcBorders>
          </w:tcPr>
          <w:p>
            <w:pPr>
              <w:spacing w:after="0"/>
              <w:rPr>
                <w:sz w:val="14"/>
                <w:szCs w:val="14"/>
                <w:color w:val="auto"/>
              </w:rPr>
            </w:pPr>
          </w:p>
        </w:tc>
        <w:tc>
          <w:tcPr>
            <w:tcW w:w="10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78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362"/>
              <w:spacing w:after="0"/>
              <w:rPr>
                <w:sz w:val="20"/>
                <w:szCs w:val="20"/>
                <w:color w:val="auto"/>
              </w:rPr>
            </w:pPr>
            <w:r>
              <w:rPr>
                <w:rFonts w:ascii="Arial" w:cs="Arial" w:eastAsia="Arial" w:hAnsi="Arial"/>
                <w:sz w:val="14"/>
                <w:szCs w:val="14"/>
                <w:b w:val="1"/>
                <w:bCs w:val="1"/>
                <w:color w:val="auto"/>
                <w:w w:val="89"/>
              </w:rPr>
              <w:t>2007</w:t>
            </w: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7"/>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80" w:type="dxa"/>
            <w:vAlign w:val="bottom"/>
            <w:tcBorders>
              <w:right w:val="single" w:sz="8" w:color="CCEEFF"/>
            </w:tcBorders>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635,050</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21.8%</w:t>
            </w: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100" w:firstLine="324"/>
        <w:spacing w:after="0" w:line="272" w:lineRule="auto"/>
        <w:rPr>
          <w:sz w:val="20"/>
          <w:szCs w:val="20"/>
          <w:color w:val="auto"/>
        </w:rPr>
      </w:pPr>
      <w:r>
        <w:rPr>
          <w:rFonts w:ascii="Arial" w:cs="Arial" w:eastAsia="Arial" w:hAnsi="Arial"/>
          <w:sz w:val="17"/>
          <w:szCs w:val="17"/>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and rebates. The increase in net revenue in the first quarter of fiscal 2008 compared to the first quarter of fiscal 2007 reflects an increase in volume shipments of our cellular and handset products, which increased $113.9 million. The net revenue increase in cellular and handheld products was from our initial shipments commencing in November 2006 from the acquisition of the applications and communications processor business from Intel Corporation (Intel). Net revenue derived from development contracts increased in absolute dollars during the first quarter of fiscal 2008 as compared to the first quarter of fiscal 2007, but represented less than 10% of net revenue for each period.</w:t>
      </w:r>
    </w:p>
    <w:p>
      <w:pPr>
        <w:spacing w:after="0" w:line="17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quarter ended April 28, 2007, two customers each represented more than 10% of our net revenue, for a combined total of 27% of our net revenue. For the quarter ended April 29, 2006, four customers each represented more than 10% of our net revenue, for a combined total of 53% of our net revenue. In addition, no distributor accounted for more than 10% of our net revenue in the quarters ended April 28, 2007 and April 29, 2006.</w:t>
      </w:r>
    </w:p>
    <w:p>
      <w:pPr>
        <w:spacing w:after="0" w:line="187" w:lineRule="exact"/>
        <w:rPr>
          <w:sz w:val="20"/>
          <w:szCs w:val="20"/>
          <w:color w:val="auto"/>
        </w:rPr>
      </w:pPr>
    </w:p>
    <w:p>
      <w:pPr>
        <w:ind w:right="120" w:firstLine="324"/>
        <w:spacing w:after="0" w:line="257"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84% and 94% of our net revenue for the three months ended April 28, 2007 and April 29, 2006,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ectPr>
          <w:pgSz w:w="11900" w:h="16838" w:orient="portrait"/>
          <w:cols w:equalWidth="0" w:num="1">
            <w:col w:w="11420"/>
          </w:cols>
          <w:pgMar w:left="240" w:top="121" w:right="239" w:bottom="0" w:gutter="0" w:footer="0" w:header="0"/>
        </w:sectPr>
      </w:pPr>
    </w:p>
    <w:bookmarkStart w:id="20" w:name="page21"/>
    <w:bookmarkEnd w:id="20"/>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72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12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280" w:type="dxa"/>
            <w:vAlign w:val="bottom"/>
            <w:tcBorders>
              <w:top w:val="single" w:sz="8" w:color="auto"/>
            </w:tcBorders>
            <w:gridSpan w:val="2"/>
          </w:tcPr>
          <w:p>
            <w:pPr>
              <w:jc w:val="right"/>
              <w:ind w:right="62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0"/>
              <w:spacing w:after="0" w:line="102" w:lineRule="exact"/>
              <w:rPr>
                <w:sz w:val="20"/>
                <w:szCs w:val="20"/>
                <w:color w:val="auto"/>
              </w:rPr>
            </w:pPr>
            <w:r>
              <w:rPr>
                <w:rFonts w:ascii="Arial" w:cs="Arial" w:eastAsia="Arial" w:hAnsi="Arial"/>
                <w:sz w:val="11"/>
                <w:szCs w:val="11"/>
                <w:b w:val="1"/>
                <w:bCs w:val="1"/>
                <w:color w:val="auto"/>
              </w:rPr>
              <w:t>April 29,</w:t>
            </w:r>
          </w:p>
        </w:tc>
        <w:tc>
          <w:tcPr>
            <w:tcW w:w="260" w:type="dxa"/>
            <w:vAlign w:val="bottom"/>
          </w:tcPr>
          <w:p>
            <w:pPr>
              <w:spacing w:after="0"/>
              <w:rPr>
                <w:sz w:val="8"/>
                <w:szCs w:val="8"/>
                <w:color w:val="auto"/>
              </w:rPr>
            </w:pPr>
          </w:p>
        </w:tc>
        <w:tc>
          <w:tcPr>
            <w:tcW w:w="118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1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82"/>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0"/>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327,417</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240,233</w:t>
            </w:r>
          </w:p>
        </w:tc>
        <w:tc>
          <w:tcPr>
            <w:tcW w:w="26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16"/>
        </w:trPr>
        <w:tc>
          <w:tcPr>
            <w:tcW w:w="712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18"/>
                <w:szCs w:val="18"/>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51.6%</w:t>
            </w:r>
          </w:p>
        </w:tc>
        <w:tc>
          <w:tcPr>
            <w:tcW w:w="20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46.1%</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48.4%</w:t>
            </w: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53.9%</w:t>
            </w:r>
          </w:p>
        </w:tc>
        <w:tc>
          <w:tcPr>
            <w:tcW w:w="1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60" w:firstLine="324"/>
        <w:spacing w:after="0" w:line="288"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Gross margin is calculated as net revenue less cost of goods sold as a percentage of net revenue. The decrease in gross margin percentage for the three months ended April 28, 2007 compared to the three months ended April 29, 2006 was primarily due to lower gross margins for cellular and handset products which commenced shipping in November 2006 as a result of the acquisition of the communications and application processor business from Intel. The cellular and handset inventory that were supplied under a supply agreement with Intel are recorded at estimated fair value as required under purchase accounting. Our gross margins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product warranty costs and changes in the amount of development revenue recognized.</w:t>
      </w:r>
    </w:p>
    <w:p>
      <w:pPr>
        <w:spacing w:after="0" w:line="16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Research and Development and other</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72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12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280" w:type="dxa"/>
            <w:vAlign w:val="bottom"/>
            <w:tcBorders>
              <w:top w:val="single" w:sz="8" w:color="auto"/>
            </w:tcBorders>
            <w:gridSpan w:val="2"/>
          </w:tcPr>
          <w:p>
            <w:pPr>
              <w:jc w:val="right"/>
              <w:ind w:right="62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3"/>
              <w:spacing w:after="0" w:line="102" w:lineRule="exact"/>
              <w:rPr>
                <w:sz w:val="20"/>
                <w:szCs w:val="20"/>
                <w:color w:val="auto"/>
              </w:rPr>
            </w:pPr>
            <w:r>
              <w:rPr>
                <w:rFonts w:ascii="Arial" w:cs="Arial" w:eastAsia="Arial" w:hAnsi="Arial"/>
                <w:sz w:val="11"/>
                <w:szCs w:val="11"/>
                <w:b w:val="1"/>
                <w:bCs w:val="1"/>
                <w:color w:val="auto"/>
              </w:rPr>
              <w:t>April 29,</w:t>
            </w:r>
          </w:p>
        </w:tc>
        <w:tc>
          <w:tcPr>
            <w:tcW w:w="260" w:type="dxa"/>
            <w:vAlign w:val="bottom"/>
          </w:tcPr>
          <w:p>
            <w:pPr>
              <w:spacing w:after="0"/>
              <w:rPr>
                <w:sz w:val="8"/>
                <w:szCs w:val="8"/>
                <w:color w:val="auto"/>
              </w:rPr>
            </w:pPr>
          </w:p>
        </w:tc>
        <w:tc>
          <w:tcPr>
            <w:tcW w:w="118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1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84"/>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3"/>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234,133</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129,228</w:t>
            </w:r>
          </w:p>
        </w:tc>
        <w:tc>
          <w:tcPr>
            <w:tcW w:w="26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81.2%</w:t>
            </w:r>
          </w:p>
        </w:tc>
        <w:tc>
          <w:tcPr>
            <w:tcW w:w="0" w:type="dxa"/>
            <w:vAlign w:val="bottom"/>
          </w:tcPr>
          <w:p>
            <w:pPr>
              <w:spacing w:after="0"/>
              <w:rPr>
                <w:sz w:val="1"/>
                <w:szCs w:val="1"/>
                <w:color w:val="auto"/>
              </w:rPr>
            </w:pPr>
          </w:p>
        </w:tc>
      </w:tr>
      <w:tr>
        <w:trPr>
          <w:trHeight w:val="230"/>
        </w:trPr>
        <w:tc>
          <w:tcPr>
            <w:tcW w:w="712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36.9%</w:t>
            </w:r>
          </w:p>
        </w:tc>
        <w:tc>
          <w:tcPr>
            <w:tcW w:w="20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24.8%</w:t>
            </w:r>
          </w:p>
        </w:tc>
        <w:tc>
          <w:tcPr>
            <w:tcW w:w="11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0" w:firstLine="324"/>
        <w:spacing w:after="0" w:line="289" w:lineRule="auto"/>
        <w:rPr>
          <w:sz w:val="20"/>
          <w:szCs w:val="20"/>
          <w:color w:val="auto"/>
        </w:rPr>
      </w:pPr>
      <w:r>
        <w:rPr>
          <w:rFonts w:ascii="Arial" w:cs="Arial" w:eastAsia="Arial" w:hAnsi="Arial"/>
          <w:sz w:val="16"/>
          <w:szCs w:val="16"/>
          <w:color w:val="auto"/>
        </w:rPr>
        <w:t>Research and development and other expense consists primarily of compensation and associated costs relating to development personnel, including stock-based compensation expenses, prototype costs, contracted development work costs, depreciation and amortization expense, patent investigation and filing fees and allocated occupancy costs for these operations. The increase in research and development expense in absolute dollars in the first quarter of fiscal 2008 compared to the first quarter of fiscal 2007 was primarily due to net hiring of additional development personnel including personnel related to our acquisitions of the printer ASIC division of Avago Technologies Limited (Avago) in May 2006 and the communications and applications processor business of Intel in November 2006 which together resulted in an increase in salary and related costs of $59.1 million. Additionally, we incurred increased costs for depreciation and amortization expense of $14.0 million arising from purchases of property, equipment and technology licenses, increased costs of $9.0 million for prototype and related product tape-out costs for new product initiatives, increased costs of $3.4 million for tooling and engineering equipment expenses, increased stock compensation costs of $3.0 million and an increase in other allocated expenses of $8.9 million related to our expanding operations.</w:t>
      </w:r>
    </w:p>
    <w:p>
      <w:pPr>
        <w:spacing w:after="0" w:line="167" w:lineRule="exact"/>
        <w:rPr>
          <w:sz w:val="20"/>
          <w:szCs w:val="20"/>
          <w:color w:val="auto"/>
        </w:rPr>
      </w:pPr>
    </w:p>
    <w:p>
      <w:pPr>
        <w:ind w:right="220" w:firstLine="324"/>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 including those from our acquisitions.</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8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1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240" w:type="dxa"/>
            <w:vAlign w:val="bottom"/>
            <w:tcBorders>
              <w:top w:val="single" w:sz="8" w:color="auto"/>
            </w:tcBorders>
            <w:gridSpan w:val="2"/>
          </w:tcPr>
          <w:p>
            <w:pPr>
              <w:jc w:val="right"/>
              <w:ind w:right="58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3"/>
              <w:spacing w:after="0" w:line="102" w:lineRule="exact"/>
              <w:rPr>
                <w:sz w:val="20"/>
                <w:szCs w:val="20"/>
                <w:color w:val="auto"/>
              </w:rPr>
            </w:pPr>
            <w:r>
              <w:rPr>
                <w:rFonts w:ascii="Arial" w:cs="Arial" w:eastAsia="Arial" w:hAnsi="Arial"/>
                <w:sz w:val="11"/>
                <w:szCs w:val="11"/>
                <w:b w:val="1"/>
                <w:bCs w:val="1"/>
                <w:color w:val="auto"/>
              </w:rPr>
              <w:t>April 29,</w:t>
            </w:r>
          </w:p>
        </w:tc>
        <w:tc>
          <w:tcPr>
            <w:tcW w:w="260" w:type="dxa"/>
            <w:vAlign w:val="bottom"/>
          </w:tcPr>
          <w:p>
            <w:pPr>
              <w:spacing w:after="0"/>
              <w:rPr>
                <w:sz w:val="8"/>
                <w:szCs w:val="8"/>
                <w:color w:val="auto"/>
              </w:rPr>
            </w:pPr>
          </w:p>
        </w:tc>
        <w:tc>
          <w:tcPr>
            <w:tcW w:w="118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 Change</w:t>
            </w:r>
          </w:p>
        </w:tc>
        <w:tc>
          <w:tcPr>
            <w:tcW w:w="2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1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64"/>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3"/>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50,392</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38,862</w:t>
            </w: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29.7%</w:t>
            </w:r>
          </w:p>
        </w:tc>
        <w:tc>
          <w:tcPr>
            <w:tcW w:w="0" w:type="dxa"/>
            <w:vAlign w:val="bottom"/>
          </w:tcPr>
          <w:p>
            <w:pPr>
              <w:spacing w:after="0"/>
              <w:rPr>
                <w:sz w:val="1"/>
                <w:szCs w:val="1"/>
                <w:color w:val="auto"/>
              </w:rPr>
            </w:pPr>
          </w:p>
        </w:tc>
      </w:tr>
      <w:tr>
        <w:trPr>
          <w:trHeight w:val="230"/>
        </w:trPr>
        <w:tc>
          <w:tcPr>
            <w:tcW w:w="716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7.9%</w:t>
            </w:r>
          </w:p>
        </w:tc>
        <w:tc>
          <w:tcPr>
            <w:tcW w:w="20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7.5%</w:t>
            </w:r>
          </w:p>
        </w:tc>
        <w:tc>
          <w:tcPr>
            <w:tcW w:w="1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jc w:val="both"/>
        <w:ind w:right="140" w:firstLine="324"/>
        <w:spacing w:after="0" w:line="264" w:lineRule="auto"/>
        <w:rPr>
          <w:sz w:val="20"/>
          <w:szCs w:val="20"/>
          <w:color w:val="auto"/>
        </w:rPr>
      </w:pPr>
      <w:r>
        <w:rPr>
          <w:rFonts w:ascii="Arial" w:cs="Arial" w:eastAsia="Arial" w:hAnsi="Arial"/>
          <w:sz w:val="18"/>
          <w:szCs w:val="18"/>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the first quarter of fiscal</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60"/>
        <w:spacing w:after="0" w:line="284" w:lineRule="auto"/>
        <w:rPr>
          <w:sz w:val="20"/>
          <w:szCs w:val="20"/>
          <w:color w:val="auto"/>
        </w:rPr>
      </w:pPr>
      <w:r>
        <w:rPr>
          <w:rFonts w:ascii="Arial" w:cs="Arial" w:eastAsia="Arial" w:hAnsi="Arial"/>
          <w:sz w:val="17"/>
          <w:szCs w:val="17"/>
          <w:color w:val="auto"/>
        </w:rPr>
        <w:t xml:space="preserve">2008 compared to the first quarter of fiscal 2007 was primarily due to net hiring of additional selling and marketing personnel including the incremental salary and related expenses resulting from </w:t>
      </w:r>
      <w:r>
        <w:rPr>
          <w:rFonts w:ascii="Arial" w:cs="Arial" w:eastAsia="Arial" w:hAnsi="Arial"/>
          <w:sz w:val="16"/>
          <w:szCs w:val="16"/>
          <w:color w:val="auto"/>
        </w:rPr>
        <w:t>our acquisition of the printer semiconductor business from Avago in May 2006 and our acquisition of the</w:t>
      </w:r>
      <w:r>
        <w:rPr>
          <w:rFonts w:ascii="Arial" w:cs="Arial" w:eastAsia="Arial" w:hAnsi="Arial"/>
          <w:sz w:val="17"/>
          <w:szCs w:val="17"/>
          <w:color w:val="auto"/>
        </w:rPr>
        <w:t xml:space="preserve"> </w:t>
      </w:r>
      <w:r>
        <w:rPr>
          <w:rFonts w:ascii="Arial" w:cs="Arial" w:eastAsia="Arial" w:hAnsi="Arial"/>
          <w:sz w:val="16"/>
          <w:szCs w:val="16"/>
          <w:color w:val="auto"/>
        </w:rPr>
        <w:t>communications and applications processor business from Intel in November 2006 which together resulted in an increase in salary and related costs of $9.0 million. Additionally, we incurred an increase in allocated overhead costs of $2.4 million related to our expanding operations.</w:t>
      </w:r>
    </w:p>
    <w:p>
      <w:pPr>
        <w:spacing w:after="0" w:line="16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8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1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240" w:type="dxa"/>
            <w:vAlign w:val="bottom"/>
            <w:tcBorders>
              <w:top w:val="single" w:sz="8" w:color="auto"/>
            </w:tcBorders>
            <w:gridSpan w:val="2"/>
          </w:tcPr>
          <w:p>
            <w:pPr>
              <w:jc w:val="right"/>
              <w:ind w:right="58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3"/>
              <w:spacing w:after="0" w:line="102" w:lineRule="exact"/>
              <w:rPr>
                <w:sz w:val="20"/>
                <w:szCs w:val="20"/>
                <w:color w:val="auto"/>
              </w:rPr>
            </w:pPr>
            <w:r>
              <w:rPr>
                <w:rFonts w:ascii="Arial" w:cs="Arial" w:eastAsia="Arial" w:hAnsi="Arial"/>
                <w:sz w:val="11"/>
                <w:szCs w:val="11"/>
                <w:b w:val="1"/>
                <w:bCs w:val="1"/>
                <w:color w:val="auto"/>
              </w:rPr>
              <w:t>April 29,</w:t>
            </w:r>
          </w:p>
        </w:tc>
        <w:tc>
          <w:tcPr>
            <w:tcW w:w="260" w:type="dxa"/>
            <w:vAlign w:val="bottom"/>
          </w:tcPr>
          <w:p>
            <w:pPr>
              <w:spacing w:after="0"/>
              <w:rPr>
                <w:sz w:val="8"/>
                <w:szCs w:val="8"/>
                <w:color w:val="auto"/>
              </w:rPr>
            </w:pPr>
          </w:p>
        </w:tc>
        <w:tc>
          <w:tcPr>
            <w:tcW w:w="11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 Change</w:t>
            </w:r>
          </w:p>
        </w:tc>
        <w:tc>
          <w:tcPr>
            <w:tcW w:w="2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1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64"/>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3"/>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23,988</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18,558</w:t>
            </w: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29.3%</w:t>
            </w:r>
          </w:p>
        </w:tc>
        <w:tc>
          <w:tcPr>
            <w:tcW w:w="0" w:type="dxa"/>
            <w:vAlign w:val="bottom"/>
          </w:tcPr>
          <w:p>
            <w:pPr>
              <w:spacing w:after="0"/>
              <w:rPr>
                <w:sz w:val="1"/>
                <w:szCs w:val="1"/>
                <w:color w:val="auto"/>
              </w:rPr>
            </w:pPr>
          </w:p>
        </w:tc>
      </w:tr>
      <w:tr>
        <w:trPr>
          <w:trHeight w:val="230"/>
        </w:trPr>
        <w:tc>
          <w:tcPr>
            <w:tcW w:w="716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3.8%</w:t>
            </w:r>
          </w:p>
        </w:tc>
        <w:tc>
          <w:tcPr>
            <w:tcW w:w="20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3.5%</w:t>
            </w:r>
          </w:p>
        </w:tc>
        <w:tc>
          <w:tcPr>
            <w:tcW w:w="1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0" w:firstLine="324"/>
        <w:spacing w:after="0" w:line="342"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absolute dollars in</w:t>
      </w:r>
    </w:p>
    <w:p>
      <w:pPr>
        <w:sectPr>
          <w:pgSz w:w="11900" w:h="16838" w:orient="portrait"/>
          <w:cols w:equalWidth="0" w:num="1">
            <w:col w:w="11420"/>
          </w:cols>
          <w:pgMar w:left="240" w:top="125" w:right="239" w:bottom="0" w:gutter="0" w:footer="0" w:header="0"/>
        </w:sectPr>
      </w:pPr>
    </w:p>
    <w:bookmarkStart w:id="21" w:name="page22"/>
    <w:bookmarkEnd w:id="21"/>
    <w:p>
      <w:pPr>
        <w:ind w:right="80"/>
        <w:spacing w:after="0" w:line="283" w:lineRule="auto"/>
        <w:rPr>
          <w:sz w:val="20"/>
          <w:szCs w:val="20"/>
          <w:color w:val="auto"/>
        </w:rPr>
      </w:pPr>
      <w:r>
        <w:rPr>
          <w:rFonts w:ascii="Arial" w:cs="Arial" w:eastAsia="Arial" w:hAnsi="Arial"/>
          <w:sz w:val="17"/>
          <w:szCs w:val="17"/>
          <w:color w:val="auto"/>
        </w:rPr>
        <w:t xml:space="preserve">general and administrative expense in the first quarter of fiscal 2008 compared to the first quarter of fiscal 2007 was primarily due to an increase in legal fees of $8.1 million due largely to costs associated with </w:t>
      </w:r>
      <w:r>
        <w:rPr>
          <w:rFonts w:ascii="Arial" w:cs="Arial" w:eastAsia="Arial" w:hAnsi="Arial"/>
          <w:sz w:val="16"/>
          <w:szCs w:val="16"/>
          <w:color w:val="auto"/>
        </w:rPr>
        <w:t>our internal review by a special committee of the Board of Directors related to our historical stock option</w:t>
      </w:r>
      <w:r>
        <w:rPr>
          <w:rFonts w:ascii="Arial" w:cs="Arial" w:eastAsia="Arial" w:hAnsi="Arial"/>
          <w:sz w:val="17"/>
          <w:szCs w:val="17"/>
          <w:color w:val="auto"/>
        </w:rPr>
        <w:t xml:space="preserve"> </w:t>
      </w:r>
      <w:r>
        <w:rPr>
          <w:rFonts w:ascii="Arial" w:cs="Arial" w:eastAsia="Arial" w:hAnsi="Arial"/>
          <w:sz w:val="16"/>
          <w:szCs w:val="16"/>
          <w:color w:val="auto"/>
        </w:rPr>
        <w:t>practices and related accounting matters. In addition, general and administrative expense increased due to the net hiring of additional administrative personnel, which resulted in an increase in salary and related costs of $2.5 million. Partially offsetting the decrease in general and administrative expense in the first quarter of fiscal 2008 compared to the first quarter of fiscal 2007 was a $3.1 million decrease in stock compensation costs.</w:t>
      </w:r>
    </w:p>
    <w:p>
      <w:pPr>
        <w:spacing w:after="0" w:line="17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8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1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240" w:type="dxa"/>
            <w:vAlign w:val="bottom"/>
            <w:tcBorders>
              <w:top w:val="single" w:sz="8" w:color="auto"/>
            </w:tcBorders>
            <w:gridSpan w:val="2"/>
          </w:tcPr>
          <w:p>
            <w:pPr>
              <w:jc w:val="right"/>
              <w:ind w:right="58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3"/>
              <w:spacing w:after="0" w:line="102" w:lineRule="exact"/>
              <w:rPr>
                <w:sz w:val="20"/>
                <w:szCs w:val="20"/>
                <w:color w:val="auto"/>
              </w:rPr>
            </w:pPr>
            <w:r>
              <w:rPr>
                <w:rFonts w:ascii="Arial" w:cs="Arial" w:eastAsia="Arial" w:hAnsi="Arial"/>
                <w:sz w:val="11"/>
                <w:szCs w:val="11"/>
                <w:b w:val="1"/>
                <w:bCs w:val="1"/>
                <w:color w:val="auto"/>
              </w:rPr>
              <w:t>April 29,</w:t>
            </w:r>
          </w:p>
        </w:tc>
        <w:tc>
          <w:tcPr>
            <w:tcW w:w="260" w:type="dxa"/>
            <w:vAlign w:val="bottom"/>
          </w:tcPr>
          <w:p>
            <w:pPr>
              <w:spacing w:after="0"/>
              <w:rPr>
                <w:sz w:val="8"/>
                <w:szCs w:val="8"/>
                <w:color w:val="auto"/>
              </w:rPr>
            </w:pPr>
          </w:p>
        </w:tc>
        <w:tc>
          <w:tcPr>
            <w:tcW w:w="11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 Change</w:t>
            </w:r>
          </w:p>
        </w:tc>
        <w:tc>
          <w:tcPr>
            <w:tcW w:w="2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1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64"/>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3"/>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37,320</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115.1%</w:t>
            </w:r>
          </w:p>
        </w:tc>
        <w:tc>
          <w:tcPr>
            <w:tcW w:w="0" w:type="dxa"/>
            <w:vAlign w:val="bottom"/>
          </w:tcPr>
          <w:p>
            <w:pPr>
              <w:spacing w:after="0"/>
              <w:rPr>
                <w:sz w:val="1"/>
                <w:szCs w:val="1"/>
                <w:color w:val="auto"/>
              </w:rPr>
            </w:pPr>
          </w:p>
        </w:tc>
      </w:tr>
      <w:tr>
        <w:trPr>
          <w:trHeight w:val="230"/>
        </w:trPr>
        <w:tc>
          <w:tcPr>
            <w:tcW w:w="716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5.9%</w:t>
            </w:r>
          </w:p>
        </w:tc>
        <w:tc>
          <w:tcPr>
            <w:tcW w:w="20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3.3%</w:t>
            </w:r>
          </w:p>
        </w:tc>
        <w:tc>
          <w:tcPr>
            <w:tcW w:w="1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jc w:val="both"/>
        <w:ind w:right="160" w:firstLine="324"/>
        <w:spacing w:after="0" w:line="264" w:lineRule="auto"/>
        <w:rPr>
          <w:sz w:val="20"/>
          <w:szCs w:val="20"/>
          <w:color w:val="auto"/>
        </w:rPr>
      </w:pPr>
      <w:r>
        <w:rPr>
          <w:rFonts w:ascii="Arial" w:cs="Arial" w:eastAsia="Arial" w:hAnsi="Arial"/>
          <w:sz w:val="18"/>
          <w:szCs w:val="18"/>
          <w:color w:val="auto"/>
        </w:rPr>
        <w:t>In fiscal 2007, we made five acquisitions in which we acquired intangible assets which are being amortized over their estimate economic lives of one to eight years. The increase in amortization of acquired intangible assets in the first quarter of fiscal 2008 compared to the first quarter of fiscal 2007 is due to additional amortization of intangible assets from new acquisitions.</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Interest and Other Income</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0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70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04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260" w:type="dxa"/>
            <w:vAlign w:val="bottom"/>
            <w:tcBorders>
              <w:top w:val="single" w:sz="8" w:color="auto"/>
            </w:tcBorders>
            <w:gridSpan w:val="2"/>
          </w:tcPr>
          <w:p>
            <w:pPr>
              <w:jc w:val="right"/>
              <w:ind w:right="60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3"/>
              <w:spacing w:after="0" w:line="102" w:lineRule="exact"/>
              <w:rPr>
                <w:sz w:val="20"/>
                <w:szCs w:val="20"/>
                <w:color w:val="auto"/>
              </w:rPr>
            </w:pPr>
            <w:r>
              <w:rPr>
                <w:rFonts w:ascii="Arial" w:cs="Arial" w:eastAsia="Arial" w:hAnsi="Arial"/>
                <w:sz w:val="11"/>
                <w:szCs w:val="11"/>
                <w:b w:val="1"/>
                <w:bCs w:val="1"/>
                <w:color w:val="auto"/>
              </w:rPr>
              <w:t>April 29,</w:t>
            </w:r>
          </w:p>
        </w:tc>
        <w:tc>
          <w:tcPr>
            <w:tcW w:w="260" w:type="dxa"/>
            <w:vAlign w:val="bottom"/>
          </w:tcPr>
          <w:p>
            <w:pPr>
              <w:spacing w:after="0"/>
              <w:rPr>
                <w:sz w:val="8"/>
                <w:szCs w:val="8"/>
                <w:color w:val="auto"/>
              </w:rPr>
            </w:pPr>
          </w:p>
        </w:tc>
        <w:tc>
          <w:tcPr>
            <w:tcW w:w="11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 Change</w:t>
            </w:r>
          </w:p>
        </w:tc>
        <w:tc>
          <w:tcPr>
            <w:tcW w:w="30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04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4"/>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3"/>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30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1,319</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8,215</w:t>
            </w:r>
          </w:p>
        </w:tc>
        <w:tc>
          <w:tcPr>
            <w:tcW w:w="2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(83.9)%</w:t>
            </w:r>
          </w:p>
        </w:tc>
        <w:tc>
          <w:tcPr>
            <w:tcW w:w="0" w:type="dxa"/>
            <w:vAlign w:val="bottom"/>
          </w:tcPr>
          <w:p>
            <w:pPr>
              <w:spacing w:after="0"/>
              <w:rPr>
                <w:sz w:val="1"/>
                <w:szCs w:val="1"/>
                <w:color w:val="auto"/>
              </w:rPr>
            </w:pPr>
          </w:p>
        </w:tc>
      </w:tr>
      <w:tr>
        <w:trPr>
          <w:trHeight w:val="230"/>
        </w:trPr>
        <w:tc>
          <w:tcPr>
            <w:tcW w:w="704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26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20"/>
                <w:szCs w:val="20"/>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1.5%</w:t>
            </w:r>
          </w:p>
        </w:tc>
        <w:tc>
          <w:tcPr>
            <w:tcW w:w="1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40" w:firstLine="324"/>
        <w:spacing w:after="0" w:line="276" w:lineRule="auto"/>
        <w:rPr>
          <w:sz w:val="20"/>
          <w:szCs w:val="20"/>
          <w:color w:val="auto"/>
        </w:rPr>
      </w:pPr>
      <w:r>
        <w:rPr>
          <w:rFonts w:ascii="Arial" w:cs="Arial" w:eastAsia="Arial" w:hAnsi="Arial"/>
          <w:sz w:val="17"/>
          <w:szCs w:val="17"/>
          <w:color w:val="auto"/>
        </w:rPr>
        <w:t>Interest and other income consist primarily of interest earned on cash, cash equivalents and short-term investment balances. The decrease in interest and other income for the first quarter of fiscal 2008 compared to the first quarter of fiscal 2007 is primarily due to a $4.9 million reserve recorded in the first quarter of fiscal 2008 for the impairment of an equity investment in a private company which we determined to be fully impaired based on the private company’s deteriorated financial projections as well as well other qualitative information provided by the private company. Additionally, interest and other income decreased due to lower interest income as a result to lower average cash balances for comparable periods.</w:t>
      </w:r>
    </w:p>
    <w:p>
      <w:pPr>
        <w:spacing w:after="0" w:line="17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Interest Expense</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72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420" w:type="dxa"/>
            <w:vAlign w:val="bottom"/>
          </w:tcPr>
          <w:p>
            <w:pPr>
              <w:spacing w:after="0"/>
              <w:rPr>
                <w:sz w:val="8"/>
                <w:szCs w:val="8"/>
                <w:color w:val="auto"/>
              </w:rPr>
            </w:pPr>
          </w:p>
        </w:tc>
        <w:tc>
          <w:tcPr>
            <w:tcW w:w="368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260" w:type="dxa"/>
            <w:vAlign w:val="bottom"/>
            <w:tcBorders>
              <w:top w:val="single" w:sz="8" w:color="auto"/>
            </w:tcBorders>
            <w:gridSpan w:val="2"/>
          </w:tcPr>
          <w:p>
            <w:pPr>
              <w:jc w:val="right"/>
              <w:ind w:right="62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3"/>
              <w:spacing w:after="0" w:line="102" w:lineRule="exact"/>
              <w:rPr>
                <w:sz w:val="20"/>
                <w:szCs w:val="20"/>
                <w:color w:val="auto"/>
              </w:rPr>
            </w:pPr>
            <w:r>
              <w:rPr>
                <w:rFonts w:ascii="Arial" w:cs="Arial" w:eastAsia="Arial" w:hAnsi="Arial"/>
                <w:sz w:val="11"/>
                <w:szCs w:val="11"/>
                <w:b w:val="1"/>
                <w:bCs w:val="1"/>
                <w:color w:val="auto"/>
              </w:rPr>
              <w:t>April 29,</w:t>
            </w:r>
          </w:p>
        </w:tc>
        <w:tc>
          <w:tcPr>
            <w:tcW w:w="280" w:type="dxa"/>
            <w:vAlign w:val="bottom"/>
          </w:tcPr>
          <w:p>
            <w:pPr>
              <w:spacing w:after="0"/>
              <w:rPr>
                <w:sz w:val="8"/>
                <w:szCs w:val="8"/>
                <w:color w:val="auto"/>
              </w:rPr>
            </w:pPr>
          </w:p>
        </w:tc>
        <w:tc>
          <w:tcPr>
            <w:tcW w:w="11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 Change</w:t>
            </w:r>
          </w:p>
        </w:tc>
        <w:tc>
          <w:tcPr>
            <w:tcW w:w="2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420" w:type="dxa"/>
            <w:vAlign w:val="bottom"/>
            <w:tcBorders>
              <w:bottom w:val="single" w:sz="8" w:color="CCEEFF"/>
            </w:tcBorders>
          </w:tcPr>
          <w:p>
            <w:pPr>
              <w:spacing w:after="0"/>
              <w:rPr>
                <w:sz w:val="14"/>
                <w:szCs w:val="14"/>
                <w:color w:val="auto"/>
              </w:rPr>
            </w:pPr>
          </w:p>
        </w:tc>
        <w:tc>
          <w:tcPr>
            <w:tcW w:w="36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64"/>
              <w:spacing w:after="0"/>
              <w:rPr>
                <w:sz w:val="20"/>
                <w:szCs w:val="20"/>
                <w:color w:val="auto"/>
              </w:rPr>
            </w:pPr>
            <w:r>
              <w:rPr>
                <w:rFonts w:ascii="Arial" w:cs="Arial" w:eastAsia="Arial" w:hAnsi="Arial"/>
                <w:sz w:val="14"/>
                <w:szCs w:val="14"/>
                <w:b w:val="1"/>
                <w:bCs w:val="1"/>
                <w:color w:val="auto"/>
              </w:rPr>
              <w:t>2007</w:t>
            </w:r>
          </w:p>
        </w:tc>
        <w:tc>
          <w:tcPr>
            <w:tcW w:w="30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83"/>
              <w:spacing w:after="0"/>
              <w:rPr>
                <w:sz w:val="20"/>
                <w:szCs w:val="20"/>
                <w:color w:val="auto"/>
              </w:rPr>
            </w:pPr>
            <w:r>
              <w:rPr>
                <w:rFonts w:ascii="Arial" w:cs="Arial" w:eastAsia="Arial" w:hAnsi="Arial"/>
                <w:sz w:val="14"/>
                <w:szCs w:val="14"/>
                <w:b w:val="1"/>
                <w:bCs w:val="1"/>
                <w:color w:val="auto"/>
              </w:rPr>
              <w:t>2006</w:t>
            </w:r>
          </w:p>
        </w:tc>
        <w:tc>
          <w:tcPr>
            <w:tcW w:w="28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36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(9,975)</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w:t>
            </w:r>
          </w:p>
        </w:tc>
        <w:tc>
          <w:tcPr>
            <w:tcW w:w="2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1,565.3%</w:t>
            </w:r>
          </w:p>
        </w:tc>
        <w:tc>
          <w:tcPr>
            <w:tcW w:w="0" w:type="dxa"/>
            <w:vAlign w:val="bottom"/>
          </w:tcPr>
          <w:p>
            <w:pPr>
              <w:spacing w:after="0"/>
              <w:rPr>
                <w:sz w:val="1"/>
                <w:szCs w:val="1"/>
                <w:color w:val="auto"/>
              </w:rPr>
            </w:pPr>
          </w:p>
        </w:tc>
      </w:tr>
      <w:tr>
        <w:trPr>
          <w:trHeight w:val="230"/>
        </w:trPr>
        <w:tc>
          <w:tcPr>
            <w:tcW w:w="3420" w:type="dxa"/>
            <w:vAlign w:val="bottom"/>
          </w:tcPr>
          <w:p>
            <w:pPr>
              <w:spacing w:after="0"/>
              <w:rPr>
                <w:sz w:val="20"/>
                <w:szCs w:val="20"/>
                <w:color w:val="auto"/>
              </w:rPr>
            </w:pPr>
            <w:r>
              <w:rPr>
                <w:rFonts w:ascii="Arial" w:cs="Arial" w:eastAsia="Arial" w:hAnsi="Arial"/>
                <w:sz w:val="18"/>
                <w:szCs w:val="18"/>
                <w:color w:val="auto"/>
              </w:rPr>
              <w:t>% of net revenue</w:t>
            </w:r>
          </w:p>
        </w:tc>
        <w:tc>
          <w:tcPr>
            <w:tcW w:w="36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(1.6)%</w:t>
            </w:r>
          </w:p>
        </w:tc>
        <w:tc>
          <w:tcPr>
            <w:tcW w:w="200" w:type="dxa"/>
            <w:vAlign w:val="bottom"/>
          </w:tcPr>
          <w:p>
            <w:pPr>
              <w:spacing w:after="0"/>
              <w:rPr>
                <w:sz w:val="20"/>
                <w:szCs w:val="20"/>
                <w:color w:val="auto"/>
              </w:rPr>
            </w:pPr>
          </w:p>
        </w:tc>
        <w:tc>
          <w:tcPr>
            <w:tcW w:w="1260" w:type="dxa"/>
            <w:vAlign w:val="bottom"/>
            <w:gridSpan w:val="2"/>
          </w:tcPr>
          <w:p>
            <w:pPr>
              <w:jc w:val="right"/>
              <w:ind w:right="80"/>
              <w:spacing w:after="0"/>
              <w:rPr>
                <w:sz w:val="20"/>
                <w:szCs w:val="20"/>
                <w:color w:val="auto"/>
              </w:rPr>
            </w:pPr>
            <w:r>
              <w:rPr>
                <w:rFonts w:ascii="Arial" w:cs="Arial" w:eastAsia="Arial" w:hAnsi="Arial"/>
                <w:sz w:val="18"/>
                <w:szCs w:val="18"/>
                <w:color w:val="auto"/>
              </w:rPr>
              <w:t>(0.1)%</w:t>
            </w:r>
          </w:p>
        </w:tc>
        <w:tc>
          <w:tcPr>
            <w:tcW w:w="1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3420" w:type="dxa"/>
            <w:vAlign w:val="bottom"/>
          </w:tcPr>
          <w:p>
            <w:pPr>
              <w:spacing w:after="0"/>
              <w:rPr>
                <w:sz w:val="24"/>
                <w:szCs w:val="24"/>
                <w:color w:val="auto"/>
              </w:rPr>
            </w:pPr>
          </w:p>
        </w:tc>
        <w:tc>
          <w:tcPr>
            <w:tcW w:w="3680" w:type="dxa"/>
            <w:vAlign w:val="bottom"/>
          </w:tcPr>
          <w:p>
            <w:pPr>
              <w:jc w:val="right"/>
              <w:ind w:right="1210"/>
              <w:spacing w:after="0"/>
              <w:rPr>
                <w:sz w:val="20"/>
                <w:szCs w:val="20"/>
                <w:color w:val="auto"/>
              </w:rPr>
            </w:pPr>
            <w:r>
              <w:rPr>
                <w:rFonts w:ascii="Arial" w:cs="Arial" w:eastAsia="Arial" w:hAnsi="Arial"/>
                <w:sz w:val="18"/>
                <w:szCs w:val="18"/>
                <w:color w:val="auto"/>
              </w:rPr>
              <w:t>30</w:t>
            </w:r>
          </w:p>
        </w:tc>
        <w:tc>
          <w:tcPr>
            <w:tcW w:w="2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jc w:val="both"/>
        <w:ind w:firstLine="324"/>
        <w:spacing w:after="0" w:line="277" w:lineRule="auto"/>
        <w:rPr>
          <w:sz w:val="20"/>
          <w:szCs w:val="20"/>
          <w:color w:val="auto"/>
        </w:rPr>
      </w:pPr>
      <w:r>
        <w:rPr>
          <w:rFonts w:ascii="Arial" w:cs="Arial" w:eastAsia="Arial" w:hAnsi="Arial"/>
          <w:sz w:val="18"/>
          <w:szCs w:val="18"/>
          <w:color w:val="auto"/>
        </w:rPr>
        <w:t>Interest expense consists primarily of interest paid on term loan and capital lease obligations. The increase in interest expense for the first quarter of fiscal 2008 compared to the first quarter of fiscal 2007 is primarily due to $7.9 million of interest expense on a term loan obligation.</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0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8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11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060" w:type="dxa"/>
            <w:vAlign w:val="bottom"/>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1220" w:type="dxa"/>
            <w:vAlign w:val="bottom"/>
            <w:tcBorders>
              <w:top w:val="single" w:sz="8" w:color="auto"/>
            </w:tcBorders>
            <w:gridSpan w:val="2"/>
          </w:tcPr>
          <w:p>
            <w:pPr>
              <w:jc w:val="right"/>
              <w:ind w:right="580"/>
              <w:spacing w:after="0" w:line="102" w:lineRule="exact"/>
              <w:rPr>
                <w:sz w:val="20"/>
                <w:szCs w:val="20"/>
                <w:color w:val="auto"/>
              </w:rPr>
            </w:pPr>
            <w:r>
              <w:rPr>
                <w:rFonts w:ascii="Arial" w:cs="Arial" w:eastAsia="Arial" w:hAnsi="Arial"/>
                <w:sz w:val="11"/>
                <w:szCs w:val="11"/>
                <w:b w:val="1"/>
                <w:bCs w:val="1"/>
                <w:color w:val="auto"/>
              </w:rPr>
              <w:t>April 28,</w:t>
            </w:r>
          </w:p>
        </w:tc>
        <w:tc>
          <w:tcPr>
            <w:tcW w:w="200" w:type="dxa"/>
            <w:vAlign w:val="bottom"/>
            <w:tcBorders>
              <w:top w:val="single" w:sz="8" w:color="auto"/>
            </w:tcBorders>
          </w:tcPr>
          <w:p>
            <w:pPr>
              <w:spacing w:after="0"/>
              <w:rPr>
                <w:sz w:val="8"/>
                <w:szCs w:val="8"/>
                <w:color w:val="auto"/>
              </w:rPr>
            </w:pPr>
          </w:p>
        </w:tc>
        <w:tc>
          <w:tcPr>
            <w:tcW w:w="980" w:type="dxa"/>
            <w:vAlign w:val="bottom"/>
            <w:tcBorders>
              <w:top w:val="single" w:sz="8" w:color="auto"/>
            </w:tcBorders>
          </w:tcPr>
          <w:p>
            <w:pPr>
              <w:jc w:val="right"/>
              <w:ind w:right="243"/>
              <w:spacing w:after="0" w:line="102" w:lineRule="exact"/>
              <w:rPr>
                <w:sz w:val="20"/>
                <w:szCs w:val="20"/>
                <w:color w:val="auto"/>
              </w:rPr>
            </w:pPr>
            <w:r>
              <w:rPr>
                <w:rFonts w:ascii="Arial" w:cs="Arial" w:eastAsia="Arial" w:hAnsi="Arial"/>
                <w:sz w:val="11"/>
                <w:szCs w:val="11"/>
                <w:b w:val="1"/>
                <w:bCs w:val="1"/>
                <w:color w:val="auto"/>
              </w:rPr>
              <w:t>April 29,</w:t>
            </w:r>
          </w:p>
        </w:tc>
        <w:tc>
          <w:tcPr>
            <w:tcW w:w="280" w:type="dxa"/>
            <w:vAlign w:val="bottom"/>
          </w:tcPr>
          <w:p>
            <w:pPr>
              <w:spacing w:after="0"/>
              <w:rPr>
                <w:sz w:val="8"/>
                <w:szCs w:val="8"/>
                <w:color w:val="auto"/>
              </w:rPr>
            </w:pPr>
          </w:p>
        </w:tc>
        <w:tc>
          <w:tcPr>
            <w:tcW w:w="116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 Change</w:t>
            </w:r>
          </w:p>
        </w:tc>
        <w:tc>
          <w:tcPr>
            <w:tcW w:w="3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0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64"/>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63"/>
              <w:spacing w:after="0"/>
              <w:rPr>
                <w:sz w:val="20"/>
                <w:szCs w:val="20"/>
                <w:color w:val="auto"/>
              </w:rPr>
            </w:pPr>
            <w:r>
              <w:rPr>
                <w:rFonts w:ascii="Arial" w:cs="Arial" w:eastAsia="Arial" w:hAnsi="Arial"/>
                <w:sz w:val="14"/>
                <w:szCs w:val="14"/>
                <w:b w:val="1"/>
                <w:bCs w:val="1"/>
                <w:color w:val="auto"/>
              </w:rPr>
              <w:t>2006</w:t>
            </w:r>
          </w:p>
        </w:tc>
        <w:tc>
          <w:tcPr>
            <w:tcW w:w="280" w:type="dxa"/>
            <w:vAlign w:val="bottom"/>
            <w:tcBorders>
              <w:bottom w:val="single" w:sz="8" w:color="CCEEFF"/>
            </w:tcBorders>
          </w:tcPr>
          <w:p>
            <w:pPr>
              <w:spacing w:after="0"/>
              <w:rPr>
                <w:sz w:val="14"/>
                <w:szCs w:val="14"/>
                <w:color w:val="auto"/>
              </w:rPr>
            </w:pPr>
          </w:p>
        </w:tc>
        <w:tc>
          <w:tcPr>
            <w:tcW w:w="1160" w:type="dxa"/>
            <w:vAlign w:val="bottom"/>
            <w:tcBorders>
              <w:bottom w:val="single" w:sz="8" w:color="auto"/>
            </w:tcBorders>
            <w:vMerge w:val="continue"/>
          </w:tcPr>
          <w:p>
            <w:pPr>
              <w:spacing w:after="0"/>
              <w:rPr>
                <w:sz w:val="14"/>
                <w:szCs w:val="14"/>
                <w:color w:val="auto"/>
              </w:rPr>
            </w:pPr>
          </w:p>
        </w:tc>
        <w:tc>
          <w:tcPr>
            <w:tcW w:w="32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5,972</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15,863</w:t>
            </w:r>
          </w:p>
        </w:tc>
        <w:tc>
          <w:tcPr>
            <w:tcW w:w="28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(62.4)%</w:t>
            </w:r>
          </w:p>
        </w:tc>
        <w:tc>
          <w:tcPr>
            <w:tcW w:w="0" w:type="dxa"/>
            <w:vAlign w:val="bottom"/>
          </w:tcPr>
          <w:p>
            <w:pPr>
              <w:spacing w:after="0"/>
              <w:rPr>
                <w:sz w:val="1"/>
                <w:szCs w:val="1"/>
                <w:color w:val="auto"/>
              </w:rPr>
            </w:pPr>
          </w:p>
        </w:tc>
      </w:tr>
      <w:tr>
        <w:trPr>
          <w:trHeight w:val="230"/>
        </w:trPr>
        <w:tc>
          <w:tcPr>
            <w:tcW w:w="7060" w:type="dxa"/>
            <w:vAlign w:val="bottom"/>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220" w:type="dxa"/>
            <w:vAlign w:val="bottom"/>
            <w:gridSpan w:val="2"/>
          </w:tcPr>
          <w:p>
            <w:pPr>
              <w:jc w:val="right"/>
              <w:ind w:right="120"/>
              <w:spacing w:after="0"/>
              <w:rPr>
                <w:sz w:val="20"/>
                <w:szCs w:val="20"/>
                <w:color w:val="auto"/>
              </w:rPr>
            </w:pPr>
            <w:r>
              <w:rPr>
                <w:rFonts w:ascii="Arial" w:cs="Arial" w:eastAsia="Arial" w:hAnsi="Arial"/>
                <w:sz w:val="18"/>
                <w:szCs w:val="18"/>
                <w:color w:val="auto"/>
              </w:rPr>
              <w:t>0.9%</w:t>
            </w:r>
          </w:p>
        </w:tc>
        <w:tc>
          <w:tcPr>
            <w:tcW w:w="200" w:type="dxa"/>
            <w:vAlign w:val="bottom"/>
          </w:tcPr>
          <w:p>
            <w:pPr>
              <w:spacing w:after="0"/>
              <w:rPr>
                <w:sz w:val="20"/>
                <w:szCs w:val="20"/>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3.0%</w:t>
            </w:r>
          </w:p>
        </w:tc>
        <w:tc>
          <w:tcPr>
            <w:tcW w:w="11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jc w:val="both"/>
        <w:ind w:right="200" w:firstLine="324"/>
        <w:spacing w:after="0" w:line="264" w:lineRule="auto"/>
        <w:rPr>
          <w:sz w:val="20"/>
          <w:szCs w:val="20"/>
          <w:color w:val="auto"/>
        </w:rPr>
      </w:pPr>
      <w:r>
        <w:rPr>
          <w:rFonts w:ascii="Arial" w:cs="Arial" w:eastAsia="Arial" w:hAnsi="Arial"/>
          <w:sz w:val="18"/>
          <w:szCs w:val="18"/>
          <w:color w:val="auto"/>
        </w:rPr>
        <w:t>Our effective tax rate was approximately (12.7%) and 18.7% for the three months ended April 28, 2007 and April 29, 2006, respectively. The effective tax rates were affected by non-tax-deductible expenses, such as nondeductible acquisition related expenses, FAS 123R stock based compensation expenses and the accrual of interest and penalties on unrecognized tax benefits.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Cumulative Effects of Change in Accounting Principle, net of Tax Effect</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060" w:type="dxa"/>
            <w:vAlign w:val="bottom"/>
          </w:tcPr>
          <w:p>
            <w:pPr>
              <w:spacing w:after="0"/>
              <w:rPr>
                <w:sz w:val="14"/>
                <w:szCs w:val="14"/>
                <w:color w:val="auto"/>
              </w:rPr>
            </w:pPr>
          </w:p>
        </w:tc>
        <w:tc>
          <w:tcPr>
            <w:tcW w:w="2180" w:type="dxa"/>
            <w:vAlign w:val="bottom"/>
            <w:tcBorders>
              <w:bottom w:val="single" w:sz="8" w:color="auto"/>
            </w:tcBorders>
            <w:gridSpan w:val="4"/>
          </w:tcPr>
          <w:p>
            <w:pPr>
              <w:jc w:val="right"/>
              <w:ind w:right="167"/>
              <w:spacing w:after="0"/>
              <w:rPr>
                <w:sz w:val="20"/>
                <w:szCs w:val="20"/>
                <w:color w:val="auto"/>
              </w:rPr>
            </w:pPr>
            <w:r>
              <w:rPr>
                <w:rFonts w:ascii="Arial" w:cs="Arial" w:eastAsia="Arial" w:hAnsi="Arial"/>
                <w:sz w:val="14"/>
                <w:szCs w:val="14"/>
                <w:b w:val="1"/>
                <w:bCs w:val="1"/>
                <w:color w:val="auto"/>
              </w:rPr>
              <w:t>Three Months Ended</w:t>
            </w:r>
          </w:p>
        </w:tc>
        <w:tc>
          <w:tcPr>
            <w:tcW w:w="42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7060" w:type="dxa"/>
            <w:vAlign w:val="bottom"/>
          </w:tcPr>
          <w:p>
            <w:pPr>
              <w:spacing w:after="0"/>
              <w:rPr>
                <w:sz w:val="8"/>
                <w:szCs w:val="8"/>
                <w:color w:val="auto"/>
              </w:rPr>
            </w:pPr>
          </w:p>
        </w:tc>
        <w:tc>
          <w:tcPr>
            <w:tcW w:w="880" w:type="dxa"/>
            <w:vAlign w:val="bottom"/>
          </w:tcPr>
          <w:p>
            <w:pPr>
              <w:jc w:val="center"/>
              <w:ind w:left="191"/>
              <w:spacing w:after="0" w:line="102" w:lineRule="exact"/>
              <w:rPr>
                <w:sz w:val="20"/>
                <w:szCs w:val="20"/>
                <w:color w:val="auto"/>
              </w:rPr>
            </w:pPr>
            <w:r>
              <w:rPr>
                <w:rFonts w:ascii="Arial" w:cs="Arial" w:eastAsia="Arial" w:hAnsi="Arial"/>
                <w:sz w:val="11"/>
                <w:szCs w:val="11"/>
                <w:b w:val="1"/>
                <w:bCs w:val="1"/>
                <w:color w:val="auto"/>
              </w:rPr>
              <w:t>April 28,</w:t>
            </w: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80" w:type="dxa"/>
            <w:vAlign w:val="bottom"/>
            <w:gridSpan w:val="2"/>
          </w:tcPr>
          <w:p>
            <w:pPr>
              <w:jc w:val="center"/>
              <w:spacing w:after="0" w:line="102" w:lineRule="exact"/>
              <w:rPr>
                <w:sz w:val="20"/>
                <w:szCs w:val="20"/>
                <w:color w:val="auto"/>
              </w:rPr>
            </w:pPr>
            <w:r>
              <w:rPr>
                <w:rFonts w:ascii="Arial" w:cs="Arial" w:eastAsia="Arial" w:hAnsi="Arial"/>
                <w:sz w:val="11"/>
                <w:szCs w:val="11"/>
                <w:b w:val="1"/>
                <w:bCs w:val="1"/>
                <w:color w:val="auto"/>
              </w:rPr>
              <w:t>April 29,</w:t>
            </w:r>
          </w:p>
        </w:tc>
        <w:tc>
          <w:tcPr>
            <w:tcW w:w="280" w:type="dxa"/>
            <w:vAlign w:val="bottom"/>
          </w:tcPr>
          <w:p>
            <w:pPr>
              <w:spacing w:after="0"/>
              <w:rPr>
                <w:sz w:val="8"/>
                <w:szCs w:val="8"/>
                <w:color w:val="auto"/>
              </w:rPr>
            </w:pPr>
          </w:p>
        </w:tc>
        <w:tc>
          <w:tcPr>
            <w:tcW w:w="1480" w:type="dxa"/>
            <w:vAlign w:val="bottom"/>
            <w:gridSpan w:val="2"/>
            <w:vMerge w:val="restart"/>
          </w:tcPr>
          <w:p>
            <w:pPr>
              <w:jc w:val="right"/>
              <w:ind w:right="51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7060" w:type="dxa"/>
            <w:vAlign w:val="bottom"/>
          </w:tcPr>
          <w:p>
            <w:pPr>
              <w:spacing w:after="0"/>
              <w:rPr>
                <w:sz w:val="14"/>
                <w:szCs w:val="14"/>
                <w:color w:val="auto"/>
              </w:rPr>
            </w:pPr>
          </w:p>
        </w:tc>
        <w:tc>
          <w:tcPr>
            <w:tcW w:w="880" w:type="dxa"/>
            <w:vAlign w:val="bottom"/>
          </w:tcPr>
          <w:p>
            <w:pPr>
              <w:jc w:val="right"/>
              <w:ind w:right="91"/>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b w:val="1"/>
                <w:bCs w:val="1"/>
                <w:color w:val="auto"/>
              </w:rPr>
              <w:t>2006</w:t>
            </w:r>
          </w:p>
        </w:tc>
        <w:tc>
          <w:tcPr>
            <w:tcW w:w="4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0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Cumulative effects of change in accounting principle, net of tax effect</w:t>
            </w:r>
          </w:p>
        </w:tc>
        <w:tc>
          <w:tcPr>
            <w:tcW w:w="880" w:type="dxa"/>
            <w:vAlign w:val="bottom"/>
            <w:tcBorders>
              <w:top w:val="single" w:sz="8" w:color="auto"/>
            </w:tcBorders>
            <w:shd w:val="clear" w:color="auto" w:fill="CCEEFF"/>
          </w:tcPr>
          <w:p>
            <w:pPr>
              <w:jc w:val="right"/>
              <w:ind w:right="731"/>
              <w:spacing w:after="0"/>
              <w:rPr>
                <w:sz w:val="20"/>
                <w:szCs w:val="20"/>
                <w:color w:val="auto"/>
              </w:rPr>
            </w:pPr>
            <w:r>
              <w:rPr>
                <w:rFonts w:ascii="Arial" w:cs="Arial" w:eastAsia="Arial" w:hAnsi="Arial"/>
                <w:sz w:val="15"/>
                <w:szCs w:val="15"/>
                <w:color w:val="auto"/>
                <w:w w:val="71"/>
              </w:rPr>
              <w:t>$</w:t>
            </w:r>
          </w:p>
        </w:tc>
        <w:tc>
          <w:tcPr>
            <w:tcW w:w="2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ind w:right="587"/>
              <w:spacing w:after="0"/>
              <w:rPr>
                <w:sz w:val="20"/>
                <w:szCs w:val="20"/>
                <w:color w:val="auto"/>
              </w:rPr>
            </w:pPr>
            <w:r>
              <w:rPr>
                <w:rFonts w:ascii="Arial" w:cs="Arial" w:eastAsia="Arial" w:hAnsi="Arial"/>
                <w:sz w:val="18"/>
                <w:szCs w:val="18"/>
                <w:color w:val="auto"/>
                <w:w w:val="79"/>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8,846</w:t>
            </w:r>
          </w:p>
        </w:tc>
        <w:tc>
          <w:tcPr>
            <w:tcW w:w="280" w:type="dxa"/>
            <w:vAlign w:val="bottom"/>
            <w:tcBorders>
              <w:top w:val="single" w:sz="8" w:color="CCEEFF"/>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32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706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tcPr>
          <w:p>
            <w:pPr>
              <w:spacing w:after="0"/>
              <w:rPr>
                <w:sz w:val="20"/>
                <w:szCs w:val="20"/>
                <w:color w:val="auto"/>
              </w:rPr>
            </w:pPr>
          </w:p>
        </w:tc>
        <w:tc>
          <w:tcPr>
            <w:tcW w:w="540" w:type="dxa"/>
            <w:vAlign w:val="bottom"/>
            <w:gridSpan w:val="2"/>
          </w:tcPr>
          <w:p>
            <w:pPr>
              <w:jc w:val="right"/>
              <w:ind w:right="120"/>
              <w:spacing w:after="0"/>
              <w:rPr>
                <w:sz w:val="20"/>
                <w:szCs w:val="20"/>
                <w:color w:val="auto"/>
              </w:rPr>
            </w:pPr>
            <w:r>
              <w:rPr>
                <w:rFonts w:ascii="Arial" w:cs="Arial" w:eastAsia="Arial" w:hAnsi="Arial"/>
                <w:sz w:val="18"/>
                <w:szCs w:val="18"/>
                <w:color w:val="auto"/>
                <w:w w:val="97"/>
              </w:rPr>
              <w:t>0.0%</w:t>
            </w:r>
          </w:p>
        </w:tc>
        <w:tc>
          <w:tcPr>
            <w:tcW w:w="760" w:type="dxa"/>
            <w:vAlign w:val="bottom"/>
          </w:tcPr>
          <w:p>
            <w:pPr>
              <w:spacing w:after="0"/>
              <w:rPr>
                <w:sz w:val="20"/>
                <w:szCs w:val="20"/>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1.7%</w:t>
            </w:r>
          </w:p>
        </w:tc>
        <w:tc>
          <w:tcPr>
            <w:tcW w:w="11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20" w:firstLine="324"/>
        <w:spacing w:after="0" w:line="277" w:lineRule="auto"/>
        <w:rPr>
          <w:sz w:val="20"/>
          <w:szCs w:val="20"/>
          <w:color w:val="auto"/>
        </w:rPr>
      </w:pPr>
      <w:r>
        <w:rPr>
          <w:rFonts w:ascii="Arial" w:cs="Arial" w:eastAsia="Arial" w:hAnsi="Arial"/>
          <w:sz w:val="18"/>
          <w:szCs w:val="18"/>
          <w:color w:val="auto"/>
        </w:rPr>
        <w:t>During the three months ended April 29, 2006, we recorded an adjustment for the cumulative effect of a change in accounting principle related to estimating forfeitures in our adoption of SFAS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640" w:firstLine="324"/>
        <w:spacing w:after="0" w:line="264" w:lineRule="auto"/>
        <w:rPr>
          <w:sz w:val="20"/>
          <w:szCs w:val="20"/>
          <w:color w:val="auto"/>
        </w:rPr>
      </w:pPr>
      <w:r>
        <w:rPr>
          <w:rFonts w:ascii="Arial" w:cs="Arial" w:eastAsia="Arial" w:hAnsi="Arial"/>
          <w:sz w:val="18"/>
          <w:szCs w:val="18"/>
          <w:color w:val="auto"/>
        </w:rPr>
        <w:t>Our principal source of liquidity as of April 28, 2007 consisted of $592.9 million of cash, cash equivalents and short-term investments. Since our inception, we have financed our operations through a combination of sales of equity securities, cash generated by operations and cash assumed in acquisitions.</w:t>
      </w:r>
    </w:p>
    <w:p>
      <w:pPr>
        <w:sectPr>
          <w:pgSz w:w="11900" w:h="16838" w:orient="portrait"/>
          <w:cols w:equalWidth="0" w:num="1">
            <w:col w:w="11420"/>
          </w:cols>
          <w:pgMar w:left="240" w:top="125" w:right="239" w:bottom="53" w:gutter="0" w:footer="0" w:header="0"/>
        </w:sectPr>
      </w:pPr>
    </w:p>
    <w:p>
      <w:pPr>
        <w:spacing w:after="0" w:line="181" w:lineRule="exact"/>
        <w:rPr>
          <w:sz w:val="20"/>
          <w:szCs w:val="20"/>
          <w:color w:val="auto"/>
        </w:rPr>
      </w:pPr>
    </w:p>
    <w:p>
      <w:pPr>
        <w:ind w:left="260"/>
        <w:spacing w:after="0"/>
        <w:rPr>
          <w:sz w:val="20"/>
          <w:szCs w:val="20"/>
          <w:color w:val="auto"/>
        </w:rPr>
      </w:pPr>
      <w:r>
        <w:rPr>
          <w:rFonts w:ascii="Arial" w:cs="Arial" w:eastAsia="Arial" w:hAnsi="Arial"/>
          <w:sz w:val="15"/>
          <w:szCs w:val="15"/>
          <w:b w:val="1"/>
          <w:bCs w:val="1"/>
          <w:i w:val="1"/>
          <w:iCs w:val="1"/>
          <w:color w:val="auto"/>
        </w:rPr>
        <w:t>Net Cash Provided by Operating Activities</w:t>
      </w:r>
    </w:p>
    <w:p>
      <w:pPr>
        <w:sectPr>
          <w:pgSz w:w="11900" w:h="16838" w:orient="portrait"/>
          <w:cols w:equalWidth="0" w:num="1">
            <w:col w:w="11420"/>
          </w:cols>
          <w:pgMar w:left="240" w:top="125" w:right="239" w:bottom="53" w:gutter="0" w:footer="0" w:header="0"/>
          <w:type w:val="continuous"/>
        </w:sectPr>
      </w:pPr>
    </w:p>
    <w:bookmarkStart w:id="22" w:name="page23"/>
    <w:bookmarkEnd w:id="22"/>
    <w:p>
      <w:pPr>
        <w:spacing w:after="0" w:line="96" w:lineRule="exact"/>
        <w:rPr>
          <w:sz w:val="20"/>
          <w:szCs w:val="20"/>
          <w:color w:val="auto"/>
        </w:rPr>
      </w:pPr>
    </w:p>
    <w:p>
      <w:pPr>
        <w:ind w:right="60" w:firstLine="324"/>
        <w:spacing w:after="0" w:line="272" w:lineRule="auto"/>
        <w:rPr>
          <w:sz w:val="20"/>
          <w:szCs w:val="20"/>
          <w:color w:val="auto"/>
        </w:rPr>
      </w:pPr>
      <w:r>
        <w:rPr>
          <w:rFonts w:ascii="Arial" w:cs="Arial" w:eastAsia="Arial" w:hAnsi="Arial"/>
          <w:sz w:val="17"/>
          <w:szCs w:val="17"/>
          <w:color w:val="auto"/>
        </w:rPr>
        <w:t xml:space="preserve">Net cash provided by operating activities was $54.2 million for the three months ended April 28, 2007 compared to $46.7 million for the three months ended April 29, 2006. The cash inflow from operations in the first three months of fiscal 2008 was primarily due to changes in working capital. Non-cash charges in the first three months of fiscal 2008 included $37.3 million related to amortization of acquired intangible assets, $26.5 million of depreciation and amortization expense and $46.8 million of stock-based compensation. A significant working capital change contributing to positive cash flow in the first three months of fiscal 2008 was the decrease in accounts receivable of $45.4 million primarily due to the timing of payments received from customers. The days sales outstanding, or DSO, metric decreased to 40 days in the first three months of fiscal 2008 compared to 51 days for the first three months of fiscal 2007. </w:t>
      </w:r>
      <w:r>
        <w:rPr>
          <w:rFonts w:ascii="Arial" w:cs="Arial" w:eastAsia="Arial" w:hAnsi="Arial"/>
          <w:sz w:val="16"/>
          <w:szCs w:val="16"/>
          <w:color w:val="auto"/>
        </w:rPr>
        <w:t>Many of our larger customers have regularly scheduled payment dates that fall immediately before or after our fiscal quarter-end. As a result, our accounts</w:t>
      </w:r>
      <w:r>
        <w:rPr>
          <w:rFonts w:ascii="Arial" w:cs="Arial" w:eastAsia="Arial" w:hAnsi="Arial"/>
          <w:sz w:val="17"/>
          <w:szCs w:val="17"/>
          <w:color w:val="auto"/>
        </w:rPr>
        <w:t xml:space="preserve"> </w:t>
      </w:r>
      <w:r>
        <w:rPr>
          <w:rFonts w:ascii="Arial" w:cs="Arial" w:eastAsia="Arial" w:hAnsi="Arial"/>
          <w:sz w:val="16"/>
          <w:szCs w:val="16"/>
          <w:color w:val="auto"/>
        </w:rPr>
        <w:t>receivable balance and DSO may fluctuate depending on the timing of large payments made by our customers. Also contributing to an increase in positive cash flow was an increase in accounts payable of $12.5 million, due to an overall increase in operating activities.</w:t>
      </w:r>
    </w:p>
    <w:p>
      <w:pPr>
        <w:spacing w:after="0" w:line="180" w:lineRule="exact"/>
        <w:rPr>
          <w:sz w:val="20"/>
          <w:szCs w:val="20"/>
          <w:color w:val="auto"/>
        </w:rPr>
      </w:pPr>
    </w:p>
    <w:p>
      <w:pPr>
        <w:ind w:right="140" w:firstLine="324"/>
        <w:spacing w:after="0" w:line="260" w:lineRule="auto"/>
        <w:rPr>
          <w:sz w:val="20"/>
          <w:szCs w:val="20"/>
          <w:color w:val="auto"/>
        </w:rPr>
      </w:pPr>
      <w:r>
        <w:rPr>
          <w:rFonts w:ascii="Arial" w:cs="Arial" w:eastAsia="Arial" w:hAnsi="Arial"/>
          <w:sz w:val="18"/>
          <w:szCs w:val="18"/>
          <w:color w:val="auto"/>
        </w:rPr>
        <w:t xml:space="preserve">Significant working capital changes offsetting positive cash flows in the first three months of fiscal 2008 included a decrease in accrued liabilities and other of $57.8 million due primarily to application of a supply contract liability related to the acquisition of communications and applications processor business of Intel and </w:t>
      </w:r>
      <w:r>
        <w:rPr>
          <w:rFonts w:ascii="Arial" w:cs="Arial" w:eastAsia="Arial" w:hAnsi="Arial"/>
          <w:sz w:val="17"/>
          <w:szCs w:val="17"/>
          <w:color w:val="auto"/>
        </w:rPr>
        <w:t>an increase in inventories of $20.6 million due to the build up of inventory to support our increasing revenue as well as inventory purchase</w:t>
      </w:r>
      <w:r>
        <w:rPr>
          <w:rFonts w:ascii="Arial" w:cs="Arial" w:eastAsia="Arial" w:hAnsi="Arial"/>
          <w:sz w:val="18"/>
          <w:szCs w:val="18"/>
          <w:color w:val="auto"/>
        </w:rPr>
        <w:t xml:space="preserve"> </w:t>
      </w:r>
      <w:r>
        <w:rPr>
          <w:rFonts w:ascii="Arial" w:cs="Arial" w:eastAsia="Arial" w:hAnsi="Arial"/>
          <w:sz w:val="17"/>
          <w:szCs w:val="17"/>
          <w:color w:val="auto"/>
        </w:rPr>
        <w:t>commitments from our acquisitions. The number of days in inventory has decreased at the end of the first quarter of fiscal 2008 to 74 days compared to 77 days at the end of the first quarter of fiscal 2007.</w:t>
      </w:r>
    </w:p>
    <w:p>
      <w:pPr>
        <w:spacing w:after="0" w:line="18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Net cash provided by operating activities was $46.7 million for the three months ended April 29, 2006. The cash inflows from operations in the first three months of fiscal 2007 were primarily a result of our generation of income during the period and changes to working capital. Non-cash charges in the first three months of fiscal 2007 included $17.4 million related to amortization of acquired intangible assets, $15.6 million of depreciation and amortization expense and $48.8 million of stock-based compensation. Significant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working capital changes contributing to positive cash inflow in the first three months of fiscal 2007 included an increase of $15.1 million in income tax payable resulting from higher taxable income in the first three months of fiscal 2007 and a decrease in inventory of $8.7 million, primarily as a result of a reduction in wafer starts. The number of days in inventory has increased at the end of the first quarter of fiscal 2007 to 77 days compared to 58 days at the end of the first quarter of fiscal 2006 due primarily to a higher comparable inventory balance at the end of each respective quarter. We expect the number of days in inventory to fluctuate in the range of approximately 60 to 75 days depending on our wafer starts and the inventory purchase needs of our customers as well as lead times and competitive situations in the marketplace.</w:t>
      </w:r>
    </w:p>
    <w:p>
      <w:pPr>
        <w:spacing w:after="0" w:line="193" w:lineRule="exact"/>
        <w:rPr>
          <w:sz w:val="20"/>
          <w:szCs w:val="20"/>
          <w:color w:val="auto"/>
        </w:rPr>
      </w:pPr>
    </w:p>
    <w:p>
      <w:pPr>
        <w:ind w:right="80" w:firstLine="324"/>
        <w:spacing w:after="0" w:line="271" w:lineRule="auto"/>
        <w:rPr>
          <w:sz w:val="20"/>
          <w:szCs w:val="20"/>
          <w:color w:val="auto"/>
        </w:rPr>
      </w:pPr>
      <w:r>
        <w:rPr>
          <w:rFonts w:ascii="Arial" w:cs="Arial" w:eastAsia="Arial" w:hAnsi="Arial"/>
          <w:sz w:val="17"/>
          <w:szCs w:val="17"/>
          <w:color w:val="auto"/>
        </w:rPr>
        <w:t>Significant working capital changes offsetting positive cash flows in the first three months of fiscal 2007 included an increase in accounts receivable of $48.4 million primarily due to higher total net revenue in the first three months of fiscal 2007 compared to the first three months of fiscal 2006. Although accounts receivable increased, the days sales outstanding, or DSO, metric has remained consistent in the first three months of both fiscal 2007 and 2006 at 51 days. Many of our larger customers have regularly scheduled payment dates with some of the dates falling immediately before or after our fiscal quarter-end. As a result, our accounts receivable balance and DSO may fluctuate depending on timing of large payments made by our customers. Also contributing to working capital changes offsetting positive cash flow in the first three months of fiscal 2007 was a decrease in accounts payable of $45.9 million due to payments on outstanding balances and an increase in prepaid expenses and other assets of $25.8 million due primarily to a $23.0 million payment in connection with a capacity reservation agreement with a foundry.</w:t>
      </w:r>
    </w:p>
    <w:p>
      <w:pPr>
        <w:spacing w:after="0" w:line="17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(Used in) Provided by Investing Activities</w:t>
      </w:r>
    </w:p>
    <w:p>
      <w:pPr>
        <w:spacing w:after="0" w:line="225" w:lineRule="exact"/>
        <w:rPr>
          <w:sz w:val="20"/>
          <w:szCs w:val="20"/>
          <w:color w:val="auto"/>
        </w:rPr>
      </w:pPr>
    </w:p>
    <w:p>
      <w:pPr>
        <w:jc w:val="center"/>
        <w:ind w:right="180"/>
        <w:spacing w:after="0"/>
        <w:rPr>
          <w:sz w:val="20"/>
          <w:szCs w:val="20"/>
          <w:color w:val="auto"/>
        </w:rPr>
      </w:pPr>
      <w:r>
        <w:rPr>
          <w:rFonts w:ascii="Arial" w:cs="Arial" w:eastAsia="Arial" w:hAnsi="Arial"/>
          <w:sz w:val="17"/>
          <w:szCs w:val="17"/>
          <w:color w:val="auto"/>
        </w:rPr>
        <w:t>Net cash used in investing activities was $151.9 million for the first three months of fiscal 2008 while net cash provided by investing activities was</w:t>
      </w:r>
    </w:p>
    <w:p>
      <w:pPr>
        <w:spacing w:after="0" w:line="35" w:lineRule="exact"/>
        <w:rPr>
          <w:sz w:val="20"/>
          <w:szCs w:val="20"/>
          <w:color w:val="auto"/>
        </w:rPr>
      </w:pPr>
    </w:p>
    <w:p>
      <w:pPr>
        <w:ind w:right="160"/>
        <w:spacing w:after="0" w:line="271" w:lineRule="auto"/>
        <w:rPr>
          <w:sz w:val="20"/>
          <w:szCs w:val="20"/>
          <w:color w:val="auto"/>
        </w:rPr>
      </w:pPr>
      <w:r>
        <w:rPr>
          <w:rFonts w:ascii="Arial" w:cs="Arial" w:eastAsia="Arial" w:hAnsi="Arial"/>
          <w:sz w:val="17"/>
          <w:szCs w:val="17"/>
          <w:color w:val="auto"/>
        </w:rPr>
        <w:t>$127.3 million for the first three months of fiscal 2007. The net cash used in investing activities in the first three months of fiscal 2008 was due to purchases of short-term investments of $108.0 million, purchases of property and equipment of $35.3 million and purchases of technology licenses of $15.7 million, partially offset by sales and maturities of short-term investments of $8.0 million. The net cash provided by investing activities in the first three months of fiscal 2007 was due to sales and maturities of short-term investments of $238.1 million, partially offset by purchases of short-term investments of $57.4 million, purchases of purchases of property and equipment of $28.9 million and cash paid for acquisitions of $24.0 million..</w:t>
      </w:r>
    </w:p>
    <w:p>
      <w:pPr>
        <w:spacing w:after="0" w:line="17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(Used in) Provided by Financing Activities</w:t>
      </w:r>
    </w:p>
    <w:p>
      <w:pPr>
        <w:spacing w:after="0" w:line="225"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Net cash used in financing activities was $5.8 million for the three months ended April 28, 2007 while net cash provided by financing activities was $7.0 million for the three months ended April 29, 2006. In the first three months of fiscal 2008, net cash used in financing activities was attributable to principal payments on capital lease and debt obligations. In the first three months of fiscal 2007, net cash provided by financing activities was attributable to proceeds from the issuance of common stock under our stock option plans, partially offset by principal payments on capital lease obligations. The proceeds from the issuance of common stock are primarily due to the exercises of stock options. The increase in capital lease obligations is due to additional computer-aided design software licenses, which we acquired for use in our research and development activities.</w:t>
      </w:r>
    </w:p>
    <w:p>
      <w:pPr>
        <w:spacing w:after="0" w:line="174"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In connection with the acquisition of the Intel Business, we entered into a product supply agreement with Intel. Under the terms of the agreement we have committed to purchase a minimum number of wafers through June 2008.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agreement requires us to prepay for certain wafers six months in advance of delivery and requires us to issue non cancellable purchase orders at least six months in advance of requested delivery dates for all purchases under the supply agreement. As of April 28, 2007, we recorded $65.5 million in prepaid assets for prepayment of wafers and had non cancellable purchase orders outstanding of $319.7 million.</w:t>
      </w:r>
    </w:p>
    <w:p>
      <w:pPr>
        <w:spacing w:after="0" w:line="189"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Under our manufacturing relationships with all other foundries, cancellation of all outstanding purchase orders are allowed but require repayment of all expenses incurred through the date of cancellation. As of April 28, 2007, these foundries had incurred approximately $118.9 million of manufacturing expenses on our outstanding purchase orders.</w:t>
      </w:r>
    </w:p>
    <w:p>
      <w:pPr>
        <w:spacing w:after="0" w:line="181" w:lineRule="exact"/>
        <w:rPr>
          <w:sz w:val="20"/>
          <w:szCs w:val="20"/>
          <w:color w:val="auto"/>
        </w:rPr>
      </w:pPr>
    </w:p>
    <w:p>
      <w:pPr>
        <w:ind w:right="40" w:firstLine="324"/>
        <w:spacing w:after="0" w:line="342" w:lineRule="auto"/>
        <w:rPr>
          <w:sz w:val="20"/>
          <w:szCs w:val="20"/>
          <w:color w:val="auto"/>
        </w:rPr>
      </w:pPr>
      <w:r>
        <w:rPr>
          <w:rFonts w:ascii="Arial" w:cs="Arial" w:eastAsia="Arial" w:hAnsi="Arial"/>
          <w:sz w:val="16"/>
          <w:szCs w:val="16"/>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w:t>
      </w:r>
    </w:p>
    <w:p>
      <w:pPr>
        <w:sectPr>
          <w:pgSz w:w="11900" w:h="16935" w:orient="portrait"/>
          <w:cols w:equalWidth="0" w:num="1">
            <w:col w:w="11420"/>
          </w:cols>
          <w:pgMar w:left="240" w:top="125" w:right="239" w:bottom="0" w:gutter="0" w:footer="0" w:header="0"/>
        </w:sectPr>
      </w:pPr>
    </w:p>
    <w:bookmarkStart w:id="23" w:name="page24"/>
    <w:bookmarkEnd w:id="23"/>
    <w:p>
      <w:pPr>
        <w:ind w:right="660"/>
        <w:spacing w:after="0" w:line="277" w:lineRule="auto"/>
        <w:rPr>
          <w:sz w:val="20"/>
          <w:szCs w:val="20"/>
          <w:color w:val="auto"/>
        </w:rPr>
      </w:pPr>
      <w:r>
        <w:rPr>
          <w:rFonts w:ascii="Arial" w:cs="Arial" w:eastAsia="Arial" w:hAnsi="Arial"/>
          <w:sz w:val="18"/>
          <w:szCs w:val="18"/>
          <w:color w:val="auto"/>
        </w:rPr>
        <w:t>foundry $174.2 million over a period of eighteen months. The amendment extends the term of the agreement and the agreed upon pricing terms until December 31, 2015. As of April 28, 2007, payments totaling</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80"/>
        <w:spacing w:after="0" w:line="342" w:lineRule="auto"/>
        <w:rPr>
          <w:sz w:val="20"/>
          <w:szCs w:val="20"/>
          <w:color w:val="auto"/>
        </w:rPr>
      </w:pPr>
      <w:r>
        <w:rPr>
          <w:rFonts w:ascii="Arial" w:cs="Arial" w:eastAsia="Arial" w:hAnsi="Arial"/>
          <w:sz w:val="16"/>
          <w:szCs w:val="16"/>
          <w:color w:val="auto"/>
        </w:rPr>
        <w:t>$174.2 million (included in prepaid expenses and other current assets and other noncurrent assets) had been made and approximately $101.5 million of the prepayment had been utilized as of April 28, 2007. At April 28, 2007, there are no more outstanding commitments under the agreement.</w:t>
      </w:r>
    </w:p>
    <w:p>
      <w:pPr>
        <w:spacing w:after="0" w:line="124" w:lineRule="exact"/>
        <w:rPr>
          <w:sz w:val="20"/>
          <w:szCs w:val="20"/>
          <w:color w:val="auto"/>
        </w:rPr>
      </w:pPr>
    </w:p>
    <w:p>
      <w:pPr>
        <w:ind w:right="860" w:firstLine="324"/>
        <w:spacing w:after="0" w:line="277" w:lineRule="auto"/>
        <w:rPr>
          <w:sz w:val="20"/>
          <w:szCs w:val="20"/>
          <w:color w:val="auto"/>
        </w:rPr>
      </w:pPr>
      <w:r>
        <w:rPr>
          <w:rFonts w:ascii="Arial" w:cs="Arial" w:eastAsia="Arial" w:hAnsi="Arial"/>
          <w:sz w:val="18"/>
          <w:szCs w:val="18"/>
          <w:color w:val="auto"/>
        </w:rPr>
        <w:t>As of April 28, 2007, the Company had approximately $85.2 million of other outstanding non-cancelable purchase orders for capital purchase obligations.</w:t>
      </w:r>
    </w:p>
    <w:p>
      <w:pPr>
        <w:spacing w:after="0" w:line="170" w:lineRule="exact"/>
        <w:rPr>
          <w:sz w:val="20"/>
          <w:szCs w:val="20"/>
          <w:color w:val="auto"/>
        </w:rPr>
      </w:pPr>
    </w:p>
    <w:p>
      <w:pPr>
        <w:ind w:right="120" w:firstLine="324"/>
        <w:spacing w:after="0" w:line="257" w:lineRule="auto"/>
        <w:rPr>
          <w:sz w:val="20"/>
          <w:szCs w:val="20"/>
          <w:color w:val="auto"/>
        </w:rPr>
      </w:pPr>
      <w:r>
        <w:rPr>
          <w:rFonts w:ascii="Arial" w:cs="Arial" w:eastAsia="Arial" w:hAnsi="Arial"/>
          <w:sz w:val="18"/>
          <w:szCs w:val="18"/>
          <w:color w:val="auto"/>
        </w:rPr>
        <w:t>As a result of our facility move in February 2002, we obtained a sublease on one of our facilities that had a non cancellable lease. Actual sublease income approximated the estimated sublease income, but is less than our actual lease commitment, resulting in future negative cash flow over the remaining term of the sublease of approximately $2.9 million as of January 27, 2007. At April 28, 2007, cash payments of $10.9 million, net of sublease income had been made in connection with this charge. Approximately $2.6 million was accrued for this facilities consolidation charge as of April 28, 2007 of which $0.9 million is current and $1.7 million is long-term, payable through 2010.</w:t>
      </w:r>
    </w:p>
    <w:p>
      <w:pPr>
        <w:spacing w:after="0" w:line="188" w:lineRule="exact"/>
        <w:rPr>
          <w:sz w:val="20"/>
          <w:szCs w:val="20"/>
          <w:color w:val="auto"/>
        </w:rPr>
      </w:pPr>
    </w:p>
    <w:p>
      <w:pPr>
        <w:jc w:val="both"/>
        <w:ind w:right="80" w:firstLine="324"/>
        <w:spacing w:after="0" w:line="297" w:lineRule="auto"/>
        <w:rPr>
          <w:sz w:val="20"/>
          <w:szCs w:val="20"/>
          <w:color w:val="auto"/>
        </w:rPr>
      </w:pPr>
      <w:r>
        <w:rPr>
          <w:rFonts w:ascii="Arial" w:cs="Arial" w:eastAsia="Arial" w:hAnsi="Arial"/>
          <w:sz w:val="16"/>
          <w:szCs w:val="16"/>
          <w:color w:val="auto"/>
        </w:rPr>
        <w:t>In May 2006, we completed the acquisition of the printer semiconductor business of Avago. The acquisition was completed in accordance with the terms and conditions of an Asset Purchase Agreement dated February 21, 2006, as amended. Under the terms of the Agreement, we paid $249.6 million for certain assets and intellectual property and were committed to two additional contingent cash payments of $10.0 million and $25.0 million upon the achievement of certain levels of revenue. In the third quarter of fiscal 2007, the Company recorded contingent consideration and additional goodwill for the first contingent payment of $10 million. The second contingent payment of $25.0 million is based on the achievement of certain levels of revenue during fiscal 2008.</w:t>
      </w:r>
    </w:p>
    <w:p>
      <w:pPr>
        <w:spacing w:after="0" w:line="158"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including acquisitions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67" w:lineRule="exact"/>
        <w:rPr>
          <w:sz w:val="20"/>
          <w:szCs w:val="20"/>
          <w:color w:val="auto"/>
        </w:rPr>
      </w:pPr>
    </w:p>
    <w:p>
      <w:pPr>
        <w:ind w:right="60" w:firstLine="324"/>
        <w:spacing w:after="0" w:line="277" w:lineRule="auto"/>
        <w:rPr>
          <w:sz w:val="20"/>
          <w:szCs w:val="20"/>
          <w:color w:val="auto"/>
        </w:rPr>
      </w:pPr>
      <w:r>
        <w:rPr>
          <w:rFonts w:ascii="Arial" w:cs="Arial" w:eastAsia="Arial" w:hAnsi="Arial"/>
          <w:sz w:val="18"/>
          <w:szCs w:val="18"/>
          <w:color w:val="auto"/>
        </w:rPr>
        <w:t>The following table summarizes our contractual obligations as of April 28, 2007 and the effect such obligations are expected to have on our liquidity and cash flow in future periods (in thousands):</w:t>
      </w:r>
    </w:p>
    <w:p>
      <w:pPr>
        <w:spacing w:after="0" w:line="149" w:lineRule="exact"/>
        <w:rPr>
          <w:sz w:val="20"/>
          <w:szCs w:val="20"/>
          <w:color w:val="auto"/>
        </w:rPr>
      </w:pPr>
    </w:p>
    <w:p>
      <w:pPr>
        <w:ind w:left="6840"/>
        <w:spacing w:after="0"/>
        <w:rPr>
          <w:sz w:val="20"/>
          <w:szCs w:val="20"/>
          <w:color w:val="auto"/>
        </w:rPr>
      </w:pPr>
      <w:r>
        <w:rPr>
          <w:rFonts w:ascii="Arial" w:cs="Arial" w:eastAsia="Arial" w:hAnsi="Arial"/>
          <w:sz w:val="14"/>
          <w:szCs w:val="14"/>
          <w:b w:val="1"/>
          <w:bCs w:val="1"/>
          <w:color w:val="auto"/>
        </w:rPr>
        <w:t>Payments Due by Period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2432050</wp:posOffset>
            </wp:positionH>
            <wp:positionV relativeFrom="paragraph">
              <wp:posOffset>6350</wp:posOffset>
            </wp:positionV>
            <wp:extent cx="479361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479361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3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jc w:val="center"/>
              <w:ind w:right="38"/>
              <w:spacing w:after="0"/>
              <w:rPr>
                <w:sz w:val="20"/>
                <w:szCs w:val="20"/>
                <w:color w:val="auto"/>
              </w:rPr>
            </w:pPr>
            <w:r>
              <w:rPr>
                <w:rFonts w:ascii="Arial" w:cs="Arial" w:eastAsia="Arial" w:hAnsi="Arial"/>
                <w:sz w:val="14"/>
                <w:szCs w:val="14"/>
                <w:b w:val="1"/>
                <w:bCs w:val="1"/>
                <w:color w:val="auto"/>
                <w:w w:val="89"/>
              </w:rPr>
              <w:t>2008</w:t>
            </w: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jc w:val="right"/>
              <w:ind w:right="21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jc w:val="right"/>
              <w:ind w:right="233"/>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jc w:val="right"/>
              <w:ind w:right="153"/>
              <w:spacing w:after="0"/>
              <w:rPr>
                <w:sz w:val="20"/>
                <w:szCs w:val="20"/>
                <w:color w:val="auto"/>
              </w:rPr>
            </w:pPr>
            <w:r>
              <w:rPr>
                <w:rFonts w:ascii="Arial" w:cs="Arial" w:eastAsia="Arial" w:hAnsi="Arial"/>
                <w:sz w:val="14"/>
                <w:szCs w:val="14"/>
                <w:b w:val="1"/>
                <w:bCs w:val="1"/>
                <w:color w:val="auto"/>
              </w:rPr>
              <w:t>2012</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jc w:val="right"/>
              <w:ind w:right="13"/>
              <w:spacing w:after="0"/>
              <w:rPr>
                <w:sz w:val="20"/>
                <w:szCs w:val="20"/>
                <w:color w:val="auto"/>
              </w:rPr>
            </w:pPr>
            <w:r>
              <w:rPr>
                <w:rFonts w:ascii="Arial" w:cs="Arial" w:eastAsia="Arial" w:hAnsi="Arial"/>
                <w:sz w:val="14"/>
                <w:szCs w:val="14"/>
                <w:b w:val="1"/>
                <w:bCs w:val="1"/>
                <w:color w:val="auto"/>
                <w:w w:val="96"/>
              </w:rPr>
              <w:t>Thereafter</w:t>
            </w: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gridSpan w:val="2"/>
          </w:tcPr>
          <w:p>
            <w:pPr>
              <w:ind w:left="160"/>
              <w:spacing w:after="0"/>
              <w:rPr>
                <w:sz w:val="20"/>
                <w:szCs w:val="20"/>
                <w:color w:val="auto"/>
              </w:rPr>
            </w:pPr>
            <w:r>
              <w:rPr>
                <w:rFonts w:ascii="Arial" w:cs="Arial" w:eastAsia="Arial" w:hAnsi="Arial"/>
                <w:sz w:val="14"/>
                <w:szCs w:val="14"/>
                <w:b w:val="1"/>
                <w:bCs w:val="1"/>
                <w:color w:val="auto"/>
              </w:rPr>
              <w:t>Total</w:t>
            </w:r>
          </w:p>
        </w:tc>
      </w:tr>
      <w:tr>
        <w:trPr>
          <w:trHeight w:val="102"/>
        </w:trPr>
        <w:tc>
          <w:tcPr>
            <w:tcW w:w="3300" w:type="dxa"/>
            <w:vAlign w:val="bottom"/>
          </w:tcPr>
          <w:p>
            <w:pPr>
              <w:spacing w:after="0"/>
              <w:rPr>
                <w:sz w:val="8"/>
                <w:szCs w:val="8"/>
                <w:color w:val="auto"/>
              </w:rPr>
            </w:pPr>
          </w:p>
        </w:tc>
        <w:tc>
          <w:tcPr>
            <w:tcW w:w="54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920" w:type="dxa"/>
            <w:vAlign w:val="bottom"/>
            <w:tcBorders>
              <w:top w:val="single" w:sz="8" w:color="auto"/>
            </w:tcBorders>
          </w:tcPr>
          <w:p>
            <w:pPr>
              <w:jc w:val="center"/>
              <w:ind w:right="38"/>
              <w:spacing w:after="0" w:line="102" w:lineRule="exact"/>
              <w:rPr>
                <w:sz w:val="20"/>
                <w:szCs w:val="20"/>
                <w:color w:val="auto"/>
              </w:rPr>
            </w:pPr>
            <w:r>
              <w:rPr>
                <w:rFonts w:ascii="Arial" w:cs="Arial" w:eastAsia="Arial" w:hAnsi="Arial"/>
                <w:sz w:val="11"/>
                <w:szCs w:val="11"/>
                <w:b w:val="1"/>
                <w:bCs w:val="1"/>
                <w:color w:val="auto"/>
              </w:rPr>
              <w:t>(remaining</w:t>
            </w:r>
          </w:p>
        </w:tc>
        <w:tc>
          <w:tcPr>
            <w:tcW w:w="1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680" w:type="dxa"/>
            <w:vAlign w:val="bottom"/>
            <w:tcBorders>
              <w:top w:val="single" w:sz="8" w:color="auto"/>
            </w:tcBorders>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700" w:type="dxa"/>
            <w:vAlign w:val="bottom"/>
            <w:tcBorders>
              <w:top w:val="single" w:sz="8" w:color="auto"/>
            </w:tcBorders>
          </w:tcPr>
          <w:p>
            <w:pPr>
              <w:spacing w:after="0"/>
              <w:rPr>
                <w:sz w:val="8"/>
                <w:szCs w:val="8"/>
                <w:color w:val="auto"/>
              </w:rPr>
            </w:pPr>
          </w:p>
        </w:tc>
        <w:tc>
          <w:tcPr>
            <w:tcW w:w="26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620" w:type="dxa"/>
            <w:vAlign w:val="bottom"/>
            <w:tcBorders>
              <w:top w:val="single" w:sz="8" w:color="auto"/>
            </w:tcBorders>
          </w:tcPr>
          <w:p>
            <w:pPr>
              <w:spacing w:after="0"/>
              <w:rPr>
                <w:sz w:val="8"/>
                <w:szCs w:val="8"/>
                <w:color w:val="auto"/>
              </w:rPr>
            </w:pPr>
          </w:p>
        </w:tc>
        <w:tc>
          <w:tcPr>
            <w:tcW w:w="16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580" w:type="dxa"/>
            <w:vAlign w:val="bottom"/>
            <w:tcBorders>
              <w:top w:val="single" w:sz="8" w:color="auto"/>
            </w:tcBorders>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spacing w:after="0"/>
              <w:rPr>
                <w:sz w:val="8"/>
                <w:szCs w:val="8"/>
                <w:color w:val="auto"/>
              </w:rPr>
            </w:pPr>
          </w:p>
        </w:tc>
        <w:tc>
          <w:tcPr>
            <w:tcW w:w="40" w:type="dxa"/>
            <w:vAlign w:val="bottom"/>
          </w:tcPr>
          <w:p>
            <w:pPr>
              <w:spacing w:after="0"/>
              <w:rPr>
                <w:sz w:val="8"/>
                <w:szCs w:val="8"/>
                <w:color w:val="auto"/>
              </w:rPr>
            </w:pPr>
          </w:p>
        </w:tc>
      </w:tr>
      <w:tr>
        <w:trPr>
          <w:trHeight w:val="162"/>
        </w:trPr>
        <w:tc>
          <w:tcPr>
            <w:tcW w:w="33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jc w:val="center"/>
              <w:ind w:right="38"/>
              <w:spacing w:after="0"/>
              <w:rPr>
                <w:sz w:val="20"/>
                <w:szCs w:val="20"/>
                <w:color w:val="auto"/>
              </w:rPr>
            </w:pPr>
            <w:r>
              <w:rPr>
                <w:rFonts w:ascii="Arial" w:cs="Arial" w:eastAsia="Arial" w:hAnsi="Arial"/>
                <w:sz w:val="14"/>
                <w:szCs w:val="14"/>
                <w:b w:val="1"/>
                <w:bCs w:val="1"/>
                <w:color w:val="auto"/>
                <w:w w:val="90"/>
              </w:rPr>
              <w:t>nine months)</w:t>
            </w: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 w:type="dxa"/>
            <w:vAlign w:val="bottom"/>
          </w:tcPr>
          <w:p>
            <w:pPr>
              <w:spacing w:after="0"/>
              <w:rPr>
                <w:sz w:val="14"/>
                <w:szCs w:val="14"/>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r>
      <w:tr>
        <w:trPr>
          <w:trHeight w:val="216"/>
        </w:trPr>
        <w:tc>
          <w:tcPr>
            <w:tcW w:w="330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11,319</w:t>
            </w:r>
          </w:p>
        </w:tc>
        <w:tc>
          <w:tcPr>
            <w:tcW w:w="34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16,338</w:t>
            </w:r>
          </w:p>
        </w:tc>
        <w:tc>
          <w:tcPr>
            <w:tcW w:w="280" w:type="dxa"/>
            <w:vAlign w:val="bottom"/>
          </w:tcPr>
          <w:p>
            <w:pPr>
              <w:spacing w:after="0"/>
              <w:rPr>
                <w:sz w:val="18"/>
                <w:szCs w:val="18"/>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13,061</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9,932</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5,885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30,442</w:t>
            </w:r>
          </w:p>
        </w:tc>
        <w:tc>
          <w:tcPr>
            <w:tcW w:w="500" w:type="dxa"/>
            <w:vAlign w:val="bottom"/>
            <w:gridSpan w:val="2"/>
          </w:tcPr>
          <w:p>
            <w:pPr>
              <w:jc w:val="right"/>
              <w:ind w:right="65"/>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86,977</w:t>
            </w:r>
          </w:p>
        </w:tc>
        <w:tc>
          <w:tcPr>
            <w:tcW w:w="40" w:type="dxa"/>
            <w:vAlign w:val="bottom"/>
          </w:tcPr>
          <w:p>
            <w:pPr>
              <w:spacing w:after="0"/>
              <w:rPr>
                <w:sz w:val="18"/>
                <w:szCs w:val="18"/>
                <w:color w:val="auto"/>
              </w:rPr>
            </w:pPr>
          </w:p>
        </w:tc>
      </w:tr>
      <w:tr>
        <w:trPr>
          <w:trHeight w:val="216"/>
        </w:trPr>
        <w:tc>
          <w:tcPr>
            <w:tcW w:w="33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41,698</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45,600</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21,714</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12,464</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3,854</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125,330</w:t>
            </w:r>
          </w:p>
        </w:tc>
        <w:tc>
          <w:tcPr>
            <w:tcW w:w="40" w:type="dxa"/>
            <w:vAlign w:val="bottom"/>
            <w:shd w:val="clear" w:color="auto" w:fill="CCEEFF"/>
          </w:tcPr>
          <w:p>
            <w:pPr>
              <w:spacing w:after="0"/>
              <w:rPr>
                <w:sz w:val="18"/>
                <w:szCs w:val="18"/>
                <w:color w:val="auto"/>
              </w:rPr>
            </w:pPr>
          </w:p>
        </w:tc>
      </w:tr>
      <w:tr>
        <w:trPr>
          <w:trHeight w:val="216"/>
        </w:trPr>
        <w:tc>
          <w:tcPr>
            <w:tcW w:w="3300" w:type="dxa"/>
            <w:vAlign w:val="bottom"/>
          </w:tcPr>
          <w:p>
            <w:pPr>
              <w:ind w:left="180"/>
              <w:spacing w:after="0"/>
              <w:rPr>
                <w:sz w:val="20"/>
                <w:szCs w:val="20"/>
                <w:color w:val="auto"/>
              </w:rPr>
            </w:pPr>
            <w:r>
              <w:rPr>
                <w:rFonts w:ascii="Arial" w:cs="Arial" w:eastAsia="Arial" w:hAnsi="Arial"/>
                <w:sz w:val="18"/>
                <w:szCs w:val="18"/>
                <w:color w:val="auto"/>
              </w:rPr>
              <w:t>Purchase commitments to foundries</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438,595</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438,595</w:t>
            </w:r>
          </w:p>
        </w:tc>
        <w:tc>
          <w:tcPr>
            <w:tcW w:w="40" w:type="dxa"/>
            <w:vAlign w:val="bottom"/>
          </w:tcPr>
          <w:p>
            <w:pPr>
              <w:spacing w:after="0"/>
              <w:rPr>
                <w:sz w:val="18"/>
                <w:szCs w:val="18"/>
                <w:color w:val="auto"/>
              </w:rPr>
            </w:pPr>
          </w:p>
        </w:tc>
      </w:tr>
      <w:tr>
        <w:trPr>
          <w:trHeight w:val="216"/>
        </w:trPr>
        <w:tc>
          <w:tcPr>
            <w:tcW w:w="33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85,163</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85,163</w:t>
            </w:r>
          </w:p>
        </w:tc>
        <w:tc>
          <w:tcPr>
            <w:tcW w:w="40" w:type="dxa"/>
            <w:vAlign w:val="bottom"/>
            <w:shd w:val="clear" w:color="auto" w:fill="CCEEFF"/>
          </w:tcPr>
          <w:p>
            <w:pPr>
              <w:spacing w:after="0"/>
              <w:rPr>
                <w:sz w:val="18"/>
                <w:szCs w:val="18"/>
                <w:color w:val="auto"/>
              </w:rPr>
            </w:pPr>
          </w:p>
        </w:tc>
      </w:tr>
      <w:tr>
        <w:trPr>
          <w:trHeight w:val="216"/>
        </w:trPr>
        <w:tc>
          <w:tcPr>
            <w:tcW w:w="33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Long-term debt obligations</w:t>
            </w:r>
          </w:p>
        </w:tc>
        <w:tc>
          <w:tcPr>
            <w:tcW w:w="5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5,432</w:t>
            </w:r>
          </w:p>
        </w:tc>
        <w:tc>
          <w:tcPr>
            <w:tcW w:w="1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4,000</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386,750</w:t>
            </w:r>
          </w:p>
        </w:tc>
        <w:tc>
          <w:tcPr>
            <w:tcW w:w="26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396,182</w:t>
            </w:r>
          </w:p>
        </w:tc>
        <w:tc>
          <w:tcPr>
            <w:tcW w:w="40" w:type="dxa"/>
            <w:vAlign w:val="bottom"/>
            <w:tcBorders>
              <w:bottom w:val="single" w:sz="8" w:color="CCEEFF"/>
            </w:tcBorders>
          </w:tcPr>
          <w:p>
            <w:pPr>
              <w:spacing w:after="0"/>
              <w:rPr>
                <w:sz w:val="18"/>
                <w:szCs w:val="18"/>
                <w:color w:val="auto"/>
              </w:rPr>
            </w:pPr>
          </w:p>
        </w:tc>
      </w:tr>
      <w:tr>
        <w:trPr>
          <w:trHeight w:val="210"/>
        </w:trPr>
        <w:tc>
          <w:tcPr>
            <w:tcW w:w="33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54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582,207</w:t>
            </w:r>
          </w:p>
        </w:tc>
        <w:tc>
          <w:tcPr>
            <w:tcW w:w="1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65,938</w:t>
            </w:r>
          </w:p>
        </w:tc>
        <w:tc>
          <w:tcPr>
            <w:tcW w:w="28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421,525</w:t>
            </w:r>
          </w:p>
        </w:tc>
        <w:tc>
          <w:tcPr>
            <w:tcW w:w="26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22,396</w:t>
            </w:r>
          </w:p>
        </w:tc>
        <w:tc>
          <w:tcPr>
            <w:tcW w:w="16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9,739</w:t>
            </w:r>
          </w:p>
        </w:tc>
        <w:tc>
          <w:tcPr>
            <w:tcW w:w="18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30,442</w:t>
            </w:r>
          </w:p>
        </w:tc>
        <w:tc>
          <w:tcPr>
            <w:tcW w:w="28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1,132,247</w:t>
            </w:r>
          </w:p>
        </w:tc>
        <w:tc>
          <w:tcPr>
            <w:tcW w:w="40" w:type="dxa"/>
            <w:vAlign w:val="bottom"/>
            <w:tcBorders>
              <w:bottom w:val="single" w:sz="8" w:color="CCEEFF"/>
            </w:tcBorders>
            <w:shd w:val="clear" w:color="auto" w:fill="CCEEFF"/>
          </w:tcPr>
          <w:p>
            <w:pPr>
              <w:spacing w:after="0"/>
              <w:rPr>
                <w:sz w:val="18"/>
                <w:szCs w:val="18"/>
                <w:color w:val="auto"/>
              </w:rPr>
            </w:pPr>
          </w:p>
        </w:tc>
      </w:tr>
      <w:tr>
        <w:trPr>
          <w:trHeight w:val="20"/>
        </w:trPr>
        <w:tc>
          <w:tcPr>
            <w:tcW w:w="33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Included in operating lease commitments are anticipated lease payments for two airplanes that are currently under construction. Delivery of one airplane was made in fiscal 2007 and delivery of the second airplane is expected in fiscal 2008. The airplane will be used for business travel purposes and will be accounted for as operating leases once the airplanes are completed and delivered.</w:t>
      </w:r>
    </w:p>
    <w:p>
      <w:pPr>
        <w:spacing w:after="0" w:line="181" w:lineRule="exact"/>
        <w:rPr>
          <w:sz w:val="20"/>
          <w:szCs w:val="20"/>
          <w:color w:val="auto"/>
        </w:rPr>
      </w:pPr>
    </w:p>
    <w:p>
      <w:pPr>
        <w:ind w:right="140" w:firstLine="324"/>
        <w:spacing w:after="0" w:line="302" w:lineRule="auto"/>
        <w:rPr>
          <w:sz w:val="20"/>
          <w:szCs w:val="20"/>
          <w:color w:val="auto"/>
        </w:rPr>
      </w:pPr>
      <w:r>
        <w:rPr>
          <w:rFonts w:ascii="Arial" w:cs="Arial" w:eastAsia="Arial" w:hAnsi="Arial"/>
          <w:sz w:val="16"/>
          <w:szCs w:val="16"/>
          <w:color w:val="auto"/>
        </w:rPr>
        <w:t>As discussed in Note 9 – Income Taxes, we adopted the provisions of FIN 48 on January 28, 2007. At April 28, 2007, we had a total current and non-current liability of $148.4 million for unrecognized tax benefits, which included an accrual for the payment of related interest and penalties of $38.8 million. Of the total amount, $122.0 million is classified as non-current, which includes $33.3 million of interest and penalties. We do not expect to pay any of this amount during the next 12 months. If circumstances change, we will reclassify any required amount to the current income tax payable.</w:t>
      </w: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i w:val="1"/>
          <w:iCs w:val="1"/>
          <w:color w:val="auto"/>
        </w:rPr>
        <w:t xml:space="preserve">Stock option review related impacts: </w:t>
      </w:r>
      <w:r>
        <w:rPr>
          <w:rFonts w:ascii="Arial" w:cs="Arial" w:eastAsia="Arial" w:hAnsi="Arial"/>
          <w:sz w:val="18"/>
          <w:szCs w:val="18"/>
          <w:color w:val="auto"/>
        </w:rPr>
        <w:t>The additional payable for payroll taxes associated with affected stock option grants of approximately $10.6 million,</w:t>
      </w:r>
      <w:r>
        <w:rPr>
          <w:rFonts w:ascii="Arial" w:cs="Arial" w:eastAsia="Arial" w:hAnsi="Arial"/>
          <w:sz w:val="18"/>
          <w:szCs w:val="18"/>
          <w:i w:val="1"/>
          <w:iCs w:val="1"/>
          <w:color w:val="auto"/>
        </w:rPr>
        <w:t xml:space="preserve"> </w:t>
      </w:r>
      <w:r>
        <w:rPr>
          <w:rFonts w:ascii="Arial" w:cs="Arial" w:eastAsia="Arial" w:hAnsi="Arial"/>
          <w:sz w:val="18"/>
          <w:szCs w:val="18"/>
          <w:color w:val="auto"/>
        </w:rPr>
        <w:t>additional Section 409A expenses for the adverse tax consequences of the re-measure options exercised during calendar year 2006 of approximately $24.2 million, and Section 162(m) liabilities of $26.5 million for cumulative period from fiscal 2001 through 2007, represents potential cash outflow totaling $61.3 million.</w:t>
      </w:r>
    </w:p>
    <w:p>
      <w:pPr>
        <w:spacing w:after="0" w:line="187"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The IRS has provided taxpayers with the following two ways of correcting unexercised discounted stock options: 1) setting a fixed exercise date; and 2) increasing the exercise price of the option up to the fair market price on the date of grant. We are actively evaluating these options. The discount associated with unexercised stock options outstanding as of January 27, 2007 amounted to approximately $51.7 million. We have not determined the tax consequences associated with these potential future remedies.</w:t>
      </w:r>
    </w:p>
    <w:p>
      <w:pPr>
        <w:sectPr>
          <w:pgSz w:w="11900" w:h="16838" w:orient="portrait"/>
          <w:cols w:equalWidth="0" w:num="1">
            <w:col w:w="11420"/>
          </w:cols>
          <w:pgMar w:left="240" w:top="125" w:right="239" w:bottom="0" w:gutter="0" w:footer="0" w:header="0"/>
        </w:sectPr>
      </w:pPr>
    </w:p>
    <w:bookmarkStart w:id="24" w:name="page25"/>
    <w:bookmarkEnd w:id="24"/>
    <w:p>
      <w:pPr>
        <w:spacing w:after="0" w:line="96" w:lineRule="exact"/>
        <w:rPr>
          <w:sz w:val="20"/>
          <w:szCs w:val="20"/>
          <w:color w:val="auto"/>
        </w:rPr>
      </w:pPr>
    </w:p>
    <w:p>
      <w:pPr>
        <w:ind w:right="120" w:firstLine="324"/>
        <w:spacing w:after="0" w:line="272" w:lineRule="auto"/>
        <w:rPr>
          <w:sz w:val="20"/>
          <w:szCs w:val="20"/>
          <w:color w:val="auto"/>
        </w:rPr>
      </w:pPr>
      <w:r>
        <w:rPr>
          <w:rFonts w:ascii="Arial" w:cs="Arial" w:eastAsia="Arial" w:hAnsi="Arial"/>
          <w:sz w:val="17"/>
          <w:szCs w:val="17"/>
          <w:i w:val="1"/>
          <w:iCs w:val="1"/>
          <w:color w:val="auto"/>
        </w:rPr>
        <w:t xml:space="preserve">Prospective capital needs: </w:t>
      </w:r>
      <w:r>
        <w:rPr>
          <w:rFonts w:ascii="Arial" w:cs="Arial" w:eastAsia="Arial" w:hAnsi="Arial"/>
          <w:sz w:val="17"/>
          <w:szCs w:val="17"/>
          <w:color w:val="auto"/>
        </w:rPr>
        <w:t>We believe that our existing cash, cash equivalents and marketable securities, together with cash generated from operations</w:t>
      </w:r>
      <w:r>
        <w:rPr>
          <w:rFonts w:ascii="Arial" w:cs="Arial" w:eastAsia="Arial" w:hAnsi="Arial"/>
          <w:sz w:val="17"/>
          <w:szCs w:val="17"/>
          <w:i w:val="1"/>
          <w:iCs w:val="1"/>
          <w:color w:val="auto"/>
        </w:rPr>
        <w:t xml:space="preserve"> </w:t>
      </w:r>
      <w:r>
        <w:rPr>
          <w:rFonts w:ascii="Arial" w:cs="Arial" w:eastAsia="Arial" w:hAnsi="Arial"/>
          <w:sz w:val="17"/>
          <w:szCs w:val="17"/>
          <w:color w:val="auto"/>
        </w:rPr>
        <w:t>and from exercise of employee stock options will be sufficient to cover our working capital needs, capital expenditures, investment requirements and commitments for at least the next 12 months.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 Additionally, we have not been in full compliance with NASDAQ Marketplace Rule 4310 (c)(14) which requires us to timely file with the SEC all filings required by the Securities Exchange Act of 1934.</w:t>
      </w:r>
    </w:p>
    <w:p>
      <w:pPr>
        <w:spacing w:after="0" w:line="178" w:lineRule="exact"/>
        <w:rPr>
          <w:sz w:val="20"/>
          <w:szCs w:val="20"/>
          <w:color w:val="auto"/>
        </w:rPr>
      </w:pPr>
    </w:p>
    <w:p>
      <w:pPr>
        <w:ind w:right="100" w:firstLine="324"/>
        <w:spacing w:after="0" w:line="273" w:lineRule="auto"/>
        <w:rPr>
          <w:sz w:val="20"/>
          <w:szCs w:val="20"/>
          <w:color w:val="auto"/>
        </w:rPr>
      </w:pPr>
      <w:r>
        <w:rPr>
          <w:rFonts w:ascii="Arial" w:cs="Arial" w:eastAsia="Arial" w:hAnsi="Arial"/>
          <w:sz w:val="17"/>
          <w:szCs w:val="17"/>
          <w:color w:val="auto"/>
        </w:rPr>
        <w:t>However, if the SEC disagrees with the manner in which we have accounted for and reported, or not reported, the financial impact of past stock option grants, there could be further delays in filing subsequent SEC reports or other actions that might result in the delisting of our common stock from the NASDAQ Global Select Market. If we are unable to maintain compliance with the conditions for continued listing required by NASDAQ, then our shares of common stock may subject to delisting from the NASDAQ Global Select Market. If our shares are delisted from the NASDAQ Global Select Market, they may not be eligible to trade on any national securities exchange or the over-the-counter market. If our common stock is no longer traded through a market system, the liquidity of our common stock may be greatly reduced, which could negatively affect its price.</w:t>
      </w:r>
    </w:p>
    <w:p>
      <w:pPr>
        <w:spacing w:after="0" w:line="178" w:lineRule="exact"/>
        <w:rPr>
          <w:sz w:val="20"/>
          <w:szCs w:val="20"/>
          <w:color w:val="auto"/>
        </w:rPr>
      </w:pPr>
    </w:p>
    <w:p>
      <w:pPr>
        <w:ind w:right="20" w:firstLine="324"/>
        <w:spacing w:after="0" w:line="293" w:lineRule="auto"/>
        <w:rPr>
          <w:sz w:val="20"/>
          <w:szCs w:val="20"/>
          <w:color w:val="auto"/>
        </w:rPr>
      </w:pPr>
      <w:r>
        <w:rPr>
          <w:rFonts w:ascii="Arial" w:cs="Arial" w:eastAsia="Arial" w:hAnsi="Arial"/>
          <w:sz w:val="16"/>
          <w:szCs w:val="16"/>
          <w:color w:val="auto"/>
        </w:rPr>
        <w:t>Even if we become compliant with the NASDAQ conditions for continued listing, because one of the eligibility requirements for use of a Form S-3 filing is that an issuer must have timely filed all reports required to be filed with the SEC during the preceding twelve calendar months, we will not be able to register securities on Form S-3 and would be required register these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April 28, 2007, we did not have any material off-balance-sheet arrangements, as defined in Item 303(a)(4)(ii) of SEC Regulation S-K.</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require service period. We currently accrue the cost of compensated absences for sabbatical programs when the eligible employee complete the requisite service period. We are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We adopted EITF 06-2 in the first quarter of fiscal 2008. The adoption did not have a material impact on our financial position and results of operations.</w:t>
      </w:r>
    </w:p>
    <w:p>
      <w:pPr>
        <w:spacing w:after="0" w:line="189" w:lineRule="exact"/>
        <w:rPr>
          <w:sz w:val="20"/>
          <w:szCs w:val="20"/>
          <w:color w:val="auto"/>
        </w:rPr>
      </w:pPr>
    </w:p>
    <w:p>
      <w:pPr>
        <w:jc w:val="both"/>
        <w:ind w:right="460" w:firstLine="324"/>
        <w:spacing w:after="0" w:line="264"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we recognize in our financial statements the impact of a tax position if that position is more likely than not of being</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sustained on audit, based on the technical merits of the position. The provisions of FIN 48 are effective as of the beginning of fiscal 2008, with the cumulative effect, if any, of the change in accounting principle recorded as an adjustment to our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we adopted FIN 48. See Note 9 – Income Taxes for further details.</w:t>
      </w:r>
    </w:p>
    <w:p>
      <w:pPr>
        <w:spacing w:after="0" w:line="188"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We are currently evaluating the impact of SFAS 157 on our consolidated financial statements.</w:t>
      </w:r>
    </w:p>
    <w:p>
      <w:pPr>
        <w:spacing w:after="0" w:line="187" w:lineRule="exact"/>
        <w:rPr>
          <w:sz w:val="20"/>
          <w:szCs w:val="20"/>
          <w:color w:val="auto"/>
        </w:rPr>
      </w:pPr>
    </w:p>
    <w:p>
      <w:pPr>
        <w:ind w:firstLine="324"/>
        <w:spacing w:after="0" w:line="312" w:lineRule="auto"/>
        <w:rPr>
          <w:sz w:val="20"/>
          <w:szCs w:val="20"/>
          <w:color w:val="auto"/>
        </w:rPr>
      </w:pPr>
      <w:r>
        <w:rPr>
          <w:rFonts w:ascii="Arial" w:cs="Arial" w:eastAsia="Arial" w:hAnsi="Arial"/>
          <w:sz w:val="16"/>
          <w:szCs w:val="16"/>
          <w:color w:val="auto"/>
        </w:rPr>
        <w:t>In September 2006, the Securities and Exchange Commission (SEC) issued Staff Accounting Bulletin No. 108 (“SAB 108”). SAB 108 provides guidance on the consideration of the effects of prior year misstatements in quantifying current year misstatements for the purpose of a materiality assessment. We adopted SAB 108 at the end of fiscal 2007. The adoption did not have a material impact on our financial position and results of operations.</w:t>
      </w:r>
    </w:p>
    <w:p>
      <w:pPr>
        <w:spacing w:after="0" w:line="147"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We are currently evaluating the potential impact of this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During first quarters of fiscal 2008 and 2007, we incurred approximately none and $0.4 million, respectively of expenses from an unrelated third-party entity, ACM Aviation, Inc. (“ACM”) for charter aircraft services provided to MSI for Estopia Air LLC (“Estopia Air”). The aircraft provided by ACM to us for such services is owned by Estopia Air. Our President and Chief Executive Officer, Sehat Sutardja, Ph.D, and Director of Strategic Marketing and Business Development, Weili Dai, through their control and ownership in Estopia Air, own the aircraft provided by ACM. Expenses were incurred for business travel use of the aircraft at a cost determined to be at fair market value.</w:t>
      </w:r>
    </w:p>
    <w:p>
      <w:pPr>
        <w:spacing w:after="0" w:line="188" w:lineRule="exact"/>
        <w:rPr>
          <w:sz w:val="20"/>
          <w:szCs w:val="20"/>
          <w:color w:val="auto"/>
        </w:rPr>
      </w:pPr>
    </w:p>
    <w:p>
      <w:pPr>
        <w:ind w:right="160" w:firstLine="324"/>
        <w:spacing w:after="0" w:line="342" w:lineRule="auto"/>
        <w:rPr>
          <w:sz w:val="20"/>
          <w:szCs w:val="20"/>
          <w:color w:val="auto"/>
        </w:rPr>
      </w:pPr>
      <w:r>
        <w:rPr>
          <w:rFonts w:ascii="Arial" w:cs="Arial" w:eastAsia="Arial" w:hAnsi="Arial"/>
          <w:sz w:val="16"/>
          <w:szCs w:val="16"/>
          <w:color w:val="auto"/>
        </w:rPr>
        <w:t>On February 19, 2005, through our subsidiaries MSI and Marvell Asia Pte. Ltd. (“MAPL”), we entered into a development agreement with MagnetoX (“MagnetoX”). The development agreement has substantially similar terms as other development agreements with other third parties. We did not recognize</w:t>
      </w:r>
    </w:p>
    <w:p>
      <w:pPr>
        <w:sectPr>
          <w:pgSz w:w="11900" w:h="16935" w:orient="portrait"/>
          <w:cols w:equalWidth="0" w:num="1">
            <w:col w:w="11400"/>
          </w:cols>
          <w:pgMar w:left="240" w:top="125" w:right="259" w:bottom="0" w:gutter="0" w:footer="0" w:header="0"/>
        </w:sectPr>
      </w:pPr>
    </w:p>
    <w:bookmarkStart w:id="25" w:name="page26"/>
    <w:bookmarkEnd w:id="25"/>
    <w:p>
      <w:pPr>
        <w:jc w:val="both"/>
        <w:ind w:right="60"/>
        <w:spacing w:after="0" w:line="264" w:lineRule="auto"/>
        <w:rPr>
          <w:sz w:val="20"/>
          <w:szCs w:val="20"/>
          <w:color w:val="auto"/>
        </w:rPr>
      </w:pPr>
      <w:r>
        <w:rPr>
          <w:rFonts w:ascii="Arial" w:cs="Arial" w:eastAsia="Arial" w:hAnsi="Arial"/>
          <w:sz w:val="18"/>
          <w:szCs w:val="18"/>
          <w:color w:val="auto"/>
        </w:rPr>
        <w:t>any revenue from the development agreement during the first quarters of both fiscal 2008 and 2007. Herbert Chang, one of our directors, is a shareholder of MagnetoX. Estopia LLC (“Estopia”) is also a shareholder of MagnetoX. Sehat Sutardja, Ph.D. and Weili Dai, through their ownership and control of Estopia, are indirect shareholders of MagnetoX.</w:t>
      </w:r>
    </w:p>
    <w:p>
      <w:pPr>
        <w:spacing w:after="0" w:line="181" w:lineRule="exact"/>
        <w:rPr>
          <w:sz w:val="20"/>
          <w:szCs w:val="20"/>
          <w:color w:val="auto"/>
        </w:rPr>
      </w:pPr>
    </w:p>
    <w:p>
      <w:pPr>
        <w:ind w:right="40" w:firstLine="324"/>
        <w:spacing w:after="0" w:line="273" w:lineRule="auto"/>
        <w:rPr>
          <w:sz w:val="20"/>
          <w:szCs w:val="20"/>
          <w:color w:val="auto"/>
        </w:rPr>
      </w:pPr>
      <w:r>
        <w:rPr>
          <w:rFonts w:ascii="Arial" w:cs="Arial" w:eastAsia="Arial" w:hAnsi="Arial"/>
          <w:sz w:val="17"/>
          <w:szCs w:val="17"/>
          <w:color w:val="auto"/>
        </w:rPr>
        <w:t>On August 19, 2005, through our subsidiaries MSI and Marvell International Ltd., we entered into a License and Manufacturing Services Agreement (the “License Agreement”) with C2 Microsystems, Inc. (“C2Micro”). The License Agreement has substantially similar terms as other license and manufacturing services agreements with other third parties. We recognized $30,000 of revenue under the License Agreement with C2Micro during the first quarter of fiscal 2008 and $0.2 million of revenue during the first quarter of fiscal 2007. Sehat Sutardja, Ph.D., and Weili Dai, through their ownership and control of Estopia, are indirect shareholders of C2Micro. Herbert Chang, through his ownership and control of C-Squared venture entities, is also an indirect shareholder of C2Micro. Pantas Sutardja, Ph.D., our Chief Technology Officer, is also a shareholder of C2Micro.</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ind w:right="140"/>
        <w:spacing w:after="0" w:line="287" w:lineRule="auto"/>
        <w:rPr>
          <w:sz w:val="20"/>
          <w:szCs w:val="20"/>
          <w:color w:val="auto"/>
        </w:rPr>
      </w:pPr>
      <w:r>
        <w:rPr>
          <w:rFonts w:ascii="Arial" w:cs="Arial" w:eastAsia="Arial" w:hAnsi="Arial"/>
          <w:sz w:val="16"/>
          <w:szCs w:val="16"/>
          <w:i w:val="1"/>
          <w:iCs w:val="1"/>
          <w:color w:val="auto"/>
        </w:rPr>
        <w:t>I</w:t>
      </w:r>
      <w:r>
        <w:rPr>
          <w:rFonts w:ascii="Arial" w:cs="Arial" w:eastAsia="Arial" w:hAnsi="Arial"/>
          <w:sz w:val="15"/>
          <w:szCs w:val="15"/>
          <w:i w:val="1"/>
          <w:iCs w:val="1"/>
          <w:color w:val="auto"/>
        </w:rPr>
        <w:t>nterest Rate Risk.</w:t>
      </w:r>
      <w:r>
        <w:rPr>
          <w:rFonts w:ascii="Arial" w:cs="Arial" w:eastAsia="Arial" w:hAnsi="Arial"/>
          <w:sz w:val="16"/>
          <w:szCs w:val="16"/>
          <w:i w:val="1"/>
          <w:iCs w:val="1"/>
          <w:color w:val="auto"/>
        </w:rPr>
        <w:t xml:space="preserve">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April 28, 2007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2008 because such securities are structured with short-term interest reset dates of generally less than 90 days at which time we can sell or continue to hold the securities at par.</w:t>
      </w:r>
    </w:p>
    <w:p>
      <w:pPr>
        <w:spacing w:after="0" w:line="147" w:lineRule="exact"/>
        <w:rPr>
          <w:sz w:val="20"/>
          <w:szCs w:val="20"/>
          <w:color w:val="auto"/>
        </w:rPr>
      </w:pPr>
    </w:p>
    <w:tbl>
      <w:tblPr>
        <w:tblLayout w:type="fixed"/>
        <w:tblInd w:w="180" w:type="dxa"/>
        <w:tblCellMar>
          <w:top w:w="0" w:type="dxa"/>
          <w:left w:w="0" w:type="dxa"/>
          <w:bottom w:w="0" w:type="dxa"/>
          <w:right w:w="0" w:type="dxa"/>
        </w:tblCellMar>
      </w:tblPr>
      <w:tr>
        <w:trPr>
          <w:trHeight w:val="171"/>
        </w:trPr>
        <w:tc>
          <w:tcPr>
            <w:tcW w:w="29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620" w:type="dxa"/>
            <w:vAlign w:val="bottom"/>
            <w:tcBorders>
              <w:bottom w:val="single" w:sz="8" w:color="auto"/>
            </w:tcBorders>
            <w:gridSpan w:val="8"/>
          </w:tcPr>
          <w:p>
            <w:pPr>
              <w:ind w:left="60"/>
              <w:spacing w:after="0"/>
              <w:rPr>
                <w:sz w:val="20"/>
                <w:szCs w:val="20"/>
                <w:color w:val="auto"/>
              </w:rPr>
            </w:pPr>
            <w:r>
              <w:rPr>
                <w:rFonts w:ascii="Arial" w:cs="Arial" w:eastAsia="Arial" w:hAnsi="Arial"/>
                <w:sz w:val="14"/>
                <w:szCs w:val="14"/>
                <w:b w:val="1"/>
                <w:bCs w:val="1"/>
                <w:color w:val="auto"/>
              </w:rPr>
              <w:t>Expected Fiscal Year Maturity Date</w:t>
            </w: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29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jc w:val="right"/>
              <w:ind w:right="114"/>
              <w:spacing w:after="0" w:line="129" w:lineRule="exact"/>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jc w:val="right"/>
              <w:ind w:right="114"/>
              <w:spacing w:after="0" w:line="129" w:lineRule="exact"/>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ind w:left="60"/>
              <w:spacing w:after="0" w:line="129" w:lineRule="exact"/>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ind w:left="60"/>
              <w:spacing w:after="0" w:line="129" w:lineRule="exact"/>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ind w:left="60"/>
              <w:spacing w:after="0" w:line="129" w:lineRule="exact"/>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0" w:type="dxa"/>
            <w:vAlign w:val="bottom"/>
            <w:gridSpan w:val="2"/>
          </w:tcPr>
          <w:p>
            <w:pPr>
              <w:jc w:val="right"/>
              <w:ind w:right="440"/>
              <w:spacing w:after="0" w:line="129" w:lineRule="exact"/>
              <w:rPr>
                <w:sz w:val="20"/>
                <w:szCs w:val="20"/>
                <w:color w:val="auto"/>
              </w:rPr>
            </w:pPr>
            <w:r>
              <w:rPr>
                <w:rFonts w:ascii="Arial" w:cs="Arial" w:eastAsia="Arial" w:hAnsi="Arial"/>
                <w:sz w:val="14"/>
                <w:szCs w:val="14"/>
                <w:b w:val="1"/>
                <w:bCs w:val="1"/>
                <w:color w:val="auto"/>
              </w:rPr>
              <w:t>Total</w:t>
            </w:r>
          </w:p>
        </w:tc>
        <w:tc>
          <w:tcPr>
            <w:tcW w:w="72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8"/>
              </w:rPr>
              <w:t>Fair Value</w:t>
            </w:r>
          </w:p>
        </w:tc>
        <w:tc>
          <w:tcPr>
            <w:tcW w:w="60" w:type="dxa"/>
            <w:vAlign w:val="bottom"/>
          </w:tcPr>
          <w:p>
            <w:pPr>
              <w:spacing w:after="0"/>
              <w:rPr>
                <w:sz w:val="11"/>
                <w:szCs w:val="11"/>
                <w:color w:val="auto"/>
              </w:rPr>
            </w:pPr>
          </w:p>
        </w:tc>
      </w:tr>
      <w:tr>
        <w:trPr>
          <w:trHeight w:val="210"/>
        </w:trPr>
        <w:tc>
          <w:tcPr>
            <w:tcW w:w="2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99,953</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ind w:left="38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ind w:left="38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shd w:val="clear" w:color="auto" w:fill="CCEEFF"/>
          </w:tcPr>
          <w:p>
            <w:pPr>
              <w:ind w:left="36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99,953</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99,953</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Average Interest Rate</w:t>
            </w:r>
          </w:p>
        </w:tc>
        <w:tc>
          <w:tcPr>
            <w:tcW w:w="14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5.31%</w:t>
            </w:r>
          </w:p>
        </w:tc>
        <w:tc>
          <w:tcPr>
            <w:tcW w:w="14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8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8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5.31%</w:t>
            </w:r>
          </w:p>
        </w:tc>
        <w:tc>
          <w:tcPr>
            <w:tcW w:w="1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8,653</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20,175</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28,828</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28,492</w:t>
            </w:r>
          </w:p>
        </w:tc>
        <w:tc>
          <w:tcPr>
            <w:tcW w:w="60" w:type="dxa"/>
            <w:vAlign w:val="bottom"/>
            <w:shd w:val="clear" w:color="auto" w:fill="CCEEFF"/>
          </w:tcPr>
          <w:p>
            <w:pPr>
              <w:spacing w:after="0"/>
              <w:rPr>
                <w:sz w:val="18"/>
                <w:szCs w:val="18"/>
                <w:color w:val="auto"/>
              </w:rPr>
            </w:pPr>
          </w:p>
        </w:tc>
      </w:tr>
      <w:tr>
        <w:trPr>
          <w:trHeight w:val="230"/>
        </w:trPr>
        <w:tc>
          <w:tcPr>
            <w:tcW w:w="2960" w:type="dxa"/>
            <w:vAlign w:val="bottom"/>
          </w:tcPr>
          <w:p>
            <w:pPr>
              <w:spacing w:after="0"/>
              <w:rPr>
                <w:sz w:val="20"/>
                <w:szCs w:val="20"/>
                <w:color w:val="auto"/>
              </w:rPr>
            </w:pPr>
            <w:r>
              <w:rPr>
                <w:rFonts w:ascii="Arial" w:cs="Arial" w:eastAsia="Arial" w:hAnsi="Arial"/>
                <w:sz w:val="18"/>
                <w:szCs w:val="18"/>
                <w:color w:val="auto"/>
              </w:rPr>
              <w:t>Average Interest Rate</w:t>
            </w:r>
          </w:p>
        </w:tc>
        <w:tc>
          <w:tcPr>
            <w:tcW w:w="140" w:type="dxa"/>
            <w:vAlign w:val="bottom"/>
          </w:tcPr>
          <w:p>
            <w:pPr>
              <w:spacing w:after="0"/>
              <w:rPr>
                <w:sz w:val="20"/>
                <w:szCs w:val="20"/>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3.38%</w:t>
            </w:r>
          </w:p>
        </w:tc>
        <w:tc>
          <w:tcPr>
            <w:tcW w:w="140" w:type="dxa"/>
            <w:vAlign w:val="bottom"/>
          </w:tcPr>
          <w:p>
            <w:pPr>
              <w:spacing w:after="0"/>
              <w:rPr>
                <w:sz w:val="20"/>
                <w:szCs w:val="20"/>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3.57%</w:t>
            </w:r>
          </w:p>
        </w:tc>
        <w:tc>
          <w:tcPr>
            <w:tcW w:w="140" w:type="dxa"/>
            <w:vAlign w:val="bottom"/>
          </w:tcPr>
          <w:p>
            <w:pPr>
              <w:spacing w:after="0"/>
              <w:rPr>
                <w:sz w:val="20"/>
                <w:szCs w:val="20"/>
                <w:color w:val="auto"/>
              </w:rPr>
            </w:pPr>
          </w:p>
        </w:tc>
        <w:tc>
          <w:tcPr>
            <w:tcW w:w="78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78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78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3.51%</w:t>
            </w:r>
          </w:p>
        </w:tc>
        <w:tc>
          <w:tcPr>
            <w:tcW w:w="1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60" w:type="dxa"/>
            <w:vAlign w:val="bottom"/>
          </w:tcPr>
          <w:p>
            <w:pPr>
              <w:spacing w:after="0"/>
              <w:rPr>
                <w:sz w:val="20"/>
                <w:szCs w:val="20"/>
                <w:color w:val="auto"/>
              </w:rPr>
            </w:pPr>
          </w:p>
        </w:tc>
      </w:tr>
    </w:tbl>
    <w:p>
      <w:pPr>
        <w:spacing w:after="0" w:line="241" w:lineRule="exact"/>
        <w:rPr>
          <w:sz w:val="20"/>
          <w:szCs w:val="20"/>
          <w:color w:val="auto"/>
        </w:rPr>
      </w:pPr>
    </w:p>
    <w:p>
      <w:pPr>
        <w:ind w:right="120" w:firstLine="324"/>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April 28, 2007 would have an immaterial effect on our financial position, results of operations and cash flows.</w:t>
      </w:r>
    </w:p>
    <w:p>
      <w:pPr>
        <w:spacing w:after="0" w:line="181"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Our term debt bears interest at the higher of the lender’s prime rate or 0.5% per annum above the Federal Funds Effective Rate, as defined in the agreement, plus a 1% margin. In the case of Eurodollar loans, amounts borrowed bear interest at a rate equal to the Adjusted London Interbank Offered Rate, or LIBOR, plus 2% margin. Such margins are subject to reductions or increases depending on our future credit rating if obtained. We pay interest and principal amounts equal to 0.25% of the aggregate principal amount of loans on a quarterly basis on the last business day of each March, June, September and December. The interest rate as of April 28, 2007 was 7.35%.</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ind w:right="180"/>
        <w:spacing w:after="0" w:line="254" w:lineRule="auto"/>
        <w:rPr>
          <w:sz w:val="20"/>
          <w:szCs w:val="20"/>
          <w:color w:val="auto"/>
        </w:rPr>
      </w:pPr>
      <w:r>
        <w:rPr>
          <w:rFonts w:ascii="Arial" w:cs="Arial" w:eastAsia="Arial" w:hAnsi="Arial"/>
          <w:sz w:val="18"/>
          <w:szCs w:val="18"/>
          <w:color w:val="auto"/>
        </w:rPr>
        <w:t>$6.7 million at April 28, 2007,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 An impairment of $4.9 million was recorded in the three months ended April 28, 2007.</w:t>
      </w:r>
    </w:p>
    <w:p>
      <w:pPr>
        <w:spacing w:after="0" w:line="190"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Securities Exchange Act of 1934) as of April 28, 2007.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interim Chief Financial Officer, as appropriate, to allow timely decisions regarding required disclosure. Based in this evaluation, our management, including our Chief Executive Officer and interim Chief Financial Officer, has concluded that our disclosure controls and procedures were not effective because of the material weaknesses described under “Management’s Report on Internal Control Over Financial Reporting” in Item 9A of the</w:t>
      </w:r>
    </w:p>
    <w:p>
      <w:pPr>
        <w:sectPr>
          <w:pgSz w:w="11900" w:h="16838" w:orient="portrait"/>
          <w:cols w:equalWidth="0" w:num="1">
            <w:col w:w="11420"/>
          </w:cols>
          <w:pgMar w:left="240" w:top="125" w:right="239" w:bottom="0" w:gutter="0" w:footer="0" w:header="0"/>
        </w:sectPr>
      </w:pPr>
    </w:p>
    <w:bookmarkStart w:id="26" w:name="page27"/>
    <w:bookmarkEnd w:id="26"/>
    <w:p>
      <w:pPr>
        <w:ind w:right="460"/>
        <w:spacing w:after="0" w:line="277" w:lineRule="auto"/>
        <w:rPr>
          <w:sz w:val="20"/>
          <w:szCs w:val="20"/>
          <w:color w:val="auto"/>
        </w:rPr>
      </w:pPr>
      <w:r>
        <w:rPr>
          <w:rFonts w:ascii="Arial" w:cs="Arial" w:eastAsia="Arial" w:hAnsi="Arial"/>
          <w:sz w:val="18"/>
          <w:szCs w:val="18"/>
          <w:color w:val="auto"/>
        </w:rPr>
        <w:t>Company’s Annual Report on Form 10-K for the year ended January 27, 2007, which the Company is still in the process of remediating. These material weaknesses are described below:</w:t>
      </w:r>
    </w:p>
    <w:p>
      <w:pPr>
        <w:spacing w:after="0" w:line="170"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and commensurate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our rapid growth and increasing complexity. Our management, including those individuals responsible for our Finance and Legal Departments, did not exercise the necessary rigor and commitment to internal control over financial reporting. Specifically, (1) internal control deficiencies were not remediated in a timely manner; (2) certain individuals involved in the stock option process said that they did not feel able to provide frank advice to senior management regarding controls over processing, recording and reporting of stock options transactions; and (3) we did not maintain a sufficient complement of personnel with a level of accounting knowledge, experience and training in the application of generally accepted accounting principles commensurate with our financial reporting requirements. This lack of an effective control environment contributed to the restatement of the consolidated financial statements of annual periods through fiscal 2006, each of the quarters of fiscal year 2006, as well as the first quarter of fiscal year 2007. Additionally, this lack of an effective control environment could result in misstatements of any of our financial statement accounts and disclosures that would result in a material misstatement to the annual or interim consolidated financial statements that would not be prevent or detected; this lack of effective control environment also contributed to the material weakness described below. Accordingly, our management has determined that this control deficiency constitutes a material weakness.</w:t>
      </w:r>
    </w:p>
    <w:p>
      <w:pPr>
        <w:spacing w:after="0" w:line="173"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i w:val="1"/>
          <w:iCs w:val="1"/>
          <w:color w:val="auto"/>
        </w:rPr>
        <w:t xml:space="preserve">Controls over stock-based compensation expense under FASB Statement of Financial Accounting Standards No. 123 (revised 2004), “Share Based Payments” (“FAS 123(R)”). </w:t>
      </w:r>
      <w:r>
        <w:rPr>
          <w:rFonts w:ascii="Arial" w:cs="Arial" w:eastAsia="Arial" w:hAnsi="Arial"/>
          <w:sz w:val="18"/>
          <w:szCs w:val="18"/>
          <w:color w:val="auto"/>
        </w:rPr>
        <w:t>We did not maintain effective controls over the accounting for and disclosure of our stock-based compensation expense under</w:t>
      </w:r>
      <w:r>
        <w:rPr>
          <w:rFonts w:ascii="Arial" w:cs="Arial" w:eastAsia="Arial" w:hAnsi="Arial"/>
          <w:sz w:val="18"/>
          <w:szCs w:val="18"/>
          <w:i w:val="1"/>
          <w:iCs w:val="1"/>
          <w:color w:val="auto"/>
        </w:rPr>
        <w:t xml:space="preserve"> </w:t>
      </w:r>
      <w:r>
        <w:rPr>
          <w:rFonts w:ascii="Arial" w:cs="Arial" w:eastAsia="Arial" w:hAnsi="Arial"/>
          <w:sz w:val="18"/>
          <w:szCs w:val="18"/>
          <w:color w:val="auto"/>
        </w:rPr>
        <w:t>FAS 123(R). Our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our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our annual or interim financial statements that would not be prevented or detected. Accordingly, our management has determined that this control deficiency constitutes a material weakness.</w:t>
      </w:r>
    </w:p>
    <w:p>
      <w:pPr>
        <w:spacing w:after="0" w:line="192"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Because of these material weaknesses, management has concluded that we did not maintain effective internal control over financial reporting as of April 28, 2007, based on the criteria established in “Internal Control - Integrated Framework” issued by the COSO. We have taken the remediation steps described below and in connection with the preparation of this Quarterly Report, our management undertook and completed reconciliations, analyses, reviews and control procedures in addition to those historically completed to confirm that this Quarterly Report fairly presents in all material aspects our financial position, results of operations and cash flows as of, and for the period presented in accordance with U.S. generally accepted accounting principles.</w:t>
      </w:r>
    </w:p>
    <w:p>
      <w:pPr>
        <w:spacing w:after="0" w:line="154"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There were no changes in our internal control over financial reporting during the most recently completed fiscal quarter that have materially affected, or are reasonably likely to materially affect, our internal control over financial reporting.</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Implemented or Planned Remedial Actions of Material Weaknesses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Subsequent to April 28, 2007, we implemented or plan to implement further remedial actions, specifically:</w:t>
      </w:r>
    </w:p>
    <w:p>
      <w:pPr>
        <w:spacing w:after="0" w:line="225" w:lineRule="exact"/>
        <w:rPr>
          <w:sz w:val="20"/>
          <w:szCs w:val="20"/>
          <w:color w:val="auto"/>
        </w:rPr>
      </w:pPr>
    </w:p>
    <w:p>
      <w:pPr>
        <w:ind w:left="340" w:right="220" w:hanging="332"/>
        <w:spacing w:after="0" w:line="277" w:lineRule="auto"/>
        <w:tabs>
          <w:tab w:leader="none" w:pos="290" w:val="left"/>
        </w:tabs>
        <w:numPr>
          <w:ilvl w:val="0"/>
          <w:numId w:val="5"/>
        </w:numPr>
        <w:rPr>
          <w:rFonts w:ascii="Arial" w:cs="Arial" w:eastAsia="Arial" w:hAnsi="Arial"/>
          <w:sz w:val="18"/>
          <w:szCs w:val="18"/>
          <w:color w:val="auto"/>
        </w:rPr>
      </w:pPr>
      <w:r>
        <w:rPr>
          <w:rFonts w:ascii="Arial" w:cs="Arial" w:eastAsia="Arial" w:hAnsi="Arial"/>
          <w:sz w:val="18"/>
          <w:szCs w:val="18"/>
          <w:color w:val="auto"/>
        </w:rPr>
        <w:t>Implemented or planned remediation efforts regarding the material weakness in internal control over financial reporting related to an ineffective control environment include the following:</w:t>
      </w:r>
    </w:p>
    <w:p>
      <w:pPr>
        <w:spacing w:after="0" w:line="170" w:lineRule="exact"/>
        <w:rPr>
          <w:sz w:val="20"/>
          <w:szCs w:val="20"/>
          <w:color w:val="auto"/>
        </w:rPr>
      </w:pPr>
    </w:p>
    <w:p>
      <w:pPr>
        <w:ind w:left="340" w:right="120" w:firstLine="324"/>
        <w:spacing w:after="0" w:line="257" w:lineRule="auto"/>
        <w:rPr>
          <w:sz w:val="20"/>
          <w:szCs w:val="20"/>
          <w:color w:val="auto"/>
        </w:rPr>
      </w:pPr>
      <w:r>
        <w:rPr>
          <w:rFonts w:ascii="Arial" w:cs="Arial" w:eastAsia="Arial" w:hAnsi="Arial"/>
          <w:sz w:val="18"/>
          <w:szCs w:val="18"/>
          <w:color w:val="auto"/>
        </w:rPr>
        <w:t>We accepted the resignation of our former Vice President of Finance and Chief Financial Officer, George A. Hervey, on May 2, 2007. We also accepted Weili Dai’s resignation from her positions as our Executive Vice President and Chief Operating Officer. The Implementation Committee of our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left="340" w:right="120"/>
        <w:spacing w:after="0" w:line="264" w:lineRule="auto"/>
        <w:rPr>
          <w:sz w:val="20"/>
          <w:szCs w:val="20"/>
          <w:color w:val="auto"/>
        </w:rPr>
      </w:pPr>
      <w:r>
        <w:rPr>
          <w:rFonts w:ascii="Arial" w:cs="Arial" w:eastAsia="Arial" w:hAnsi="Arial"/>
          <w:sz w:val="18"/>
          <w:szCs w:val="18"/>
          <w:color w:val="auto"/>
        </w:rPr>
        <w:t>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w:t>
      </w:r>
    </w:p>
    <w:p>
      <w:pPr>
        <w:spacing w:after="0" w:line="181" w:lineRule="exact"/>
        <w:rPr>
          <w:sz w:val="20"/>
          <w:szCs w:val="20"/>
          <w:color w:val="auto"/>
        </w:rPr>
      </w:pPr>
    </w:p>
    <w:p>
      <w:pPr>
        <w:ind w:left="340" w:right="120" w:firstLine="324"/>
        <w:spacing w:after="0" w:line="279" w:lineRule="auto"/>
        <w:rPr>
          <w:sz w:val="20"/>
          <w:szCs w:val="20"/>
          <w:color w:val="auto"/>
        </w:rPr>
      </w:pPr>
      <w:r>
        <w:rPr>
          <w:rFonts w:ascii="Arial" w:cs="Arial" w:eastAsia="Arial" w:hAnsi="Arial"/>
          <w:sz w:val="17"/>
          <w:szCs w:val="17"/>
          <w:color w:val="auto"/>
        </w:rPr>
        <w:t>Dr. Sehat Sutardja will remain Chief Executive Officer and a member of the Board, but will step down as Chairman of the Board in favor of a non-executive Chairman. The Implementation Committee believes that the reconstitution of the Board of Directors, the separation of the role of Chairman of the Board from that of Chief Executive Officer and President and the hiring of key qualified senior executives in Finance, Operations and Compliance will help address the issues discussed in the material weakness relating to our control environment noted above.</w:t>
      </w:r>
    </w:p>
    <w:p>
      <w:pPr>
        <w:spacing w:after="0" w:line="171" w:lineRule="exact"/>
        <w:rPr>
          <w:sz w:val="20"/>
          <w:szCs w:val="20"/>
          <w:color w:val="auto"/>
        </w:rPr>
      </w:pPr>
    </w:p>
    <w:p>
      <w:pPr>
        <w:ind w:left="340" w:right="480" w:firstLine="324"/>
        <w:spacing w:after="0" w:line="259" w:lineRule="auto"/>
        <w:rPr>
          <w:sz w:val="20"/>
          <w:szCs w:val="20"/>
          <w:color w:val="auto"/>
        </w:rPr>
      </w:pPr>
      <w:r>
        <w:rPr>
          <w:rFonts w:ascii="Arial" w:cs="Arial" w:eastAsia="Arial" w:hAnsi="Arial"/>
          <w:sz w:val="18"/>
          <w:szCs w:val="18"/>
          <w:color w:val="auto"/>
        </w:rPr>
        <w:t>Following the Special Committee’s recommendations, we are conducting a search for a new Chief Operating Officer, Chief Financial Officer, General Counsel and Vice President of Compliance. The Vice President of Compliance will report directly to the Audit Committee of the Board. Additionally, the Board’s Governance Committee is conducting a search for three new independent directors to fill existing vacancies. One of these independent directors will succeed Dr. Sutardja as Chairman of the Board.</w:t>
      </w:r>
    </w:p>
    <w:p>
      <w:pPr>
        <w:spacing w:after="0" w:line="187" w:lineRule="exact"/>
        <w:rPr>
          <w:sz w:val="20"/>
          <w:szCs w:val="20"/>
          <w:color w:val="auto"/>
        </w:rPr>
      </w:pPr>
    </w:p>
    <w:p>
      <w:pPr>
        <w:ind w:left="340" w:right="320" w:firstLine="324"/>
        <w:spacing w:after="0" w:line="277" w:lineRule="auto"/>
        <w:rPr>
          <w:sz w:val="20"/>
          <w:szCs w:val="20"/>
          <w:color w:val="auto"/>
        </w:rPr>
      </w:pPr>
      <w:r>
        <w:rPr>
          <w:rFonts w:ascii="Arial" w:cs="Arial" w:eastAsia="Arial" w:hAnsi="Arial"/>
          <w:sz w:val="18"/>
          <w:szCs w:val="18"/>
          <w:color w:val="auto"/>
        </w:rPr>
        <w:t>We adopted enhancements to the process undertaken by our Audit Committee of the Board of Directors in connection with the finalization of our Quarterly Reports on Form 10-Q for filing with the SEC.</w:t>
      </w:r>
    </w:p>
    <w:p>
      <w:pPr>
        <w:spacing w:after="0" w:line="170" w:lineRule="exact"/>
        <w:rPr>
          <w:sz w:val="20"/>
          <w:szCs w:val="20"/>
          <w:color w:val="auto"/>
        </w:rPr>
      </w:pPr>
    </w:p>
    <w:p>
      <w:pPr>
        <w:ind w:left="340" w:right="100" w:firstLine="324"/>
        <w:spacing w:after="0" w:line="277" w:lineRule="auto"/>
        <w:rPr>
          <w:sz w:val="20"/>
          <w:szCs w:val="20"/>
          <w:color w:val="auto"/>
        </w:rPr>
      </w:pPr>
      <w:r>
        <w:rPr>
          <w:rFonts w:ascii="Arial" w:cs="Arial" w:eastAsia="Arial" w:hAnsi="Arial"/>
          <w:sz w:val="18"/>
          <w:szCs w:val="18"/>
          <w:color w:val="auto"/>
        </w:rPr>
        <w:t>The Executive Compensation Committee adopted a stock option grant policy. Further enhancements have been made regarding the memorialization of board actions and documentation of equity awards.</w:t>
      </w:r>
    </w:p>
    <w:p>
      <w:pPr>
        <w:spacing w:after="0" w:line="170" w:lineRule="exact"/>
        <w:rPr>
          <w:sz w:val="20"/>
          <w:szCs w:val="20"/>
          <w:color w:val="auto"/>
        </w:rPr>
      </w:pPr>
    </w:p>
    <w:p>
      <w:pPr>
        <w:ind w:left="340" w:firstLine="324"/>
        <w:spacing w:after="0" w:line="342" w:lineRule="auto"/>
        <w:rPr>
          <w:sz w:val="20"/>
          <w:szCs w:val="20"/>
          <w:color w:val="auto"/>
        </w:rPr>
      </w:pPr>
      <w:r>
        <w:rPr>
          <w:rFonts w:ascii="Arial" w:cs="Arial" w:eastAsia="Arial" w:hAnsi="Arial"/>
          <w:sz w:val="16"/>
          <w:szCs w:val="16"/>
          <w:color w:val="auto"/>
        </w:rPr>
        <w:t>We have initiated a multi-phased automation project of the stock option granting process to reduce manual validation work over multiple employee databases, including records maintained in locations with poorer administrative resources. We have completed the first phase of this automation initiative.</w:t>
      </w:r>
    </w:p>
    <w:p>
      <w:pPr>
        <w:sectPr>
          <w:pgSz w:w="11900" w:h="16838" w:orient="portrait"/>
          <w:cols w:equalWidth="0" w:num="1">
            <w:col w:w="11420"/>
          </w:cols>
          <w:pgMar w:left="240" w:top="125" w:right="239" w:bottom="0" w:gutter="0" w:footer="0" w:header="0"/>
        </w:sectPr>
      </w:pPr>
    </w:p>
    <w:bookmarkStart w:id="27" w:name="page28"/>
    <w:bookmarkEnd w:id="27"/>
    <w:p>
      <w:pPr>
        <w:ind w:left="340" w:right="300" w:firstLine="324"/>
        <w:spacing w:after="0" w:line="277" w:lineRule="auto"/>
        <w:rPr>
          <w:sz w:val="20"/>
          <w:szCs w:val="20"/>
          <w:color w:val="auto"/>
        </w:rPr>
      </w:pPr>
      <w:r>
        <w:rPr>
          <w:rFonts w:ascii="Arial" w:cs="Arial" w:eastAsia="Arial" w:hAnsi="Arial"/>
          <w:sz w:val="18"/>
          <w:szCs w:val="18"/>
          <w:color w:val="auto"/>
        </w:rPr>
        <w:t>We plan to provide the Audit Committee with a status report of outstanding internal control deficiencies and internal audit findings, including our progress made towards resolving outstanding items.</w:t>
      </w:r>
    </w:p>
    <w:p>
      <w:pPr>
        <w:spacing w:after="0" w:line="170" w:lineRule="exact"/>
        <w:rPr>
          <w:sz w:val="20"/>
          <w:szCs w:val="20"/>
          <w:color w:val="auto"/>
        </w:rPr>
      </w:pPr>
    </w:p>
    <w:p>
      <w:pPr>
        <w:ind w:left="340" w:right="160" w:firstLine="324"/>
        <w:spacing w:after="0" w:line="279" w:lineRule="auto"/>
        <w:rPr>
          <w:sz w:val="20"/>
          <w:szCs w:val="20"/>
          <w:color w:val="auto"/>
        </w:rPr>
      </w:pPr>
      <w:r>
        <w:rPr>
          <w:rFonts w:ascii="Arial" w:cs="Arial" w:eastAsia="Arial" w:hAnsi="Arial"/>
          <w:sz w:val="17"/>
          <w:szCs w:val="17"/>
          <w:color w:val="auto"/>
        </w:rPr>
        <w:t>We are actively conducting a search for a new Chief Financial Officer. We also plan to further strengthen our controls over the monthly closing and financial reporting processes by continuing to hire additional personnel with knowledge, experience and training in the application of U.S. generally accepted accounting principles commensurate with our financial reporting requirements. The hiring of additional, qualified personnel is critical to the building of a finance organization with the depth and breadth of knowledge to support our planned operations.</w:t>
      </w:r>
    </w:p>
    <w:p>
      <w:pPr>
        <w:spacing w:after="0" w:line="171" w:lineRule="exact"/>
        <w:rPr>
          <w:sz w:val="20"/>
          <w:szCs w:val="20"/>
          <w:color w:val="auto"/>
        </w:rPr>
      </w:pPr>
    </w:p>
    <w:p>
      <w:pPr>
        <w:ind w:left="340" w:right="20" w:hanging="332"/>
        <w:spacing w:after="0" w:line="308" w:lineRule="auto"/>
        <w:tabs>
          <w:tab w:leader="none" w:pos="290" w:val="left"/>
        </w:tabs>
        <w:numPr>
          <w:ilvl w:val="0"/>
          <w:numId w:val="6"/>
        </w:numPr>
        <w:rPr>
          <w:rFonts w:ascii="Arial" w:cs="Arial" w:eastAsia="Arial" w:hAnsi="Arial"/>
          <w:sz w:val="17"/>
          <w:szCs w:val="17"/>
          <w:color w:val="auto"/>
        </w:rPr>
      </w:pPr>
      <w:r>
        <w:rPr>
          <w:rFonts w:ascii="Arial" w:cs="Arial" w:eastAsia="Arial" w:hAnsi="Arial"/>
          <w:sz w:val="17"/>
          <w:szCs w:val="17"/>
          <w:color w:val="auto"/>
        </w:rPr>
        <w:t>Implemented or planned remediation efforts regarding the material weakness over accounting for and disclosure of our stock-based compensation expense under FAS 123R include the changes in internal control over financial reporting, as stated above, along with the following:</w:t>
      </w:r>
    </w:p>
    <w:p>
      <w:pPr>
        <w:spacing w:after="0" w:line="147" w:lineRule="exact"/>
        <w:rPr>
          <w:sz w:val="20"/>
          <w:szCs w:val="20"/>
          <w:color w:val="auto"/>
        </w:rPr>
      </w:pPr>
    </w:p>
    <w:p>
      <w:pPr>
        <w:jc w:val="both"/>
        <w:ind w:left="340" w:right="720" w:firstLine="324"/>
        <w:spacing w:after="0" w:line="259" w:lineRule="auto"/>
        <w:rPr>
          <w:sz w:val="20"/>
          <w:szCs w:val="20"/>
          <w:color w:val="auto"/>
        </w:rPr>
      </w:pPr>
      <w:r>
        <w:rPr>
          <w:rFonts w:ascii="Arial" w:cs="Arial" w:eastAsia="Arial" w:hAnsi="Arial"/>
          <w:sz w:val="18"/>
          <w:szCs w:val="18"/>
          <w:color w:val="auto"/>
        </w:rPr>
        <w:t>We reviewed the accounting for and disclosure of our stock-based compensation expense process and have assessed the need for additional managerial and qualified staff resources. Once these qualified individuals are hired and training of appropriate personnel is completed, effective monitoring controls will be in place and maintained to ensure existence, completeness, accuracy, valuation and presentation of our stock-based compensation expense.</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Internal Control Over Financial Reporting</w:t>
      </w:r>
    </w:p>
    <w:p>
      <w:pPr>
        <w:spacing w:after="0" w:line="229"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As required by Rule 13a-15(d) of the Securities Exchange Act of 1934, our management, including our Chief Executive Officer and Chief Financial Officer, also conducted an evaluation of our "internal control over financial reporting" as defined in Exchange Act Rule 13a-15(f) to determine whether any changes in our internal control over financial reporting occurred during the fiscal third quarter of 2007 that materially affected, or are reasonably likely to materially affect, our internal control over financial reporting. Based on that evaluation, except as noted above, we noted no additional changes have occurred during the first quarter of fiscal 2008.</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29" w:lineRule="exact"/>
        <w:rPr>
          <w:sz w:val="20"/>
          <w:szCs w:val="20"/>
          <w:color w:val="auto"/>
        </w:rPr>
      </w:pPr>
    </w:p>
    <w:p>
      <w:pPr>
        <w:ind w:right="340" w:firstLine="324"/>
        <w:spacing w:after="0" w:line="297"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i w:val="1"/>
          <w:iCs w:val="1"/>
          <w:color w:val="auto"/>
        </w:rPr>
        <w:t xml:space="preserve">IPO Securities Litigation. </w:t>
      </w:r>
      <w:r>
        <w:rPr>
          <w:rFonts w:ascii="Arial" w:cs="Arial" w:eastAsia="Arial" w:hAnsi="Arial"/>
          <w:sz w:val="18"/>
          <w:szCs w:val="18"/>
          <w:color w:val="auto"/>
        </w:rPr>
        <w:t>On July 31, 2001, a putative class action suit was filed against two investment banks that participated in the underwriting of</w:t>
      </w:r>
      <w:r>
        <w:rPr>
          <w:rFonts w:ascii="Arial" w:cs="Arial" w:eastAsia="Arial" w:hAnsi="Arial"/>
          <w:sz w:val="18"/>
          <w:szCs w:val="18"/>
          <w:i w:val="1"/>
          <w:iCs w:val="1"/>
          <w:color w:val="auto"/>
        </w:rPr>
        <w:t xml:space="preserve"> </w:t>
      </w:r>
      <w:r>
        <w:rPr>
          <w:rFonts w:ascii="Arial" w:cs="Arial" w:eastAsia="Arial" w:hAnsi="Arial"/>
          <w:sz w:val="18"/>
          <w:szCs w:val="18"/>
          <w:color w:val="auto"/>
        </w:rPr>
        <w:t>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w:t>
      </w: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ectPr>
          <w:pgSz w:w="11900" w:h="16838" w:orient="portrait"/>
          <w:cols w:equalWidth="0" w:num="1">
            <w:col w:w="11420"/>
          </w:cols>
          <w:pgMar w:left="240" w:top="125" w:right="239" w:bottom="21" w:gutter="0" w:footer="0" w:header="0"/>
        </w:sectPr>
      </w:pPr>
    </w:p>
    <w:bookmarkStart w:id="28" w:name="page29"/>
    <w:bookmarkEnd w:id="28"/>
    <w:p>
      <w:pPr>
        <w:ind w:firstLine="324"/>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w:t>
      </w:r>
    </w:p>
    <w:p>
      <w:pPr>
        <w:spacing w:after="0" w:line="166" w:lineRule="exact"/>
        <w:rPr>
          <w:sz w:val="20"/>
          <w:szCs w:val="20"/>
          <w:color w:val="auto"/>
        </w:rPr>
      </w:pPr>
    </w:p>
    <w:p>
      <w:pPr>
        <w:ind w:right="80" w:firstLine="324"/>
        <w:spacing w:after="0" w:line="293"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we have acknowledged the demands and incurred costs in response to them.</w:t>
      </w:r>
    </w:p>
    <w:p>
      <w:pPr>
        <w:spacing w:after="0" w:line="192" w:lineRule="exact"/>
        <w:rPr>
          <w:sz w:val="20"/>
          <w:szCs w:val="20"/>
          <w:color w:val="auto"/>
        </w:rPr>
      </w:pPr>
    </w:p>
    <w:p>
      <w:pPr>
        <w:ind w:firstLine="324"/>
        <w:spacing w:after="0" w:line="279" w:lineRule="auto"/>
        <w:rPr>
          <w:sz w:val="20"/>
          <w:szCs w:val="20"/>
          <w:color w:val="auto"/>
        </w:rPr>
      </w:pPr>
      <w:r>
        <w:rPr>
          <w:rFonts w:ascii="Arial" w:cs="Arial" w:eastAsia="Arial" w:hAnsi="Arial"/>
          <w:sz w:val="17"/>
          <w:szCs w:val="17"/>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 CSIRO has not yet responded to the complaint.</w:t>
      </w:r>
    </w:p>
    <w:p>
      <w:pPr>
        <w:spacing w:after="0" w:line="171"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67"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we file restated financial statements with the SEC.</w:t>
      </w:r>
    </w:p>
    <w:p>
      <w:pPr>
        <w:spacing w:after="0" w:line="167" w:lineRule="exact"/>
        <w:rPr>
          <w:sz w:val="20"/>
          <w:szCs w:val="20"/>
          <w:color w:val="auto"/>
        </w:rPr>
      </w:pPr>
    </w:p>
    <w:p>
      <w:pPr>
        <w:ind w:right="40" w:firstLine="324"/>
        <w:spacing w:after="0" w:line="297"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Securities and Exchange Commission (“SEC”)</w:t>
      </w:r>
      <w:r>
        <w:rPr>
          <w:rFonts w:ascii="Arial" w:cs="Arial" w:eastAsia="Arial" w:hAnsi="Arial"/>
          <w:sz w:val="16"/>
          <w:szCs w:val="16"/>
          <w:i w:val="1"/>
          <w:iCs w:val="1"/>
          <w:color w:val="auto"/>
        </w:rPr>
        <w:t xml:space="preserve"> </w:t>
      </w:r>
      <w:r>
        <w:rPr>
          <w:rFonts w:ascii="Arial" w:cs="Arial" w:eastAsia="Arial" w:hAnsi="Arial"/>
          <w:sz w:val="16"/>
          <w:szCs w:val="16"/>
          <w:color w:val="auto"/>
        </w:rPr>
        <w:t>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 this matter. On June 8, 2007, we received a document subpoena from the SEC. We have cooperated with the SEC and the United States Attorney regarding these matters and intend to continue to do so. We cannot predict the outcome of these investigations.</w:t>
      </w:r>
    </w:p>
    <w:p>
      <w:pPr>
        <w:spacing w:after="0" w:line="15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We are also party to other legal proceedings and claims arising in the normal course of business.</w:t>
      </w:r>
    </w:p>
    <w:p>
      <w:pPr>
        <w:spacing w:after="0" w:line="225" w:lineRule="exact"/>
        <w:rPr>
          <w:sz w:val="20"/>
          <w:szCs w:val="20"/>
          <w:color w:val="auto"/>
        </w:rPr>
      </w:pPr>
    </w:p>
    <w:p>
      <w:pPr>
        <w:ind w:right="320" w:firstLine="324"/>
        <w:spacing w:after="0" w:line="342"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we do not believe that</w:t>
      </w:r>
    </w:p>
    <w:p>
      <w:pPr>
        <w:sectPr>
          <w:pgSz w:w="11900" w:h="16838" w:orient="portrait"/>
          <w:cols w:equalWidth="0" w:num="1">
            <w:col w:w="11420"/>
          </w:cols>
          <w:pgMar w:left="240" w:top="125" w:right="239" w:bottom="0" w:gutter="0" w:footer="0" w:header="0"/>
        </w:sectPr>
      </w:pPr>
    </w:p>
    <w:bookmarkStart w:id="29" w:name="page30"/>
    <w:bookmarkEnd w:id="29"/>
    <w:p>
      <w:pPr>
        <w:ind w:right="80"/>
        <w:spacing w:after="0" w:line="277" w:lineRule="auto"/>
        <w:rPr>
          <w:sz w:val="20"/>
          <w:szCs w:val="20"/>
          <w:color w:val="auto"/>
        </w:rPr>
      </w:pPr>
      <w:r>
        <w:rPr>
          <w:rFonts w:ascii="Arial" w:cs="Arial" w:eastAsia="Arial" w:hAnsi="Arial"/>
          <w:sz w:val="18"/>
          <w:szCs w:val="18"/>
          <w:color w:val="auto"/>
        </w:rPr>
        <w:t>these matters will result in our payment of monetary damages, net of any applicable insurance proceeds, that in the aggregate would be material in relation to our consolidated financial position or results of operations. However,</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Item 2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Matters related to the internal review of our historical stock option granting practices and the restatement of our financial statements may result in additional litigation, regulatory proceedings and government enforcement actions.</w:t>
      </w:r>
    </w:p>
    <w:p>
      <w:pPr>
        <w:spacing w:after="0" w:line="170"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Report as well as the other risk factors related to litigation set forth in this section. We have provided the results of our internal review to the Securities and Exchange Commission (“SEC”) and the United States Attorney’s Office for the Northern District of California, and in that regard we have responded to formal and informal requests for documents and additional information. No assurance can be given regarding the outcomes of litigation, regulatory proceedings or government enforcement actions relating to our past stock option practices. The resolution of these matters will be time consuming, expensive, and may distract management from the conduct of our business. Further, if we are subject to adverse findings in litigation, regulatory proceedings or government enforcement actions,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178" w:lineRule="exact"/>
        <w:rPr>
          <w:sz w:val="20"/>
          <w:szCs w:val="20"/>
          <w:color w:val="auto"/>
        </w:rPr>
      </w:pPr>
    </w:p>
    <w:p>
      <w:pPr>
        <w:ind w:right="60" w:firstLine="324"/>
        <w:spacing w:after="0" w:line="279" w:lineRule="auto"/>
        <w:rPr>
          <w:sz w:val="20"/>
          <w:szCs w:val="20"/>
          <w:color w:val="auto"/>
        </w:rPr>
      </w:pPr>
      <w:r>
        <w:rPr>
          <w:rFonts w:ascii="Arial" w:cs="Arial" w:eastAsia="Arial" w:hAnsi="Arial"/>
          <w:sz w:val="17"/>
          <w:szCs w:val="17"/>
          <w:color w:val="auto"/>
        </w:rPr>
        <w:t>In addition, while we believe that we have, in completing the restatement of our financial statements, made appropriate judgments in determining the correct measurement dates and disclosures relating to our stock option investigation, the SEC may disagree with the manner in which we reported the results of the investigation or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Recent changes in our management may cause uncertainty in, or be disruptive to, our business.</w:t>
      </w:r>
    </w:p>
    <w:p>
      <w:pPr>
        <w:spacing w:after="0" w:line="225" w:lineRule="exact"/>
        <w:rPr>
          <w:sz w:val="20"/>
          <w:szCs w:val="20"/>
          <w:color w:val="auto"/>
        </w:rPr>
      </w:pPr>
    </w:p>
    <w:p>
      <w:pPr>
        <w:ind w:right="20" w:firstLine="324"/>
        <w:spacing w:after="0" w:line="267" w:lineRule="auto"/>
        <w:rPr>
          <w:sz w:val="20"/>
          <w:szCs w:val="20"/>
          <w:color w:val="auto"/>
        </w:rPr>
      </w:pPr>
      <w:r>
        <w:rPr>
          <w:rFonts w:ascii="Arial" w:cs="Arial" w:eastAsia="Arial" w:hAnsi="Arial"/>
          <w:sz w:val="17"/>
          <w:szCs w:val="17"/>
          <w:color w:val="auto"/>
        </w:rPr>
        <w:t>We have recently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will continue in a non-management role. Also, the general counsel of our U.S. operating subsidiary was terminated in March 2007. We are conducting a search for a permanent Chief Operating Officer, Chief Financial Officer and General Counsel. We cannot assure you that we will find qualified candidates in a timely manner. We have also commenced a search for three new independent directors to fill existing vacancies on our board of directors, one of whom will succeed Dr. Sehat Sutardja as Chairman of the Board. These changes in our management and board of directors may be disruptive to our business, and, during the transition period, there may be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management and other key personnel and on the abilities of the new management personnel to function effectively, both individually and as a group, going forward. If we are unable to attract and retain effective permanent replacements for our key executives in a timely manner, our business, financial condition, results of operations and cash flows may be adversely affected and our ability to execute our business model could be impaired. Competition for qualified senior employees can be intense. We expect to experience difficulty in hiring and retaining highly skilled individuals with appropriate qualifications to support our growth and expansion. For example, both our interim Chief Financial Officer and interim General Counsel may choose not to participate as candidates in our search to fill these positions. If we fail to attract, hire and retain qualified management individuals, it could lead to dissatisfaction among our customers, which could slow our growth or result in a loss of business.</w:t>
      </w:r>
    </w:p>
    <w:p>
      <w:pPr>
        <w:spacing w:after="0" w:line="200" w:lineRule="exact"/>
        <w:rPr>
          <w:sz w:val="20"/>
          <w:szCs w:val="20"/>
          <w:color w:val="auto"/>
        </w:rPr>
      </w:pPr>
    </w:p>
    <w:p>
      <w:pPr>
        <w:spacing w:after="0" w:line="2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24" w:lineRule="exact"/>
        <w:rPr>
          <w:sz w:val="20"/>
          <w:szCs w:val="20"/>
          <w:color w:val="auto"/>
        </w:rPr>
      </w:pPr>
    </w:p>
    <w:p>
      <w:pPr>
        <w:ind w:right="60" w:firstLine="324"/>
        <w:spacing w:after="0" w:line="272" w:lineRule="auto"/>
        <w:rPr>
          <w:sz w:val="20"/>
          <w:szCs w:val="20"/>
          <w:color w:val="auto"/>
        </w:rPr>
      </w:pPr>
      <w:r>
        <w:rPr>
          <w:rFonts w:ascii="Arial" w:cs="Arial" w:eastAsia="Arial" w:hAnsi="Arial"/>
          <w:sz w:val="17"/>
          <w:szCs w:val="17"/>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 violations of the federal securities laws and seek to recover damages. We may in the future be subject to additional litigation relating to our past option granting practices. Regardless of the outcome, this litigation,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financial condition, results of operations and cash flows.</w:t>
      </w:r>
    </w:p>
    <w:p>
      <w:pPr>
        <w:sectPr>
          <w:pgSz w:w="11900" w:h="16838" w:orient="portrait"/>
          <w:cols w:equalWidth="0" w:num="1">
            <w:col w:w="11400"/>
          </w:cols>
          <w:pgMar w:left="240" w:top="125" w:right="259" w:bottom="147" w:gutter="0" w:footer="0" w:header="0"/>
        </w:sectPr>
      </w:pPr>
    </w:p>
    <w:bookmarkStart w:id="30" w:name="page31"/>
    <w:bookmarkEnd w:id="30"/>
    <w:p>
      <w:pPr>
        <w:spacing w:after="0" w:line="55"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The matters relating to the internal review of our historical stock option granting practices and the restatement of our financial statements may otherwise adversely impact our business.</w:t>
      </w:r>
    </w:p>
    <w:p>
      <w:pPr>
        <w:spacing w:after="0" w:line="170" w:lineRule="exact"/>
        <w:rPr>
          <w:sz w:val="20"/>
          <w:szCs w:val="20"/>
          <w:color w:val="auto"/>
        </w:rPr>
      </w:pPr>
    </w:p>
    <w:p>
      <w:pPr>
        <w:jc w:val="both"/>
        <w:ind w:right="20" w:firstLine="324"/>
        <w:spacing w:after="0" w:line="259" w:lineRule="auto"/>
        <w:rPr>
          <w:sz w:val="20"/>
          <w:szCs w:val="20"/>
          <w:color w:val="auto"/>
        </w:rPr>
      </w:pPr>
      <w:r>
        <w:rPr>
          <w:rFonts w:ascii="Arial" w:cs="Arial" w:eastAsia="Arial" w:hAnsi="Arial"/>
          <w:sz w:val="18"/>
          <w:szCs w:val="18"/>
          <w:color w:val="auto"/>
        </w:rPr>
        <w:t>As a result of our delayed filing of our Quarterly Reports on Form 10-Q for the fiscal quarters ended July 29, 2006, October 28, 2006, and April 28, 2007 and our Annual Report on Form 10-K for the fiscal year ended January 27, 2007, we will be ineligible to register our securities on Form S-3 for sale by us or resale by others. We may use Form S-1 to raise capital or complete acquisitions, but doing so could increase transaction costs and adversely impact our ability to raise capital or complete acquisitions of other companies in a timely manner.</w:t>
      </w:r>
    </w:p>
    <w:p>
      <w:pPr>
        <w:spacing w:after="0" w:line="187"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color w:val="auto"/>
        </w:rPr>
        <w:t>Employees who were awarded options that were granted at a discount from fair market value and were all or partially unvested as of December 31, 2004, which we refer to as discount options, may be subject to income tax liability on the vesting date of those discount options in addition to a 20% excise tax under Internal Revenue Code section 409A and parallel state taxes. In considering actions that we believe would be in the best interests of our shareholders and employees and might substantially reduce or eliminate section 409A exposure and adverse state tax liability for our employees, we have elected to comply with the Franchise Tax Board Notice 2007-1 program in California. The program allows us to pay the additional 20% tax and interest due to the exercise of certain discounted stock options in 2006 pursuant to Revenue and Taxation Code §17501. There is no guarantee that this measure to address employees’ adverse tax consequences will be effective or successful. Any such measures may cause us to incur additional cash or noncash compensation expense. In addition, these measures, or the failure of these measures, may require us to incur substantial expenses for legal, accounting, tax and other professional services, could cause employee satisfaction and retention issues, and may divert our management’s attention from our business, which could in the future harm our business, financial condition, results of operations and cash flows.</w:t>
      </w:r>
    </w:p>
    <w:p>
      <w:pPr>
        <w:spacing w:after="0" w:line="178"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timely and investors may lose confidence in our reported financial information, which could lead to a decline in our stock price.</w:t>
      </w:r>
    </w:p>
    <w:p>
      <w:pPr>
        <w:spacing w:after="0" w:line="187"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We have assessed that we have had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87"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88"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cannot assure you that significant deficiencies or material weaknesses in our internal control over financial reporting will not be identified in the future.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annual auditor attestation reports regarding disclosure controls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75"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We have not been in compliance with SEC periodic reporting requirements and NASDAQ listing requirements and may continue to face compliance issues with both, which could result in the delisting of our common shares from The NASDAQ Stock Market.</w:t>
      </w:r>
    </w:p>
    <w:p>
      <w:pPr>
        <w:spacing w:after="0" w:line="170"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As a result of our failure to timely file our quarterly reports on Form 10-Q for the fiscal quarters ended July 29, 2006 and October 28, 2006, annual report on Form 10-K for the fiscal year ended January 27, 2007 and the Quarterly Report on Form 10-Q for the fiscal quarter ended April 28, 2007, we have not been in full compliance with NASDAQ Marketplace Rule 4310(c)(14) which requires us to make, on a timely basis, all filings with the SEC required by the Securities Exchange Act of 1934.</w:t>
      </w:r>
    </w:p>
    <w:p>
      <w:pPr>
        <w:spacing w:after="0" w:line="187"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If the SEC disagrees with the manner in which we have accounted for and reported, or not reported, the financial impact of past stock option grants, there could be further delays in filing subsequent SEC reports or other actions that might result in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 counter market. If our common stock is no longer traded through a market system, the liquidity of our common stock may be greatly reduced, which could negatively affect its price. In addition, we may be unable to obtain future equity</w:t>
      </w:r>
    </w:p>
    <w:p>
      <w:pPr>
        <w:sectPr>
          <w:pgSz w:w="11900" w:h="16894" w:orient="portrait"/>
          <w:cols w:equalWidth="0" w:num="1">
            <w:col w:w="11420"/>
          </w:cols>
          <w:pgMar w:left="240" w:top="125" w:right="239" w:bottom="0" w:gutter="0" w:footer="0" w:header="0"/>
        </w:sectPr>
      </w:pPr>
    </w:p>
    <w:bookmarkStart w:id="31" w:name="page32"/>
    <w:bookmarkEnd w:id="31"/>
    <w:p>
      <w:pPr>
        <w:ind w:right="180"/>
        <w:spacing w:after="0" w:line="264" w:lineRule="auto"/>
        <w:rPr>
          <w:sz w:val="20"/>
          <w:szCs w:val="20"/>
          <w:color w:val="auto"/>
        </w:rPr>
      </w:pPr>
      <w:r>
        <w:rPr>
          <w:rFonts w:ascii="Arial" w:cs="Arial" w:eastAsia="Arial" w:hAnsi="Arial"/>
          <w:sz w:val="18"/>
          <w:szCs w:val="18"/>
          <w:color w:val="auto"/>
        </w:rPr>
        <w:t>financing, or use our common stock as consideration for mergers or other business combinations. A delisting from the NASDAQ Global Select Market may also have other negative implications, including the potential loss of confidence by suppliers, customers and employees, the loss of institutional investor interest, and fewer business development opportunities.</w:t>
      </w:r>
    </w:p>
    <w:p>
      <w:pPr>
        <w:spacing w:after="0" w:line="181"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We are obligated to purchase and pre-pay for specified volumes of wafers from Intel Corporation which will adversely affect our cash flow and could lead to inventory write-downs and related charges to our earnings, but Intel is not obligated to increase supply if we encounter unexpected demand.</w:t>
      </w:r>
    </w:p>
    <w:p>
      <w:pPr>
        <w:spacing w:after="0" w:line="124"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connection with our acquisition of Intel’s communications and application processor business, we entered into a supply agreement with Intel in an effort to secure supplies of the products and wafers that we will need to sell the acquired product lines. Under the terms of the supply agreement we have committed to purchase and Intel has agreed to supply, through June 2008, a minimum number of wafers at fixed prices. If at the end of any Intel fiscal quarter, there is a shortfall between the quantity of supply ordered by us and the quantities of supply required under the supply agreement commitment, Intel can invoice us for the shortfall and will deliver the corresponding quantity upon receipt of payment from us. The agreement requires us to prepay for certain wafers six months in advance of delivery and issue non cancellable purchase orders at least six months in advance of requested delivery dates for all purchases under the supply agreement.</w:t>
      </w:r>
    </w:p>
    <w:p>
      <w:pPr>
        <w:spacing w:after="0" w:line="189" w:lineRule="exact"/>
        <w:rPr>
          <w:sz w:val="20"/>
          <w:szCs w:val="20"/>
          <w:color w:val="auto"/>
        </w:rPr>
      </w:pPr>
    </w:p>
    <w:p>
      <w:pPr>
        <w:jc w:val="both"/>
        <w:ind w:right="120" w:firstLine="324"/>
        <w:spacing w:after="0" w:line="279" w:lineRule="auto"/>
        <w:rPr>
          <w:sz w:val="20"/>
          <w:szCs w:val="20"/>
          <w:color w:val="auto"/>
        </w:rPr>
      </w:pPr>
      <w:r>
        <w:rPr>
          <w:rFonts w:ascii="Arial" w:cs="Arial" w:eastAsia="Arial" w:hAnsi="Arial"/>
          <w:sz w:val="17"/>
          <w:szCs w:val="17"/>
          <w:color w:val="auto"/>
        </w:rPr>
        <w:t>The supply agreement contractually commits us to purchase supply from Intel regardless of future end customer demand for these products. The amount of wafers we committed to purchase was largely based on our forecasted demand over an extended period of time. Forecasting demand over such a period of time is difficult and is subject to many risks. If the level of demand does not materialize to consume the product we are obligated to purchase from Intel, we may record additional charges for excess inventory purchases and commitments which could be material.</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The supply agreement also requires us to purchase inventory earlier than anticipated product shipments to our customers. As a result, we expect our inventory balances for these products to increase, resulting in higher inventory balances and the associated carrying costs. Additionally, these higher levels of inventory increase our risk of holding excess and obsolete inventory. This could harm our business, results of operations and cash flows by leading to inventory write-downs and related charges to our earnings.</w:t>
      </w:r>
    </w:p>
    <w:p>
      <w:pPr>
        <w:spacing w:after="0" w:line="187"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The supply agreement also limits the amount of product that Intel is required to supply to us. If we experience an increase in demand, we might not be able to secure enough supply from Intel to meet that demand. This would lead to lost sales in the short term as well as the long term due to possible customer dissatisfaction.</w:t>
      </w:r>
    </w:p>
    <w:p>
      <w:pPr>
        <w:spacing w:after="0" w:line="18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If we are unable to successfully transition and secure production capacity for our communications and application processor business, we could lose a significant portion of that business.</w:t>
      </w:r>
    </w:p>
    <w:p>
      <w:pPr>
        <w:spacing w:after="0" w:line="170"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Our supply agreement with Intel was entered into to secure a supply of wafers and products during a transition period while we arranged for our independent foundries and other contractors to begin fabrication, assembly and test for these products. Intel is only obligated to supply specified quantities of product for a limited amount of time, no later than June 2008. Some of these products are at earlier stages in their new product introduction processes, where manufacturing yields are not yet consistent and changes to the design and processes may still have to be made. This can make the transition of the manufacture of these products to independent foundries and other contractors more complicated and expensive. If we do not successfully transition the production of the wafers and products to independent foundries and other contractors, we will be unable to meet customer demand for these products. This could result in a material decline in revenues, net income, and cash flow. Additionally, our customers could become dissatisfied with us and not continue to use our products if and when we were able to resume providing them with products or if the newly transitioned products would require extended customer re-qualification.</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In 2005, we acquired the hard disk and tape drive controller semiconductor business of QLogic Corporation and the semiconductor design business division of UTStarcom, Inc. In addition, in May 2006, we acquired the printer semiconductor division of Avago Technologies, Pte. as well as certain intellectual property and property and equipment from another company. In November 2006, we purchased the communications and application processor business of Intel Corporation.</w:t>
      </w:r>
    </w:p>
    <w:p>
      <w:pPr>
        <w:spacing w:after="0" w:line="187" w:lineRule="exact"/>
        <w:rPr>
          <w:sz w:val="20"/>
          <w:szCs w:val="20"/>
          <w:color w:val="auto"/>
        </w:rPr>
      </w:pPr>
    </w:p>
    <w:p>
      <w:pPr>
        <w:ind w:right="40" w:firstLine="324"/>
        <w:spacing w:after="0" w:line="272" w:lineRule="auto"/>
        <w:rPr>
          <w:sz w:val="20"/>
          <w:szCs w:val="20"/>
          <w:color w:val="auto"/>
        </w:rPr>
      </w:pPr>
      <w:r>
        <w:rPr>
          <w:rFonts w:ascii="Arial" w:cs="Arial" w:eastAsia="Arial" w:hAnsi="Arial"/>
          <w:sz w:val="17"/>
          <w:szCs w:val="17"/>
          <w:color w:val="auto"/>
        </w:rPr>
        <w:t>Any of these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8" w:lineRule="exact"/>
        <w:rPr>
          <w:sz w:val="20"/>
          <w:szCs w:val="20"/>
          <w:color w:val="auto"/>
        </w:rPr>
      </w:pPr>
    </w:p>
    <w:p>
      <w:pPr>
        <w:ind w:firstLine="324"/>
        <w:spacing w:after="0" w:line="271"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have carrying values of approximately $2.5 billion as of April 28, 2007.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ectPr>
          <w:pgSz w:w="11900" w:h="16838" w:orient="portrait"/>
          <w:cols w:equalWidth="0" w:num="1">
            <w:col w:w="11420"/>
          </w:cols>
          <w:pgMar w:left="240" w:top="125" w:right="239" w:bottom="312" w:gutter="0" w:footer="0" w:header="0"/>
        </w:sectPr>
      </w:pP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312" w:gutter="0" w:footer="0" w:header="0"/>
          <w:type w:val="continuous"/>
        </w:sectPr>
      </w:pPr>
    </w:p>
    <w:bookmarkStart w:id="32" w:name="page33"/>
    <w:bookmarkEnd w:id="32"/>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firstLine="324"/>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0" w:lineRule="exact"/>
        <w:rPr>
          <w:sz w:val="20"/>
          <w:szCs w:val="20"/>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980" w:right="580" w:hanging="324"/>
        <w:spacing w:after="0" w:line="277" w:lineRule="auto"/>
        <w:tabs>
          <w:tab w:leader="none" w:pos="93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for costs and delays in implementing, and the potential difficulty in maintaining uniform standards, controls, procedures and policies, including the integration of different information systems;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5" w:lineRule="exact"/>
        <w:rPr>
          <w:rFonts w:ascii="Arial" w:cs="Arial" w:eastAsia="Arial" w:hAnsi="Arial"/>
          <w:sz w:val="18"/>
          <w:szCs w:val="18"/>
          <w:color w:val="auto"/>
        </w:rPr>
      </w:pPr>
    </w:p>
    <w:p>
      <w:pPr>
        <w:ind w:left="980" w:hanging="324"/>
        <w:spacing w:after="0" w:line="277" w:lineRule="auto"/>
        <w:tabs>
          <w:tab w:leader="none" w:pos="93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170" w:lineRule="exact"/>
        <w:rPr>
          <w:rFonts w:ascii="Arial" w:cs="Arial" w:eastAsia="Arial" w:hAnsi="Arial"/>
          <w:sz w:val="18"/>
          <w:szCs w:val="18"/>
          <w:color w:val="auto"/>
        </w:rPr>
      </w:pPr>
    </w:p>
    <w:p>
      <w:pPr>
        <w:ind w:left="980" w:right="20" w:hanging="324"/>
        <w:spacing w:after="0" w:line="277" w:lineRule="auto"/>
        <w:tabs>
          <w:tab w:leader="none" w:pos="93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dilution of earnings through acquisitions and options granted to employees of acquired companies or businesses</w:t>
      </w:r>
    </w:p>
    <w:p>
      <w:pPr>
        <w:spacing w:after="0" w:line="225" w:lineRule="exact"/>
        <w:rPr>
          <w:sz w:val="20"/>
          <w:szCs w:val="20"/>
          <w:color w:val="auto"/>
        </w:rPr>
      </w:pPr>
    </w:p>
    <w:p>
      <w:pPr>
        <w:ind w:right="160" w:firstLine="324"/>
        <w:spacing w:after="0" w:line="279" w:lineRule="auto"/>
        <w:rPr>
          <w:sz w:val="20"/>
          <w:szCs w:val="20"/>
          <w:color w:val="auto"/>
        </w:rPr>
      </w:pPr>
      <w:r>
        <w:rPr>
          <w:rFonts w:ascii="Arial" w:cs="Arial" w:eastAsia="Arial" w:hAnsi="Arial"/>
          <w:sz w:val="17"/>
          <w:szCs w:val="17"/>
          <w:color w:val="auto"/>
        </w:rPr>
        <w:t>Our ability to realize the expected benefits of our acquisition of the communications and application processor business of Intel Corporation and to eliminate the operating losses of that business will depend in large part on our ability to transition the manufacturing of that business’ products from Intel to third-party foundries, increase the gross margin of those products, and retain the business’ relationship with its principal customers, as well as the factors described above relating to our ability to integrate effectively the acquired business and its technologies, operations and personnel.</w:t>
      </w:r>
    </w:p>
    <w:p>
      <w:pPr>
        <w:spacing w:after="0" w:line="17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170"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8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100" w:firstLine="324"/>
        <w:spacing w:after="0" w:line="289" w:lineRule="auto"/>
        <w:rPr>
          <w:sz w:val="20"/>
          <w:szCs w:val="20"/>
          <w:color w:val="auto"/>
        </w:rPr>
      </w:pPr>
      <w:r>
        <w:rPr>
          <w:rFonts w:ascii="Arial" w:cs="Arial" w:eastAsia="Arial" w:hAnsi="Arial"/>
          <w:sz w:val="16"/>
          <w:szCs w:val="16"/>
          <w:color w:val="auto"/>
        </w:rPr>
        <w:t>In the first quarter of fiscal 2008, approximately 27% of our net revenue was derived from sales to two customers, each of which individually accounted for 10% or more of our net revenue during this period. Of these customers, Western Digital accounted for approximately 16% and Samsung accounted for approximately 11%. No distributor accounted for more than 10% of our net revenue during the first quarter of fiscal 2008.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ectPr>
          <w:pgSz w:w="11900" w:h="16838" w:orient="portrait"/>
          <w:cols w:equalWidth="0" w:num="1">
            <w:col w:w="11400"/>
          </w:cols>
          <w:pgMar w:left="240" w:top="368" w:right="259" w:bottom="0" w:gutter="0" w:footer="0" w:header="0"/>
        </w:sectPr>
      </w:pPr>
    </w:p>
    <w:bookmarkStart w:id="33" w:name="page34"/>
    <w:bookmarkEnd w:id="33"/>
    <w:p>
      <w:pPr>
        <w:spacing w:after="0" w:line="66" w:lineRule="exact"/>
        <w:rPr>
          <w:sz w:val="20"/>
          <w:szCs w:val="20"/>
          <w:color w:val="auto"/>
        </w:rPr>
      </w:pPr>
    </w:p>
    <w:p>
      <w:pPr>
        <w:ind w:left="980" w:right="540" w:hanging="324"/>
        <w:spacing w:after="0" w:line="277" w:lineRule="auto"/>
        <w:tabs>
          <w:tab w:leader="none" w:pos="930" w:val="left"/>
        </w:tabs>
        <w:numPr>
          <w:ilvl w:val="0"/>
          <w:numId w:val="8"/>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237" w:lineRule="exact"/>
        <w:rPr>
          <w:sz w:val="20"/>
          <w:szCs w:val="20"/>
          <w:color w:val="auto"/>
        </w:rPr>
      </w:pPr>
    </w:p>
    <w:p>
      <w:pPr>
        <w:ind w:right="20" w:firstLine="324"/>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Because we expect to experience continued lower sequential growth rates in future periods, investors should not rely on our historical growth rates when evaluating our business.</w:t>
      </w:r>
    </w:p>
    <w:p>
      <w:pPr>
        <w:spacing w:after="0" w:line="170" w:lineRule="exact"/>
        <w:rPr>
          <w:sz w:val="20"/>
          <w:szCs w:val="20"/>
          <w:color w:val="auto"/>
        </w:rPr>
      </w:pPr>
    </w:p>
    <w:p>
      <w:pPr>
        <w:ind w:right="80" w:firstLine="324"/>
        <w:spacing w:after="0" w:line="297" w:lineRule="auto"/>
        <w:rPr>
          <w:sz w:val="20"/>
          <w:szCs w:val="20"/>
          <w:color w:val="auto"/>
        </w:rPr>
      </w:pPr>
      <w:r>
        <w:rPr>
          <w:rFonts w:ascii="Arial" w:cs="Arial" w:eastAsia="Arial" w:hAnsi="Arial"/>
          <w:sz w:val="16"/>
          <w:szCs w:val="16"/>
          <w:color w:val="auto"/>
        </w:rPr>
        <w:t>From fiscal year 2003 to fiscal year 2005, we reported significant sequential quarterly growth in revenues; however, our revenues have been inconsistent and have generally grown at a slower sequential rate in the past eleven sequential quarters ending with the first quarter of fiscal 2008 compared to the consistent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58"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40" w:firstLine="324"/>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firstLine="324"/>
        <w:spacing w:after="0" w:line="302" w:lineRule="auto"/>
        <w:rPr>
          <w:sz w:val="20"/>
          <w:szCs w:val="20"/>
          <w:color w:val="auto"/>
        </w:rPr>
      </w:pPr>
      <w:r>
        <w:rPr>
          <w:rFonts w:ascii="Arial" w:cs="Arial" w:eastAsia="Arial" w:hAnsi="Arial"/>
          <w:sz w:val="16"/>
          <w:szCs w:val="16"/>
          <w:color w:val="auto"/>
        </w:rPr>
        <w:t xml:space="preserve">For example, the Financial Accounting Standards Board (“FASB”) issued its final standard on accounting for share-based payments, FASB Statement No. 123R (revised 2004), </w:t>
      </w:r>
      <w:r>
        <w:rPr>
          <w:rFonts w:ascii="Arial" w:cs="Arial" w:eastAsia="Arial" w:hAnsi="Arial"/>
          <w:sz w:val="16"/>
          <w:szCs w:val="16"/>
          <w:i w:val="1"/>
          <w:iCs w:val="1"/>
          <w:color w:val="auto"/>
        </w:rPr>
        <w:t>Share-Based Payment</w:t>
      </w:r>
      <w:r>
        <w:rPr>
          <w:rFonts w:ascii="Arial" w:cs="Arial" w:eastAsia="Arial" w:hAnsi="Arial"/>
          <w:sz w:val="16"/>
          <w:szCs w:val="16"/>
          <w:color w:val="auto"/>
        </w:rPr>
        <w:t xml:space="preserve"> (FAS 123R), which required us, starting January 29, 2006, to measure compensation costs for all stock-based compensation (including stock options) at fair value and to recognize these costs as expenses in our statements of operations. The recognition of these expenses in our statements of operations will reduce our earnings per share, which could negatively impact our future stock price.</w:t>
      </w:r>
    </w:p>
    <w:p>
      <w:pPr>
        <w:spacing w:after="0" w:line="154"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160" w:firstLine="324"/>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100" w:firstLine="324"/>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rapid growth and expansion in the past. Through internal growth and acquisitions, we significantly increased the scope of our operations and expanded our workforce from 1,205 employees, as of January 31, 2003, to 5,413 employees, as of April 28, 2007. Nonetheless, we may not be able to 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179" w:lineRule="exact"/>
        <w:rPr>
          <w:sz w:val="20"/>
          <w:szCs w:val="20"/>
          <w:color w:val="auto"/>
        </w:rPr>
      </w:pPr>
    </w:p>
    <w:p>
      <w:pPr>
        <w:ind w:right="160" w:firstLine="324"/>
        <w:spacing w:after="0" w:line="302" w:lineRule="auto"/>
        <w:rPr>
          <w:sz w:val="20"/>
          <w:szCs w:val="20"/>
          <w:color w:val="auto"/>
        </w:rPr>
      </w:pPr>
      <w:r>
        <w:rPr>
          <w:rFonts w:ascii="Arial" w:cs="Arial" w:eastAsia="Arial" w:hAnsi="Arial"/>
          <w:sz w:val="16"/>
          <w:szCs w:val="16"/>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and are implementing a new human resources management system, we anticipate that we will also need to continue to</w:t>
      </w:r>
    </w:p>
    <w:p>
      <w:pPr>
        <w:sectPr>
          <w:pgSz w:w="11900" w:h="16904" w:orient="portrait"/>
          <w:cols w:equalWidth="0" w:num="1">
            <w:col w:w="11420"/>
          </w:cols>
          <w:pgMar w:left="240" w:top="125" w:right="239" w:bottom="0" w:gutter="0" w:footer="0" w:header="0"/>
        </w:sectPr>
      </w:pPr>
    </w:p>
    <w:bookmarkStart w:id="34" w:name="page35"/>
    <w:bookmarkEnd w:id="34"/>
    <w:p>
      <w:pPr>
        <w:ind w:right="80"/>
        <w:spacing w:after="0" w:line="276" w:lineRule="auto"/>
        <w:rPr>
          <w:sz w:val="20"/>
          <w:szCs w:val="20"/>
          <w:color w:val="auto"/>
        </w:rPr>
      </w:pPr>
      <w:r>
        <w:rPr>
          <w:rFonts w:ascii="Arial" w:cs="Arial" w:eastAsia="Arial" w:hAnsi="Arial"/>
          <w:sz w:val="17"/>
          <w:szCs w:val="17"/>
          <w:color w:val="auto"/>
        </w:rPr>
        <w:t>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73"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100" w:firstLine="324"/>
        <w:spacing w:after="0" w:line="277"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72" w:lineRule="auto"/>
        <w:rPr>
          <w:sz w:val="20"/>
          <w:szCs w:val="20"/>
          <w:color w:val="auto"/>
        </w:rPr>
      </w:pPr>
      <w:r>
        <w:rPr>
          <w:rFonts w:ascii="Arial" w:cs="Arial" w:eastAsia="Arial" w:hAnsi="Arial"/>
          <w:sz w:val="17"/>
          <w:szCs w:val="17"/>
          <w:color w:val="auto"/>
        </w:rPr>
        <w:t>produce substantially all of our integrated circuit products. We also currently rely on several third-party assembly and test subcontractors to assemble, package and test our products.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78" w:lineRule="exact"/>
        <w:rPr>
          <w:sz w:val="20"/>
          <w:szCs w:val="20"/>
          <w:color w:val="auto"/>
        </w:rPr>
      </w:pPr>
    </w:p>
    <w:p>
      <w:pPr>
        <w:ind w:right="40" w:firstLine="324"/>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600"/>
        <w:spacing w:after="0" w:line="308" w:lineRule="auto"/>
        <w:rPr>
          <w:sz w:val="20"/>
          <w:szCs w:val="20"/>
          <w:color w:val="auto"/>
        </w:rPr>
      </w:pPr>
      <w:r>
        <w:rPr>
          <w:rFonts w:ascii="Arial" w:cs="Arial" w:eastAsia="Arial" w:hAnsi="Arial"/>
          <w:sz w:val="17"/>
          <w:szCs w:val="17"/>
          <w:b w:val="1"/>
          <w:bCs w:val="1"/>
          <w:i w:val="1"/>
          <w:iCs w:val="1"/>
          <w:color w:val="auto"/>
        </w:rPr>
        <w:t>A number of our subsidiaries are incorporated under the laws of, and their principal offices are located in, the State of Israel and, therefore, their business operations may be harmed by adverse political, economic and military conditions affecting Israel.</w:t>
      </w:r>
    </w:p>
    <w:p>
      <w:pPr>
        <w:spacing w:after="0" w:line="147" w:lineRule="exact"/>
        <w:rPr>
          <w:sz w:val="20"/>
          <w:szCs w:val="20"/>
          <w:color w:val="auto"/>
        </w:rPr>
      </w:pPr>
    </w:p>
    <w:p>
      <w:pPr>
        <w:ind w:right="80" w:firstLine="324"/>
        <w:spacing w:after="0" w:line="271" w:lineRule="auto"/>
        <w:rPr>
          <w:sz w:val="20"/>
          <w:szCs w:val="20"/>
          <w:color w:val="auto"/>
        </w:rPr>
      </w:pPr>
      <w:r>
        <w:rPr>
          <w:rFonts w:ascii="Arial" w:cs="Arial" w:eastAsia="Arial" w:hAnsi="Arial"/>
          <w:sz w:val="17"/>
          <w:szCs w:val="17"/>
          <w:color w:val="auto"/>
        </w:rPr>
        <w:t>Each of Marvell Semiconductor Israel Ltd. (MSIL), Marvell T.I. Ltd. (MTIL), Marvell Software Solutions Israel Ltd. (MSSI) and Marvell DSPC Ltd. (DSPC) is incorporated under the laws of and has its principal offices in Israel. In addition, MSIL, MSSI and DSPC maintain their research and development operations in Israel. Thus, MSIL, MTIL, MSSI and DSPC are directly influenced by the political, economic and military conditions affecting Israel. Major hostilities involving or within Israel could disrupt MSIL, MTIL, MSSI and DSPC’s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MSSI and DSPC.</w:t>
      </w:r>
    </w:p>
    <w:p>
      <w:pPr>
        <w:spacing w:after="0" w:line="179"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60" w:firstLine="324"/>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right="60" w:firstLine="324"/>
        <w:spacing w:after="0" w:line="302"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w:t>
      </w:r>
    </w:p>
    <w:p>
      <w:pPr>
        <w:sectPr>
          <w:pgSz w:w="11900" w:h="16838" w:orient="portrait"/>
          <w:cols w:equalWidth="0" w:num="1">
            <w:col w:w="11400"/>
          </w:cols>
          <w:pgMar w:left="240" w:top="125" w:right="259" w:bottom="0" w:gutter="0" w:footer="0" w:header="0"/>
        </w:sectPr>
      </w:pPr>
    </w:p>
    <w:bookmarkStart w:id="35" w:name="page36"/>
    <w:bookmarkEnd w:id="35"/>
    <w:p>
      <w:pPr>
        <w:spacing w:after="0" w:line="269" w:lineRule="auto"/>
        <w:rPr>
          <w:sz w:val="20"/>
          <w:szCs w:val="20"/>
          <w:color w:val="auto"/>
        </w:rPr>
      </w:pPr>
      <w:r>
        <w:rPr>
          <w:rFonts w:ascii="Arial" w:cs="Arial" w:eastAsia="Arial" w:hAnsi="Arial"/>
          <w:sz w:val="17"/>
          <w:szCs w:val="17"/>
          <w:color w:val="auto"/>
        </w:rPr>
        <w:t>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The international nature of our business exposes us to financial and regulatory risks that </w:t>
      </w:r>
      <w:r>
        <w:rPr>
          <w:rFonts w:ascii="Arial" w:cs="Arial" w:eastAsia="Arial" w:hAnsi="Arial"/>
          <w:sz w:val="16"/>
          <w:szCs w:val="16"/>
          <w:b w:val="1"/>
          <w:bCs w:val="1"/>
          <w:i w:val="1"/>
          <w:iCs w:val="1"/>
          <w:color w:val="auto"/>
        </w:rPr>
        <w:t>may adversely impact our revenues and profitability.</w:t>
      </w:r>
    </w:p>
    <w:p>
      <w:pPr>
        <w:spacing w:after="0" w:line="237"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International operations are subject to a number of risks that may limit our ability to design, develop, test or market certain technologies and products, which could in turn have an adverse effect on our results of operations and financial condition, including:</w:t>
      </w:r>
    </w:p>
    <w:p>
      <w:pPr>
        <w:spacing w:after="0" w:line="170" w:lineRule="exact"/>
        <w:rPr>
          <w:sz w:val="20"/>
          <w:szCs w:val="20"/>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international terrorism and anti-American sentiment, particularly in the emerging markets;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security concerns, including crime, political instability, armed conflict and civil or military unrest;</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local business and cultural factors that differ from our normal standards and practices in the United States;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regulatory requirements and prohibitions that differ between jurisdictions;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laws and business practices favoring local companies;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differing employment practices and labor issues;</w:t>
      </w:r>
    </w:p>
    <w:p>
      <w:pPr>
        <w:spacing w:after="0" w:line="225" w:lineRule="exact"/>
        <w:rPr>
          <w:rFonts w:ascii="Arial" w:cs="Arial" w:eastAsia="Arial" w:hAnsi="Arial"/>
          <w:sz w:val="18"/>
          <w:szCs w:val="18"/>
          <w:color w:val="auto"/>
        </w:rPr>
      </w:pPr>
    </w:p>
    <w:p>
      <w:pPr>
        <w:ind w:left="980" w:right="260" w:hanging="324"/>
        <w:spacing w:after="0" w:line="277" w:lineRule="auto"/>
        <w:tabs>
          <w:tab w:leader="none" w:pos="930" w:val="left"/>
        </w:tabs>
        <w:numPr>
          <w:ilvl w:val="0"/>
          <w:numId w:val="9"/>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980" w:right="180" w:hanging="324"/>
        <w:spacing w:after="0" w:line="277" w:lineRule="auto"/>
        <w:tabs>
          <w:tab w:leader="none" w:pos="93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limited infrastructure and disruptions, such as large-scale outages or interruptions of service from utilities or telecommunications providers and natural disasters.</w:t>
      </w:r>
    </w:p>
    <w:p>
      <w:pPr>
        <w:spacing w:after="0" w:line="170" w:lineRule="exact"/>
        <w:rPr>
          <w:sz w:val="20"/>
          <w:szCs w:val="20"/>
          <w:color w:val="auto"/>
        </w:rPr>
      </w:pPr>
    </w:p>
    <w:p>
      <w:pPr>
        <w:ind w:right="280" w:firstLine="324"/>
        <w:spacing w:after="0" w:line="259" w:lineRule="auto"/>
        <w:rPr>
          <w:sz w:val="20"/>
          <w:szCs w:val="20"/>
          <w:color w:val="auto"/>
        </w:rPr>
      </w:pPr>
      <w:r>
        <w:rPr>
          <w:rFonts w:ascii="Arial" w:cs="Arial" w:eastAsia="Arial" w:hAnsi="Arial"/>
          <w:sz w:val="18"/>
          <w:szCs w:val="18"/>
          <w:color w:val="auto"/>
        </w:rPr>
        <w:t>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pacing w:after="0" w:line="187"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b w:val="1"/>
          <w:bCs w:val="1"/>
          <w:i w:val="1"/>
          <w:iCs w:val="1"/>
          <w:color w:val="auto"/>
        </w:rPr>
        <w:t>We are a mid-sized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We may not be able to compete successfully against current or potential competitors. If we do not compete successfully, our market share and revenues may not increase or may decline. In addition, some of our current and potential competitors have longer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we do, which would allow them to respond more quickly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9"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40" w:firstLine="324"/>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ectPr>
          <w:pgSz w:w="11900" w:h="16838" w:orient="portrait"/>
          <w:cols w:equalWidth="0" w:num="1">
            <w:col w:w="11420"/>
          </w:cols>
          <w:pgMar w:left="240" w:top="125" w:right="239" w:bottom="0" w:gutter="0" w:footer="0" w:header="0"/>
        </w:sectPr>
      </w:pPr>
    </w:p>
    <w:p>
      <w:pPr>
        <w:spacing w:after="0" w:line="192"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If our foundries do not achieve satisfactory yields or quality, our relationships with our customers and our reputation will be harmed.</w:t>
      </w:r>
    </w:p>
    <w:p>
      <w:pPr>
        <w:sectPr>
          <w:pgSz w:w="11900" w:h="16838" w:orient="portrait"/>
          <w:cols w:equalWidth="0" w:num="1">
            <w:col w:w="11420"/>
          </w:cols>
          <w:pgMar w:left="240" w:top="125" w:right="239" w:bottom="0" w:gutter="0" w:footer="0" w:header="0"/>
          <w:type w:val="continuous"/>
        </w:sectPr>
      </w:pPr>
    </w:p>
    <w:bookmarkStart w:id="36" w:name="page37"/>
    <w:bookmarkEnd w:id="36"/>
    <w:p>
      <w:pPr>
        <w:ind w:right="20" w:firstLine="324"/>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Availability of foundry capacity has in the recent past been constrained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w:t>
      </w: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0"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jc w:val="both"/>
        <w:ind w:right="60" w:firstLine="324"/>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resolve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6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ectPr>
          <w:pgSz w:w="11900" w:h="16838" w:orient="portrait"/>
          <w:cols w:equalWidth="0" w:num="1">
            <w:col w:w="11400"/>
          </w:cols>
          <w:pgMar w:left="240" w:top="125" w:right="259" w:bottom="0" w:gutter="0" w:footer="0" w:header="0"/>
        </w:sectPr>
      </w:pPr>
    </w:p>
    <w:bookmarkStart w:id="37" w:name="page38"/>
    <w:bookmarkEnd w:id="37"/>
    <w:p>
      <w:pPr>
        <w:jc w:val="center"/>
        <w:ind w:right="-7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170"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As of April 28, 2007, the aggregate principal amount of our total consolidated debt was $397.8 million. Covenants in the agreements governing our existing debt, and debt we may incur in the future, may materially restrict our operations, including our ability to incur debt, pay dividends, make certain investments 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which could have a material adverse effect on our business, financial condition, results of operations and cash flows.</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pacing w:after="0" w:line="225" w:lineRule="exact"/>
        <w:rPr>
          <w:sz w:val="20"/>
          <w:szCs w:val="20"/>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increasing our vulnerability to general adverse economic and industry conditions;</w:t>
      </w:r>
    </w:p>
    <w:p>
      <w:pPr>
        <w:spacing w:after="0" w:line="225" w:lineRule="exact"/>
        <w:rPr>
          <w:rFonts w:ascii="Arial" w:cs="Arial" w:eastAsia="Arial" w:hAnsi="Arial"/>
          <w:sz w:val="18"/>
          <w:szCs w:val="18"/>
          <w:color w:val="auto"/>
        </w:rPr>
      </w:pPr>
    </w:p>
    <w:p>
      <w:pPr>
        <w:ind w:left="980" w:right="4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170" w:lineRule="exact"/>
        <w:rPr>
          <w:rFonts w:ascii="Arial" w:cs="Arial" w:eastAsia="Arial" w:hAnsi="Arial"/>
          <w:sz w:val="18"/>
          <w:szCs w:val="18"/>
          <w:color w:val="auto"/>
        </w:rPr>
      </w:pPr>
    </w:p>
    <w:p>
      <w:pPr>
        <w:ind w:left="980" w:right="60" w:hanging="324"/>
        <w:spacing w:after="0" w:line="342" w:lineRule="auto"/>
        <w:tabs>
          <w:tab w:leader="none" w:pos="944" w:val="left"/>
        </w:tabs>
        <w:numPr>
          <w:ilvl w:val="0"/>
          <w:numId w:val="10"/>
        </w:numPr>
        <w:rPr>
          <w:rFonts w:ascii="Arial" w:cs="Arial" w:eastAsia="Arial" w:hAnsi="Arial"/>
          <w:sz w:val="16"/>
          <w:szCs w:val="16"/>
          <w:color w:val="auto"/>
        </w:rPr>
      </w:pPr>
      <w:r>
        <w:rPr>
          <w:rFonts w:ascii="Arial" w:cs="Arial" w:eastAsia="Arial" w:hAnsi="Arial"/>
          <w:sz w:val="16"/>
          <w:szCs w:val="16"/>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23" w:lineRule="exact"/>
        <w:rPr>
          <w:rFonts w:ascii="Arial" w:cs="Arial" w:eastAsia="Arial" w:hAnsi="Arial"/>
          <w:sz w:val="16"/>
          <w:szCs w:val="16"/>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and the industry in which we compete; or</w:t>
      </w:r>
    </w:p>
    <w:p>
      <w:pPr>
        <w:spacing w:after="0" w:line="225" w:lineRule="exact"/>
        <w:rPr>
          <w:rFonts w:ascii="Arial" w:cs="Arial" w:eastAsia="Arial" w:hAnsi="Arial"/>
          <w:sz w:val="18"/>
          <w:szCs w:val="18"/>
          <w:color w:val="auto"/>
        </w:rPr>
      </w:pPr>
    </w:p>
    <w:p>
      <w:pPr>
        <w:ind w:left="980" w:right="40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placing us at a possible competitive disadvantage compared to less leveraged competitors and competitors that have better access to capital resources.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Our U.S. headquarters located in Santa Clara, CA, land in Singapore, building in Malaysia, building in Switzerland and buildings in Shanghai, China subject us to the risks of owning real property, including:</w:t>
      </w:r>
    </w:p>
    <w:p>
      <w:pPr>
        <w:spacing w:after="0" w:line="170" w:lineRule="exact"/>
        <w:rPr>
          <w:sz w:val="20"/>
          <w:szCs w:val="20"/>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0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2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38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2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20" w:firstLine="324"/>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1"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ectPr>
          <w:pgSz w:w="11900" w:h="16838" w:orient="portrait"/>
          <w:cols w:equalWidth="0" w:num="1">
            <w:col w:w="11360"/>
          </w:cols>
          <w:pgMar w:left="240" w:top="125" w:right="299" w:bottom="0" w:gutter="0" w:footer="0" w:header="0"/>
        </w:sectPr>
      </w:pPr>
    </w:p>
    <w:p>
      <w:pPr>
        <w:spacing w:after="0" w:line="188" w:lineRule="exact"/>
        <w:rPr>
          <w:sz w:val="20"/>
          <w:szCs w:val="20"/>
          <w:color w:val="auto"/>
        </w:rPr>
      </w:pPr>
    </w:p>
    <w:p>
      <w:pPr>
        <w:jc w:val="both"/>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ectPr>
          <w:pgSz w:w="11900" w:h="16838" w:orient="portrait"/>
          <w:cols w:equalWidth="0" w:num="1">
            <w:col w:w="11360"/>
          </w:cols>
          <w:pgMar w:left="240" w:top="125" w:right="299" w:bottom="0" w:gutter="0" w:footer="0" w:header="0"/>
          <w:type w:val="continuous"/>
        </w:sectPr>
      </w:pPr>
    </w:p>
    <w:bookmarkStart w:id="38" w:name="page39"/>
    <w:bookmarkEnd w:id="38"/>
    <w:p>
      <w:pPr>
        <w:ind w:right="160" w:firstLine="324"/>
        <w:spacing w:after="0" w:line="290" w:lineRule="auto"/>
        <w:rPr>
          <w:sz w:val="20"/>
          <w:szCs w:val="20"/>
          <w:color w:val="auto"/>
        </w:rPr>
      </w:pPr>
      <w:r>
        <w:rPr>
          <w:rFonts w:ascii="Arial" w:cs="Arial" w:eastAsia="Arial" w:hAnsi="Arial"/>
          <w:sz w:val="16"/>
          <w:szCs w:val="16"/>
          <w:color w:val="auto"/>
        </w:rPr>
        <w:t>As of April 28, 2007, our executive officers and directors beneficially owned or controlled, directly or indirectly, approximately 20% of the outstanding shares our common stock. Additionally, Dr. Sehat Sutardja, our Chief Executive Officer, and Weili Dai, who now serves as our Director of Strategic Marketing and Business Development, are husband and wife and Dr. Sehat Sutardja and Dr. Pantas Sutardja are brothers. Together, these three individuals held approximately 20% of our outstanding common stock as of April 28, 2006.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66" w:lineRule="exact"/>
        <w:rPr>
          <w:sz w:val="20"/>
          <w:szCs w:val="20"/>
          <w:color w:val="auto"/>
        </w:rPr>
      </w:pPr>
    </w:p>
    <w:p>
      <w:pPr>
        <w:ind w:right="120" w:firstLine="324"/>
        <w:spacing w:after="0" w:line="289"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6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84% of our net revenue in the first three months of fiscal 2008, 89% of our net revenue in fiscal 2007 and 94% of our net revenue in fiscal 2006.</w:t>
      </w:r>
    </w:p>
    <w:p>
      <w:pPr>
        <w:spacing w:after="0" w:line="158" w:lineRule="exact"/>
        <w:rPr>
          <w:sz w:val="20"/>
          <w:szCs w:val="20"/>
          <w:color w:val="auto"/>
        </w:rPr>
      </w:pPr>
    </w:p>
    <w:p>
      <w:pPr>
        <w:ind w:right="340" w:firstLine="324"/>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5620" w:right="2060" w:hanging="4964"/>
        <w:spacing w:after="0" w:line="778" w:lineRule="auto"/>
        <w:tabs>
          <w:tab w:leader="none" w:pos="941"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 53</w:t>
      </w:r>
    </w:p>
    <w:p>
      <w:pPr>
        <w:spacing w:after="0" w:line="26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1300" w:right="620" w:hanging="644"/>
        <w:spacing w:after="0" w:line="277" w:lineRule="auto"/>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-2156460</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5" w:lineRule="exact"/>
        <w:rPr>
          <w:sz w:val="20"/>
          <w:szCs w:val="20"/>
          <w:color w:val="auto"/>
        </w:rPr>
      </w:pPr>
    </w:p>
    <w:p>
      <w:pPr>
        <w:ind w:right="80" w:firstLine="324"/>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and 2003.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ectPr>
          <w:pgSz w:w="11900" w:h="16838" w:orient="portrait"/>
          <w:cols w:equalWidth="0" w:num="1">
            <w:col w:w="11420"/>
          </w:cols>
          <w:pgMar w:left="240" w:top="125" w:right="239" w:bottom="0" w:gutter="0" w:footer="0" w:header="0"/>
        </w:sectPr>
      </w:pPr>
    </w:p>
    <w:p>
      <w:pPr>
        <w:spacing w:after="0" w:line="178"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ectPr>
          <w:pgSz w:w="11900" w:h="16838" w:orient="portrait"/>
          <w:cols w:equalWidth="0" w:num="1">
            <w:col w:w="11420"/>
          </w:cols>
          <w:pgMar w:left="240" w:top="125" w:right="239" w:bottom="0" w:gutter="0" w:footer="0" w:header="0"/>
          <w:type w:val="continuous"/>
        </w:sectPr>
      </w:pPr>
    </w:p>
    <w:bookmarkStart w:id="39" w:name="page40"/>
    <w:bookmarkEnd w:id="39"/>
    <w:p>
      <w:pPr>
        <w:ind w:right="60" w:firstLine="324"/>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17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240" w:firstLine="324"/>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324"/>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324"/>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ectPr>
          <w:pgSz w:w="11900" w:h="16838" w:orient="portrait"/>
          <w:cols w:equalWidth="0" w:num="1">
            <w:col w:w="11400"/>
          </w:cols>
          <w:pgMar w:left="240" w:top="125" w:right="259" w:bottom="0" w:gutter="0" w:footer="0" w:header="0"/>
          <w:type w:val="continuous"/>
        </w:sectPr>
      </w:pPr>
    </w:p>
    <w:bookmarkStart w:id="40" w:name="page41"/>
    <w:bookmarkEnd w:id="40"/>
    <w:p>
      <w:pPr>
        <w:spacing w:after="0" w:line="33" w:lineRule="exact"/>
        <w:rPr>
          <w:sz w:val="20"/>
          <w:szCs w:val="20"/>
          <w:color w:val="auto"/>
        </w:rPr>
      </w:pPr>
    </w:p>
    <w:p>
      <w:pPr>
        <w:ind w:right="260" w:firstLine="324"/>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36" w:lineRule="exact"/>
        <w:rPr>
          <w:rFonts w:ascii="Arial" w:cs="Arial" w:eastAsia="Arial" w:hAnsi="Arial"/>
          <w:sz w:val="17"/>
          <w:szCs w:val="17"/>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In addition, many of our contracts with our customers require us to indemnify our customers against claims alleging infringement of the proprietary rights of other parties. Customers have requested us to indemnify them in connection with a patent infringement lawsuit by Australia’s Commonwealth Scientific and Industrial Research Organisation (CSIRO). We have also filed an action against CSIRO seeking a declaratory judgment that CSIRO’s patent is invalid and unenforceable and that we and our customers do not infringe the CSIRO patent.</w:t>
      </w:r>
    </w:p>
    <w:p>
      <w:pPr>
        <w:spacing w:after="0" w:line="187" w:lineRule="exact"/>
        <w:rPr>
          <w:sz w:val="20"/>
          <w:szCs w:val="20"/>
          <w:color w:val="auto"/>
        </w:rPr>
      </w:pPr>
    </w:p>
    <w:p>
      <w:pPr>
        <w:ind w:right="20" w:firstLine="324"/>
        <w:spacing w:after="0" w:line="273"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324"/>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324"/>
        <w:spacing w:after="0" w:line="297"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7"/>
          <w:szCs w:val="17"/>
          <w:color w:val="auto"/>
        </w:rPr>
        <w:t>shareholders will not have claims against officers and directors for a breach of trust, unless the breach rises to the level of actual fraud or dishonesty.</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right="160" w:firstLine="324"/>
        <w:spacing w:after="0" w:line="257"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88"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During fiscal 2007, our Switzerland subsidiary received from both Federal and Cantonal purposes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which may affect our financial results.</w:t>
      </w:r>
    </w:p>
    <w:p>
      <w:pPr>
        <w:sectPr>
          <w:pgSz w:w="11900" w:h="16872" w:orient="portrait"/>
          <w:cols w:equalWidth="0" w:num="1">
            <w:col w:w="11420"/>
          </w:cols>
          <w:pgMar w:left="240" w:top="125" w:right="239" w:bottom="0" w:gutter="0" w:footer="0" w:header="0"/>
        </w:sectPr>
      </w:pPr>
    </w:p>
    <w:bookmarkStart w:id="41" w:name="page42"/>
    <w:bookmarkEnd w:id="41"/>
    <w:p>
      <w:pPr>
        <w:spacing w:after="0" w:line="2"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jc w:val="both"/>
        <w:ind w:right="60" w:firstLine="324"/>
        <w:spacing w:after="0" w:line="288"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w:t>
      </w:r>
    </w:p>
    <w:p>
      <w:pPr>
        <w:ind w:right="100"/>
        <w:spacing w:after="0" w:line="281" w:lineRule="auto"/>
        <w:rPr>
          <w:sz w:val="20"/>
          <w:szCs w:val="20"/>
          <w:color w:val="auto"/>
        </w:rPr>
      </w:pPr>
      <w:r>
        <w:rPr>
          <w:rFonts w:ascii="Arial" w:cs="Arial" w:eastAsia="Arial" w:hAnsi="Arial"/>
          <w:sz w:val="16"/>
          <w:szCs w:val="16"/>
          <w:color w:val="auto"/>
        </w:rPr>
        <w:t>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1"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w:t>
      </w:r>
    </w:p>
    <w:p>
      <w:pPr>
        <w:spacing w:after="0" w:line="177"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The court issued an order preliminarily approving the settlement in August 2005 and held a public hearing on its fairness in April 2006. The court has not yet ruled following the public hearing. These claims and any resulting litigation could result in substantial costs and could divert the attention and resources of our management.</w:t>
      </w:r>
    </w:p>
    <w:p>
      <w:pPr>
        <w:spacing w:after="0" w:line="165"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460" w:firstLine="324"/>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pacing w:after="0" w:line="225" w:lineRule="exact"/>
        <w:rPr>
          <w:sz w:val="20"/>
          <w:szCs w:val="20"/>
          <w:color w:val="auto"/>
        </w:rPr>
      </w:pPr>
    </w:p>
    <w:p>
      <w:pPr>
        <w:ind w:left="980" w:right="380" w:hanging="647"/>
        <w:spacing w:after="0" w:line="258" w:lineRule="auto"/>
        <w:tabs>
          <w:tab w:leader="none" w:pos="96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980" w:right="20" w:hanging="647"/>
        <w:spacing w:after="0" w:line="250" w:lineRule="auto"/>
        <w:tabs>
          <w:tab w:leader="none" w:pos="96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Tate, Vice President, Interim Chief Financial Officer</w:t>
      </w:r>
    </w:p>
    <w:p>
      <w:pPr>
        <w:spacing w:after="0" w:line="1" w:lineRule="exact"/>
        <w:rPr>
          <w:sz w:val="20"/>
          <w:szCs w:val="20"/>
          <w:color w:val="auto"/>
        </w:rPr>
      </w:pPr>
    </w:p>
    <w:p>
      <w:pPr>
        <w:ind w:left="980" w:right="380" w:hanging="647"/>
        <w:spacing w:after="0" w:line="250" w:lineRule="auto"/>
        <w:tabs>
          <w:tab w:leader="none" w:pos="96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980" w:right="20" w:hanging="647"/>
        <w:spacing w:after="0" w:line="261" w:lineRule="auto"/>
        <w:tabs>
          <w:tab w:leader="none" w:pos="96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Michael Tate, Vice President,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125730</wp:posOffset>
            </wp:positionV>
            <wp:extent cx="138938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85" w:lineRule="exact"/>
        <w:rPr>
          <w:sz w:val="20"/>
          <w:szCs w:val="20"/>
          <w:color w:val="auto"/>
        </w:rPr>
      </w:pPr>
    </w:p>
    <w:p>
      <w:pPr>
        <w:ind w:left="660" w:right="120" w:hanging="328"/>
        <w:spacing w:after="0" w:line="342" w:lineRule="auto"/>
        <w:tabs>
          <w:tab w:leader="none" w:pos="655" w:val="left"/>
        </w:tabs>
        <w:numPr>
          <w:ilvl w:val="0"/>
          <w:numId w:val="15"/>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w:t>
      </w:r>
    </w:p>
    <w:p>
      <w:pPr>
        <w:sectPr>
          <w:pgSz w:w="11900" w:h="16840" w:orient="portrait"/>
          <w:cols w:equalWidth="0" w:num="1">
            <w:col w:w="11420"/>
          </w:cols>
          <w:pgMar w:left="240" w:top="125" w:right="239" w:bottom="0" w:gutter="0" w:footer="0" w:header="0"/>
        </w:sectPr>
      </w:pPr>
    </w:p>
    <w:bookmarkStart w:id="42" w:name="page43"/>
    <w:bookmarkEnd w:id="42"/>
    <w:p>
      <w:pPr>
        <w:jc w:val="both"/>
        <w:ind w:left="660" w:right="100"/>
        <w:spacing w:after="0" w:line="264" w:lineRule="auto"/>
        <w:rPr>
          <w:sz w:val="20"/>
          <w:szCs w:val="20"/>
          <w:color w:val="auto"/>
        </w:rPr>
      </w:pPr>
      <w:r>
        <w:rPr>
          <w:rFonts w:ascii="Arial" w:cs="Arial" w:eastAsia="Arial" w:hAnsi="Arial"/>
          <w:sz w:val="18"/>
          <w:szCs w:val="18"/>
          <w:color w:val="auto"/>
        </w:rPr>
        <w:t>32.1 and 32.2 hereto are deemed to accompany this Quarterly Report on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39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2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740" w:type="dxa"/>
            <w:vAlign w:val="bottom"/>
          </w:tcPr>
          <w:p>
            <w:pPr>
              <w:spacing w:after="0"/>
              <w:rPr>
                <w:sz w:val="20"/>
                <w:szCs w:val="20"/>
                <w:color w:val="auto"/>
              </w:rPr>
            </w:pPr>
          </w:p>
        </w:tc>
        <w:tc>
          <w:tcPr>
            <w:tcW w:w="5520" w:type="dxa"/>
            <w:vAlign w:val="bottom"/>
            <w:gridSpan w:val="2"/>
          </w:tcPr>
          <w:p>
            <w:pPr>
              <w:ind w:left="28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1020" w:type="dxa"/>
            <w:vAlign w:val="bottom"/>
            <w:gridSpan w:val="3"/>
          </w:tcPr>
          <w:p>
            <w:pPr>
              <w:spacing w:after="0"/>
              <w:rPr>
                <w:sz w:val="20"/>
                <w:szCs w:val="20"/>
                <w:color w:val="auto"/>
              </w:rPr>
            </w:pPr>
            <w:r>
              <w:rPr>
                <w:rFonts w:ascii="Arial" w:cs="Arial" w:eastAsia="Arial" w:hAnsi="Arial"/>
                <w:sz w:val="18"/>
                <w:szCs w:val="18"/>
                <w:color w:val="auto"/>
              </w:rPr>
              <w:t>July 9, 2007</w:t>
            </w: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5520" w:type="dxa"/>
            <w:vAlign w:val="bottom"/>
            <w:gridSpan w:val="2"/>
          </w:tcPr>
          <w:p>
            <w:pPr>
              <w:ind w:left="280"/>
              <w:spacing w:after="0"/>
              <w:rPr>
                <w:sz w:val="20"/>
                <w:szCs w:val="20"/>
                <w:color w:val="auto"/>
              </w:rPr>
            </w:pPr>
            <w:r>
              <w:rPr>
                <w:rFonts w:ascii="Arial" w:cs="Arial" w:eastAsia="Arial" w:hAnsi="Arial"/>
                <w:sz w:val="18"/>
                <w:szCs w:val="18"/>
                <w:color w:val="auto"/>
              </w:rPr>
              <w:t>By:   /s/ MICHAEL TATE</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000" w:type="dxa"/>
            <w:vAlign w:val="bottom"/>
            <w:tcBorders>
              <w:top w:val="single" w:sz="8" w:color="auto"/>
            </w:tcBorders>
            <w:gridSpan w:val="2"/>
          </w:tcPr>
          <w:p>
            <w:pPr>
              <w:spacing w:after="0" w:line="195" w:lineRule="exact"/>
              <w:rPr>
                <w:sz w:val="20"/>
                <w:szCs w:val="20"/>
                <w:color w:val="auto"/>
              </w:rPr>
            </w:pPr>
            <w:r>
              <w:rPr>
                <w:rFonts w:ascii="Arial" w:cs="Arial" w:eastAsia="Arial" w:hAnsi="Arial"/>
                <w:sz w:val="18"/>
                <w:szCs w:val="18"/>
                <w:color w:val="auto"/>
              </w:rPr>
              <w:t>Date</w:t>
            </w:r>
          </w:p>
        </w:tc>
        <w:tc>
          <w:tcPr>
            <w:tcW w:w="120" w:type="dxa"/>
            <w:vAlign w:val="bottom"/>
            <w:tcBorders>
              <w:top w:val="single" w:sz="8" w:color="auto"/>
            </w:tcBorders>
          </w:tcPr>
          <w:p>
            <w:pPr>
              <w:spacing w:after="0"/>
              <w:rPr>
                <w:sz w:val="16"/>
                <w:szCs w:val="16"/>
                <w:color w:val="auto"/>
              </w:rPr>
            </w:pPr>
          </w:p>
        </w:tc>
        <w:tc>
          <w:tcPr>
            <w:tcW w:w="2020" w:type="dxa"/>
            <w:vAlign w:val="bottom"/>
            <w:tcBorders>
              <w:top w:val="single" w:sz="8" w:color="auto"/>
            </w:tcBorders>
          </w:tcPr>
          <w:p>
            <w:pPr>
              <w:spacing w:after="0"/>
              <w:rPr>
                <w:sz w:val="16"/>
                <w:szCs w:val="16"/>
                <w:color w:val="auto"/>
              </w:rPr>
            </w:pPr>
          </w:p>
        </w:tc>
        <w:tc>
          <w:tcPr>
            <w:tcW w:w="2740" w:type="dxa"/>
            <w:vAlign w:val="bottom"/>
            <w:tcBorders>
              <w:top w:val="single" w:sz="8" w:color="auto"/>
            </w:tcBorders>
          </w:tcPr>
          <w:p>
            <w:pPr>
              <w:spacing w:after="0"/>
              <w:rPr>
                <w:sz w:val="16"/>
                <w:szCs w:val="16"/>
                <w:color w:val="auto"/>
              </w:rPr>
            </w:pPr>
          </w:p>
        </w:tc>
        <w:tc>
          <w:tcPr>
            <w:tcW w:w="760" w:type="dxa"/>
            <w:vAlign w:val="bottom"/>
          </w:tcPr>
          <w:p>
            <w:pPr>
              <w:spacing w:after="0"/>
              <w:rPr>
                <w:sz w:val="16"/>
                <w:szCs w:val="16"/>
                <w:color w:val="auto"/>
              </w:rPr>
            </w:pPr>
          </w:p>
        </w:tc>
        <w:tc>
          <w:tcPr>
            <w:tcW w:w="47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02"/>
        </w:trPr>
        <w:tc>
          <w:tcPr>
            <w:tcW w:w="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740" w:type="dxa"/>
            <w:vAlign w:val="bottom"/>
          </w:tcPr>
          <w:p>
            <w:pPr>
              <w:ind w:left="2460"/>
              <w:spacing w:after="0"/>
              <w:rPr>
                <w:sz w:val="20"/>
                <w:szCs w:val="20"/>
                <w:color w:val="auto"/>
              </w:rPr>
            </w:pPr>
            <w:r>
              <w:rPr>
                <w:rFonts w:ascii="Arial" w:cs="Arial" w:eastAsia="Arial" w:hAnsi="Arial"/>
                <w:sz w:val="18"/>
                <w:szCs w:val="18"/>
                <w:color w:val="auto"/>
              </w:rPr>
              <w:t>59</w:t>
            </w:r>
          </w:p>
        </w:tc>
        <w:tc>
          <w:tcPr>
            <w:tcW w:w="760" w:type="dxa"/>
            <w:vAlign w:val="bottom"/>
          </w:tcPr>
          <w:p>
            <w:pPr>
              <w:spacing w:after="0"/>
              <w:rPr>
                <w:sz w:val="24"/>
                <w:szCs w:val="24"/>
                <w:color w:val="auto"/>
              </w:rPr>
            </w:pPr>
          </w:p>
        </w:tc>
        <w:tc>
          <w:tcPr>
            <w:tcW w:w="47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86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8260" w:type="dxa"/>
            <w:vAlign w:val="bottom"/>
            <w:tcBorders>
              <w:bottom w:val="single" w:sz="8" w:color="010101"/>
            </w:tcBorders>
            <w:gridSpan w:val="3"/>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8260" w:type="dxa"/>
            <w:vAlign w:val="bottom"/>
            <w:gridSpan w:val="3"/>
          </w:tcPr>
          <w:p>
            <w:pPr>
              <w:ind w:left="186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020" w:type="dxa"/>
            <w:vAlign w:val="bottom"/>
            <w:gridSpan w:val="3"/>
          </w:tcPr>
          <w:p>
            <w:pPr>
              <w:spacing w:after="0"/>
              <w:rPr>
                <w:sz w:val="20"/>
                <w:szCs w:val="20"/>
                <w:color w:val="auto"/>
              </w:rPr>
            </w:pPr>
            <w:r>
              <w:rPr>
                <w:rFonts w:ascii="Arial" w:cs="Arial" w:eastAsia="Arial" w:hAnsi="Arial"/>
                <w:sz w:val="14"/>
                <w:szCs w:val="14"/>
                <w:b w:val="1"/>
                <w:bCs w:val="1"/>
                <w:color w:val="auto"/>
              </w:rPr>
              <w:t>Exhibit</w:t>
            </w: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552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020" w:type="dxa"/>
            <w:vAlign w:val="bottom"/>
            <w:gridSpan w:val="3"/>
          </w:tcPr>
          <w:p>
            <w:pPr>
              <w:spacing w:after="0"/>
              <w:rPr>
                <w:sz w:val="20"/>
                <w:szCs w:val="20"/>
                <w:color w:val="auto"/>
              </w:rPr>
            </w:pPr>
            <w:r>
              <w:rPr>
                <w:rFonts w:ascii="Arial" w:cs="Arial" w:eastAsia="Arial" w:hAnsi="Arial"/>
                <w:sz w:val="14"/>
                <w:szCs w:val="14"/>
                <w:b w:val="1"/>
                <w:bCs w:val="1"/>
                <w:color w:val="auto"/>
              </w:rPr>
              <w:t>Number</w:t>
            </w:r>
          </w:p>
        </w:tc>
        <w:tc>
          <w:tcPr>
            <w:tcW w:w="12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5520" w:type="dxa"/>
            <w:vAlign w:val="bottom"/>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1"/>
        </w:trPr>
        <w:tc>
          <w:tcPr>
            <w:tcW w:w="20" w:type="dxa"/>
            <w:vAlign w:val="bottom"/>
          </w:tcPr>
          <w:p>
            <w:pPr>
              <w:spacing w:after="0"/>
              <w:rPr>
                <w:sz w:val="24"/>
                <w:szCs w:val="24"/>
                <w:color w:val="auto"/>
              </w:rPr>
            </w:pPr>
          </w:p>
        </w:tc>
        <w:tc>
          <w:tcPr>
            <w:tcW w:w="8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31.1</w:t>
            </w: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tcBorders>
              <w:top w:val="single" w:sz="8" w:color="auto"/>
            </w:tcBorders>
            <w:gridSpan w:val="3"/>
          </w:tcPr>
          <w:p>
            <w:pPr>
              <w:ind w:left="20"/>
              <w:spacing w:after="0"/>
              <w:rPr>
                <w:sz w:val="20"/>
                <w:szCs w:val="20"/>
                <w:color w:val="auto"/>
              </w:rPr>
            </w:pPr>
            <w:r>
              <w:rPr>
                <w:rFonts w:ascii="Arial" w:cs="Arial" w:eastAsia="Arial" w:hAnsi="Arial"/>
                <w:sz w:val="18"/>
                <w:szCs w:val="18"/>
                <w:color w:val="auto"/>
                <w:w w:val="92"/>
              </w:rPr>
              <w:t>U.S.C. Section 1350, as Adopted Pursuant to Section 302 of the Sarbanes-Oxley Act of 2002 of Sehat Sutardja</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Ph.D., President and Chief Executive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gridSpan w:val="2"/>
          </w:tcPr>
          <w:p>
            <w:pPr>
              <w:jc w:val="center"/>
              <w:spacing w:after="0"/>
              <w:rPr>
                <w:sz w:val="20"/>
                <w:szCs w:val="20"/>
                <w:color w:val="auto"/>
              </w:rPr>
            </w:pPr>
            <w:r>
              <w:rPr>
                <w:rFonts w:ascii="Arial" w:cs="Arial" w:eastAsia="Arial" w:hAnsi="Arial"/>
                <w:sz w:val="18"/>
                <w:szCs w:val="18"/>
                <w:color w:val="auto"/>
                <w:w w:val="91"/>
              </w:rPr>
              <w:t>31.2</w:t>
            </w:r>
          </w:p>
        </w:tc>
        <w:tc>
          <w:tcPr>
            <w:tcW w:w="140" w:type="dxa"/>
            <w:vAlign w:val="bottom"/>
          </w:tcPr>
          <w:p>
            <w:pPr>
              <w:spacing w:after="0"/>
              <w:rPr>
                <w:sz w:val="18"/>
                <w:szCs w:val="18"/>
                <w:color w:val="auto"/>
              </w:rPr>
            </w:pPr>
          </w:p>
        </w:tc>
        <w:tc>
          <w:tcPr>
            <w:tcW w:w="2140" w:type="dxa"/>
            <w:vAlign w:val="bottom"/>
            <w:gridSpan w:val="2"/>
          </w:tcPr>
          <w:p>
            <w:pPr>
              <w:ind w:left="12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gridSpan w:val="3"/>
          </w:tcPr>
          <w:p>
            <w:pPr>
              <w:ind w:left="20"/>
              <w:spacing w:after="0"/>
              <w:rPr>
                <w:sz w:val="20"/>
                <w:szCs w:val="20"/>
                <w:color w:val="auto"/>
              </w:rPr>
            </w:pPr>
            <w:r>
              <w:rPr>
                <w:rFonts w:ascii="Arial" w:cs="Arial" w:eastAsia="Arial" w:hAnsi="Arial"/>
                <w:sz w:val="18"/>
                <w:szCs w:val="18"/>
                <w:color w:val="auto"/>
                <w:w w:val="93"/>
              </w:rPr>
              <w:t>U.S.C. Section 1350, as Adopted Pursuant to Section 302 of the Sarbanes-Oxley Act of 2002 of Michael Tate,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gridSpan w:val="2"/>
          </w:tcPr>
          <w:p>
            <w:pPr>
              <w:jc w:val="center"/>
              <w:spacing w:after="0"/>
              <w:rPr>
                <w:sz w:val="20"/>
                <w:szCs w:val="20"/>
                <w:color w:val="auto"/>
              </w:rPr>
            </w:pPr>
            <w:r>
              <w:rPr>
                <w:rFonts w:ascii="Arial" w:cs="Arial" w:eastAsia="Arial" w:hAnsi="Arial"/>
                <w:sz w:val="18"/>
                <w:szCs w:val="18"/>
                <w:color w:val="auto"/>
                <w:w w:val="95"/>
              </w:rPr>
              <w:t>32.1*</w:t>
            </w:r>
          </w:p>
        </w:tc>
        <w:tc>
          <w:tcPr>
            <w:tcW w:w="140" w:type="dxa"/>
            <w:vAlign w:val="bottom"/>
          </w:tcPr>
          <w:p>
            <w:pPr>
              <w:spacing w:after="0"/>
              <w:rPr>
                <w:sz w:val="18"/>
                <w:szCs w:val="18"/>
                <w:color w:val="auto"/>
              </w:rPr>
            </w:pPr>
          </w:p>
        </w:tc>
        <w:tc>
          <w:tcPr>
            <w:tcW w:w="2140" w:type="dxa"/>
            <w:vAlign w:val="bottom"/>
            <w:gridSpan w:val="2"/>
          </w:tcPr>
          <w:p>
            <w:pPr>
              <w:ind w:left="12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gridSpan w:val="3"/>
          </w:tcPr>
          <w:p>
            <w:pPr>
              <w:ind w:left="20"/>
              <w:spacing w:after="0"/>
              <w:rPr>
                <w:sz w:val="20"/>
                <w:szCs w:val="20"/>
                <w:color w:val="auto"/>
              </w:rPr>
            </w:pPr>
            <w:r>
              <w:rPr>
                <w:rFonts w:ascii="Arial" w:cs="Arial" w:eastAsia="Arial" w:hAnsi="Arial"/>
                <w:sz w:val="18"/>
                <w:szCs w:val="18"/>
                <w:color w:val="auto"/>
                <w:w w:val="92"/>
              </w:rPr>
              <w:t>U.S.C. Section 1350, as Adopted Pursuant to Section 906 of the Sarbanes-Oxley Act of 2002 of Sehat Sutardja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Ph.D., President and Chief Executive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gridSpan w:val="2"/>
          </w:tcPr>
          <w:p>
            <w:pPr>
              <w:jc w:val="center"/>
              <w:spacing w:after="0"/>
              <w:rPr>
                <w:sz w:val="20"/>
                <w:szCs w:val="20"/>
                <w:color w:val="auto"/>
              </w:rPr>
            </w:pPr>
            <w:r>
              <w:rPr>
                <w:rFonts w:ascii="Arial" w:cs="Arial" w:eastAsia="Arial" w:hAnsi="Arial"/>
                <w:sz w:val="18"/>
                <w:szCs w:val="18"/>
                <w:color w:val="auto"/>
                <w:w w:val="95"/>
              </w:rPr>
              <w:t>32.2*</w:t>
            </w:r>
          </w:p>
        </w:tc>
        <w:tc>
          <w:tcPr>
            <w:tcW w:w="140" w:type="dxa"/>
            <w:vAlign w:val="bottom"/>
          </w:tcPr>
          <w:p>
            <w:pPr>
              <w:spacing w:after="0"/>
              <w:rPr>
                <w:sz w:val="18"/>
                <w:szCs w:val="18"/>
                <w:color w:val="auto"/>
              </w:rPr>
            </w:pPr>
          </w:p>
        </w:tc>
        <w:tc>
          <w:tcPr>
            <w:tcW w:w="2140" w:type="dxa"/>
            <w:vAlign w:val="bottom"/>
            <w:gridSpan w:val="2"/>
          </w:tcPr>
          <w:p>
            <w:pPr>
              <w:ind w:left="12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gridSpan w:val="3"/>
          </w:tcPr>
          <w:p>
            <w:pPr>
              <w:ind w:left="20"/>
              <w:spacing w:after="0"/>
              <w:rPr>
                <w:sz w:val="20"/>
                <w:szCs w:val="20"/>
                <w:color w:val="auto"/>
              </w:rPr>
            </w:pPr>
            <w:r>
              <w:rPr>
                <w:rFonts w:ascii="Arial" w:cs="Arial" w:eastAsia="Arial" w:hAnsi="Arial"/>
                <w:sz w:val="18"/>
                <w:szCs w:val="18"/>
                <w:color w:val="auto"/>
                <w:w w:val="93"/>
              </w:rPr>
              <w:t>U.S.C. Section 1350, as Adopted Pursuant to Section 906 of the Sarbanes-Oxley Act of 2002 of Michael Tate,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-1939290</wp:posOffset>
            </wp:positionV>
            <wp:extent cx="12700"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-1939290</wp:posOffset>
            </wp:positionV>
            <wp:extent cx="12700"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40" w:right="60" w:hanging="332"/>
        <w:spacing w:after="0" w:line="257" w:lineRule="auto"/>
        <w:tabs>
          <w:tab w:leader="none" w:pos="335"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Quarterly Report on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43" w:name="page44"/>
    <w:bookmarkEnd w:id="43"/>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225" w:lineRule="exact"/>
        <w:rPr>
          <w:sz w:val="20"/>
          <w:szCs w:val="20"/>
          <w:color w:val="auto"/>
        </w:rPr>
      </w:pPr>
    </w:p>
    <w:p>
      <w:pPr>
        <w:ind w:left="660" w:hanging="652"/>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1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1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7"/>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40" w:type="dxa"/>
            <w:vAlign w:val="bottom"/>
            <w:gridSpan w:val="2"/>
          </w:tcPr>
          <w:p>
            <w:pPr>
              <w:spacing w:after="0"/>
              <w:rPr>
                <w:sz w:val="20"/>
                <w:szCs w:val="20"/>
                <w:color w:val="auto"/>
              </w:rPr>
            </w:pPr>
            <w:r>
              <w:rPr>
                <w:rFonts w:ascii="Arial" w:cs="Arial" w:eastAsia="Arial" w:hAnsi="Arial"/>
                <w:sz w:val="18"/>
                <w:szCs w:val="18"/>
                <w:color w:val="auto"/>
              </w:rPr>
              <w:t>Date:  July 9, 2007</w:t>
            </w:r>
          </w:p>
        </w:tc>
        <w:tc>
          <w:tcPr>
            <w:tcW w:w="4620" w:type="dxa"/>
            <w:vAlign w:val="bottom"/>
          </w:tcPr>
          <w:p>
            <w:pPr>
              <w:ind w:left="3960"/>
              <w:spacing w:after="0"/>
              <w:rPr>
                <w:sz w:val="20"/>
                <w:szCs w:val="20"/>
                <w:color w:val="auto"/>
              </w:rPr>
            </w:pPr>
            <w:r>
              <w:rPr>
                <w:rFonts w:ascii="Arial" w:cs="Arial" w:eastAsia="Arial" w:hAnsi="Arial"/>
                <w:sz w:val="18"/>
                <w:szCs w:val="18"/>
                <w:color w:val="auto"/>
              </w:rPr>
              <w:t>By:</w:t>
            </w:r>
          </w:p>
        </w:tc>
        <w:tc>
          <w:tcPr>
            <w:tcW w:w="506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580" w:type="dxa"/>
            <w:vAlign w:val="bottom"/>
          </w:tcPr>
          <w:p>
            <w:pPr>
              <w:spacing w:after="0"/>
              <w:rPr>
                <w:sz w:val="16"/>
                <w:szCs w:val="16"/>
                <w:color w:val="auto"/>
              </w:rPr>
            </w:pPr>
          </w:p>
        </w:tc>
        <w:tc>
          <w:tcPr>
            <w:tcW w:w="1160" w:type="dxa"/>
            <w:vAlign w:val="bottom"/>
            <w:tcBorders>
              <w:top w:val="single" w:sz="8" w:color="auto"/>
            </w:tcBorders>
          </w:tcPr>
          <w:p>
            <w:pPr>
              <w:spacing w:after="0"/>
              <w:rPr>
                <w:sz w:val="16"/>
                <w:szCs w:val="16"/>
                <w:color w:val="auto"/>
              </w:rPr>
            </w:pPr>
          </w:p>
        </w:tc>
        <w:tc>
          <w:tcPr>
            <w:tcW w:w="4620" w:type="dxa"/>
            <w:vAlign w:val="bottom"/>
          </w:tcPr>
          <w:p>
            <w:pPr>
              <w:spacing w:after="0"/>
              <w:rPr>
                <w:sz w:val="16"/>
                <w:szCs w:val="16"/>
                <w:color w:val="auto"/>
              </w:rPr>
            </w:pPr>
          </w:p>
        </w:tc>
        <w:tc>
          <w:tcPr>
            <w:tcW w:w="50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58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4620" w:type="dxa"/>
            <w:vAlign w:val="bottom"/>
          </w:tcPr>
          <w:p>
            <w:pPr>
              <w:spacing w:after="0"/>
              <w:rPr>
                <w:sz w:val="20"/>
                <w:szCs w:val="20"/>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645"/>
        </w:trPr>
        <w:tc>
          <w:tcPr>
            <w:tcW w:w="580" w:type="dxa"/>
            <w:vAlign w:val="bottom"/>
            <w:tcBorders>
              <w:bottom w:val="single" w:sz="8" w:color="010101"/>
            </w:tcBorders>
          </w:tcPr>
          <w:p>
            <w:pPr>
              <w:spacing w:after="0"/>
              <w:rPr>
                <w:sz w:val="24"/>
                <w:szCs w:val="24"/>
                <w:color w:val="auto"/>
              </w:rPr>
            </w:pPr>
          </w:p>
        </w:tc>
        <w:tc>
          <w:tcPr>
            <w:tcW w:w="1160" w:type="dxa"/>
            <w:vAlign w:val="bottom"/>
            <w:tcBorders>
              <w:bottom w:val="single" w:sz="8" w:color="010101"/>
            </w:tcBorders>
          </w:tcPr>
          <w:p>
            <w:pPr>
              <w:spacing w:after="0"/>
              <w:rPr>
                <w:sz w:val="24"/>
                <w:szCs w:val="24"/>
                <w:color w:val="auto"/>
              </w:rPr>
            </w:pPr>
          </w:p>
        </w:tc>
        <w:tc>
          <w:tcPr>
            <w:tcW w:w="4620" w:type="dxa"/>
            <w:vAlign w:val="bottom"/>
            <w:tcBorders>
              <w:bottom w:val="single" w:sz="8" w:color="010101"/>
            </w:tcBorders>
          </w:tcPr>
          <w:p>
            <w:pPr>
              <w:spacing w:after="0"/>
              <w:rPr>
                <w:sz w:val="24"/>
                <w:szCs w:val="24"/>
                <w:color w:val="auto"/>
              </w:rPr>
            </w:pPr>
          </w:p>
        </w:tc>
        <w:tc>
          <w:tcPr>
            <w:tcW w:w="50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4" w:name="page45"/>
    <w:bookmarkEnd w:id="44"/>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Michael Tate, certify that:</w:t>
      </w:r>
    </w:p>
    <w:p>
      <w:pPr>
        <w:spacing w:after="0" w:line="225" w:lineRule="exact"/>
        <w:rPr>
          <w:sz w:val="20"/>
          <w:szCs w:val="20"/>
          <w:color w:val="auto"/>
        </w:rPr>
      </w:pPr>
    </w:p>
    <w:p>
      <w:pPr>
        <w:ind w:left="660" w:hanging="652"/>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1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00" w:type="dxa"/>
            <w:vAlign w:val="bottom"/>
            <w:gridSpan w:val="2"/>
          </w:tcPr>
          <w:p>
            <w:pPr>
              <w:spacing w:after="0"/>
              <w:rPr>
                <w:sz w:val="20"/>
                <w:szCs w:val="20"/>
                <w:color w:val="auto"/>
              </w:rPr>
            </w:pPr>
            <w:r>
              <w:rPr>
                <w:rFonts w:ascii="Arial" w:cs="Arial" w:eastAsia="Arial" w:hAnsi="Arial"/>
                <w:sz w:val="18"/>
                <w:szCs w:val="18"/>
                <w:color w:val="auto"/>
              </w:rPr>
              <w:t>Date:  July 9, 2007</w:t>
            </w:r>
          </w:p>
        </w:tc>
        <w:tc>
          <w:tcPr>
            <w:tcW w:w="4660" w:type="dxa"/>
            <w:vAlign w:val="bottom"/>
          </w:tcPr>
          <w:p>
            <w:pPr>
              <w:ind w:left="4080"/>
              <w:spacing w:after="0"/>
              <w:rPr>
                <w:sz w:val="20"/>
                <w:szCs w:val="20"/>
                <w:color w:val="auto"/>
              </w:rPr>
            </w:pPr>
            <w:r>
              <w:rPr>
                <w:rFonts w:ascii="Arial" w:cs="Arial" w:eastAsia="Arial" w:hAnsi="Arial"/>
                <w:sz w:val="18"/>
                <w:szCs w:val="18"/>
                <w:color w:val="auto"/>
              </w:rPr>
              <w:t>By:</w:t>
            </w:r>
          </w:p>
        </w:tc>
        <w:tc>
          <w:tcPr>
            <w:tcW w:w="5060" w:type="dxa"/>
            <w:vAlign w:val="bottom"/>
          </w:tcPr>
          <w:p>
            <w:pPr>
              <w:spacing w:after="0"/>
              <w:rPr>
                <w:sz w:val="20"/>
                <w:szCs w:val="20"/>
                <w:color w:val="auto"/>
              </w:rPr>
            </w:pPr>
            <w:r>
              <w:rPr>
                <w:rFonts w:ascii="Arial" w:cs="Arial" w:eastAsia="Arial" w:hAnsi="Arial"/>
                <w:sz w:val="18"/>
                <w:szCs w:val="18"/>
                <w:color w:val="auto"/>
              </w:rPr>
              <w:t>/s/ MICHAEL TATE</w:t>
            </w:r>
          </w:p>
        </w:tc>
        <w:tc>
          <w:tcPr>
            <w:tcW w:w="40" w:type="dxa"/>
            <w:vAlign w:val="bottom"/>
          </w:tcPr>
          <w:p>
            <w:pPr>
              <w:spacing w:after="0"/>
              <w:rPr>
                <w:sz w:val="20"/>
                <w:szCs w:val="20"/>
                <w:color w:val="auto"/>
              </w:rPr>
            </w:pPr>
          </w:p>
        </w:tc>
      </w:tr>
      <w:tr>
        <w:trPr>
          <w:trHeight w:val="195"/>
        </w:trPr>
        <w:tc>
          <w:tcPr>
            <w:tcW w:w="560" w:type="dxa"/>
            <w:vAlign w:val="bottom"/>
          </w:tcPr>
          <w:p>
            <w:pPr>
              <w:spacing w:after="0"/>
              <w:rPr>
                <w:sz w:val="16"/>
                <w:szCs w:val="16"/>
                <w:color w:val="auto"/>
              </w:rPr>
            </w:pPr>
          </w:p>
        </w:tc>
        <w:tc>
          <w:tcPr>
            <w:tcW w:w="1140" w:type="dxa"/>
            <w:vAlign w:val="bottom"/>
            <w:tcBorders>
              <w:top w:val="single" w:sz="8" w:color="auto"/>
            </w:tcBorders>
          </w:tcPr>
          <w:p>
            <w:pPr>
              <w:spacing w:after="0"/>
              <w:rPr>
                <w:sz w:val="16"/>
                <w:szCs w:val="16"/>
                <w:color w:val="auto"/>
              </w:rPr>
            </w:pPr>
          </w:p>
        </w:tc>
        <w:tc>
          <w:tcPr>
            <w:tcW w:w="4660" w:type="dxa"/>
            <w:vAlign w:val="bottom"/>
          </w:tcPr>
          <w:p>
            <w:pPr>
              <w:spacing w:after="0"/>
              <w:rPr>
                <w:sz w:val="16"/>
                <w:szCs w:val="16"/>
                <w:color w:val="auto"/>
              </w:rPr>
            </w:pPr>
          </w:p>
        </w:tc>
        <w:tc>
          <w:tcPr>
            <w:tcW w:w="50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r>
      <w:tr>
        <w:trPr>
          <w:trHeight w:val="230"/>
        </w:trPr>
        <w:tc>
          <w:tcPr>
            <w:tcW w:w="56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4660" w:type="dxa"/>
            <w:vAlign w:val="bottom"/>
          </w:tcPr>
          <w:p>
            <w:pPr>
              <w:spacing w:after="0"/>
              <w:rPr>
                <w:sz w:val="20"/>
                <w:szCs w:val="20"/>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645"/>
        </w:trPr>
        <w:tc>
          <w:tcPr>
            <w:tcW w:w="560" w:type="dxa"/>
            <w:vAlign w:val="bottom"/>
            <w:tcBorders>
              <w:bottom w:val="single" w:sz="8" w:color="010101"/>
            </w:tcBorders>
          </w:tcPr>
          <w:p>
            <w:pPr>
              <w:spacing w:after="0"/>
              <w:rPr>
                <w:sz w:val="24"/>
                <w:szCs w:val="24"/>
                <w:color w:val="auto"/>
              </w:rPr>
            </w:pPr>
          </w:p>
        </w:tc>
        <w:tc>
          <w:tcPr>
            <w:tcW w:w="1140" w:type="dxa"/>
            <w:vAlign w:val="bottom"/>
            <w:tcBorders>
              <w:bottom w:val="single" w:sz="8" w:color="010101"/>
            </w:tcBorders>
          </w:tcPr>
          <w:p>
            <w:pPr>
              <w:spacing w:after="0"/>
              <w:rPr>
                <w:sz w:val="24"/>
                <w:szCs w:val="24"/>
                <w:color w:val="auto"/>
              </w:rPr>
            </w:pPr>
          </w:p>
        </w:tc>
        <w:tc>
          <w:tcPr>
            <w:tcW w:w="4660" w:type="dxa"/>
            <w:vAlign w:val="bottom"/>
            <w:tcBorders>
              <w:bottom w:val="single" w:sz="8" w:color="010101"/>
            </w:tcBorders>
          </w:tcPr>
          <w:p>
            <w:pPr>
              <w:spacing w:after="0"/>
              <w:rPr>
                <w:sz w:val="24"/>
                <w:szCs w:val="24"/>
                <w:color w:val="auto"/>
              </w:rPr>
            </w:pPr>
          </w:p>
        </w:tc>
        <w:tc>
          <w:tcPr>
            <w:tcW w:w="50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5" w:name="page46"/>
    <w:bookmarkEnd w:id="45"/>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760" w:hanging="324"/>
        <w:spacing w:after="0" w:line="277" w:lineRule="auto"/>
        <w:tabs>
          <w:tab w:leader="none" w:pos="979"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28, 2007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Date: July 9,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46" w:name="page47"/>
    <w:bookmarkEnd w:id="46"/>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INTERIM CHIEF FINANCIAL OFFICER PURSUANT TO 18 U.S.C. § 1350, AS ADOPTED PURSUANT TO SECTION 906 OF THE SARBANES-OXLEY ACT OF 2002</w:t>
      </w:r>
    </w:p>
    <w:p>
      <w:pPr>
        <w:spacing w:after="0" w:line="166"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Michael Tate, the Interim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740" w:hanging="324"/>
        <w:spacing w:after="0" w:line="277" w:lineRule="auto"/>
        <w:tabs>
          <w:tab w:leader="none" w:pos="988"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28, 2007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/s/ MICHAEL TATE</w:t>
      </w:r>
    </w:p>
    <w:p>
      <w:pPr>
        <w:spacing w:after="0" w:line="2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Michael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3649980</wp:posOffset>
            </wp:positionH>
            <wp:positionV relativeFrom="paragraph">
              <wp:posOffset>-130810</wp:posOffset>
            </wp:positionV>
            <wp:extent cx="360172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3601720" cy="8890"/>
                    </a:xfrm>
                    <a:prstGeom prst="rect">
                      <a:avLst/>
                    </a:prstGeom>
                    <a:noFill/>
                  </pic:spPr>
                </pic:pic>
              </a:graphicData>
            </a:graphic>
          </wp:anchor>
        </w:drawing>
      </w:r>
    </w:p>
    <w:p>
      <w:pPr>
        <w:spacing w:after="0" w:line="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Date: July 9,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16231B"/>
    <w:multiLevelType w:val="hybridMultilevel"/>
    <w:lvl w:ilvl="0">
      <w:lvlJc w:val="left"/>
      <w:lvlText w:val="x"/>
      <w:numFmt w:val="bullet"/>
      <w:start w:val="1"/>
    </w:lvl>
  </w:abstractNum>
  <w:abstractNum w:abstractNumId="1">
    <w:nsid w:val="1F16E9E8"/>
    <w:multiLevelType w:val="hybridMultilevel"/>
    <w:lvl w:ilvl="0">
      <w:lvlJc w:val="left"/>
      <w:lvlText w:val="o"/>
      <w:numFmt w:val="bullet"/>
      <w:start w:val="1"/>
    </w:lvl>
  </w:abstractNum>
  <w:abstractNum w:abstractNumId="2">
    <w:nsid w:val="1190CDE7"/>
    <w:multiLevelType w:val="hybridMultilevel"/>
    <w:lvl w:ilvl="0">
      <w:lvlJc w:val="left"/>
      <w:lvlText w:val="%1"/>
      <w:numFmt w:val="decimal"/>
      <w:start w:val="195"/>
    </w:lvl>
  </w:abstractNum>
  <w:abstractNum w:abstractNumId="3">
    <w:nsid w:val="66EF438D"/>
    <w:multiLevelType w:val="hybridMultilevel"/>
    <w:lvl w:ilvl="0">
      <w:lvlJc w:val="left"/>
      <w:lvlText w:val="(%1)"/>
      <w:numFmt w:val="lowerRoman"/>
      <w:start w:val="2"/>
    </w:lvl>
  </w:abstractNum>
  <w:abstractNum w:abstractNumId="4">
    <w:nsid w:val="140E0F76"/>
    <w:multiLevelType w:val="hybridMultilevel"/>
    <w:lvl w:ilvl="0">
      <w:lvlJc w:val="left"/>
      <w:lvlText w:val="·"/>
      <w:numFmt w:val="bullet"/>
      <w:start w:val="1"/>
    </w:lvl>
  </w:abstractNum>
  <w:abstractNum w:abstractNumId="5">
    <w:nsid w:val="3352255A"/>
    <w:multiLevelType w:val="hybridMultilevel"/>
    <w:lvl w:ilvl="0">
      <w:lvlJc w:val="left"/>
      <w:lvlText w:val="·"/>
      <w:numFmt w:val="bullet"/>
      <w:start w:val="1"/>
    </w:lvl>
  </w:abstractNum>
  <w:abstractNum w:abstractNumId="6">
    <w:nsid w:val="109CF92E"/>
    <w:multiLevelType w:val="hybridMultilevel"/>
    <w:lvl w:ilvl="0">
      <w:lvlJc w:val="left"/>
      <w:lvlText w:val="·"/>
      <w:numFmt w:val="bullet"/>
      <w:start w:val="1"/>
    </w:lvl>
  </w:abstractNum>
  <w:abstractNum w:abstractNumId="7">
    <w:nsid w:val="DED7263"/>
    <w:multiLevelType w:val="hybridMultilevel"/>
    <w:lvl w:ilvl="0">
      <w:lvlJc w:val="left"/>
      <w:lvlText w:val="·"/>
      <w:numFmt w:val="bullet"/>
      <w:start w:val="1"/>
    </w:lvl>
  </w:abstractNum>
  <w:abstractNum w:abstractNumId="8">
    <w:nsid w:val="7FDCC233"/>
    <w:multiLevelType w:val="hybridMultilevel"/>
    <w:lvl w:ilvl="0">
      <w:lvlJc w:val="left"/>
      <w:lvlText w:val="·"/>
      <w:numFmt w:val="bullet"/>
      <w:start w:val="1"/>
    </w:lvl>
  </w:abstractNum>
  <w:abstractNum w:abstractNumId="9">
    <w:nsid w:val="1BEFD79F"/>
    <w:multiLevelType w:val="hybridMultilevel"/>
    <w:lvl w:ilvl="0">
      <w:lvlJc w:val="left"/>
      <w:lvlText w:val="·"/>
      <w:numFmt w:val="bullet"/>
      <w:start w:val="1"/>
    </w:lvl>
  </w:abstractNum>
  <w:abstractNum w:abstractNumId="10">
    <w:nsid w:val="41A7C4C9"/>
    <w:multiLevelType w:val="hybridMultilevel"/>
    <w:lvl w:ilvl="0">
      <w:lvlJc w:val="left"/>
      <w:lvlText w:val="·"/>
      <w:numFmt w:val="bullet"/>
      <w:start w:val="1"/>
    </w:lvl>
  </w:abstractNum>
  <w:abstractNum w:abstractNumId="11">
    <w:nsid w:val="6B68079A"/>
    <w:multiLevelType w:val="hybridMultilevel"/>
    <w:lvl w:ilvl="0">
      <w:lvlJc w:val="left"/>
      <w:lvlText w:val="·"/>
      <w:numFmt w:val="bullet"/>
      <w:start w:val="1"/>
    </w:lvl>
  </w:abstractNum>
  <w:abstractNum w:abstractNumId="12">
    <w:nsid w:val="4E6AFB66"/>
    <w:multiLevelType w:val="hybridMultilevel"/>
    <w:lvl w:ilvl="0">
      <w:lvlJc w:val="left"/>
      <w:lvlText w:val="·"/>
      <w:numFmt w:val="bullet"/>
      <w:start w:val="1"/>
    </w:lvl>
  </w:abstractNum>
  <w:abstractNum w:abstractNumId="13">
    <w:nsid w:val="25E45D32"/>
    <w:multiLevelType w:val="hybridMultilevel"/>
    <w:lvl w:ilvl="0">
      <w:lvlJc w:val="left"/>
      <w:lvlText w:val="·"/>
      <w:numFmt w:val="bullet"/>
      <w:start w:val="1"/>
    </w:lvl>
  </w:abstractNum>
  <w:abstractNum w:abstractNumId="14">
    <w:nsid w:val="519B500D"/>
    <w:multiLevelType w:val="hybridMultilevel"/>
    <w:lvl w:ilvl="0">
      <w:lvlJc w:val="left"/>
      <w:lvlText w:val="*"/>
      <w:numFmt w:val="bullet"/>
      <w:start w:val="1"/>
    </w:lvl>
  </w:abstractNum>
  <w:abstractNum w:abstractNumId="15">
    <w:nsid w:val="431BD7B7"/>
    <w:multiLevelType w:val="hybridMultilevel"/>
    <w:lvl w:ilvl="0">
      <w:lvlJc w:val="left"/>
      <w:lvlText w:val="*"/>
      <w:numFmt w:val="bullet"/>
      <w:start w:val="1"/>
    </w:lvl>
  </w:abstractNum>
  <w:abstractNum w:abstractNumId="16">
    <w:nsid w:val="3F2DBA31"/>
    <w:multiLevelType w:val="hybridMultilevel"/>
    <w:lvl w:ilvl="0">
      <w:lvlJc w:val="left"/>
      <w:lvlText w:val="%1."/>
      <w:numFmt w:val="decimal"/>
      <w:start w:val="1"/>
    </w:lvl>
    <w:lvl w:ilvl="1">
      <w:lvlJc w:val="left"/>
      <w:lvlText w:val="%2)"/>
      <w:numFmt w:val="lowerLetter"/>
      <w:start w:val="1"/>
    </w:lvl>
  </w:abstractNum>
  <w:abstractNum w:abstractNumId="17">
    <w:nsid w:val="7C83E458"/>
    <w:multiLevelType w:val="hybridMultilevel"/>
    <w:lvl w:ilvl="0">
      <w:lvlJc w:val="left"/>
      <w:lvlText w:val="%1."/>
      <w:numFmt w:val="decimal"/>
      <w:start w:val="1"/>
    </w:lvl>
    <w:lvl w:ilvl="1">
      <w:lvlJc w:val="left"/>
      <w:lvlText w:val="%2)"/>
      <w:numFmt w:val="lowerLetter"/>
      <w:start w:val="1"/>
    </w:lvl>
  </w:abstractNum>
  <w:abstractNum w:abstractNumId="18">
    <w:nsid w:val="257130A3"/>
    <w:multiLevelType w:val="hybridMultilevel"/>
    <w:lvl w:ilvl="0">
      <w:lvlJc w:val="left"/>
      <w:lvlText w:val="(%1)"/>
      <w:numFmt w:val="lowerRoman"/>
      <w:start w:val="1"/>
    </w:lvl>
  </w:abstractNum>
  <w:abstractNum w:abstractNumId="19">
    <w:nsid w:val="62BBD95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2019-12-12T01:12:34Z</dcterms:created>
  <dcterms:modified xsi:type="dcterms:W3CDTF">2019-12-12T01:12:34Z</dcterms:modified>
</cp:coreProperties>
</file>