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ind w:left="20"/>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660" w:hanging="640"/>
        <w:spacing w:after="0"/>
        <w:tabs>
          <w:tab w:leader="none" w:pos="66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July 29, 2006</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660" w:hanging="640"/>
        <w:spacing w:after="0"/>
        <w:tabs>
          <w:tab w:leader="none" w:pos="66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69" w:lineRule="exact"/>
        <w:rPr>
          <w:sz w:val="24"/>
          <w:szCs w:val="24"/>
          <w:color w:val="auto"/>
        </w:rPr>
      </w:pPr>
    </w:p>
    <w:p>
      <w:pPr>
        <w:ind w:left="376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14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o Yes x No</w:t>
      </w:r>
    </w:p>
    <w:p>
      <w:pPr>
        <w:spacing w:after="0" w:line="181" w:lineRule="exact"/>
        <w:rPr>
          <w:sz w:val="24"/>
          <w:szCs w:val="24"/>
          <w:color w:val="auto"/>
        </w:rPr>
      </w:pPr>
    </w:p>
    <w:p>
      <w:pPr>
        <w:ind w:right="80" w:firstLine="243"/>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380"/>
        <w:spacing w:after="0"/>
        <w:tabs>
          <w:tab w:leader="none" w:pos="4900" w:val="left"/>
          <w:tab w:leader="none" w:pos="776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79"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of the registrant’s common stock outstanding as of May 31, 2007 was 587,591,437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40" w:type="dxa"/>
            <w:vAlign w:val="bottom"/>
            <w:gridSpan w:val="8"/>
            <w:vMerge w:val="restart"/>
          </w:tcPr>
          <w:p>
            <w:pPr>
              <w:ind w:left="60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60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240" w:type="dxa"/>
            <w:vAlign w:val="bottom"/>
            <w:gridSpan w:val="8"/>
            <w:vMerge w:val="continue"/>
          </w:tcPr>
          <w:p>
            <w:pPr>
              <w:spacing w:after="0"/>
              <w:rPr>
                <w:sz w:val="13"/>
                <w:szCs w:val="13"/>
                <w:color w:val="auto"/>
              </w:rPr>
            </w:pPr>
          </w:p>
        </w:tc>
        <w:tc>
          <w:tcPr>
            <w:tcW w:w="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1280" w:type="dxa"/>
            <w:vAlign w:val="bottom"/>
          </w:tcPr>
          <w:p>
            <w:pPr>
              <w:spacing w:after="0"/>
              <w:rPr>
                <w:sz w:val="17"/>
                <w:szCs w:val="17"/>
                <w:color w:val="auto"/>
              </w:rPr>
            </w:pPr>
          </w:p>
        </w:tc>
        <w:tc>
          <w:tcPr>
            <w:tcW w:w="156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2">
              <w:r>
                <w:rPr>
                  <w:rFonts w:ascii="Arial" w:cs="Arial" w:eastAsia="Arial" w:hAnsi="Arial"/>
                  <w:sz w:val="18"/>
                  <w:szCs w:val="18"/>
                  <w:color w:val="0000EE"/>
                  <w:w w:val="88"/>
                </w:rPr>
                <w:t>Financial Statements:</w:t>
              </w:r>
            </w:hyperlink>
          </w:p>
        </w:tc>
        <w:tc>
          <w:tcPr>
            <w:tcW w:w="820" w:type="dxa"/>
            <w:vAlign w:val="bottom"/>
            <w:gridSpan w:val="2"/>
          </w:tcPr>
          <w:p>
            <w:pPr>
              <w:spacing w:after="0"/>
              <w:rPr>
                <w:sz w:val="17"/>
                <w:szCs w:val="17"/>
                <w:color w:val="auto"/>
              </w:rPr>
            </w:pPr>
          </w:p>
        </w:tc>
        <w:tc>
          <w:tcPr>
            <w:tcW w:w="3060" w:type="dxa"/>
            <w:vAlign w:val="bottom"/>
            <w:tcBorders>
              <w:top w:val="single" w:sz="8" w:color="0000EE"/>
            </w:tcBorders>
            <w:gridSpan w:val="3"/>
          </w:tcPr>
          <w:p>
            <w:pPr>
              <w:spacing w:after="0"/>
              <w:rPr>
                <w:sz w:val="17"/>
                <w:szCs w:val="17"/>
                <w:color w:val="auto"/>
              </w:rPr>
            </w:pPr>
          </w:p>
        </w:tc>
        <w:tc>
          <w:tcPr>
            <w:tcW w:w="3580" w:type="dxa"/>
            <w:vAlign w:val="bottom"/>
            <w:gridSpan w:val="4"/>
          </w:tcPr>
          <w:p>
            <w:pPr>
              <w:spacing w:after="0"/>
              <w:rPr>
                <w:sz w:val="17"/>
                <w:szCs w:val="17"/>
                <w:color w:val="auto"/>
              </w:rPr>
            </w:pPr>
          </w:p>
        </w:tc>
        <w:tc>
          <w:tcPr>
            <w:tcW w:w="6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7240" w:type="dxa"/>
            <w:vAlign w:val="bottom"/>
            <w:tcBorders>
              <w:bottom w:val="single" w:sz="8" w:color="0000EE"/>
            </w:tcBorders>
            <w:gridSpan w:val="10"/>
          </w:tcPr>
          <w:p>
            <w:pPr>
              <w:spacing w:after="0"/>
              <w:rPr>
                <w:rFonts w:ascii="Arial" w:cs="Arial" w:eastAsia="Arial" w:hAnsi="Arial"/>
                <w:sz w:val="18"/>
                <w:szCs w:val="18"/>
                <w:color w:val="0000EE"/>
                <w:w w:val="88"/>
              </w:rPr>
            </w:pPr>
            <w:hyperlink w:anchor="page2">
              <w:r>
                <w:rPr>
                  <w:rFonts w:ascii="Arial" w:cs="Arial" w:eastAsia="Arial" w:hAnsi="Arial"/>
                  <w:sz w:val="18"/>
                  <w:szCs w:val="18"/>
                  <w:color w:val="0000EE"/>
                  <w:w w:val="88"/>
                </w:rPr>
                <w:t>Unaudited Condensed Consolidated Balance Sheets at July 29, 2006 and January 28, 2006 (restated)</w:t>
              </w:r>
            </w:hyperlink>
          </w:p>
        </w:tc>
        <w:tc>
          <w:tcPr>
            <w:tcW w:w="1780" w:type="dxa"/>
            <w:vAlign w:val="bottom"/>
            <w:gridSpan w:val="2"/>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9020" w:type="dxa"/>
            <w:vAlign w:val="bottom"/>
            <w:gridSpan w:val="12"/>
          </w:tcPr>
          <w:p>
            <w:pPr>
              <w:spacing w:after="0"/>
              <w:rPr>
                <w:rFonts w:ascii="Arial" w:cs="Arial" w:eastAsia="Arial" w:hAnsi="Arial"/>
                <w:sz w:val="18"/>
                <w:szCs w:val="18"/>
                <w:color w:val="0000EE"/>
                <w:w w:val="93"/>
              </w:rPr>
            </w:pPr>
            <w:hyperlink w:anchor="page3">
              <w:r>
                <w:rPr>
                  <w:rFonts w:ascii="Arial" w:cs="Arial" w:eastAsia="Arial" w:hAnsi="Arial"/>
                  <w:sz w:val="18"/>
                  <w:szCs w:val="18"/>
                  <w:color w:val="0000EE"/>
                  <w:w w:val="93"/>
                </w:rPr>
                <w:t>Unaudited Condensed Consolidated Statements of Income for the three and six months ended July 29, 2006 and July 30,</w:t>
              </w:r>
            </w:hyperlink>
          </w:p>
        </w:tc>
        <w:tc>
          <w:tcPr>
            <w:tcW w:w="60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868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2005 (restated)</w:t>
              </w:r>
            </w:hyperlink>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58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60" w:type="dxa"/>
            <w:vAlign w:val="bottom"/>
            <w:gridSpan w:val="2"/>
          </w:tcPr>
          <w:p>
            <w:pPr>
              <w:spacing w:after="0" w:line="20" w:lineRule="exact"/>
              <w:rPr>
                <w:sz w:val="1"/>
                <w:szCs w:val="1"/>
                <w:color w:val="auto"/>
              </w:rPr>
            </w:pPr>
          </w:p>
        </w:tc>
        <w:tc>
          <w:tcPr>
            <w:tcW w:w="22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5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9020" w:type="dxa"/>
            <w:vAlign w:val="bottom"/>
            <w:gridSpan w:val="12"/>
          </w:tcPr>
          <w:p>
            <w:pPr>
              <w:spacing w:after="0"/>
              <w:rPr>
                <w:rFonts w:ascii="Arial" w:cs="Arial" w:eastAsia="Arial" w:hAnsi="Arial"/>
                <w:sz w:val="18"/>
                <w:szCs w:val="18"/>
                <w:color w:val="0000EE"/>
                <w:w w:val="93"/>
              </w:rPr>
            </w:pPr>
            <w:hyperlink w:anchor="page3">
              <w:r>
                <w:rPr>
                  <w:rFonts w:ascii="Arial" w:cs="Arial" w:eastAsia="Arial" w:hAnsi="Arial"/>
                  <w:sz w:val="18"/>
                  <w:szCs w:val="18"/>
                  <w:color w:val="0000EE"/>
                  <w:w w:val="93"/>
                </w:rPr>
                <w:t>Unaudited Condensed Consolidated Statements of Cash Flows for the six months ended July 29, 2006 and July 30, 2005</w:t>
              </w:r>
            </w:hyperlink>
          </w:p>
        </w:tc>
        <w:tc>
          <w:tcPr>
            <w:tcW w:w="60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868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(restated)</w:t>
              </w:r>
            </w:hyperlink>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1100" w:type="dxa"/>
            <w:vAlign w:val="bottom"/>
            <w:gridSpan w:val="3"/>
          </w:tcPr>
          <w:p>
            <w:pPr>
              <w:spacing w:after="0" w:line="20" w:lineRule="exact"/>
              <w:rPr>
                <w:sz w:val="1"/>
                <w:szCs w:val="1"/>
                <w:color w:val="auto"/>
              </w:rPr>
            </w:pPr>
          </w:p>
        </w:tc>
        <w:tc>
          <w:tcPr>
            <w:tcW w:w="258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60" w:type="dxa"/>
            <w:vAlign w:val="bottom"/>
            <w:gridSpan w:val="2"/>
          </w:tcPr>
          <w:p>
            <w:pPr>
              <w:spacing w:after="0" w:line="20" w:lineRule="exact"/>
              <w:rPr>
                <w:sz w:val="1"/>
                <w:szCs w:val="1"/>
                <w:color w:val="auto"/>
              </w:rPr>
            </w:pPr>
          </w:p>
        </w:tc>
        <w:tc>
          <w:tcPr>
            <w:tcW w:w="2560" w:type="dxa"/>
            <w:vAlign w:val="bottom"/>
            <w:gridSpan w:val="3"/>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5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800" w:type="dxa"/>
            <w:vAlign w:val="bottom"/>
            <w:tcBorders>
              <w:bottom w:val="single" w:sz="8" w:color="0000EE"/>
            </w:tcBorders>
            <w:gridSpan w:val="7"/>
          </w:tcPr>
          <w:p>
            <w:pPr>
              <w:spacing w:after="0"/>
              <w:rPr>
                <w:rFonts w:ascii="Arial" w:cs="Arial" w:eastAsia="Arial" w:hAnsi="Arial"/>
                <w:sz w:val="18"/>
                <w:szCs w:val="18"/>
                <w:color w:val="0000EE"/>
                <w:w w:val="89"/>
              </w:rPr>
            </w:pPr>
            <w:hyperlink w:anchor="page4">
              <w:r>
                <w:rPr>
                  <w:rFonts w:ascii="Arial" w:cs="Arial" w:eastAsia="Arial" w:hAnsi="Arial"/>
                  <w:sz w:val="18"/>
                  <w:szCs w:val="18"/>
                  <w:color w:val="0000EE"/>
                  <w:w w:val="89"/>
                </w:rPr>
                <w:t>Notes to Unaudited Condensed Consolidated Financial Statements</w:t>
              </w:r>
            </w:hyperlink>
          </w:p>
        </w:tc>
        <w:tc>
          <w:tcPr>
            <w:tcW w:w="4220" w:type="dxa"/>
            <w:vAlign w:val="bottom"/>
            <w:gridSpan w:val="5"/>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27">
              <w:r>
                <w:rPr>
                  <w:rFonts w:ascii="Arial" w:cs="Arial" w:eastAsia="Arial" w:hAnsi="Arial"/>
                  <w:sz w:val="18"/>
                  <w:szCs w:val="18"/>
                  <w:color w:val="0000EE"/>
                  <w:w w:val="90"/>
                </w:rPr>
                <w:t>Item 2.</w:t>
              </w:r>
            </w:hyperlink>
          </w:p>
        </w:tc>
        <w:tc>
          <w:tcPr>
            <w:tcW w:w="1280" w:type="dxa"/>
            <w:vAlign w:val="bottom"/>
          </w:tcPr>
          <w:p>
            <w:pPr>
              <w:spacing w:after="0"/>
              <w:rPr>
                <w:sz w:val="24"/>
                <w:szCs w:val="24"/>
                <w:color w:val="auto"/>
              </w:rPr>
            </w:pPr>
          </w:p>
        </w:tc>
        <w:tc>
          <w:tcPr>
            <w:tcW w:w="9020" w:type="dxa"/>
            <w:vAlign w:val="bottom"/>
            <w:gridSpan w:val="12"/>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Management’s Discussion and Analysis of Financial Condition and Results of Operations</w:t>
              </w:r>
            </w:hyperlink>
          </w:p>
        </w:tc>
        <w:tc>
          <w:tcPr>
            <w:tcW w:w="60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rFonts w:ascii="Arial" w:cs="Arial" w:eastAsia="Arial" w:hAnsi="Arial"/>
                <w:sz w:val="18"/>
                <w:szCs w:val="18"/>
                <w:color w:val="0000EE"/>
                <w:w w:val="90"/>
              </w:rPr>
            </w:pPr>
            <w:hyperlink w:anchor="page44">
              <w:r>
                <w:rPr>
                  <w:rFonts w:ascii="Arial" w:cs="Arial" w:eastAsia="Arial" w:hAnsi="Arial"/>
                  <w:sz w:val="18"/>
                  <w:szCs w:val="18"/>
                  <w:color w:val="0000EE"/>
                  <w:w w:val="90"/>
                </w:rPr>
                <w:t>Item 3.</w:t>
              </w:r>
            </w:hyperlink>
          </w:p>
        </w:tc>
        <w:tc>
          <w:tcPr>
            <w:tcW w:w="1280" w:type="dxa"/>
            <w:vAlign w:val="bottom"/>
          </w:tcPr>
          <w:p>
            <w:pPr>
              <w:spacing w:after="0"/>
              <w:rPr>
                <w:sz w:val="24"/>
                <w:szCs w:val="24"/>
                <w:color w:val="auto"/>
              </w:rPr>
            </w:pPr>
          </w:p>
        </w:tc>
        <w:tc>
          <w:tcPr>
            <w:tcW w:w="6460" w:type="dxa"/>
            <w:vAlign w:val="bottom"/>
            <w:tcBorders>
              <w:top w:val="single" w:sz="8" w:color="0000EE"/>
            </w:tcBorders>
            <w:gridSpan w:val="9"/>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Quantitative and Qualitative Disclosures About Market Risk</w:t>
              </w:r>
            </w:hyperlink>
          </w:p>
        </w:tc>
        <w:tc>
          <w:tcPr>
            <w:tcW w:w="2560" w:type="dxa"/>
            <w:vAlign w:val="bottom"/>
            <w:gridSpan w:val="3"/>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bottom w:val="single" w:sz="8" w:color="0000EE"/>
            </w:tcBorders>
          </w:tcPr>
          <w:p>
            <w:pPr>
              <w:spacing w:after="0"/>
              <w:rPr>
                <w:rFonts w:ascii="Arial" w:cs="Arial" w:eastAsia="Arial" w:hAnsi="Arial"/>
                <w:sz w:val="18"/>
                <w:szCs w:val="18"/>
                <w:color w:val="0000EE"/>
                <w:w w:val="90"/>
              </w:rPr>
            </w:pPr>
            <w:hyperlink w:anchor="page45">
              <w:r>
                <w:rPr>
                  <w:rFonts w:ascii="Arial" w:cs="Arial" w:eastAsia="Arial" w:hAnsi="Arial"/>
                  <w:sz w:val="18"/>
                  <w:szCs w:val="18"/>
                  <w:color w:val="0000EE"/>
                  <w:w w:val="90"/>
                </w:rPr>
                <w:t>Item 4.</w:t>
              </w:r>
            </w:hyperlink>
          </w:p>
        </w:tc>
        <w:tc>
          <w:tcPr>
            <w:tcW w:w="1280" w:type="dxa"/>
            <w:vAlign w:val="bottom"/>
          </w:tcPr>
          <w:p>
            <w:pPr>
              <w:spacing w:after="0"/>
              <w:rPr>
                <w:sz w:val="24"/>
                <w:szCs w:val="24"/>
                <w:color w:val="auto"/>
              </w:rPr>
            </w:pPr>
          </w:p>
        </w:tc>
        <w:tc>
          <w:tcPr>
            <w:tcW w:w="178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8"/>
              </w:rPr>
            </w:pPr>
            <w:hyperlink w:anchor="page45">
              <w:r>
                <w:rPr>
                  <w:rFonts w:ascii="Arial" w:cs="Arial" w:eastAsia="Arial" w:hAnsi="Arial"/>
                  <w:sz w:val="18"/>
                  <w:szCs w:val="18"/>
                  <w:color w:val="0000EE"/>
                  <w:w w:val="88"/>
                </w:rPr>
                <w:t>Controls and Procedures</w:t>
              </w:r>
            </w:hyperlink>
          </w:p>
        </w:tc>
        <w:tc>
          <w:tcPr>
            <w:tcW w:w="2580" w:type="dxa"/>
            <w:vAlign w:val="bottom"/>
            <w:tcBorders>
              <w:top w:val="single" w:sz="8" w:color="0000EE"/>
            </w:tcBorders>
            <w:gridSpan w:val="2"/>
          </w:tcPr>
          <w:p>
            <w:pPr>
              <w:spacing w:after="0"/>
              <w:rPr>
                <w:sz w:val="24"/>
                <w:szCs w:val="24"/>
                <w:color w:val="auto"/>
              </w:rPr>
            </w:pPr>
          </w:p>
        </w:tc>
        <w:tc>
          <w:tcPr>
            <w:tcW w:w="4660" w:type="dxa"/>
            <w:vAlign w:val="bottom"/>
            <w:gridSpan w:val="6"/>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bl>
    <w:p>
      <w:pPr>
        <w:sectPr>
          <w:pgSz w:w="11900" w:h="16838" w:orient="portrait"/>
          <w:cols w:equalWidth="0" w:num="1">
            <w:col w:w="11420"/>
          </w:cols>
          <w:pgMar w:left="240" w:top="544" w:right="23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78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46">
              <w:r>
                <w:rPr>
                  <w:rFonts w:ascii="Arial" w:cs="Arial" w:eastAsia="Arial" w:hAnsi="Arial"/>
                  <w:sz w:val="18"/>
                  <w:szCs w:val="18"/>
                  <w:b w:val="1"/>
                  <w:bCs w:val="1"/>
                  <w:color w:val="0000EE"/>
                </w:rPr>
                <w:t>PART II. OTHER INFORMATION</w:t>
              </w:r>
            </w:hyperlink>
          </w:p>
        </w:tc>
        <w:tc>
          <w:tcPr>
            <w:tcW w:w="2060" w:type="dxa"/>
            <w:vAlign w:val="bottom"/>
          </w:tcPr>
          <w:p>
            <w:pPr>
              <w:spacing w:after="0"/>
              <w:rPr>
                <w:sz w:val="17"/>
                <w:szCs w:val="17"/>
                <w:color w:val="auto"/>
              </w:rPr>
            </w:pPr>
          </w:p>
        </w:tc>
        <w:tc>
          <w:tcPr>
            <w:tcW w:w="2240" w:type="dxa"/>
            <w:vAlign w:val="bottom"/>
          </w:tcPr>
          <w:p>
            <w:pPr>
              <w:spacing w:after="0"/>
              <w:rPr>
                <w:sz w:val="17"/>
                <w:szCs w:val="17"/>
                <w:color w:val="auto"/>
              </w:rPr>
            </w:pPr>
          </w:p>
        </w:tc>
      </w:tr>
      <w:tr>
        <w:trPr>
          <w:trHeight w:val="412"/>
        </w:trPr>
        <w:tc>
          <w:tcPr>
            <w:tcW w:w="560" w:type="dxa"/>
            <w:vAlign w:val="bottom"/>
            <w:tcBorders>
              <w:bottom w:val="single" w:sz="8" w:color="0000EE"/>
            </w:tcBorders>
            <w:gridSpan w:val="3"/>
          </w:tcPr>
          <w:p>
            <w:pPr>
              <w:spacing w:after="0"/>
              <w:rPr>
                <w:rFonts w:ascii="Arial" w:cs="Arial" w:eastAsia="Arial" w:hAnsi="Arial"/>
                <w:sz w:val="18"/>
                <w:szCs w:val="18"/>
                <w:color w:val="0000EE"/>
                <w:w w:val="98"/>
              </w:rPr>
            </w:pPr>
            <w:hyperlink w:anchor="page46">
              <w:r>
                <w:rPr>
                  <w:rFonts w:ascii="Arial" w:cs="Arial" w:eastAsia="Arial" w:hAnsi="Arial"/>
                  <w:sz w:val="18"/>
                  <w:szCs w:val="18"/>
                  <w:color w:val="0000EE"/>
                  <w:w w:val="98"/>
                </w:rPr>
                <w:t>Item 1.</w:t>
              </w:r>
            </w:hyperlink>
          </w:p>
        </w:tc>
        <w:tc>
          <w:tcPr>
            <w:tcW w:w="840" w:type="dxa"/>
            <w:vAlign w:val="bottom"/>
            <w:gridSpan w:val="4"/>
          </w:tcPr>
          <w:p>
            <w:pPr>
              <w:spacing w:after="0"/>
              <w:rPr>
                <w:sz w:val="24"/>
                <w:szCs w:val="24"/>
                <w:color w:val="auto"/>
              </w:rPr>
            </w:pPr>
          </w:p>
        </w:tc>
        <w:tc>
          <w:tcPr>
            <w:tcW w:w="400" w:type="dxa"/>
            <w:vAlign w:val="bottom"/>
          </w:tcPr>
          <w:p>
            <w:pPr>
              <w:spacing w:after="0"/>
              <w:rPr>
                <w:sz w:val="24"/>
                <w:szCs w:val="24"/>
                <w:color w:val="auto"/>
              </w:rPr>
            </w:pPr>
          </w:p>
        </w:tc>
        <w:tc>
          <w:tcPr>
            <w:tcW w:w="1340" w:type="dxa"/>
            <w:vAlign w:val="bottom"/>
            <w:tcBorders>
              <w:bottom w:val="single" w:sz="8" w:color="0000EE"/>
            </w:tcBorders>
            <w:gridSpan w:val="4"/>
          </w:tcPr>
          <w:p>
            <w:pPr>
              <w:spacing w:after="0"/>
              <w:rPr>
                <w:rFonts w:ascii="Arial" w:cs="Arial" w:eastAsia="Arial" w:hAnsi="Arial"/>
                <w:sz w:val="18"/>
                <w:szCs w:val="18"/>
                <w:color w:val="0000EE"/>
                <w:w w:val="88"/>
              </w:rPr>
            </w:pPr>
            <w:hyperlink w:anchor="page46">
              <w:r>
                <w:rPr>
                  <w:rFonts w:ascii="Arial" w:cs="Arial" w:eastAsia="Arial" w:hAnsi="Arial"/>
                  <w:sz w:val="18"/>
                  <w:szCs w:val="18"/>
                  <w:color w:val="0000EE"/>
                  <w:w w:val="88"/>
                </w:rPr>
                <w:t>Legal Proceedings</w:t>
              </w:r>
            </w:hyperlink>
          </w:p>
        </w:tc>
        <w:tc>
          <w:tcPr>
            <w:tcW w:w="6020" w:type="dxa"/>
            <w:vAlign w:val="bottom"/>
            <w:gridSpan w:val="6"/>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412"/>
        </w:trPr>
        <w:tc>
          <w:tcPr>
            <w:tcW w:w="1400" w:type="dxa"/>
            <w:vAlign w:val="bottom"/>
            <w:gridSpan w:val="7"/>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Item 1A.</w:t>
              </w:r>
            </w:hyperlink>
          </w:p>
        </w:tc>
        <w:tc>
          <w:tcPr>
            <w:tcW w:w="7760" w:type="dxa"/>
            <w:vAlign w:val="bottom"/>
            <w:gridSpan w:val="11"/>
          </w:tcPr>
          <w:p>
            <w:pPr>
              <w:ind w:left="400"/>
              <w:spacing w:after="0"/>
              <w:rPr>
                <w:rFonts w:ascii="Arial" w:cs="Arial" w:eastAsia="Arial" w:hAnsi="Arial"/>
                <w:sz w:val="18"/>
                <w:szCs w:val="18"/>
                <w:color w:val="0000EE"/>
              </w:rPr>
            </w:pPr>
            <w:hyperlink w:anchor="page48">
              <w:r>
                <w:rPr>
                  <w:rFonts w:ascii="Arial" w:cs="Arial" w:eastAsia="Arial" w:hAnsi="Arial"/>
                  <w:sz w:val="18"/>
                  <w:szCs w:val="18"/>
                  <w:color w:val="0000EE"/>
                </w:rPr>
                <w:t>Risk Factors</w:t>
              </w:r>
            </w:hyperlink>
          </w:p>
        </w:tc>
        <w:tc>
          <w:tcPr>
            <w:tcW w:w="224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0"/>
        </w:trPr>
        <w:tc>
          <w:tcPr>
            <w:tcW w:w="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r>
      <w:tr>
        <w:trPr>
          <w:trHeight w:val="412"/>
        </w:trPr>
        <w:tc>
          <w:tcPr>
            <w:tcW w:w="560" w:type="dxa"/>
            <w:vAlign w:val="bottom"/>
            <w:tcBorders>
              <w:bottom w:val="single" w:sz="8" w:color="0000EE"/>
            </w:tcBorders>
            <w:gridSpan w:val="3"/>
          </w:tcPr>
          <w:p>
            <w:pPr>
              <w:spacing w:after="0"/>
              <w:rPr>
                <w:rFonts w:ascii="Arial" w:cs="Arial" w:eastAsia="Arial" w:hAnsi="Arial"/>
                <w:sz w:val="18"/>
                <w:szCs w:val="18"/>
                <w:color w:val="0000EE"/>
                <w:w w:val="98"/>
              </w:rPr>
            </w:pPr>
            <w:hyperlink w:anchor="page60">
              <w:r>
                <w:rPr>
                  <w:rFonts w:ascii="Arial" w:cs="Arial" w:eastAsia="Arial" w:hAnsi="Arial"/>
                  <w:sz w:val="18"/>
                  <w:szCs w:val="18"/>
                  <w:color w:val="0000EE"/>
                  <w:w w:val="98"/>
                </w:rPr>
                <w:t>Item 2.</w:t>
              </w:r>
            </w:hyperlink>
          </w:p>
        </w:tc>
        <w:tc>
          <w:tcPr>
            <w:tcW w:w="80" w:type="dxa"/>
            <w:vAlign w:val="bottom"/>
          </w:tcPr>
          <w:p>
            <w:pPr>
              <w:spacing w:after="0"/>
              <w:rPr>
                <w:sz w:val="24"/>
                <w:szCs w:val="24"/>
                <w:color w:val="auto"/>
              </w:rPr>
            </w:pPr>
          </w:p>
        </w:tc>
        <w:tc>
          <w:tcPr>
            <w:tcW w:w="760" w:type="dxa"/>
            <w:vAlign w:val="bottom"/>
            <w:gridSpan w:val="3"/>
          </w:tcPr>
          <w:p>
            <w:pPr>
              <w:spacing w:after="0"/>
              <w:rPr>
                <w:sz w:val="24"/>
                <w:szCs w:val="24"/>
                <w:color w:val="auto"/>
              </w:rPr>
            </w:pPr>
          </w:p>
        </w:tc>
        <w:tc>
          <w:tcPr>
            <w:tcW w:w="400" w:type="dxa"/>
            <w:vAlign w:val="bottom"/>
          </w:tcPr>
          <w:p>
            <w:pPr>
              <w:spacing w:after="0"/>
              <w:rPr>
                <w:sz w:val="24"/>
                <w:szCs w:val="24"/>
                <w:color w:val="auto"/>
              </w:rPr>
            </w:pPr>
          </w:p>
        </w:tc>
        <w:tc>
          <w:tcPr>
            <w:tcW w:w="4360" w:type="dxa"/>
            <w:vAlign w:val="bottom"/>
            <w:tcBorders>
              <w:bottom w:val="single" w:sz="8" w:color="0000EE"/>
            </w:tcBorders>
            <w:gridSpan w:val="8"/>
          </w:tcPr>
          <w:p>
            <w:pPr>
              <w:spacing w:after="0"/>
              <w:rPr>
                <w:rFonts w:ascii="Arial" w:cs="Arial" w:eastAsia="Arial" w:hAnsi="Arial"/>
                <w:sz w:val="18"/>
                <w:szCs w:val="18"/>
                <w:color w:val="0000EE"/>
                <w:w w:val="89"/>
              </w:rPr>
            </w:pPr>
            <w:hyperlink w:anchor="page60">
              <w:r>
                <w:rPr>
                  <w:rFonts w:ascii="Arial" w:cs="Arial" w:eastAsia="Arial" w:hAnsi="Arial"/>
                  <w:sz w:val="18"/>
                  <w:szCs w:val="18"/>
                  <w:color w:val="0000EE"/>
                  <w:w w:val="89"/>
                </w:rPr>
                <w:t>Unregistered Sales of Equity Securities and Use of Proceeds</w:t>
              </w:r>
            </w:hyperlink>
          </w:p>
        </w:tc>
        <w:tc>
          <w:tcPr>
            <w:tcW w:w="3000" w:type="dxa"/>
            <w:vAlign w:val="bottom"/>
            <w:gridSpan w:val="2"/>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412"/>
        </w:trPr>
        <w:tc>
          <w:tcPr>
            <w:tcW w:w="760" w:type="dxa"/>
            <w:vAlign w:val="bottom"/>
            <w:gridSpan w:val="5"/>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Item 3.</w:t>
              </w:r>
            </w:hyperlink>
          </w:p>
        </w:tc>
        <w:tc>
          <w:tcPr>
            <w:tcW w:w="640" w:type="dxa"/>
            <w:vAlign w:val="bottom"/>
            <w:gridSpan w:val="2"/>
          </w:tcPr>
          <w:p>
            <w:pPr>
              <w:spacing w:after="0"/>
              <w:rPr>
                <w:sz w:val="24"/>
                <w:szCs w:val="24"/>
                <w:color w:val="auto"/>
              </w:rPr>
            </w:pPr>
          </w:p>
        </w:tc>
        <w:tc>
          <w:tcPr>
            <w:tcW w:w="400" w:type="dxa"/>
            <w:vAlign w:val="bottom"/>
          </w:tcPr>
          <w:p>
            <w:pPr>
              <w:spacing w:after="0"/>
              <w:rPr>
                <w:sz w:val="24"/>
                <w:szCs w:val="24"/>
                <w:color w:val="auto"/>
              </w:rPr>
            </w:pPr>
          </w:p>
        </w:tc>
        <w:tc>
          <w:tcPr>
            <w:tcW w:w="7360" w:type="dxa"/>
            <w:vAlign w:val="bottom"/>
            <w:gridSpan w:val="10"/>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Defaults Upon Senior Securities</w:t>
              </w:r>
            </w:hyperlink>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0"/>
        </w:trPr>
        <w:tc>
          <w:tcPr>
            <w:tcW w:w="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3580" w:type="dxa"/>
            <w:vAlign w:val="bottom"/>
            <w:gridSpan w:val="3"/>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r>
      <w:tr>
        <w:trPr>
          <w:trHeight w:val="412"/>
        </w:trPr>
        <w:tc>
          <w:tcPr>
            <w:tcW w:w="560" w:type="dxa"/>
            <w:vAlign w:val="bottom"/>
            <w:tcBorders>
              <w:bottom w:val="single" w:sz="8" w:color="0000EE"/>
            </w:tcBorders>
            <w:gridSpan w:val="3"/>
          </w:tcPr>
          <w:p>
            <w:pPr>
              <w:spacing w:after="0"/>
              <w:rPr>
                <w:rFonts w:ascii="Arial" w:cs="Arial" w:eastAsia="Arial" w:hAnsi="Arial"/>
                <w:sz w:val="18"/>
                <w:szCs w:val="18"/>
                <w:color w:val="0000EE"/>
                <w:w w:val="98"/>
              </w:rPr>
            </w:pPr>
            <w:hyperlink w:anchor="page60">
              <w:r>
                <w:rPr>
                  <w:rFonts w:ascii="Arial" w:cs="Arial" w:eastAsia="Arial" w:hAnsi="Arial"/>
                  <w:sz w:val="18"/>
                  <w:szCs w:val="18"/>
                  <w:color w:val="0000EE"/>
                  <w:w w:val="98"/>
                </w:rPr>
                <w:t>Item 4.</w:t>
              </w:r>
            </w:hyperlink>
          </w:p>
        </w:tc>
        <w:tc>
          <w:tcPr>
            <w:tcW w:w="200" w:type="dxa"/>
            <w:vAlign w:val="bottom"/>
            <w:gridSpan w:val="2"/>
          </w:tcPr>
          <w:p>
            <w:pPr>
              <w:spacing w:after="0"/>
              <w:rPr>
                <w:sz w:val="24"/>
                <w:szCs w:val="24"/>
                <w:color w:val="auto"/>
              </w:rPr>
            </w:pPr>
          </w:p>
        </w:tc>
        <w:tc>
          <w:tcPr>
            <w:tcW w:w="640" w:type="dxa"/>
            <w:vAlign w:val="bottom"/>
            <w:gridSpan w:val="2"/>
          </w:tcPr>
          <w:p>
            <w:pPr>
              <w:spacing w:after="0"/>
              <w:rPr>
                <w:sz w:val="24"/>
                <w:szCs w:val="24"/>
                <w:color w:val="auto"/>
              </w:rPr>
            </w:pPr>
          </w:p>
        </w:tc>
        <w:tc>
          <w:tcPr>
            <w:tcW w:w="400" w:type="dxa"/>
            <w:vAlign w:val="bottom"/>
          </w:tcPr>
          <w:p>
            <w:pPr>
              <w:spacing w:after="0"/>
              <w:rPr>
                <w:sz w:val="24"/>
                <w:szCs w:val="24"/>
                <w:color w:val="auto"/>
              </w:rPr>
            </w:pPr>
          </w:p>
        </w:tc>
        <w:tc>
          <w:tcPr>
            <w:tcW w:w="3780" w:type="dxa"/>
            <w:vAlign w:val="bottom"/>
            <w:tcBorders>
              <w:bottom w:val="single" w:sz="8" w:color="0000EE"/>
            </w:tcBorders>
            <w:gridSpan w:val="7"/>
          </w:tcPr>
          <w:p>
            <w:pPr>
              <w:spacing w:after="0"/>
              <w:rPr>
                <w:rFonts w:ascii="Arial" w:cs="Arial" w:eastAsia="Arial" w:hAnsi="Arial"/>
                <w:sz w:val="18"/>
                <w:szCs w:val="18"/>
                <w:color w:val="0000EE"/>
                <w:w w:val="91"/>
              </w:rPr>
            </w:pPr>
            <w:hyperlink w:anchor="page60">
              <w:r>
                <w:rPr>
                  <w:rFonts w:ascii="Arial" w:cs="Arial" w:eastAsia="Arial" w:hAnsi="Arial"/>
                  <w:sz w:val="18"/>
                  <w:szCs w:val="18"/>
                  <w:color w:val="0000EE"/>
                  <w:w w:val="91"/>
                </w:rPr>
                <w:t>Submission of Matters to a Vote of Security Holders</w:t>
              </w:r>
            </w:hyperlink>
          </w:p>
        </w:tc>
        <w:tc>
          <w:tcPr>
            <w:tcW w:w="3580" w:type="dxa"/>
            <w:vAlign w:val="bottom"/>
            <w:gridSpan w:val="3"/>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412"/>
        </w:trPr>
        <w:tc>
          <w:tcPr>
            <w:tcW w:w="540" w:type="dxa"/>
            <w:vAlign w:val="bottom"/>
            <w:tcBorders>
              <w:bottom w:val="single" w:sz="8" w:color="0000EE"/>
            </w:tcBorders>
            <w:gridSpan w:val="2"/>
          </w:tcPr>
          <w:p>
            <w:pPr>
              <w:spacing w:after="0"/>
              <w:rPr>
                <w:rFonts w:ascii="Arial" w:cs="Arial" w:eastAsia="Arial" w:hAnsi="Arial"/>
                <w:sz w:val="18"/>
                <w:szCs w:val="18"/>
                <w:color w:val="0000EE"/>
                <w:w w:val="94"/>
              </w:rPr>
            </w:pPr>
            <w:hyperlink w:anchor="page61">
              <w:r>
                <w:rPr>
                  <w:rFonts w:ascii="Arial" w:cs="Arial" w:eastAsia="Arial" w:hAnsi="Arial"/>
                  <w:sz w:val="18"/>
                  <w:szCs w:val="18"/>
                  <w:color w:val="0000EE"/>
                  <w:w w:val="94"/>
                </w:rPr>
                <w:t>Item 5.</w:t>
              </w:r>
            </w:hyperlink>
          </w:p>
        </w:tc>
        <w:tc>
          <w:tcPr>
            <w:tcW w:w="860" w:type="dxa"/>
            <w:vAlign w:val="bottom"/>
            <w:gridSpan w:val="5"/>
          </w:tcPr>
          <w:p>
            <w:pPr>
              <w:spacing w:after="0"/>
              <w:rPr>
                <w:sz w:val="24"/>
                <w:szCs w:val="24"/>
                <w:color w:val="auto"/>
              </w:rPr>
            </w:pPr>
          </w:p>
        </w:tc>
        <w:tc>
          <w:tcPr>
            <w:tcW w:w="400" w:type="dxa"/>
            <w:vAlign w:val="bottom"/>
          </w:tcPr>
          <w:p>
            <w:pPr>
              <w:spacing w:after="0"/>
              <w:rPr>
                <w:sz w:val="24"/>
                <w:szCs w:val="24"/>
                <w:color w:val="auto"/>
              </w:rPr>
            </w:pPr>
          </w:p>
        </w:tc>
        <w:tc>
          <w:tcPr>
            <w:tcW w:w="1320" w:type="dxa"/>
            <w:vAlign w:val="bottom"/>
            <w:tcBorders>
              <w:bottom w:val="single" w:sz="8" w:color="0000EE"/>
            </w:tcBorders>
            <w:gridSpan w:val="3"/>
          </w:tcPr>
          <w:p>
            <w:pPr>
              <w:spacing w:after="0"/>
              <w:rPr>
                <w:rFonts w:ascii="Arial" w:cs="Arial" w:eastAsia="Arial" w:hAnsi="Arial"/>
                <w:sz w:val="18"/>
                <w:szCs w:val="18"/>
                <w:color w:val="0000EE"/>
                <w:w w:val="92"/>
              </w:rPr>
            </w:pPr>
            <w:hyperlink w:anchor="page61">
              <w:r>
                <w:rPr>
                  <w:rFonts w:ascii="Arial" w:cs="Arial" w:eastAsia="Arial" w:hAnsi="Arial"/>
                  <w:sz w:val="18"/>
                  <w:szCs w:val="18"/>
                  <w:color w:val="0000EE"/>
                  <w:w w:val="92"/>
                </w:rPr>
                <w:t>Other Information</w:t>
              </w:r>
            </w:hyperlink>
          </w:p>
        </w:tc>
        <w:tc>
          <w:tcPr>
            <w:tcW w:w="6040" w:type="dxa"/>
            <w:vAlign w:val="bottom"/>
            <w:gridSpan w:val="7"/>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412"/>
        </w:trPr>
        <w:tc>
          <w:tcPr>
            <w:tcW w:w="520" w:type="dxa"/>
            <w:vAlign w:val="bottom"/>
          </w:tcPr>
          <w:p>
            <w:pPr>
              <w:spacing w:after="0"/>
              <w:rPr>
                <w:rFonts w:ascii="Arial" w:cs="Arial" w:eastAsia="Arial" w:hAnsi="Arial"/>
                <w:sz w:val="18"/>
                <w:szCs w:val="18"/>
                <w:color w:val="0000EE"/>
                <w:w w:val="90"/>
              </w:rPr>
            </w:pPr>
            <w:hyperlink w:anchor="page61">
              <w:r>
                <w:rPr>
                  <w:rFonts w:ascii="Arial" w:cs="Arial" w:eastAsia="Arial" w:hAnsi="Arial"/>
                  <w:sz w:val="18"/>
                  <w:szCs w:val="18"/>
                  <w:color w:val="0000EE"/>
                  <w:w w:val="90"/>
                </w:rPr>
                <w:t>Item 6.</w:t>
              </w:r>
            </w:hyperlink>
          </w:p>
        </w:tc>
        <w:tc>
          <w:tcPr>
            <w:tcW w:w="880" w:type="dxa"/>
            <w:vAlign w:val="bottom"/>
            <w:gridSpan w:val="6"/>
          </w:tcPr>
          <w:p>
            <w:pPr>
              <w:spacing w:after="0"/>
              <w:rPr>
                <w:sz w:val="24"/>
                <w:szCs w:val="24"/>
                <w:color w:val="auto"/>
              </w:rPr>
            </w:pPr>
          </w:p>
        </w:tc>
        <w:tc>
          <w:tcPr>
            <w:tcW w:w="400" w:type="dxa"/>
            <w:vAlign w:val="bottom"/>
          </w:tcPr>
          <w:p>
            <w:pPr>
              <w:spacing w:after="0"/>
              <w:rPr>
                <w:sz w:val="24"/>
                <w:szCs w:val="24"/>
                <w:color w:val="auto"/>
              </w:rPr>
            </w:pPr>
          </w:p>
        </w:tc>
        <w:tc>
          <w:tcPr>
            <w:tcW w:w="7360" w:type="dxa"/>
            <w:vAlign w:val="bottom"/>
            <w:gridSpan w:val="10"/>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Exhibits</w:t>
              </w:r>
            </w:hyperlink>
          </w:p>
        </w:tc>
        <w:tc>
          <w:tcPr>
            <w:tcW w:w="224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r>
      <w:tr>
        <w:trPr>
          <w:trHeight w:val="412"/>
        </w:trPr>
        <w:tc>
          <w:tcPr>
            <w:tcW w:w="1400" w:type="dxa"/>
            <w:vAlign w:val="bottom"/>
            <w:gridSpan w:val="7"/>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Signatures</w:t>
              </w:r>
            </w:hyperlink>
          </w:p>
        </w:tc>
        <w:tc>
          <w:tcPr>
            <w:tcW w:w="4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88</w:t>
            </w:r>
          </w:p>
        </w:tc>
      </w:tr>
      <w:tr>
        <w:trPr>
          <w:trHeight w:val="20"/>
        </w:trPr>
        <w:tc>
          <w:tcPr>
            <w:tcW w:w="760" w:type="dxa"/>
            <w:vAlign w:val="bottom"/>
            <w:gridSpan w:val="5"/>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r>
      <w:tr>
        <w:trPr>
          <w:trHeight w:val="412"/>
        </w:trPr>
        <w:tc>
          <w:tcPr>
            <w:tcW w:w="1400" w:type="dxa"/>
            <w:vAlign w:val="bottom"/>
            <w:gridSpan w:val="7"/>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Exhibit Index</w:t>
              </w:r>
            </w:hyperlink>
          </w:p>
        </w:tc>
        <w:tc>
          <w:tcPr>
            <w:tcW w:w="4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224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723"/>
        </w:trPr>
        <w:tc>
          <w:tcPr>
            <w:tcW w:w="5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400" w:type="dxa"/>
            <w:vAlign w:val="bottom"/>
          </w:tcPr>
          <w:p>
            <w:pPr>
              <w:spacing w:after="0"/>
              <w:rPr>
                <w:sz w:val="24"/>
                <w:szCs w:val="24"/>
                <w:color w:val="auto"/>
              </w:rPr>
            </w:pPr>
          </w:p>
        </w:tc>
        <w:tc>
          <w:tcPr>
            <w:tcW w:w="4760" w:type="dxa"/>
            <w:vAlign w:val="bottom"/>
            <w:gridSpan w:val="9"/>
          </w:tcPr>
          <w:p>
            <w:pPr>
              <w:jc w:val="right"/>
              <w:ind w:right="400"/>
              <w:spacing w:after="0"/>
              <w:rPr>
                <w:sz w:val="20"/>
                <w:szCs w:val="20"/>
                <w:color w:val="auto"/>
              </w:rPr>
            </w:pPr>
            <w:r>
              <w:rPr>
                <w:rFonts w:ascii="Arial" w:cs="Arial" w:eastAsia="Arial" w:hAnsi="Arial"/>
                <w:sz w:val="18"/>
                <w:szCs w:val="18"/>
                <w:color w:val="auto"/>
              </w:rPr>
              <w:t>2</w:t>
            </w:r>
          </w:p>
        </w:tc>
        <w:tc>
          <w:tcPr>
            <w:tcW w:w="94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22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right="80" w:firstLine="648"/>
        <w:spacing w:after="0" w:line="286" w:lineRule="auto"/>
        <w:rPr>
          <w:sz w:val="20"/>
          <w:szCs w:val="20"/>
          <w:color w:val="auto"/>
        </w:rPr>
      </w:pPr>
      <w:r>
        <w:rPr>
          <w:rFonts w:ascii="Arial" w:cs="Arial" w:eastAsia="Arial" w:hAnsi="Arial"/>
          <w:sz w:val="17"/>
          <w:szCs w:val="17"/>
          <w:color w:val="auto"/>
        </w:rPr>
        <w:t>In this Form 10-Q, we are restating our consolidated financial statements and related disclosures as of January 28, 2006 and for the three and six months ended July 30, 2005. This Form 10-Q also reflects the restatement of “Management’s Discussion and Analysis of Financial Condition and Results of Operations” in Item 2 for the second quarter of fiscal 2006, “Controls and Procedures” in Item 4 and new management certifications.</w:t>
      </w:r>
    </w:p>
    <w:p>
      <w:pPr>
        <w:spacing w:after="0" w:line="166" w:lineRule="exact"/>
        <w:rPr>
          <w:sz w:val="20"/>
          <w:szCs w:val="20"/>
          <w:color w:val="auto"/>
        </w:rPr>
      </w:pPr>
    </w:p>
    <w:p>
      <w:pPr>
        <w:jc w:val="both"/>
        <w:ind w:right="40" w:firstLine="648"/>
        <w:spacing w:after="0" w:line="257" w:lineRule="auto"/>
        <w:rPr>
          <w:sz w:val="20"/>
          <w:szCs w:val="20"/>
          <w:color w:val="auto"/>
        </w:rPr>
      </w:pPr>
      <w:r>
        <w:rPr>
          <w:rFonts w:ascii="Arial" w:cs="Arial" w:eastAsia="Arial" w:hAnsi="Arial"/>
          <w:sz w:val="18"/>
          <w:szCs w:val="18"/>
          <w:color w:val="auto"/>
        </w:rPr>
        <w:t>For more information regarding our internal review of historical stock option practices and related accounting matters and the restatement of stock-based compensation and other items, please refer to Note 1, “Restatement of Consolidated Financial Statements” to Item 1, “Financial Statements” and Item 2, “Management’s Discussion and Analysis of Financial Condition and Results of Operations”. For more information regarding the deficiencies noted in the internal review relating to stock option practices and our remedial measures, refer in Part I to “Management’s Discussion and Analysis of Financial Condition and Results of Operation” in Item 2 and “Controls and Procedures” in Item 4.</w:t>
      </w:r>
    </w:p>
    <w:p>
      <w:pPr>
        <w:spacing w:after="0" w:line="188" w:lineRule="exact"/>
        <w:rPr>
          <w:sz w:val="20"/>
          <w:szCs w:val="20"/>
          <w:color w:val="auto"/>
        </w:rPr>
      </w:pPr>
    </w:p>
    <w:p>
      <w:pPr>
        <w:ind w:right="200" w:firstLine="648"/>
        <w:spacing w:after="0" w:line="279" w:lineRule="auto"/>
        <w:rPr>
          <w:sz w:val="20"/>
          <w:szCs w:val="20"/>
          <w:color w:val="auto"/>
        </w:rPr>
      </w:pPr>
      <w:r>
        <w:rPr>
          <w:rFonts w:ascii="Arial" w:cs="Arial" w:eastAsia="Arial" w:hAnsi="Arial"/>
          <w:sz w:val="17"/>
          <w:szCs w:val="17"/>
          <w:color w:val="auto"/>
        </w:rPr>
        <w:t>We have not amended any of our other previously filed annual reports on Form 10-K or quarterly reports on Form 10-Q for the periods affected by the restatement except for the Form 10-Q/A concurrently filed with this Form 10-Q for the first quarter of fiscal 2007. Consequently, the consolidated financial statements and related financial information contained in such previously filed reports should no longer be relied upon. Our Form 10-K for fiscal year ended January 27, 2007 includes the restatement of all periods through the first quarter of fiscal 2007.</w:t>
      </w: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jc w:val="right"/>
              <w:ind w:right="193"/>
              <w:spacing w:after="0"/>
              <w:rPr>
                <w:sz w:val="20"/>
                <w:szCs w:val="20"/>
                <w:color w:val="auto"/>
              </w:rPr>
            </w:pPr>
            <w:r>
              <w:rPr>
                <w:rFonts w:ascii="Arial" w:cs="Arial" w:eastAsia="Arial" w:hAnsi="Arial"/>
                <w:sz w:val="14"/>
                <w:szCs w:val="14"/>
                <w:b w:val="1"/>
                <w:bCs w:val="1"/>
                <w:color w:val="auto"/>
              </w:rPr>
              <w:t>July 29,</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January 28,</w:t>
            </w:r>
          </w:p>
        </w:tc>
      </w:tr>
      <w:tr>
        <w:trPr>
          <w:trHeight w:val="161"/>
        </w:trPr>
        <w:tc>
          <w:tcPr>
            <w:tcW w:w="89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83"/>
              </w:rPr>
              <w:t>2006</w:t>
            </w:r>
          </w:p>
        </w:tc>
        <w:tc>
          <w:tcPr>
            <w:tcW w:w="80" w:type="dxa"/>
            <w:vAlign w:val="bottom"/>
          </w:tcPr>
          <w:p>
            <w:pPr>
              <w:spacing w:after="0"/>
              <w:rPr>
                <w:sz w:val="14"/>
                <w:szCs w:val="14"/>
                <w:color w:val="auto"/>
              </w:rPr>
            </w:pPr>
          </w:p>
        </w:tc>
      </w:tr>
      <w:tr>
        <w:trPr>
          <w:trHeight w:val="129"/>
        </w:trPr>
        <w:tc>
          <w:tcPr>
            <w:tcW w:w="89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34"/>
              <w:spacing w:after="0" w:line="129" w:lineRule="exact"/>
              <w:rPr>
                <w:sz w:val="20"/>
                <w:szCs w:val="20"/>
                <w:color w:val="auto"/>
              </w:rPr>
            </w:pPr>
            <w:r>
              <w:rPr>
                <w:rFonts w:ascii="Arial" w:cs="Arial" w:eastAsia="Arial" w:hAnsi="Arial"/>
                <w:sz w:val="14"/>
                <w:szCs w:val="14"/>
                <w:b w:val="1"/>
                <w:bCs w:val="1"/>
                <w:color w:val="auto"/>
                <w:w w:val="91"/>
              </w:rPr>
              <w:t>(restated) (1)</w:t>
            </w:r>
          </w:p>
        </w:tc>
        <w:tc>
          <w:tcPr>
            <w:tcW w:w="80" w:type="dxa"/>
            <w:vAlign w:val="bottom"/>
          </w:tcPr>
          <w:p>
            <w:pPr>
              <w:spacing w:after="0"/>
              <w:rPr>
                <w:sz w:val="11"/>
                <w:szCs w:val="11"/>
                <w:color w:val="auto"/>
              </w:rPr>
            </w:pPr>
          </w:p>
        </w:tc>
      </w:tr>
      <w:tr>
        <w:trPr>
          <w:trHeight w:val="216"/>
        </w:trPr>
        <w:tc>
          <w:tcPr>
            <w:tcW w:w="8980" w:type="dxa"/>
            <w:vAlign w:val="bottom"/>
            <w:shd w:val="clear" w:color="auto" w:fill="CCEEFF"/>
          </w:tcPr>
          <w:p>
            <w:pPr>
              <w:ind w:left="4000"/>
              <w:spacing w:after="0"/>
              <w:rPr>
                <w:sz w:val="20"/>
                <w:szCs w:val="20"/>
                <w:color w:val="auto"/>
              </w:rPr>
            </w:pPr>
            <w:r>
              <w:rPr>
                <w:rFonts w:ascii="Arial" w:cs="Arial" w:eastAsia="Arial" w:hAnsi="Arial"/>
                <w:sz w:val="18"/>
                <w:szCs w:val="18"/>
                <w:b w:val="1"/>
                <w:bCs w:val="1"/>
                <w:color w:val="auto"/>
              </w:rPr>
              <w:t>ASSETS</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Current assets:</w:t>
            </w: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348,315</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449,411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 of allowances of $3,092 and $3,028</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231,096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107,050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Deferred income taxes</w:t>
            </w: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80" w:type="dxa"/>
            <w:vAlign w:val="bottom"/>
            <w:tcBorders>
              <w:bottom w:val="single" w:sz="8" w:color="CCEEFF"/>
            </w:tcBorders>
          </w:tcPr>
          <w:p>
            <w:pPr>
              <w:spacing w:after="0"/>
              <w:rPr>
                <w:sz w:val="18"/>
                <w:szCs w:val="18"/>
                <w:color w:val="auto"/>
              </w:rPr>
            </w:pPr>
          </w:p>
        </w:tc>
      </w:tr>
      <w:tr>
        <w:trPr>
          <w:trHeight w:val="210"/>
        </w:trPr>
        <w:tc>
          <w:tcPr>
            <w:tcW w:w="89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 current assets</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1,482,597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329,296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1,639,184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251,803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123,032</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80" w:type="dxa"/>
            <w:vAlign w:val="bottom"/>
            <w:shd w:val="clear" w:color="auto" w:fill="CCEEFF"/>
          </w:tcPr>
          <w:p>
            <w:pPr>
              <w:spacing w:after="0"/>
              <w:rPr>
                <w:sz w:val="18"/>
                <w:szCs w:val="18"/>
                <w:color w:val="auto"/>
              </w:rPr>
            </w:pPr>
          </w:p>
        </w:tc>
      </w:tr>
      <w:tr>
        <w:trPr>
          <w:trHeight w:val="250"/>
        </w:trPr>
        <w:tc>
          <w:tcPr>
            <w:tcW w:w="89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assets</w:t>
            </w:r>
          </w:p>
        </w:tc>
        <w:tc>
          <w:tcPr>
            <w:tcW w:w="180" w:type="dxa"/>
            <w:vAlign w:val="bottom"/>
            <w:tcBorders>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3,825,912</w:t>
            </w:r>
          </w:p>
        </w:tc>
        <w:tc>
          <w:tcPr>
            <w:tcW w:w="28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80" w:type="dxa"/>
            <w:vAlign w:val="bottom"/>
            <w:tcBorders>
              <w:bottom w:val="single" w:sz="8" w:color="CCEEFF"/>
            </w:tcBorders>
          </w:tcPr>
          <w:p>
            <w:pPr>
              <w:spacing w:after="0"/>
              <w:rPr>
                <w:sz w:val="21"/>
                <w:szCs w:val="21"/>
                <w:color w:val="auto"/>
              </w:rPr>
            </w:pPr>
          </w:p>
        </w:tc>
      </w:tr>
      <w:tr>
        <w:trPr>
          <w:trHeight w:val="170"/>
        </w:trPr>
        <w:tc>
          <w:tcPr>
            <w:tcW w:w="8980" w:type="dxa"/>
            <w:vAlign w:val="bottom"/>
            <w:shd w:val="clear" w:color="auto" w:fill="CCEEFF"/>
          </w:tcPr>
          <w:p>
            <w:pPr>
              <w:ind w:left="2400"/>
              <w:spacing w:after="0" w:line="170" w:lineRule="exact"/>
              <w:rPr>
                <w:sz w:val="20"/>
                <w:szCs w:val="20"/>
                <w:color w:val="auto"/>
              </w:rPr>
            </w:pPr>
            <w:r>
              <w:rPr>
                <w:rFonts w:ascii="Arial" w:cs="Arial" w:eastAsia="Arial" w:hAnsi="Arial"/>
                <w:sz w:val="18"/>
                <w:szCs w:val="18"/>
                <w:b w:val="1"/>
                <w:bCs w:val="1"/>
                <w:color w:val="auto"/>
              </w:rPr>
              <w:t>LIABILITIES AND SHAREHOLDERS’ EQUITY</w:t>
            </w:r>
          </w:p>
        </w:tc>
        <w:tc>
          <w:tcPr>
            <w:tcW w:w="18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Current liabilities:</w:t>
            </w: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212,127</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shd w:val="clear" w:color="auto" w:fill="CCEEFF"/>
          </w:tcPr>
          <w:p>
            <w:pPr>
              <w:spacing w:after="0"/>
              <w:rPr>
                <w:sz w:val="18"/>
                <w:szCs w:val="18"/>
                <w:color w:val="auto"/>
              </w:rPr>
            </w:pPr>
          </w:p>
        </w:tc>
      </w:tr>
    </w:tbl>
    <w:p>
      <w:pPr>
        <w:sectPr>
          <w:pgSz w:w="11900" w:h="16838" w:orient="portrait"/>
          <w:cols w:equalWidth="0" w:num="1">
            <w:col w:w="11420"/>
          </w:cols>
          <w:pgMar w:left="240" w:top="324" w:right="239" w:bottom="0" w:gutter="0" w:footer="0" w:header="0"/>
        </w:sectPr>
      </w:pPr>
    </w:p>
    <w:bookmarkStart w:id="2" w:name="page3"/>
    <w:bookmarkEnd w:id="2"/>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980" w:type="dxa"/>
            <w:vAlign w:val="bottom"/>
          </w:tcPr>
          <w:p>
            <w:pPr>
              <w:ind w:left="180"/>
              <w:spacing w:after="0"/>
              <w:rPr>
                <w:sz w:val="20"/>
                <w:szCs w:val="20"/>
                <w:color w:val="auto"/>
              </w:rPr>
            </w:pPr>
            <w:r>
              <w:rPr>
                <w:rFonts w:ascii="Arial" w:cs="Arial" w:eastAsia="Arial" w:hAnsi="Arial"/>
                <w:sz w:val="18"/>
                <w:szCs w:val="18"/>
                <w:color w:val="auto"/>
              </w:rPr>
              <w:t>Accrued liabilities</w:t>
            </w:r>
          </w:p>
        </w:tc>
        <w:tc>
          <w:tcPr>
            <w:tcW w:w="1040" w:type="dxa"/>
            <w:vAlign w:val="bottom"/>
          </w:tcPr>
          <w:p>
            <w:pPr>
              <w:jc w:val="right"/>
              <w:spacing w:after="0"/>
              <w:rPr>
                <w:sz w:val="20"/>
                <w:szCs w:val="20"/>
                <w:color w:val="auto"/>
              </w:rPr>
            </w:pPr>
            <w:r>
              <w:rPr>
                <w:rFonts w:ascii="Arial" w:cs="Arial" w:eastAsia="Arial" w:hAnsi="Arial"/>
                <w:sz w:val="18"/>
                <w:szCs w:val="18"/>
                <w:color w:val="auto"/>
              </w:rPr>
              <w:t>54,107</w:t>
            </w:r>
          </w:p>
        </w:tc>
        <w:tc>
          <w:tcPr>
            <w:tcW w:w="280" w:type="dxa"/>
            <w:vAlign w:val="bottom"/>
          </w:tcPr>
          <w:p>
            <w:pPr>
              <w:spacing w:after="0"/>
              <w:rPr>
                <w:sz w:val="20"/>
                <w:szCs w:val="20"/>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34,905</w:t>
            </w:r>
          </w:p>
        </w:tc>
        <w:tc>
          <w:tcPr>
            <w:tcW w:w="80" w:type="dxa"/>
            <w:vAlign w:val="bottom"/>
          </w:tcPr>
          <w:p>
            <w:pPr>
              <w:spacing w:after="0"/>
              <w:rPr>
                <w:sz w:val="20"/>
                <w:szCs w:val="20"/>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employee compensation</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57,048</w:t>
            </w:r>
          </w:p>
        </w:tc>
        <w:tc>
          <w:tcPr>
            <w:tcW w:w="2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59,177</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Income taxes payable</w:t>
            </w:r>
          </w:p>
        </w:tc>
        <w:tc>
          <w:tcPr>
            <w:tcW w:w="1040" w:type="dxa"/>
            <w:vAlign w:val="bottom"/>
          </w:tcPr>
          <w:p>
            <w:pPr>
              <w:jc w:val="right"/>
              <w:spacing w:after="0"/>
              <w:rPr>
                <w:sz w:val="20"/>
                <w:szCs w:val="20"/>
                <w:color w:val="auto"/>
              </w:rPr>
            </w:pPr>
            <w:r>
              <w:rPr>
                <w:rFonts w:ascii="Arial" w:cs="Arial" w:eastAsia="Arial" w:hAnsi="Arial"/>
                <w:sz w:val="18"/>
                <w:szCs w:val="18"/>
                <w:color w:val="auto"/>
              </w:rPr>
              <w:t>27,756</w:t>
            </w:r>
          </w:p>
        </w:tc>
        <w:tc>
          <w:tcPr>
            <w:tcW w:w="28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24,394</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29,495</w:t>
            </w:r>
          </w:p>
        </w:tc>
        <w:tc>
          <w:tcPr>
            <w:tcW w:w="2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29,773</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1040" w:type="dxa"/>
            <w:vAlign w:val="bottom"/>
          </w:tcPr>
          <w:p>
            <w:pPr>
              <w:jc w:val="right"/>
              <w:spacing w:after="0"/>
              <w:rPr>
                <w:sz w:val="20"/>
                <w:szCs w:val="20"/>
                <w:color w:val="auto"/>
              </w:rPr>
            </w:pPr>
            <w:r>
              <w:rPr>
                <w:rFonts w:ascii="Arial" w:cs="Arial" w:eastAsia="Arial" w:hAnsi="Arial"/>
                <w:sz w:val="18"/>
                <w:szCs w:val="18"/>
                <w:color w:val="auto"/>
              </w:rPr>
              <w:t>17,983</w:t>
            </w:r>
          </w:p>
        </w:tc>
        <w:tc>
          <w:tcPr>
            <w:tcW w:w="28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16,563</w:t>
            </w:r>
          </w:p>
        </w:tc>
        <w:tc>
          <w:tcPr>
            <w:tcW w:w="80" w:type="dxa"/>
            <w:vAlign w:val="bottom"/>
          </w:tcPr>
          <w:p>
            <w:pPr>
              <w:spacing w:after="0"/>
              <w:rPr>
                <w:sz w:val="18"/>
                <w:szCs w:val="18"/>
                <w:color w:val="auto"/>
              </w:rPr>
            </w:pPr>
          </w:p>
        </w:tc>
      </w:tr>
      <w:tr>
        <w:trPr>
          <w:trHeight w:val="210"/>
        </w:trPr>
        <w:tc>
          <w:tcPr>
            <w:tcW w:w="898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current liabilities</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398,516</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361,418</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1040" w:type="dxa"/>
            <w:vAlign w:val="bottom"/>
          </w:tcPr>
          <w:p>
            <w:pPr>
              <w:jc w:val="right"/>
              <w:spacing w:after="0"/>
              <w:rPr>
                <w:sz w:val="20"/>
                <w:szCs w:val="20"/>
                <w:color w:val="auto"/>
              </w:rPr>
            </w:pPr>
            <w:r>
              <w:rPr>
                <w:rFonts w:ascii="Arial" w:cs="Arial" w:eastAsia="Arial" w:hAnsi="Arial"/>
                <w:sz w:val="18"/>
                <w:szCs w:val="18"/>
                <w:color w:val="auto"/>
              </w:rPr>
              <w:t>24,181</w:t>
            </w:r>
          </w:p>
        </w:tc>
        <w:tc>
          <w:tcPr>
            <w:tcW w:w="28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24,447</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108,272</w:t>
            </w:r>
          </w:p>
        </w:tc>
        <w:tc>
          <w:tcPr>
            <w:tcW w:w="2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86,545</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040" w:type="dxa"/>
            <w:vAlign w:val="bottom"/>
          </w:tcPr>
          <w:p>
            <w:pPr>
              <w:jc w:val="right"/>
              <w:spacing w:after="0"/>
              <w:rPr>
                <w:sz w:val="20"/>
                <w:szCs w:val="20"/>
                <w:color w:val="auto"/>
              </w:rPr>
            </w:pPr>
            <w:r>
              <w:rPr>
                <w:rFonts w:ascii="Arial" w:cs="Arial" w:eastAsia="Arial" w:hAnsi="Arial"/>
                <w:sz w:val="18"/>
                <w:szCs w:val="18"/>
                <w:color w:val="auto"/>
              </w:rPr>
              <w:t>34,583</w:t>
            </w:r>
          </w:p>
        </w:tc>
        <w:tc>
          <w:tcPr>
            <w:tcW w:w="28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Pr>
          <w:p>
            <w:pPr>
              <w:spacing w:after="0"/>
              <w:rPr>
                <w:sz w:val="18"/>
                <w:szCs w:val="18"/>
                <w:color w:val="auto"/>
              </w:rPr>
            </w:pPr>
          </w:p>
        </w:tc>
      </w:tr>
      <w:tr>
        <w:trPr>
          <w:trHeight w:val="210"/>
        </w:trPr>
        <w:tc>
          <w:tcPr>
            <w:tcW w:w="898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565,552</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497,281</w:t>
            </w:r>
          </w:p>
        </w:tc>
        <w:tc>
          <w:tcPr>
            <w:tcW w:w="80" w:type="dxa"/>
            <w:vAlign w:val="bottom"/>
            <w:tcBorders>
              <w:top w:val="single" w:sz="8" w:color="CCEEFF"/>
            </w:tcBorders>
            <w:shd w:val="clear" w:color="auto" w:fill="CCEEFF"/>
          </w:tcPr>
          <w:p>
            <w:pPr>
              <w:spacing w:after="0"/>
              <w:rPr>
                <w:sz w:val="18"/>
                <w:szCs w:val="18"/>
                <w:color w:val="auto"/>
              </w:rPr>
            </w:pPr>
          </w:p>
        </w:tc>
      </w:tr>
      <w:tr>
        <w:trPr>
          <w:trHeight w:val="196"/>
        </w:trPr>
        <w:tc>
          <w:tcPr>
            <w:tcW w:w="898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7)</w:t>
            </w:r>
          </w:p>
        </w:tc>
        <w:tc>
          <w:tcPr>
            <w:tcW w:w="10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w w:val="95"/>
              </w:rPr>
              <w:t>Common stock, $0.002 par value; 992,000 shares authorized; 587,081 and 582,776 shares issued and outstanding</w:t>
            </w:r>
          </w:p>
        </w:tc>
        <w:tc>
          <w:tcPr>
            <w:tcW w:w="1040" w:type="dxa"/>
            <w:vAlign w:val="bottom"/>
          </w:tcPr>
          <w:p>
            <w:pPr>
              <w:jc w:val="right"/>
              <w:spacing w:after="0"/>
              <w:rPr>
                <w:sz w:val="20"/>
                <w:szCs w:val="20"/>
                <w:color w:val="auto"/>
              </w:rPr>
            </w:pPr>
            <w:r>
              <w:rPr>
                <w:rFonts w:ascii="Arial" w:cs="Arial" w:eastAsia="Arial" w:hAnsi="Arial"/>
                <w:sz w:val="18"/>
                <w:szCs w:val="18"/>
                <w:color w:val="auto"/>
              </w:rPr>
              <w:t>1,175</w:t>
            </w:r>
          </w:p>
        </w:tc>
        <w:tc>
          <w:tcPr>
            <w:tcW w:w="28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1,165</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3,702,433</w:t>
            </w:r>
          </w:p>
        </w:tc>
        <w:tc>
          <w:tcPr>
            <w:tcW w:w="2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3,634,239</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Deferred stock-based compensation</w:t>
            </w: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(61,987)</w:t>
            </w: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other comprehensive loss</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(1,259)</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(1,759)</w:t>
            </w: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Accumulated deficit</w:t>
            </w: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(441,989)</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(564,433)</w:t>
            </w:r>
          </w:p>
        </w:tc>
      </w:tr>
      <w:tr>
        <w:trPr>
          <w:trHeight w:val="210"/>
        </w:trPr>
        <w:tc>
          <w:tcPr>
            <w:tcW w:w="898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shareholders’ equity</w:t>
            </w: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3,260,360</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3,007,225</w:t>
            </w:r>
          </w:p>
        </w:tc>
        <w:tc>
          <w:tcPr>
            <w:tcW w:w="80" w:type="dxa"/>
            <w:vAlign w:val="bottom"/>
            <w:tcBorders>
              <w:top w:val="single" w:sz="8" w:color="CCEEFF"/>
            </w:tcBorders>
            <w:shd w:val="clear" w:color="auto" w:fill="CCEEFF"/>
          </w:tcPr>
          <w:p>
            <w:pPr>
              <w:spacing w:after="0"/>
              <w:rPr>
                <w:sz w:val="18"/>
                <w:szCs w:val="18"/>
                <w:color w:val="auto"/>
              </w:rPr>
            </w:pPr>
          </w:p>
        </w:tc>
      </w:tr>
      <w:tr>
        <w:trPr>
          <w:trHeight w:val="210"/>
        </w:trPr>
        <w:tc>
          <w:tcPr>
            <w:tcW w:w="8980" w:type="dxa"/>
            <w:vAlign w:val="bottom"/>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   3,825,912</w:t>
            </w:r>
          </w:p>
        </w:tc>
        <w:tc>
          <w:tcPr>
            <w:tcW w:w="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   3,504,506</w:t>
            </w:r>
          </w:p>
        </w:tc>
        <w:tc>
          <w:tcPr>
            <w:tcW w:w="80" w:type="dxa"/>
            <w:vAlign w:val="bottom"/>
          </w:tcPr>
          <w:p>
            <w:pPr>
              <w:spacing w:after="0"/>
              <w:rPr>
                <w:sz w:val="18"/>
                <w:szCs w:val="18"/>
                <w:color w:val="auto"/>
              </w:rPr>
            </w:pPr>
          </w:p>
        </w:tc>
      </w:tr>
      <w:tr>
        <w:trPr>
          <w:trHeight w:val="20"/>
        </w:trPr>
        <w:tc>
          <w:tcPr>
            <w:tcW w:w="898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INCOME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7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8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20" w:type="dxa"/>
            <w:vAlign w:val="bottom"/>
            <w:gridSpan w:val="5"/>
          </w:tcPr>
          <w:p>
            <w:pPr>
              <w:ind w:left="4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57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20" w:type="dxa"/>
            <w:vAlign w:val="bottom"/>
            <w:tcBorders>
              <w:top w:val="single" w:sz="8" w:color="auto"/>
            </w:tcBorders>
            <w:gridSpan w:val="2"/>
          </w:tcPr>
          <w:p>
            <w:pPr>
              <w:jc w:val="right"/>
              <w:ind w:right="54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920" w:type="dxa"/>
            <w:vAlign w:val="bottom"/>
            <w:tcBorders>
              <w:top w:val="single" w:sz="8" w:color="auto"/>
            </w:tcBorders>
          </w:tcPr>
          <w:p>
            <w:pPr>
              <w:jc w:val="center"/>
              <w:ind w:right="33"/>
              <w:spacing w:after="0" w:line="103" w:lineRule="exact"/>
              <w:rPr>
                <w:sz w:val="20"/>
                <w:szCs w:val="20"/>
                <w:color w:val="auto"/>
              </w:rPr>
            </w:pPr>
            <w:r>
              <w:rPr>
                <w:rFonts w:ascii="Arial" w:cs="Arial" w:eastAsia="Arial" w:hAnsi="Arial"/>
                <w:sz w:val="11"/>
                <w:szCs w:val="11"/>
                <w:b w:val="1"/>
                <w:bCs w:val="1"/>
                <w:color w:val="auto"/>
              </w:rPr>
              <w:t>July 30,</w:t>
            </w: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40" w:type="dxa"/>
            <w:vAlign w:val="bottom"/>
            <w:tcBorders>
              <w:top w:val="single" w:sz="8" w:color="auto"/>
            </w:tcBorders>
            <w:gridSpan w:val="2"/>
          </w:tcPr>
          <w:p>
            <w:pPr>
              <w:jc w:val="right"/>
              <w:ind w:right="56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940" w:type="dxa"/>
            <w:vAlign w:val="bottom"/>
            <w:tcBorders>
              <w:top w:val="single" w:sz="8" w:color="auto"/>
            </w:tcBorders>
          </w:tcPr>
          <w:p>
            <w:pPr>
              <w:jc w:val="center"/>
              <w:ind w:right="13"/>
              <w:spacing w:after="0" w:line="103" w:lineRule="exact"/>
              <w:rPr>
                <w:sz w:val="20"/>
                <w:szCs w:val="20"/>
                <w:color w:val="auto"/>
              </w:rPr>
            </w:pPr>
            <w:r>
              <w:rPr>
                <w:rFonts w:ascii="Arial" w:cs="Arial" w:eastAsia="Arial" w:hAnsi="Arial"/>
                <w:sz w:val="11"/>
                <w:szCs w:val="11"/>
                <w:b w:val="1"/>
                <w:bCs w:val="1"/>
                <w:color w:val="auto"/>
              </w:rPr>
              <w:t>July 30,</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57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3"/>
              </w:rPr>
              <w:t>2005</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2005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7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jc w:val="center"/>
              <w:ind w:right="13"/>
              <w:spacing w:after="0" w:line="129" w:lineRule="exact"/>
              <w:rPr>
                <w:sz w:val="20"/>
                <w:szCs w:val="20"/>
                <w:color w:val="auto"/>
              </w:rPr>
            </w:pPr>
            <w:r>
              <w:rPr>
                <w:rFonts w:ascii="Arial" w:cs="Arial" w:eastAsia="Arial" w:hAnsi="Arial"/>
                <w:sz w:val="14"/>
                <w:szCs w:val="14"/>
                <w:b w:val="1"/>
                <w:bCs w:val="1"/>
                <w:color w:val="auto"/>
                <w:w w:val="91"/>
              </w:rPr>
              <w:t>(restated) (1)</w:t>
            </w:r>
          </w:p>
        </w:tc>
        <w:tc>
          <w:tcPr>
            <w:tcW w:w="1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33"/>
              <w:spacing w:after="0" w:line="129" w:lineRule="exact"/>
              <w:rPr>
                <w:sz w:val="20"/>
                <w:szCs w:val="20"/>
                <w:color w:val="auto"/>
              </w:rPr>
            </w:pPr>
            <w:r>
              <w:rPr>
                <w:rFonts w:ascii="Arial" w:cs="Arial" w:eastAsia="Arial" w:hAnsi="Arial"/>
                <w:sz w:val="14"/>
                <w:szCs w:val="14"/>
                <w:b w:val="1"/>
                <w:bCs w:val="1"/>
                <w:color w:val="auto"/>
                <w:w w:val="91"/>
              </w:rPr>
              <w:t>(restated) (1)</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573,985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1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1,095,181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279,075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185,451</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519,308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361,236</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152,645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88,105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281,873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166,055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39,267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26,139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78,129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48,161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19,689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17,450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38,247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27,018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6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19,753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39,512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6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518,081</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336,898</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962,313</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641,982</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55,904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53,556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132,868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113,242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6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1,091</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4,384</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8,707</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7,996</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56,995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57,940</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141,575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121,238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6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12,114</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10,841</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27,977</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20,192</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47,099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113,598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101,046</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8,846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5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6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47,099</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122,444</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101,046</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80" w:type="dxa"/>
            <w:vAlign w:val="bottom"/>
            <w:vMerge w:val="restart"/>
          </w:tcPr>
          <w:p>
            <w:pPr>
              <w:spacing w:after="0"/>
              <w:rPr>
                <w:sz w:val="20"/>
                <w:szCs w:val="20"/>
                <w:color w:val="auto"/>
              </w:rPr>
            </w:pPr>
            <w:r>
              <w:rPr>
                <w:rFonts w:ascii="Arial" w:cs="Arial" w:eastAsia="Arial" w:hAnsi="Arial"/>
                <w:sz w:val="18"/>
                <w:szCs w:val="18"/>
                <w:color w:val="auto"/>
              </w:rPr>
              <w:t>Basic income per share:</w:t>
            </w:r>
          </w:p>
        </w:tc>
        <w:tc>
          <w:tcPr>
            <w:tcW w:w="6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5780" w:type="dxa"/>
            <w:vAlign w:val="bottom"/>
            <w:vMerge w:val="continue"/>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0.02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5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6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80" w:type="dxa"/>
            <w:vAlign w:val="bottom"/>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6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78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586,133</w:t>
            </w: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561,832</w:t>
            </w: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584,918</w:t>
            </w: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559,709</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Diluted income per share:</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0.07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0.08</w:t>
            </w:r>
          </w:p>
        </w:tc>
        <w:tc>
          <w:tcPr>
            <w:tcW w:w="32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280"/>
              <w:spacing w:after="0"/>
              <w:rPr>
                <w:sz w:val="20"/>
                <w:szCs w:val="20"/>
                <w:color w:val="auto"/>
              </w:rPr>
            </w:pPr>
            <w:r>
              <w:rPr>
                <w:rFonts w:ascii="Arial" w:cs="Arial" w:eastAsia="Arial" w:hAnsi="Arial"/>
                <w:sz w:val="18"/>
                <w:szCs w:val="18"/>
                <w:color w:val="auto"/>
              </w:rPr>
              <w:t>0.18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0.16</w:t>
            </w:r>
          </w:p>
        </w:tc>
        <w:tc>
          <w:tcPr>
            <w:tcW w:w="0" w:type="dxa"/>
            <w:vAlign w:val="bottom"/>
          </w:tcPr>
          <w:p>
            <w:pPr>
              <w:spacing w:after="0"/>
              <w:rPr>
                <w:sz w:val="1"/>
                <w:szCs w:val="1"/>
                <w:color w:val="auto"/>
              </w:rPr>
            </w:pPr>
          </w:p>
        </w:tc>
      </w:tr>
      <w:tr>
        <w:trPr>
          <w:trHeight w:val="216"/>
        </w:trPr>
        <w:tc>
          <w:tcPr>
            <w:tcW w:w="5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Diluted net income per share</w:t>
            </w:r>
          </w:p>
        </w:tc>
        <w:tc>
          <w:tcPr>
            <w:tcW w:w="64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0.07</w:t>
            </w:r>
          </w:p>
        </w:tc>
        <w:tc>
          <w:tcPr>
            <w:tcW w:w="28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40" w:type="dxa"/>
            <w:vAlign w:val="bottom"/>
            <w:tcBorders>
              <w:bottom w:val="single" w:sz="8" w:color="CCEEFF"/>
            </w:tcBorders>
          </w:tcPr>
          <w:p>
            <w:pPr>
              <w:spacing w:after="0"/>
              <w:rPr>
                <w:sz w:val="21"/>
                <w:szCs w:val="21"/>
                <w:color w:val="auto"/>
              </w:rPr>
            </w:pPr>
          </w:p>
        </w:tc>
        <w:tc>
          <w:tcPr>
            <w:tcW w:w="14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28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4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578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Shares used in diluted per share computation</w:t>
            </w: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633,533</w:t>
            </w: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626,205</w:t>
            </w: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636,524</w:t>
            </w: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623,798</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ectPr>
          <w:pgSz w:w="11900" w:h="16848" w:orient="portrait"/>
          <w:cols w:equalWidth="0" w:num="1">
            <w:col w:w="11420"/>
          </w:cols>
          <w:pgMar w:left="240" w:top="125" w:right="239" w:bottom="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44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74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20" w:type="dxa"/>
            <w:vAlign w:val="bottom"/>
            <w:tcBorders>
              <w:top w:val="single" w:sz="8" w:color="auto"/>
            </w:tcBorders>
            <w:gridSpan w:val="2"/>
          </w:tcPr>
          <w:p>
            <w:pPr>
              <w:jc w:val="right"/>
              <w:ind w:right="54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12"/>
              <w:spacing w:after="0" w:line="103" w:lineRule="exact"/>
              <w:rPr>
                <w:sz w:val="20"/>
                <w:szCs w:val="20"/>
                <w:color w:val="auto"/>
              </w:rPr>
            </w:pPr>
            <w:r>
              <w:rPr>
                <w:rFonts w:ascii="Arial" w:cs="Arial" w:eastAsia="Arial" w:hAnsi="Arial"/>
                <w:sz w:val="11"/>
                <w:szCs w:val="11"/>
                <w:b w:val="1"/>
                <w:bCs w:val="1"/>
                <w:color w:val="auto"/>
              </w:rPr>
              <w:t>July 30,</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2"/>
              <w:spacing w:after="0"/>
              <w:rPr>
                <w:sz w:val="20"/>
                <w:szCs w:val="20"/>
                <w:color w:val="auto"/>
              </w:rPr>
            </w:pPr>
            <w:r>
              <w:rPr>
                <w:rFonts w:ascii="Arial" w:cs="Arial" w:eastAsia="Arial" w:hAnsi="Arial"/>
                <w:sz w:val="14"/>
                <w:szCs w:val="14"/>
                <w:b w:val="1"/>
                <w:bCs w:val="1"/>
                <w:color w:val="auto"/>
                <w:w w:val="83"/>
              </w:rPr>
              <w:t>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91"/>
              </w:rPr>
              <w:t>(restated) (1)</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spacing w:after="0"/>
              <w:rPr>
                <w:sz w:val="20"/>
                <w:szCs w:val="20"/>
                <w:color w:val="auto"/>
              </w:rPr>
            </w:pPr>
            <w:r>
              <w:rPr>
                <w:rFonts w:ascii="Arial" w:cs="Arial" w:eastAsia="Arial" w:hAnsi="Arial"/>
                <w:sz w:val="18"/>
                <w:szCs w:val="18"/>
                <w:color w:val="auto"/>
              </w:rPr>
              <w:t>Net income</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122,444</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101,046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(8,846)</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Depreciation and amortization</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32,558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27,589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Stock-based compensation</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104,366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39,227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39,512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(860)</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(97,616)</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(9,255)</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7,082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(28,484)</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(65,308)</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15,521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5,113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(6,127)</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25,380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18,148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(278)</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4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6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215,009</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4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Cash paid in acquisitions</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(282,978)</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(141,418)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(253,023)</w:t>
            </w: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265,160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150,524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(3,480)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(71,472)</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(37,841)</w:t>
            </w: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(6,600)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4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used in investing activities</w:t>
            </w:r>
          </w:p>
        </w:tc>
        <w:tc>
          <w:tcPr>
            <w:tcW w:w="16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(240,788)</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(140,340)</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4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33,860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51,606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(9,057)</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(6,784)</w:t>
            </w:r>
          </w:p>
        </w:tc>
        <w:tc>
          <w:tcPr>
            <w:tcW w:w="0" w:type="dxa"/>
            <w:vAlign w:val="bottom"/>
          </w:tcPr>
          <w:p>
            <w:pPr>
              <w:spacing w:after="0"/>
              <w:rPr>
                <w:sz w:val="1"/>
                <w:szCs w:val="1"/>
                <w:color w:val="auto"/>
              </w:rPr>
            </w:pPr>
          </w:p>
        </w:tc>
      </w:tr>
      <w:tr>
        <w:trPr>
          <w:trHeight w:val="216"/>
        </w:trPr>
        <w:tc>
          <w:tcPr>
            <w:tcW w:w="744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860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4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16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25,663</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44,822</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440" w:type="dxa"/>
            <w:vAlign w:val="bottom"/>
          </w:tcPr>
          <w:p>
            <w:pPr>
              <w:spacing w:after="0"/>
              <w:rPr>
                <w:sz w:val="20"/>
                <w:szCs w:val="20"/>
                <w:color w:val="auto"/>
              </w:rPr>
            </w:pPr>
            <w:r>
              <w:rPr>
                <w:rFonts w:ascii="Arial" w:cs="Arial" w:eastAsia="Arial" w:hAnsi="Arial"/>
                <w:sz w:val="18"/>
                <w:szCs w:val="18"/>
                <w:color w:val="auto"/>
              </w:rPr>
              <w:t>Net increase in cash and cash equivalents</w:t>
            </w:r>
          </w:p>
        </w:tc>
        <w:tc>
          <w:tcPr>
            <w:tcW w:w="1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(116)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85,516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6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74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end of period</w:t>
            </w:r>
          </w:p>
        </w:tc>
        <w:tc>
          <w:tcPr>
            <w:tcW w:w="1600" w:type="dxa"/>
            <w:vAlign w:val="bottom"/>
            <w:tcBorders>
              <w:bottom w:val="single" w:sz="8" w:color="CCEEFF"/>
            </w:tcBorders>
          </w:tcPr>
          <w:p>
            <w:pPr>
              <w:spacing w:after="0"/>
              <w:rPr>
                <w:sz w:val="21"/>
                <w:szCs w:val="21"/>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348,315</w:t>
            </w:r>
          </w:p>
        </w:tc>
        <w:tc>
          <w:tcPr>
            <w:tcW w:w="28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251,987</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7440" w:type="dxa"/>
            <w:vAlign w:val="bottom"/>
            <w:shd w:val="clear" w:color="auto" w:fill="CCEEFF"/>
          </w:tcPr>
          <w:p>
            <w:pPr>
              <w:spacing w:after="0" w:line="170" w:lineRule="exact"/>
              <w:rPr>
                <w:sz w:val="20"/>
                <w:szCs w:val="20"/>
                <w:color w:val="auto"/>
              </w:rPr>
            </w:pPr>
            <w:r>
              <w:rPr>
                <w:rFonts w:ascii="Arial" w:cs="Arial" w:eastAsia="Arial" w:hAnsi="Arial"/>
                <w:sz w:val="18"/>
                <w:szCs w:val="18"/>
                <w:b w:val="1"/>
                <w:bCs w:val="1"/>
                <w:color w:val="auto"/>
              </w:rPr>
              <w:t>Supplemental cash flows information:</w:t>
            </w:r>
          </w:p>
        </w:tc>
        <w:tc>
          <w:tcPr>
            <w:tcW w:w="16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84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56"/>
        </w:trPr>
        <w:tc>
          <w:tcPr>
            <w:tcW w:w="7440" w:type="dxa"/>
            <w:vAlign w:val="bottom"/>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10,211</w:t>
            </w:r>
          </w:p>
        </w:tc>
        <w:tc>
          <w:tcPr>
            <w:tcW w:w="280" w:type="dxa"/>
            <w:vAlign w:val="bottom"/>
          </w:tcPr>
          <w:p>
            <w:pPr>
              <w:spacing w:after="0"/>
              <w:rPr>
                <w:sz w:val="22"/>
                <w:szCs w:val="22"/>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19,797</w:t>
            </w: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744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Long-term leased assets under construction</w:t>
            </w:r>
          </w:p>
        </w:tc>
        <w:tc>
          <w:tcPr>
            <w:tcW w:w="160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7,000</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14,750</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40" w:type="dxa"/>
            <w:vAlign w:val="bottom"/>
            <w:vMerge w:val="restart"/>
          </w:tcPr>
          <w:p>
            <w:pPr>
              <w:ind w:left="180"/>
              <w:spacing w:after="0"/>
              <w:rPr>
                <w:sz w:val="20"/>
                <w:szCs w:val="20"/>
                <w:color w:val="auto"/>
              </w:rPr>
            </w:pPr>
            <w:r>
              <w:rPr>
                <w:rFonts w:ascii="Arial" w:cs="Arial" w:eastAsia="Arial" w:hAnsi="Arial"/>
                <w:sz w:val="18"/>
                <w:szCs w:val="18"/>
                <w:color w:val="auto"/>
              </w:rPr>
              <w:t>Elimination of deferred stock-based compensation due to FAS 123R adoption</w:t>
            </w:r>
          </w:p>
        </w:tc>
        <w:tc>
          <w:tcPr>
            <w:tcW w:w="1600" w:type="dxa"/>
            <w:vAlign w:val="bottom"/>
            <w:vMerge w:val="restart"/>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440" w:type="dxa"/>
            <w:vAlign w:val="bottom"/>
            <w:vMerge w:val="continue"/>
          </w:tcPr>
          <w:p>
            <w:pPr>
              <w:spacing w:after="0"/>
              <w:rPr>
                <w:sz w:val="17"/>
                <w:szCs w:val="17"/>
                <w:color w:val="auto"/>
              </w:rPr>
            </w:pPr>
          </w:p>
        </w:tc>
        <w:tc>
          <w:tcPr>
            <w:tcW w:w="1600" w:type="dxa"/>
            <w:vAlign w:val="bottom"/>
            <w:vMerge w:val="continue"/>
          </w:tcPr>
          <w:p>
            <w:pPr>
              <w:spacing w:after="0"/>
              <w:rPr>
                <w:sz w:val="17"/>
                <w:szCs w:val="17"/>
                <w:color w:val="auto"/>
              </w:rPr>
            </w:pPr>
          </w:p>
        </w:tc>
        <w:tc>
          <w:tcPr>
            <w:tcW w:w="1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8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61,986</w:t>
            </w:r>
          </w:p>
        </w:tc>
        <w:tc>
          <w:tcPr>
            <w:tcW w:w="280" w:type="dxa"/>
            <w:vAlign w:val="bottom"/>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w:t>
            </w:r>
          </w:p>
        </w:tc>
        <w:tc>
          <w:tcPr>
            <w:tcW w:w="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Restatement of Consolidated Financial Statements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Background</w:t>
      </w:r>
    </w:p>
    <w:p>
      <w:pPr>
        <w:spacing w:after="0" w:line="225"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On about May 23, 2006, the Company’s Chief Executive Officer initiated a review of the Company’s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the Company’s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the Company was also named as a nominal defendant, and a number of the Company’s current and former directors and officers were named as defendants, in purported shareholder derivative actions.</w:t>
      </w:r>
    </w:p>
    <w:p>
      <w:pPr>
        <w:spacing w:after="0" w:line="165" w:lineRule="exact"/>
        <w:rPr>
          <w:sz w:val="20"/>
          <w:szCs w:val="20"/>
          <w:color w:val="auto"/>
        </w:rPr>
      </w:pPr>
    </w:p>
    <w:p>
      <w:pPr>
        <w:ind w:right="140" w:firstLine="324"/>
        <w:spacing w:after="0" w:line="272" w:lineRule="auto"/>
        <w:rPr>
          <w:sz w:val="20"/>
          <w:szCs w:val="20"/>
          <w:color w:val="auto"/>
        </w:rPr>
      </w:pPr>
      <w:r>
        <w:rPr>
          <w:rFonts w:ascii="Arial" w:cs="Arial" w:eastAsia="Arial" w:hAnsi="Arial"/>
          <w:sz w:val="17"/>
          <w:szCs w:val="17"/>
          <w:color w:val="auto"/>
        </w:rPr>
        <w:t>During this time, the Company was informed that the Company’s outside legal counsel at the time could not represent both the independent committee and the Company,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ectPr>
          <w:pgSz w:w="11900" w:h="16838" w:orient="portrait"/>
          <w:cols w:equalWidth="0" w:num="1">
            <w:col w:w="11420"/>
          </w:cols>
          <w:pgMar w:left="240" w:top="121" w:right="239" w:bottom="0" w:gutter="0" w:footer="0" w:header="0"/>
        </w:sectPr>
      </w:pPr>
    </w:p>
    <w:bookmarkStart w:id="4" w:name="page5"/>
    <w:bookmarkEnd w:id="4"/>
    <w:p>
      <w:pPr>
        <w:ind w:firstLine="324"/>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the Company would need to restate historical financial statements to record additional non-cash charges for stock-based compensation expense related to past option grants and that the historical financial statements and all earnings press releases and similar communications issued by the Company relating to periods beginning on or after its initial public offering in June 2000 should no longer be relied upon. The Company reported these conclusions in a current report on Form 8-K filed on the same day.</w:t>
      </w:r>
    </w:p>
    <w:p>
      <w:pPr>
        <w:spacing w:after="0" w:line="193" w:lineRule="exact"/>
        <w:rPr>
          <w:sz w:val="20"/>
          <w:szCs w:val="20"/>
          <w:color w:val="auto"/>
        </w:rPr>
      </w:pPr>
    </w:p>
    <w:p>
      <w:pPr>
        <w:ind w:right="20" w:firstLine="324"/>
        <w:spacing w:after="0" w:line="269" w:lineRule="auto"/>
        <w:rPr>
          <w:sz w:val="20"/>
          <w:szCs w:val="20"/>
          <w:color w:val="auto"/>
        </w:rPr>
      </w:pPr>
      <w:r>
        <w:rPr>
          <w:rFonts w:ascii="Arial" w:cs="Arial" w:eastAsia="Arial" w:hAnsi="Arial"/>
          <w:sz w:val="17"/>
          <w:szCs w:val="17"/>
          <w:color w:val="auto"/>
        </w:rPr>
        <w:t>On February 7, 2007, the former General Counsel of the U.S. subsidiary, Marvell Semiconductor, Inc. (“MSI”), who was a subject of the internal review, raised allegations regarding the independence of the sole member of the Special Committee. The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 credibility of the allegations,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the Company’s Code of Ethics and Business Conduct for not reporting the allegations timely. The subcommittee accepted the findings of the independent reviewer. The Company has since terminated the General Counsel for the violation. On March 30, 2007, the independent director resigned from the Special Committee and the Board appointed two independent non-director members to the Special Committee to continue the review of the Company’s historical stock option practices and related accounting matters, which action is permitted under the Company’s bye-laws. As a result, the Special Committee thereafter consisted of two non-directors.</w:t>
      </w:r>
    </w:p>
    <w:p>
      <w:pPr>
        <w:spacing w:after="0" w:line="180" w:lineRule="exact"/>
        <w:rPr>
          <w:sz w:val="20"/>
          <w:szCs w:val="20"/>
          <w:color w:val="auto"/>
        </w:rPr>
      </w:pPr>
    </w:p>
    <w:p>
      <w:pPr>
        <w:ind w:right="140" w:firstLine="324"/>
        <w:spacing w:after="0" w:line="279" w:lineRule="auto"/>
        <w:rPr>
          <w:sz w:val="20"/>
          <w:szCs w:val="20"/>
          <w:color w:val="auto"/>
        </w:rPr>
      </w:pPr>
      <w:r>
        <w:rPr>
          <w:rFonts w:ascii="Arial" w:cs="Arial" w:eastAsia="Arial" w:hAnsi="Arial"/>
          <w:sz w:val="17"/>
          <w:szCs w:val="17"/>
          <w:color w:val="auto"/>
        </w:rPr>
        <w:t>On April 27, 2007, the Special Committee reported its findings to the Board of Directors and to the Implementation Committee, which consists of three independent members of the Board — Douglas King, Paul Gray and Herbert Chang. The Implementation Committee was formed by the Board on April 26, 2007 to make such decisions and take such action as the committee determines to be appropriate in light of the Special Committee’s findings and recommendations. On May 8, 2007, the Company disclosed on Form 8-K the completion of the independent review.</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Findings of the Special Committee</w:t>
      </w:r>
    </w:p>
    <w:p>
      <w:pPr>
        <w:spacing w:after="0" w:line="225"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From the Company’s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non-executives employees after its formation until June 9, 2006.</w:t>
      </w:r>
    </w:p>
    <w:p>
      <w:pPr>
        <w:spacing w:after="0" w:line="193"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only one member signed those minutes. Additionally, the Special Committee determined that the Stock Option Committee conducted no meetings with respect to option grants and that minutes reflecting such meetings were false.</w:t>
      </w:r>
    </w:p>
    <w:p>
      <w:pPr>
        <w:spacing w:after="0" w:line="188"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by management with the benefit of hindsight, so as to provide exercise prices lower than the fair market value on the actual measurement date.</w:t>
      </w:r>
    </w:p>
    <w:p>
      <w:pPr>
        <w:spacing w:after="0" w:line="170"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In addition to the foregoing, the review determined that false employee-related paperwork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From the Company’s initial public offering in June 2000 through February 28, 2002, grants to the Company’s former Chief Financial Officer were awarded only by the Stock Option Committee. The Stock Option Committee was not advised that it lacked the authority to make such awards. Furthermore, the first award made to the Company’s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188"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93" w:lineRule="exact"/>
        <w:rPr>
          <w:sz w:val="20"/>
          <w:szCs w:val="20"/>
          <w:color w:val="auto"/>
        </w:rPr>
      </w:pPr>
    </w:p>
    <w:p>
      <w:pPr>
        <w:ind w:right="200" w:firstLine="324"/>
        <w:spacing w:after="0" w:line="286" w:lineRule="auto"/>
        <w:rPr>
          <w:sz w:val="20"/>
          <w:szCs w:val="20"/>
          <w:color w:val="auto"/>
        </w:rPr>
      </w:pPr>
      <w:r>
        <w:rPr>
          <w:rFonts w:ascii="Arial" w:cs="Arial" w:eastAsia="Arial" w:hAnsi="Arial"/>
          <w:sz w:val="17"/>
          <w:szCs w:val="17"/>
          <w:color w:val="auto"/>
        </w:rPr>
        <w:t>The Special Committee found evidence of recommendations made by representatives of Human Resources and Finance and the Company’s external auditors between 2000 and 2004 to grant options on fixed grant dates In August 2004, the Company implemented revisions to the Company’s stock option grant processes and procedures for new hire and secondary grants that generally followed a fixed grant date schedule.</w:t>
      </w:r>
    </w:p>
    <w:p>
      <w:pPr>
        <w:spacing w:after="0" w:line="166"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For the period from the Company’s initial public offering in June 2000 through June 2006, the Special Committee found a systemic failure in controls over the stock option process, and that corporate documents, including the Company’s SEC filings on Form 10-K and Form 10-Q, and proxy statements, were false in relation to the accounting and related disclosure covering stock option matters.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ectPr>
          <w:pgSz w:w="11900" w:h="16838" w:orient="portrait"/>
          <w:cols w:equalWidth="0" w:num="1">
            <w:col w:w="11420"/>
          </w:cols>
          <w:pgMar w:left="240" w:top="125" w:right="239" w:bottom="0" w:gutter="0" w:footer="0" w:header="0"/>
        </w:sectPr>
      </w:pPr>
    </w:p>
    <w:bookmarkStart w:id="5" w:name="page6"/>
    <w:bookmarkEnd w:id="5"/>
    <w:p>
      <w:pPr>
        <w:ind w:right="140" w:firstLine="324"/>
        <w:spacing w:after="0" w:line="255" w:lineRule="auto"/>
        <w:rPr>
          <w:sz w:val="20"/>
          <w:szCs w:val="20"/>
          <w:color w:val="auto"/>
        </w:rPr>
      </w:pPr>
      <w:r>
        <w:rPr>
          <w:rFonts w:ascii="Arial" w:cs="Arial" w:eastAsia="Arial" w:hAnsi="Arial"/>
          <w:sz w:val="18"/>
          <w:szCs w:val="18"/>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George A. Hervey, MSI’s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the Company’s SEC filings and financial statements.</w:t>
      </w:r>
    </w:p>
    <w:p>
      <w:pPr>
        <w:spacing w:after="0" w:line="188" w:lineRule="exact"/>
        <w:rPr>
          <w:sz w:val="20"/>
          <w:szCs w:val="20"/>
          <w:color w:val="auto"/>
        </w:rPr>
      </w:pPr>
    </w:p>
    <w:p>
      <w:pPr>
        <w:ind w:right="80" w:firstLine="324"/>
        <w:spacing w:after="0" w:line="293" w:lineRule="auto"/>
        <w:rPr>
          <w:sz w:val="20"/>
          <w:szCs w:val="20"/>
          <w:color w:val="auto"/>
        </w:rPr>
      </w:pPr>
      <w:r>
        <w:rPr>
          <w:rFonts w:ascii="Arial" w:cs="Arial" w:eastAsia="Arial" w:hAnsi="Arial"/>
          <w:sz w:val="16"/>
          <w:szCs w:val="16"/>
          <w:color w:val="auto"/>
        </w:rPr>
        <w:t>Weili Dai, the Company’s former Board member, who served as Executive Vice President and General Manager of the Communications Business Group from 1999 to April 2006 and thereafter also as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165"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Dr. Sehat Sutardja, the Company’s Chairman of the Board, President and Chief Executive Officer, was found to have had a very limited role in the stock option process and to have participated in a few instances in awards with incorrect measurement dates with respect to which he had received no or inadequate advice. He signed inaccurate external documents, including the Company’s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73"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Remediation</w:t>
      </w:r>
    </w:p>
    <w:p>
      <w:pPr>
        <w:spacing w:after="0" w:line="225"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The Company accepted the resignation of George A. Hervey on May 2, 2007. All unvested stock options previously awarded to him were cancelled.</w:t>
      </w:r>
    </w:p>
    <w:p>
      <w:pPr>
        <w:spacing w:after="0" w:line="237"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The Implementation Committee of the Board of Directors determined, contrary to the recommendation of the Special Committee, that Ms. Dai has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189" w:lineRule="exact"/>
        <w:rPr>
          <w:sz w:val="20"/>
          <w:szCs w:val="20"/>
          <w:color w:val="auto"/>
        </w:rPr>
      </w:pPr>
    </w:p>
    <w:p>
      <w:pPr>
        <w:jc w:val="both"/>
        <w:ind w:right="180" w:firstLine="324"/>
        <w:spacing w:after="0" w:line="259" w:lineRule="auto"/>
        <w:rPr>
          <w:sz w:val="20"/>
          <w:szCs w:val="20"/>
          <w:color w:val="auto"/>
        </w:rPr>
      </w:pPr>
      <w:r>
        <w:rPr>
          <w:rFonts w:ascii="Arial" w:cs="Arial" w:eastAsia="Arial" w:hAnsi="Arial"/>
          <w:sz w:val="18"/>
          <w:szCs w:val="18"/>
          <w:color w:val="auto"/>
        </w:rPr>
        <w:t>Dr. Sehat Sutardja will remain as President and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187"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the Company’s common stock on the date of the meeting. Decisions of the committee meeting are documented by minutes. Additionally, the Executive Compensation Committee adopted a policy regarding</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the granting of equity-based compensation awards. Following the Special Committee’s recommendations, the Company is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0" w:firstLine="324"/>
        <w:spacing w:after="0" w:line="259" w:lineRule="auto"/>
        <w:rPr>
          <w:sz w:val="20"/>
          <w:szCs w:val="20"/>
          <w:color w:val="auto"/>
        </w:rPr>
      </w:pPr>
      <w:r>
        <w:rPr>
          <w:rFonts w:ascii="Arial" w:cs="Arial" w:eastAsia="Arial" w:hAnsi="Arial"/>
          <w:sz w:val="18"/>
          <w:szCs w:val="18"/>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Accounting Principles Board Opinion No. 25 “Accounting for Stock Issued to Employees” (“APB 25”).</w:t>
      </w:r>
    </w:p>
    <w:p>
      <w:pPr>
        <w:sectPr>
          <w:pgSz w:w="11900" w:h="16838" w:orient="portrait"/>
          <w:cols w:equalWidth="0" w:num="1">
            <w:col w:w="11420"/>
          </w:cols>
          <w:pgMar w:left="240" w:top="125" w:right="239" w:bottom="0" w:gutter="0" w:footer="0" w:header="0"/>
        </w:sectPr>
      </w:pPr>
    </w:p>
    <w:bookmarkStart w:id="6" w:name="page7"/>
    <w:bookmarkEnd w:id="6"/>
    <w:p>
      <w:pPr>
        <w:ind w:right="240" w:firstLine="324"/>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960" w:type="dxa"/>
            <w:vAlign w:val="bottom"/>
          </w:tcPr>
          <w:p>
            <w:pPr>
              <w:spacing w:after="0"/>
              <w:rPr>
                <w:sz w:val="14"/>
                <w:szCs w:val="14"/>
                <w:color w:val="auto"/>
              </w:rPr>
            </w:pP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Cumulative</w:t>
            </w:r>
          </w:p>
        </w:tc>
        <w:tc>
          <w:tcPr>
            <w:tcW w:w="10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10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10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80" w:type="dxa"/>
            <w:vAlign w:val="bottom"/>
          </w:tcPr>
          <w:p>
            <w:pPr>
              <w:spacing w:after="0"/>
              <w:rPr>
                <w:sz w:val="14"/>
                <w:szCs w:val="14"/>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4"/>
                <w:szCs w:val="14"/>
                <w:color w:val="auto"/>
              </w:rPr>
            </w:pP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9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ind w:left="40"/>
              <w:spacing w:after="0" w:line="135" w:lineRule="exact"/>
              <w:rPr>
                <w:sz w:val="20"/>
                <w:szCs w:val="20"/>
                <w:color w:val="auto"/>
              </w:rPr>
            </w:pPr>
            <w:r>
              <w:rPr>
                <w:rFonts w:ascii="Arial" w:cs="Arial" w:eastAsia="Arial" w:hAnsi="Arial"/>
                <w:sz w:val="14"/>
                <w:szCs w:val="14"/>
                <w:b w:val="1"/>
                <w:bCs w:val="1"/>
                <w:color w:val="auto"/>
              </w:rPr>
              <w:t>through</w:t>
            </w:r>
          </w:p>
        </w:tc>
        <w:tc>
          <w:tcPr>
            <w:tcW w:w="1000" w:type="dxa"/>
            <w:vAlign w:val="bottom"/>
            <w:gridSpan w:val="3"/>
            <w:vMerge w:val="continue"/>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gridSpan w:val="3"/>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35"/>
        </w:trPr>
        <w:tc>
          <w:tcPr>
            <w:tcW w:w="1960" w:type="dxa"/>
            <w:vAlign w:val="bottom"/>
          </w:tcPr>
          <w:p>
            <w:pPr>
              <w:spacing w:after="0"/>
              <w:rPr>
                <w:sz w:val="11"/>
                <w:szCs w:val="11"/>
                <w:color w:val="auto"/>
              </w:rPr>
            </w:pPr>
          </w:p>
        </w:tc>
        <w:tc>
          <w:tcPr>
            <w:tcW w:w="10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10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10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29,</w:t>
            </w:r>
          </w:p>
        </w:tc>
        <w:tc>
          <w:tcPr>
            <w:tcW w:w="10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31,</w:t>
            </w:r>
          </w:p>
        </w:tc>
        <w:tc>
          <w:tcPr>
            <w:tcW w:w="92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February 1,</w:t>
            </w:r>
          </w:p>
        </w:tc>
        <w:tc>
          <w:tcPr>
            <w:tcW w:w="80" w:type="dxa"/>
            <w:vAlign w:val="bottom"/>
          </w:tcPr>
          <w:p>
            <w:pPr>
              <w:spacing w:after="0"/>
              <w:rPr>
                <w:sz w:val="11"/>
                <w:szCs w:val="11"/>
                <w:color w:val="auto"/>
              </w:rPr>
            </w:pP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5"/>
              </w:rPr>
              <w:t>February 2,</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0"/>
              </w:rPr>
              <w:t>2001 and</w:t>
            </w:r>
          </w:p>
        </w:tc>
        <w:tc>
          <w:tcPr>
            <w:tcW w:w="0" w:type="dxa"/>
            <w:vAlign w:val="bottom"/>
          </w:tcPr>
          <w:p>
            <w:pPr>
              <w:spacing w:after="0"/>
              <w:rPr>
                <w:sz w:val="1"/>
                <w:szCs w:val="1"/>
                <w:color w:val="auto"/>
              </w:rPr>
            </w:pPr>
          </w:p>
        </w:tc>
      </w:tr>
      <w:tr>
        <w:trPr>
          <w:trHeight w:val="162"/>
        </w:trPr>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1"/>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1"/>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1"/>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1"/>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91"/>
              <w:spacing w:after="0"/>
              <w:rPr>
                <w:sz w:val="20"/>
                <w:szCs w:val="20"/>
                <w:color w:val="auto"/>
              </w:rPr>
            </w:pPr>
            <w:r>
              <w:rPr>
                <w:rFonts w:ascii="Arial" w:cs="Arial" w:eastAsia="Arial" w:hAnsi="Arial"/>
                <w:sz w:val="14"/>
                <w:szCs w:val="14"/>
                <w:b w:val="1"/>
                <w:bCs w:val="1"/>
                <w:color w:val="auto"/>
                <w:w w:val="89"/>
              </w:rPr>
              <w:t>2002</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82"/>
        </w:trPr>
        <w:tc>
          <w:tcPr>
            <w:tcW w:w="19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9"/>
              </w:rPr>
              <w:t>Board of Director Grants</w:t>
            </w:r>
          </w:p>
        </w:tc>
        <w:tc>
          <w:tcPr>
            <w:tcW w:w="10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960" w:type="dxa"/>
            <w:vAlign w:val="bottom"/>
          </w:tcPr>
          <w:p>
            <w:pPr>
              <w:spacing w:after="0"/>
              <w:rPr>
                <w:sz w:val="20"/>
                <w:szCs w:val="20"/>
                <w:color w:val="auto"/>
              </w:rPr>
            </w:pPr>
            <w:r>
              <w:rPr>
                <w:rFonts w:ascii="Arial" w:cs="Arial" w:eastAsia="Arial" w:hAnsi="Arial"/>
                <w:sz w:val="18"/>
                <w:szCs w:val="18"/>
                <w:color w:val="auto"/>
              </w:rPr>
              <w:t>Officer Grants (b)</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19,577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6,317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836</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127</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Re-priced Officer Grants</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w:t>
            </w: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960" w:type="dxa"/>
            <w:vAlign w:val="bottom"/>
          </w:tcPr>
          <w:p>
            <w:pPr>
              <w:spacing w:after="0" w:line="201" w:lineRule="exact"/>
              <w:rPr>
                <w:sz w:val="20"/>
                <w:szCs w:val="20"/>
                <w:color w:val="auto"/>
              </w:rPr>
            </w:pPr>
            <w:r>
              <w:rPr>
                <w:rFonts w:ascii="Arial" w:cs="Arial" w:eastAsia="Arial" w:hAnsi="Arial"/>
                <w:sz w:val="18"/>
                <w:szCs w:val="18"/>
                <w:color w:val="auto"/>
              </w:rPr>
              <w:t>New Hire Grants -</w:t>
            </w: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60" w:type="dxa"/>
            <w:vAlign w:val="bottom"/>
          </w:tcPr>
          <w:p>
            <w:pPr>
              <w:ind w:left="180"/>
              <w:spacing w:after="0"/>
              <w:rPr>
                <w:sz w:val="20"/>
                <w:szCs w:val="20"/>
                <w:color w:val="auto"/>
              </w:rPr>
            </w:pPr>
            <w:r>
              <w:rPr>
                <w:rFonts w:ascii="Arial" w:cs="Arial" w:eastAsia="Arial" w:hAnsi="Arial"/>
                <w:sz w:val="18"/>
                <w:szCs w:val="18"/>
                <w:color w:val="auto"/>
                <w:w w:val="98"/>
              </w:rPr>
              <w:t>effective hire dates (d)</w:t>
            </w: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19,879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249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2,729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4,754</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7,278</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3,339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960" w:type="dxa"/>
            <w:vAlign w:val="bottom"/>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60" w:type="dxa"/>
            <w:vAlign w:val="bottom"/>
          </w:tcPr>
          <w:p>
            <w:pPr>
              <w:spacing w:after="0"/>
              <w:rPr>
                <w:sz w:val="20"/>
                <w:szCs w:val="20"/>
                <w:color w:val="auto"/>
              </w:rPr>
            </w:pPr>
            <w:r>
              <w:rPr>
                <w:rFonts w:ascii="Arial" w:cs="Arial" w:eastAsia="Arial" w:hAnsi="Arial"/>
                <w:sz w:val="18"/>
                <w:szCs w:val="18"/>
                <w:color w:val="auto"/>
              </w:rPr>
              <w:t>Secondary Grants (e)</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18,165</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2,360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3,016</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4,432</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3,975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New Hire</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(f)</w:t>
            </w: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100,575</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(1,885)</w:t>
            </w:r>
          </w:p>
        </w:tc>
        <w:tc>
          <w:tcPr>
            <w:tcW w:w="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960" w:type="dxa"/>
            <w:vAlign w:val="bottom"/>
          </w:tcPr>
          <w:p>
            <w:pPr>
              <w:spacing w:after="0"/>
              <w:rPr>
                <w:sz w:val="20"/>
                <w:szCs w:val="20"/>
                <w:color w:val="auto"/>
              </w:rPr>
            </w:pPr>
            <w:r>
              <w:rPr>
                <w:rFonts w:ascii="Arial" w:cs="Arial" w:eastAsia="Arial" w:hAnsi="Arial"/>
                <w:sz w:val="18"/>
                <w:szCs w:val="18"/>
                <w:color w:val="auto"/>
              </w:rPr>
              <w:t>Evergreen Grants (g)</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60,838</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9,870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11,082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12,634</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17,911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9,312</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Non-employee Grants *</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(h)</w:t>
            </w: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(264)</w:t>
            </w:r>
          </w:p>
        </w:tc>
        <w:tc>
          <w:tcPr>
            <w:tcW w:w="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960" w:type="dxa"/>
            <w:vAlign w:val="bottom"/>
          </w:tcPr>
          <w:p>
            <w:pPr>
              <w:spacing w:after="0" w:line="201" w:lineRule="exact"/>
              <w:rPr>
                <w:sz w:val="20"/>
                <w:szCs w:val="20"/>
                <w:color w:val="auto"/>
              </w:rPr>
            </w:pPr>
            <w:r>
              <w:rPr>
                <w:rFonts w:ascii="Arial" w:cs="Arial" w:eastAsia="Arial" w:hAnsi="Arial"/>
                <w:sz w:val="18"/>
                <w:szCs w:val="18"/>
                <w:color w:val="auto"/>
              </w:rPr>
              <w:t>Termination related</w:t>
            </w: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60" w:type="dxa"/>
            <w:vAlign w:val="bottom"/>
          </w:tcPr>
          <w:p>
            <w:pPr>
              <w:ind w:left="180"/>
              <w:spacing w:after="0"/>
              <w:rPr>
                <w:sz w:val="20"/>
                <w:szCs w:val="20"/>
                <w:color w:val="auto"/>
              </w:rPr>
            </w:pPr>
            <w:r>
              <w:rPr>
                <w:rFonts w:ascii="Arial" w:cs="Arial" w:eastAsia="Arial" w:hAnsi="Arial"/>
                <w:sz w:val="18"/>
                <w:szCs w:val="18"/>
                <w:color w:val="auto"/>
              </w:rPr>
              <w:t>charges (i)</w:t>
            </w: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10,006</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10,006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19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327,375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98,856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75,684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35,540</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9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00" w:right="160" w:hanging="89"/>
        <w:spacing w:after="0" w:line="277" w:lineRule="auto"/>
        <w:rPr>
          <w:sz w:val="20"/>
          <w:szCs w:val="20"/>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340" w:right="20" w:hanging="332"/>
        <w:spacing w:after="0" w:line="259" w:lineRule="auto"/>
        <w:tabs>
          <w:tab w:leader="none" w:pos="32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 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the Company’s stock price at the date of the Board’s ratification.</w:t>
      </w:r>
    </w:p>
    <w:p>
      <w:pPr>
        <w:spacing w:after="0" w:line="186" w:lineRule="exact"/>
        <w:rPr>
          <w:rFonts w:ascii="Arial" w:cs="Arial" w:eastAsia="Arial" w:hAnsi="Arial"/>
          <w:sz w:val="18"/>
          <w:szCs w:val="18"/>
          <w:i w:val="1"/>
          <w:iCs w:val="1"/>
          <w:color w:val="auto"/>
        </w:rPr>
      </w:pPr>
    </w:p>
    <w:p>
      <w:pPr>
        <w:ind w:left="340"/>
        <w:spacing w:after="0"/>
        <w:rPr>
          <w:rFonts w:ascii="Arial" w:cs="Arial" w:eastAsia="Arial" w:hAnsi="Arial"/>
          <w:sz w:val="18"/>
          <w:szCs w:val="18"/>
          <w:i w:val="1"/>
          <w:iCs w:val="1"/>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rFonts w:ascii="Arial" w:cs="Arial" w:eastAsia="Arial" w:hAnsi="Arial"/>
          <w:sz w:val="18"/>
          <w:szCs w:val="18"/>
          <w:i w:val="1"/>
          <w:iCs w:val="1"/>
          <w:color w:val="auto"/>
        </w:rPr>
      </w:pPr>
    </w:p>
    <w:p>
      <w:pPr>
        <w:ind w:left="340" w:right="60" w:hanging="332"/>
        <w:spacing w:after="0" w:line="342" w:lineRule="auto"/>
        <w:tabs>
          <w:tab w:leader="none" w:pos="32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Officer Grants: </w:t>
      </w:r>
      <w:r>
        <w:rPr>
          <w:rFonts w:ascii="Arial" w:cs="Arial" w:eastAsia="Arial" w:hAnsi="Arial"/>
          <w:sz w:val="16"/>
          <w:szCs w:val="16"/>
          <w:color w:val="auto"/>
        </w:rPr>
        <w:t>During the Relevant Period, the Company granted options on 13 different dates (including the Re-priced Officer Grants) to the then-Section 16 Officers — Dr. Sehat Sutardja, Weili Dai, Dr. Pantas Sutardja and George Hervey. The Company recorded additional compensation costs for</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340" w:right="20"/>
        <w:spacing w:after="0" w:line="288" w:lineRule="auto"/>
        <w:rPr>
          <w:sz w:val="20"/>
          <w:szCs w:val="20"/>
          <w:color w:val="auto"/>
        </w:rPr>
      </w:pPr>
      <w:r>
        <w:rPr>
          <w:rFonts w:ascii="Arial" w:cs="Arial" w:eastAsia="Arial" w:hAnsi="Arial"/>
          <w:sz w:val="16"/>
          <w:szCs w:val="16"/>
          <w:color w:val="auto"/>
        </w:rPr>
        <w:t>one grant on December 26, 2003 (which represented 75% of options granted) for three of the officers who were also founders of the Company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w:t>
      </w:r>
    </w:p>
    <w:p>
      <w:pPr>
        <w:ind w:left="340" w:right="180"/>
        <w:spacing w:after="0" w:line="261" w:lineRule="auto"/>
        <w:rPr>
          <w:sz w:val="20"/>
          <w:szCs w:val="20"/>
          <w:color w:val="auto"/>
        </w:rPr>
      </w:pPr>
      <w:r>
        <w:rPr>
          <w:rFonts w:ascii="Arial" w:cs="Arial" w:eastAsia="Arial" w:hAnsi="Arial"/>
          <w:sz w:val="18"/>
          <w:szCs w:val="18"/>
          <w:color w:val="auto"/>
        </w:rPr>
        <w:t>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184" w:lineRule="exact"/>
        <w:rPr>
          <w:sz w:val="20"/>
          <w:szCs w:val="20"/>
          <w:color w:val="auto"/>
        </w:rPr>
      </w:pPr>
    </w:p>
    <w:p>
      <w:pPr>
        <w:ind w:left="340" w:right="40"/>
        <w:spacing w:after="0" w:line="259" w:lineRule="auto"/>
        <w:rPr>
          <w:sz w:val="20"/>
          <w:szCs w:val="20"/>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the Company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187" w:lineRule="exact"/>
        <w:rPr>
          <w:sz w:val="20"/>
          <w:szCs w:val="20"/>
          <w:color w:val="auto"/>
        </w:rPr>
      </w:pPr>
    </w:p>
    <w:p>
      <w:pPr>
        <w:ind w:left="340" w:right="240"/>
        <w:spacing w:after="0" w:line="277" w:lineRule="auto"/>
        <w:rPr>
          <w:sz w:val="20"/>
          <w:szCs w:val="20"/>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sz w:val="20"/>
          <w:szCs w:val="20"/>
          <w:color w:val="auto"/>
        </w:rPr>
      </w:pPr>
    </w:p>
    <w:p>
      <w:pPr>
        <w:ind w:left="340" w:right="20" w:hanging="332"/>
        <w:spacing w:after="0" w:line="289" w:lineRule="auto"/>
        <w:tabs>
          <w:tab w:leader="none" w:pos="324" w:val="left"/>
        </w:tabs>
        <w:numPr>
          <w:ilvl w:val="0"/>
          <w:numId w:val="4"/>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Committee’s approval of a grant to</w:t>
      </w:r>
      <w:r>
        <w:rPr>
          <w:rFonts w:ascii="Arial" w:cs="Arial" w:eastAsia="Arial" w:hAnsi="Arial"/>
          <w:sz w:val="16"/>
          <w:szCs w:val="16"/>
          <w:i w:val="1"/>
          <w:iCs w:val="1"/>
          <w:color w:val="auto"/>
        </w:rPr>
        <w:t xml:space="preserve"> </w:t>
      </w:r>
      <w:r>
        <w:rPr>
          <w:rFonts w:ascii="Arial" w:cs="Arial" w:eastAsia="Arial" w:hAnsi="Arial"/>
          <w:sz w:val="16"/>
          <w:szCs w:val="16"/>
          <w:color w:val="auto"/>
        </w:rPr>
        <w:t>the Founder Officers totaling 1.6 million shares, to be effective on the execution of a unanimous written consent. In June 2002, the Executive Compensation meeting members executed a unanimous written consent dated June 6, 2002 and effective as of May 22, 2002. The Special Committee found that on September 10, 2002 after the former General Counsel had a discussion with two of the Founder Officers who indicated that in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the Company’s adoption of Statement of Financial Accounting Standards No. 123 (revised 2004), “Share-Based Payment” (“SFAS 123R”) at the beginning of fiscal 2007.</w:t>
      </w:r>
    </w:p>
    <w:p>
      <w:pPr>
        <w:spacing w:after="0" w:line="166" w:lineRule="exact"/>
        <w:rPr>
          <w:rFonts w:ascii="Arial" w:cs="Arial" w:eastAsia="Arial" w:hAnsi="Arial"/>
          <w:sz w:val="16"/>
          <w:szCs w:val="16"/>
          <w:i w:val="1"/>
          <w:iCs w:val="1"/>
          <w:color w:val="auto"/>
        </w:rPr>
      </w:pPr>
    </w:p>
    <w:p>
      <w:pPr>
        <w:ind w:left="340" w:right="60" w:hanging="332"/>
        <w:spacing w:after="0" w:line="259" w:lineRule="auto"/>
        <w:tabs>
          <w:tab w:leader="none" w:pos="32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New Hire Grants — effective hire dates: </w:t>
      </w:r>
      <w:r>
        <w:rPr>
          <w:rFonts w:ascii="Arial" w:cs="Arial" w:eastAsia="Arial" w:hAnsi="Arial"/>
          <w:sz w:val="18"/>
          <w:szCs w:val="18"/>
          <w:color w:val="auto"/>
        </w:rPr>
        <w:t>The internal review identified 4,669,200 options to 30 new hire recipients which required revision to reflect a</w:t>
      </w:r>
      <w:r>
        <w:rPr>
          <w:rFonts w:ascii="Arial" w:cs="Arial" w:eastAsia="Arial" w:hAnsi="Arial"/>
          <w:sz w:val="18"/>
          <w:szCs w:val="18"/>
          <w:i w:val="1"/>
          <w:iCs w:val="1"/>
          <w:color w:val="auto"/>
        </w:rPr>
        <w:t xml:space="preserve"> </w:t>
      </w:r>
      <w:r>
        <w:rPr>
          <w:rFonts w:ascii="Arial" w:cs="Arial" w:eastAsia="Arial" w:hAnsi="Arial"/>
          <w:sz w:val="18"/>
          <w:szCs w:val="18"/>
          <w:color w:val="auto"/>
        </w:rPr>
        <w:t>later date of effective employment.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186" w:lineRule="exact"/>
        <w:rPr>
          <w:rFonts w:ascii="Arial" w:cs="Arial" w:eastAsia="Arial" w:hAnsi="Arial"/>
          <w:sz w:val="18"/>
          <w:szCs w:val="18"/>
          <w:i w:val="1"/>
          <w:iCs w:val="1"/>
          <w:color w:val="auto"/>
        </w:rPr>
      </w:pPr>
    </w:p>
    <w:p>
      <w:pPr>
        <w:ind w:left="340" w:hanging="332"/>
        <w:spacing w:after="0" w:line="302" w:lineRule="auto"/>
        <w:tabs>
          <w:tab w:leader="none" w:pos="324" w:val="left"/>
        </w:tabs>
        <w:numPr>
          <w:ilvl w:val="0"/>
          <w:numId w:val="4"/>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Other New Hire and Secondary Grants: </w:t>
      </w:r>
      <w:r>
        <w:rPr>
          <w:rFonts w:ascii="Arial" w:cs="Arial" w:eastAsia="Arial" w:hAnsi="Arial"/>
          <w:sz w:val="16"/>
          <w:szCs w:val="16"/>
          <w:color w:val="auto"/>
        </w:rPr>
        <w:t>In addition to grants issued to new hires at the commencement of their employment, the Company occasionally</w:t>
      </w:r>
      <w:r>
        <w:rPr>
          <w:rFonts w:ascii="Arial" w:cs="Arial" w:eastAsia="Arial" w:hAnsi="Arial"/>
          <w:sz w:val="16"/>
          <w:szCs w:val="16"/>
          <w:i w:val="1"/>
          <w:iCs w:val="1"/>
          <w:color w:val="auto"/>
        </w:rPr>
        <w:t xml:space="preserve"> </w:t>
      </w:r>
      <w:r>
        <w:rPr>
          <w:rFonts w:ascii="Arial" w:cs="Arial" w:eastAsia="Arial" w:hAnsi="Arial"/>
          <w:sz w:val="16"/>
          <w:szCs w:val="16"/>
          <w:color w:val="auto"/>
        </w:rPr>
        <w:t>issues secondary grants to employees for outstanding performance, retention or other discretionary reasons outside of the annual performance review cycle. During the Relevant Period, the Company granted new hire and secondary options on 86 different dates, excluding assumption of acquisition-related options. These dates included grants made from August 2004 onwards when a fixed grant date schedule was set on the first Friday of each month.</w:t>
      </w:r>
    </w:p>
    <w:p>
      <w:pPr>
        <w:sectPr>
          <w:pgSz w:w="11900" w:h="16838" w:orient="portrait"/>
          <w:cols w:equalWidth="0" w:num="1">
            <w:col w:w="11420"/>
          </w:cols>
          <w:pgMar w:left="240" w:top="125" w:right="239" w:bottom="0" w:gutter="0" w:footer="0" w:header="0"/>
        </w:sectPr>
      </w:pPr>
    </w:p>
    <w:bookmarkStart w:id="7" w:name="page8"/>
    <w:bookmarkEnd w:id="7"/>
    <w:p>
      <w:pPr>
        <w:spacing w:after="0" w:line="18" w:lineRule="exact"/>
        <w:rPr>
          <w:sz w:val="20"/>
          <w:szCs w:val="20"/>
          <w:color w:val="auto"/>
        </w:rPr>
      </w:pPr>
    </w:p>
    <w:p>
      <w:pPr>
        <w:ind w:left="340"/>
        <w:spacing w:after="0" w:line="269" w:lineRule="auto"/>
        <w:rPr>
          <w:sz w:val="20"/>
          <w:szCs w:val="20"/>
          <w:color w:val="auto"/>
        </w:rPr>
      </w:pPr>
      <w:r>
        <w:rPr>
          <w:rFonts w:ascii="Arial" w:cs="Arial" w:eastAsia="Arial" w:hAnsi="Arial"/>
          <w:sz w:val="17"/>
          <w:szCs w:val="17"/>
          <w:color w:val="auto"/>
        </w:rPr>
        <w:t>As a result of the internal review, the Company recorded additional compensation costs for grants relating to 37 different grant dates, impacting approximately two-thirds of the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the Company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the Company used the date the grant entry was created in the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183" w:lineRule="exact"/>
        <w:rPr>
          <w:sz w:val="20"/>
          <w:szCs w:val="20"/>
          <w:color w:val="auto"/>
        </w:rPr>
      </w:pPr>
    </w:p>
    <w:p>
      <w:pPr>
        <w:ind w:left="340" w:right="420" w:hanging="332"/>
        <w:spacing w:after="0" w:line="286" w:lineRule="auto"/>
        <w:tabs>
          <w:tab w:leader="none" w:pos="334" w:val="left"/>
        </w:tabs>
        <w:numPr>
          <w:ilvl w:val="0"/>
          <w:numId w:val="5"/>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Re-priced New Hire Grants: </w:t>
      </w:r>
      <w:r>
        <w:rPr>
          <w:rFonts w:ascii="Arial" w:cs="Arial" w:eastAsia="Arial" w:hAnsi="Arial"/>
          <w:sz w:val="17"/>
          <w:szCs w:val="17"/>
          <w:color w:val="auto"/>
        </w:rPr>
        <w:t>Of the New Hire grants in the Relevant Period, grant prices were re-set for a segment of grants on three grant dates.</w:t>
      </w:r>
      <w:r>
        <w:rPr>
          <w:rFonts w:ascii="Arial" w:cs="Arial" w:eastAsia="Arial" w:hAnsi="Arial"/>
          <w:sz w:val="17"/>
          <w:szCs w:val="17"/>
          <w:i w:val="1"/>
          <w:iCs w:val="1"/>
          <w:color w:val="auto"/>
        </w:rPr>
        <w:t xml:space="preserve"> </w:t>
      </w:r>
      <w:r>
        <w:rPr>
          <w:rFonts w:ascii="Arial" w:cs="Arial" w:eastAsia="Arial" w:hAnsi="Arial"/>
          <w:sz w:val="17"/>
          <w:szCs w:val="17"/>
          <w:color w:val="auto"/>
        </w:rPr>
        <w:t>Consequently, affected awards totaling 6,224,200 options were subject to variable accounting until the Company’s adoption of SFAS 123R. The re-pricing resulted from the Stock Option Committee’s originally designated grant date being modified to a later grant date.</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100" w:hanging="332"/>
        <w:spacing w:after="0" w:line="288" w:lineRule="auto"/>
        <w:tabs>
          <w:tab w:leader="none" w:pos="320"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Evergreen Grants: </w:t>
      </w:r>
      <w:r>
        <w:rPr>
          <w:rFonts w:ascii="Arial" w:cs="Arial" w:eastAsia="Arial" w:hAnsi="Arial"/>
          <w:sz w:val="16"/>
          <w:szCs w:val="16"/>
          <w:color w:val="auto"/>
        </w:rPr>
        <w:t>During the Relevant Period, there were eight Evergreen grant dates. Substantially all employess are entitled to these grants for</w:t>
      </w:r>
      <w:r>
        <w:rPr>
          <w:rFonts w:ascii="Arial" w:cs="Arial" w:eastAsia="Arial" w:hAnsi="Arial"/>
          <w:sz w:val="16"/>
          <w:szCs w:val="16"/>
          <w:i w:val="1"/>
          <w:iCs w:val="1"/>
          <w:color w:val="auto"/>
        </w:rPr>
        <w:t xml:space="preserve"> </w:t>
      </w:r>
      <w:r>
        <w:rPr>
          <w:rFonts w:ascii="Arial" w:cs="Arial" w:eastAsia="Arial" w:hAnsi="Arial"/>
          <w:sz w:val="16"/>
          <w:szCs w:val="16"/>
          <w:color w:val="auto"/>
        </w:rPr>
        <w:t>retention purposes. There were two Evergreen grant dates in both fiscal 2003 and 2004. There was evidence of amendments to the recipients and/or the number of options subsquent to the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the Company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the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9" w:lineRule="exact"/>
        <w:rPr>
          <w:rFonts w:ascii="Arial" w:cs="Arial" w:eastAsia="Arial" w:hAnsi="Arial"/>
          <w:sz w:val="16"/>
          <w:szCs w:val="16"/>
          <w:i w:val="1"/>
          <w:iCs w:val="1"/>
          <w:color w:val="auto"/>
        </w:rPr>
      </w:pPr>
    </w:p>
    <w:p>
      <w:pPr>
        <w:ind w:left="340" w:hanging="332"/>
        <w:spacing w:after="0" w:line="272" w:lineRule="auto"/>
        <w:tabs>
          <w:tab w:leader="none" w:pos="320"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Non-employee Grants: </w:t>
      </w:r>
      <w:r>
        <w:rPr>
          <w:rFonts w:ascii="Arial" w:cs="Arial" w:eastAsia="Arial" w:hAnsi="Arial"/>
          <w:sz w:val="17"/>
          <w:szCs w:val="17"/>
          <w:color w:val="auto"/>
        </w:rPr>
        <w:t>Since the inception of the Company, 3,819,000 options were granted to 13 recipients who were not employees or directors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 These grants were erroneously accounted for under APB 25 as if they had been made to employees. Of these, four recipients that were granted a total of 1,483,000 options subsequently became employees or directors of the Company.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exercised or cancelled. Options held by consultants who became employees or directors of the Company have been accounted for under FASB Interpretation No. 44, Accounting for Certain Transactions involving Stock Compensation, which addresses a change in grantee status.</w:t>
      </w:r>
    </w:p>
    <w:p>
      <w:pPr>
        <w:spacing w:after="0" w:line="177" w:lineRule="exact"/>
        <w:rPr>
          <w:rFonts w:ascii="Arial" w:cs="Arial" w:eastAsia="Arial" w:hAnsi="Arial"/>
          <w:sz w:val="17"/>
          <w:szCs w:val="17"/>
          <w:i w:val="1"/>
          <w:iCs w:val="1"/>
          <w:color w:val="auto"/>
        </w:rPr>
      </w:pPr>
    </w:p>
    <w:p>
      <w:pPr>
        <w:ind w:left="340" w:right="140" w:hanging="332"/>
        <w:spacing w:after="0" w:line="259" w:lineRule="auto"/>
        <w:tabs>
          <w:tab w:leader="none" w:pos="321"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The Company applied APB 25 as if the leave of absence arrangement was a constructive modification extending the exercise period of vested awards. The Company recorded $10.0 million in additional deferred compensation charges in fiscal 2001.</w:t>
      </w:r>
    </w:p>
    <w:p>
      <w:pPr>
        <w:spacing w:after="0" w:line="187" w:lineRule="exact"/>
        <w:rPr>
          <w:sz w:val="20"/>
          <w:szCs w:val="20"/>
          <w:color w:val="auto"/>
        </w:rPr>
      </w:pPr>
    </w:p>
    <w:p>
      <w:pPr>
        <w:ind w:right="60" w:firstLine="630"/>
        <w:spacing w:after="0" w:line="259" w:lineRule="auto"/>
        <w:rPr>
          <w:sz w:val="20"/>
          <w:szCs w:val="20"/>
          <w:color w:val="auto"/>
        </w:rPr>
      </w:pPr>
      <w:r>
        <w:rPr>
          <w:rFonts w:ascii="Arial" w:cs="Arial" w:eastAsia="Arial" w:hAnsi="Arial"/>
          <w:sz w:val="18"/>
          <w:szCs w:val="18"/>
          <w:color w:val="auto"/>
        </w:rPr>
        <w:t>Notwithstanding the foregoing, the lack of conclusive evidence in the case of certain grants required management to apply significant judgment in establishing revised measurement dates. The Company determined that the total cumulative, pre-tax, non-cash, stock-based compensation expense resulting from revised measurement dates under APB 25 was $327.4 million for periods through fiscal 2006. There was no impact on revenue. The Company adopted SFAS 123R at the beginning of fiscal 2007.</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40"/>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jc w:val="both"/>
        <w:ind w:right="20" w:firstLine="324"/>
        <w:spacing w:after="0" w:line="288" w:lineRule="auto"/>
        <w:rPr>
          <w:sz w:val="20"/>
          <w:szCs w:val="20"/>
          <w:color w:val="auto"/>
        </w:rPr>
      </w:pPr>
      <w:r>
        <w:rPr>
          <w:rFonts w:ascii="Arial" w:cs="Arial" w:eastAsia="Arial" w:hAnsi="Arial"/>
          <w:sz w:val="16"/>
          <w:szCs w:val="16"/>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w:t>
      </w:r>
    </w:p>
    <w:p>
      <w:pPr>
        <w:ind w:right="100"/>
        <w:spacing w:after="0" w:line="261" w:lineRule="auto"/>
        <w:rPr>
          <w:sz w:val="20"/>
          <w:szCs w:val="20"/>
          <w:color w:val="auto"/>
        </w:rPr>
      </w:pPr>
      <w:r>
        <w:rPr>
          <w:rFonts w:ascii="Arial" w:cs="Arial" w:eastAsia="Arial" w:hAnsi="Arial"/>
          <w:sz w:val="18"/>
          <w:szCs w:val="18"/>
          <w:color w:val="auto"/>
        </w:rPr>
        <w:t>$2.5 million as of January 28, 2006 and a deferred provision benefit of $4.8 million. The tax impact of the adjustments arising from the equity award review is summarized as follows (in thousands):</w:t>
      </w:r>
    </w:p>
    <w:p>
      <w:pPr>
        <w:spacing w:after="0" w:line="1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8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Cumulative</w:t>
            </w:r>
          </w:p>
        </w:tc>
        <w:tc>
          <w:tcPr>
            <w:tcW w:w="9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90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98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Year Ended</w:t>
            </w:r>
          </w:p>
        </w:tc>
        <w:tc>
          <w:tcPr>
            <w:tcW w:w="92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6"/>
              </w:rPr>
              <w:t>Year Ended</w:t>
            </w:r>
          </w:p>
        </w:tc>
        <w:tc>
          <w:tcPr>
            <w:tcW w:w="60" w:type="dxa"/>
            <w:vAlign w:val="bottom"/>
          </w:tcPr>
          <w:p>
            <w:pPr>
              <w:spacing w:after="0"/>
              <w:rPr>
                <w:sz w:val="14"/>
                <w:szCs w:val="14"/>
                <w:color w:val="auto"/>
              </w:rPr>
            </w:pPr>
          </w:p>
        </w:tc>
        <w:tc>
          <w:tcPr>
            <w:tcW w:w="8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4"/>
              </w:rPr>
              <w:t>through</w:t>
            </w:r>
          </w:p>
        </w:tc>
        <w:tc>
          <w:tcPr>
            <w:tcW w:w="96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0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18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6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29,</w:t>
            </w:r>
          </w:p>
        </w:tc>
        <w:tc>
          <w:tcPr>
            <w:tcW w:w="90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January 31,</w:t>
            </w:r>
          </w:p>
        </w:tc>
        <w:tc>
          <w:tcPr>
            <w:tcW w:w="80" w:type="dxa"/>
            <w:vAlign w:val="bottom"/>
          </w:tcPr>
          <w:p>
            <w:pPr>
              <w:spacing w:after="0"/>
              <w:rPr>
                <w:sz w:val="11"/>
                <w:szCs w:val="11"/>
                <w:color w:val="auto"/>
              </w:rPr>
            </w:pPr>
          </w:p>
        </w:tc>
        <w:tc>
          <w:tcPr>
            <w:tcW w:w="98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92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February 2,</w:t>
            </w:r>
          </w:p>
        </w:tc>
        <w:tc>
          <w:tcPr>
            <w:tcW w:w="60" w:type="dxa"/>
            <w:vAlign w:val="bottom"/>
          </w:tcPr>
          <w:p>
            <w:pPr>
              <w:spacing w:after="0"/>
              <w:rPr>
                <w:sz w:val="11"/>
                <w:szCs w:val="11"/>
                <w:color w:val="auto"/>
              </w:rPr>
            </w:pPr>
          </w:p>
        </w:tc>
        <w:tc>
          <w:tcPr>
            <w:tcW w:w="880" w:type="dxa"/>
            <w:vAlign w:val="bottom"/>
            <w:gridSpan w:val="3"/>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2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96"/>
              </w:rPr>
              <w:t>2005</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9"/>
              </w:rPr>
              <w:t>2004</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9"/>
              </w:rPr>
              <w:t>2003</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6"/>
              </w:rPr>
              <w:t>2002</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6"/>
              </w:rPr>
              <w:t>2001</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18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 tax*</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120" w:type="dxa"/>
            <w:vAlign w:val="bottom"/>
            <w:shd w:val="clear" w:color="auto" w:fill="CCEEFF"/>
          </w:tcPr>
          <w:p>
            <w:pPr>
              <w:spacing w:after="0"/>
              <w:rPr>
                <w:sz w:val="20"/>
                <w:szCs w:val="20"/>
                <w:color w:val="auto"/>
              </w:rPr>
            </w:pP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80" w:type="dxa"/>
            <w:vAlign w:val="bottom"/>
          </w:tcPr>
          <w:p>
            <w:pPr>
              <w:spacing w:after="0" w:line="201" w:lineRule="exact"/>
              <w:rPr>
                <w:sz w:val="20"/>
                <w:szCs w:val="20"/>
                <w:color w:val="auto"/>
              </w:rPr>
            </w:pPr>
            <w:r>
              <w:rPr>
                <w:rFonts w:ascii="Arial" w:cs="Arial" w:eastAsia="Arial" w:hAnsi="Arial"/>
                <w:sz w:val="18"/>
                <w:szCs w:val="18"/>
                <w:color w:val="auto"/>
              </w:rPr>
              <w:t>Provision for income tax –</w:t>
            </w: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80" w:type="dxa"/>
            <w:vAlign w:val="bottom"/>
          </w:tcPr>
          <w:p>
            <w:pPr>
              <w:ind w:left="180"/>
              <w:spacing w:after="0"/>
              <w:rPr>
                <w:sz w:val="20"/>
                <w:szCs w:val="20"/>
                <w:color w:val="auto"/>
              </w:rPr>
            </w:pPr>
            <w:r>
              <w:rPr>
                <w:rFonts w:ascii="Arial" w:cs="Arial" w:eastAsia="Arial" w:hAnsi="Arial"/>
                <w:sz w:val="18"/>
                <w:szCs w:val="18"/>
                <w:color w:val="auto"/>
              </w:rPr>
              <w:t>Deferred Income Tax</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Benefit (b)</w:t>
            </w:r>
          </w:p>
        </w:tc>
        <w:tc>
          <w:tcPr>
            <w:tcW w:w="120" w:type="dxa"/>
            <w:vAlign w:val="bottom"/>
          </w:tcPr>
          <w:p>
            <w:pPr>
              <w:spacing w:after="0"/>
              <w:rPr>
                <w:sz w:val="20"/>
                <w:szCs w:val="20"/>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(4,806)</w:t>
            </w:r>
          </w:p>
        </w:tc>
        <w:tc>
          <w:tcPr>
            <w:tcW w:w="160" w:type="dxa"/>
            <w:vAlign w:val="bottom"/>
          </w:tcPr>
          <w:p>
            <w:pPr>
              <w:spacing w:after="0"/>
              <w:rPr>
                <w:sz w:val="20"/>
                <w:szCs w:val="20"/>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(1,822)</w:t>
            </w:r>
          </w:p>
        </w:tc>
        <w:tc>
          <w:tcPr>
            <w:tcW w:w="180" w:type="dxa"/>
            <w:vAlign w:val="bottom"/>
          </w:tcPr>
          <w:p>
            <w:pPr>
              <w:spacing w:after="0"/>
              <w:rPr>
                <w:sz w:val="20"/>
                <w:szCs w:val="20"/>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(1,150)</w:t>
            </w:r>
          </w:p>
        </w:tc>
        <w:tc>
          <w:tcPr>
            <w:tcW w:w="160" w:type="dxa"/>
            <w:vAlign w:val="bottom"/>
          </w:tcPr>
          <w:p>
            <w:pPr>
              <w:spacing w:after="0"/>
              <w:rPr>
                <w:sz w:val="20"/>
                <w:szCs w:val="20"/>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(1,170)</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(405)</w:t>
            </w:r>
          </w:p>
        </w:tc>
        <w:tc>
          <w:tcPr>
            <w:tcW w:w="160" w:type="dxa"/>
            <w:vAlign w:val="bottom"/>
          </w:tcPr>
          <w:p>
            <w:pPr>
              <w:spacing w:after="0"/>
              <w:rPr>
                <w:sz w:val="20"/>
                <w:szCs w:val="20"/>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(259)</w:t>
            </w: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 tax –</w:t>
            </w: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Section 162(m) and</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utilization of deferred</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assets**(c)</w:t>
            </w:r>
          </w:p>
        </w:tc>
        <w:tc>
          <w:tcPr>
            <w:tcW w:w="12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20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8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40" w:type="dxa"/>
            <w:vAlign w:val="bottom"/>
            <w:tcBorders>
              <w:bottom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w w:val="88"/>
              </w:rPr>
              <w:t>—</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ectPr>
          <w:pgSz w:w="11900" w:h="16857" w:orient="portrait"/>
          <w:cols w:equalWidth="0" w:num="1">
            <w:col w:w="11420"/>
          </w:cols>
          <w:pgMar w:left="240" w:top="125" w:right="239" w:bottom="0" w:gutter="0" w:footer="0" w:header="0"/>
        </w:sectPr>
      </w:pPr>
    </w:p>
    <w:bookmarkStart w:id="8" w:name="page9"/>
    <w:bookmarkEnd w:id="8"/>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5"/>
        </w:trPr>
        <w:tc>
          <w:tcPr>
            <w:tcW w:w="2180" w:type="dxa"/>
            <w:vAlign w:val="bottom"/>
            <w:vMerge w:val="restart"/>
          </w:tcPr>
          <w:p>
            <w:pPr>
              <w:ind w:left="180"/>
              <w:spacing w:after="0"/>
              <w:rPr>
                <w:sz w:val="20"/>
                <w:szCs w:val="20"/>
                <w:color w:val="auto"/>
              </w:rPr>
            </w:pPr>
            <w:r>
              <w:rPr>
                <w:rFonts w:ascii="Arial" w:cs="Arial" w:eastAsia="Arial" w:hAnsi="Arial"/>
                <w:sz w:val="18"/>
                <w:szCs w:val="18"/>
                <w:color w:val="auto"/>
              </w:rPr>
              <w:t>Tax impact of the equity</w:t>
            </w:r>
          </w:p>
        </w:tc>
        <w:tc>
          <w:tcPr>
            <w:tcW w:w="1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2180" w:type="dxa"/>
            <w:vAlign w:val="bottom"/>
            <w:vMerge w:val="continue"/>
          </w:tcPr>
          <w:p>
            <w:pPr>
              <w:spacing w:after="0"/>
              <w:rPr>
                <w:sz w:val="15"/>
                <w:szCs w:val="15"/>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200" w:type="dxa"/>
            <w:vAlign w:val="bottom"/>
          </w:tcPr>
          <w:p>
            <w:pPr>
              <w:spacing w:after="0"/>
              <w:rPr>
                <w:sz w:val="15"/>
                <w:szCs w:val="15"/>
                <w:color w:val="auto"/>
              </w:rPr>
            </w:pPr>
          </w:p>
        </w:tc>
        <w:tc>
          <w:tcPr>
            <w:tcW w:w="180" w:type="dxa"/>
            <w:vAlign w:val="bottom"/>
            <w:vMerge w:val="restart"/>
          </w:tcPr>
          <w:p>
            <w:pPr>
              <w:jc w:val="right"/>
              <w:ind w:right="25"/>
              <w:spacing w:after="0"/>
              <w:rPr>
                <w:sz w:val="20"/>
                <w:szCs w:val="20"/>
                <w:color w:val="auto"/>
              </w:rPr>
            </w:pPr>
            <w:r>
              <w:rPr>
                <w:rFonts w:ascii="Arial" w:cs="Arial" w:eastAsia="Arial" w:hAnsi="Arial"/>
                <w:sz w:val="15"/>
                <w:szCs w:val="15"/>
                <w:color w:val="auto"/>
                <w:w w:val="71"/>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180" w:type="dxa"/>
            <w:vAlign w:val="bottom"/>
          </w:tcPr>
          <w:p>
            <w:pPr>
              <w:spacing w:after="0"/>
              <w:rPr>
                <w:sz w:val="15"/>
                <w:szCs w:val="15"/>
                <w:color w:val="auto"/>
              </w:rPr>
            </w:pPr>
          </w:p>
        </w:tc>
        <w:tc>
          <w:tcPr>
            <w:tcW w:w="240" w:type="dxa"/>
            <w:vAlign w:val="bottom"/>
            <w:vMerge w:val="restart"/>
          </w:tcPr>
          <w:p>
            <w:pPr>
              <w:jc w:val="right"/>
              <w:ind w:right="50"/>
              <w:spacing w:after="0"/>
              <w:rPr>
                <w:sz w:val="20"/>
                <w:szCs w:val="20"/>
                <w:color w:val="auto"/>
              </w:rPr>
            </w:pPr>
            <w:r>
              <w:rPr>
                <w:rFonts w:ascii="Arial" w:cs="Arial" w:eastAsia="Arial" w:hAnsi="Arial"/>
                <w:sz w:val="18"/>
                <w:szCs w:val="18"/>
                <w:color w:val="auto"/>
                <w:w w:val="79"/>
              </w:rPr>
              <w:t>$</w:t>
            </w:r>
          </w:p>
        </w:tc>
        <w:tc>
          <w:tcPr>
            <w:tcW w:w="56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180" w:type="dxa"/>
            <w:vAlign w:val="bottom"/>
          </w:tcPr>
          <w:p>
            <w:pPr>
              <w:spacing w:after="0"/>
              <w:rPr>
                <w:sz w:val="15"/>
                <w:szCs w:val="15"/>
                <w:color w:val="auto"/>
              </w:rPr>
            </w:pPr>
          </w:p>
        </w:tc>
        <w:tc>
          <w:tcPr>
            <w:tcW w:w="260" w:type="dxa"/>
            <w:vAlign w:val="bottom"/>
            <w:vMerge w:val="restart"/>
          </w:tcPr>
          <w:p>
            <w:pPr>
              <w:jc w:val="right"/>
              <w:ind w:right="105"/>
              <w:spacing w:after="0"/>
              <w:rPr>
                <w:sz w:val="20"/>
                <w:szCs w:val="20"/>
                <w:color w:val="auto"/>
              </w:rPr>
            </w:pPr>
            <w:r>
              <w:rPr>
                <w:rFonts w:ascii="Arial" w:cs="Arial" w:eastAsia="Arial" w:hAnsi="Arial"/>
                <w:sz w:val="15"/>
                <w:szCs w:val="15"/>
                <w:color w:val="auto"/>
                <w:w w:val="71"/>
              </w:rPr>
              <w:t>$</w:t>
            </w:r>
          </w:p>
        </w:tc>
        <w:tc>
          <w:tcPr>
            <w:tcW w:w="6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(249)</w:t>
            </w:r>
          </w:p>
        </w:tc>
        <w:tc>
          <w:tcPr>
            <w:tcW w:w="34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gridSpan w:val="2"/>
            <w:vMerge w:val="restart"/>
          </w:tcPr>
          <w:p>
            <w:pPr>
              <w:jc w:val="right"/>
              <w:ind w:right="140"/>
              <w:spacing w:after="0"/>
              <w:rPr>
                <w:sz w:val="20"/>
                <w:szCs w:val="20"/>
                <w:color w:val="auto"/>
              </w:rPr>
            </w:pPr>
            <w:r>
              <w:rPr>
                <w:rFonts w:ascii="Arial" w:cs="Arial" w:eastAsia="Arial" w:hAnsi="Arial"/>
                <w:sz w:val="18"/>
                <w:szCs w:val="18"/>
                <w:color w:val="auto"/>
              </w:rPr>
              <w:t>(388)</w:t>
            </w:r>
          </w:p>
        </w:tc>
        <w:tc>
          <w:tcPr>
            <w:tcW w:w="280" w:type="dxa"/>
            <w:vAlign w:val="bottom"/>
            <w:vMerge w:val="restart"/>
          </w:tcPr>
          <w:p>
            <w:pPr>
              <w:jc w:val="right"/>
              <w:ind w:right="125"/>
              <w:spacing w:after="0"/>
              <w:rPr>
                <w:sz w:val="20"/>
                <w:szCs w:val="20"/>
                <w:color w:val="auto"/>
              </w:rPr>
            </w:pPr>
            <w:r>
              <w:rPr>
                <w:rFonts w:ascii="Arial" w:cs="Arial" w:eastAsia="Arial" w:hAnsi="Arial"/>
                <w:sz w:val="15"/>
                <w:szCs w:val="15"/>
                <w:color w:val="auto"/>
                <w:w w:val="71"/>
              </w:rPr>
              <w:t>$</w:t>
            </w:r>
          </w:p>
        </w:tc>
        <w:tc>
          <w:tcPr>
            <w:tcW w:w="6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(259)</w:t>
            </w:r>
          </w:p>
        </w:tc>
        <w:tc>
          <w:tcPr>
            <w:tcW w:w="420" w:type="dxa"/>
            <w:vAlign w:val="bottom"/>
            <w:gridSpan w:val="2"/>
            <w:vMerge w:val="restart"/>
          </w:tcPr>
          <w:p>
            <w:pPr>
              <w:jc w:val="right"/>
              <w:ind w:right="260"/>
              <w:spacing w:after="0"/>
              <w:rPr>
                <w:sz w:val="20"/>
                <w:szCs w:val="20"/>
                <w:color w:val="auto"/>
              </w:rPr>
            </w:pPr>
            <w:r>
              <w:rPr>
                <w:rFonts w:ascii="Arial" w:cs="Arial" w:eastAsia="Arial" w:hAnsi="Arial"/>
                <w:sz w:val="18"/>
                <w:szCs w:val="18"/>
                <w:color w:val="auto"/>
              </w:rPr>
              <w:t>$</w:t>
            </w:r>
          </w:p>
        </w:tc>
        <w:tc>
          <w:tcPr>
            <w:tcW w:w="52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2180" w:type="dxa"/>
            <w:vAlign w:val="bottom"/>
          </w:tcPr>
          <w:p>
            <w:pPr>
              <w:ind w:left="360"/>
              <w:spacing w:after="0"/>
              <w:rPr>
                <w:sz w:val="20"/>
                <w:szCs w:val="20"/>
                <w:color w:val="auto"/>
              </w:rPr>
            </w:pPr>
            <w:r>
              <w:rPr>
                <w:rFonts w:ascii="Arial" w:cs="Arial" w:eastAsia="Arial" w:hAnsi="Arial"/>
                <w:sz w:val="18"/>
                <w:szCs w:val="18"/>
                <w:color w:val="auto"/>
              </w:rPr>
              <w:t>award review</w:t>
            </w:r>
          </w:p>
        </w:tc>
        <w:tc>
          <w:tcPr>
            <w:tcW w:w="180" w:type="dxa"/>
            <w:vAlign w:val="bottom"/>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200" w:type="dxa"/>
            <w:vAlign w:val="bottom"/>
          </w:tcPr>
          <w:p>
            <w:pPr>
              <w:spacing w:after="0"/>
              <w:rPr>
                <w:sz w:val="22"/>
                <w:szCs w:val="22"/>
                <w:color w:val="auto"/>
              </w:rPr>
            </w:pPr>
          </w:p>
        </w:tc>
        <w:tc>
          <w:tcPr>
            <w:tcW w:w="180" w:type="dxa"/>
            <w:vAlign w:val="bottom"/>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240" w:type="dxa"/>
            <w:vAlign w:val="bottom"/>
            <w:vMerge w:val="continue"/>
          </w:tcPr>
          <w:p>
            <w:pPr>
              <w:spacing w:after="0"/>
              <w:rPr>
                <w:sz w:val="22"/>
                <w:szCs w:val="22"/>
                <w:color w:val="auto"/>
              </w:rPr>
            </w:pPr>
          </w:p>
        </w:tc>
        <w:tc>
          <w:tcPr>
            <w:tcW w:w="56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260" w:type="dxa"/>
            <w:vAlign w:val="bottom"/>
            <w:vMerge w:val="continue"/>
          </w:tcPr>
          <w:p>
            <w:pPr>
              <w:spacing w:after="0"/>
              <w:rPr>
                <w:sz w:val="22"/>
                <w:szCs w:val="22"/>
                <w:color w:val="auto"/>
              </w:rPr>
            </w:pPr>
          </w:p>
        </w:tc>
        <w:tc>
          <w:tcPr>
            <w:tcW w:w="640" w:type="dxa"/>
            <w:vAlign w:val="bottom"/>
            <w:gridSpan w:val="2"/>
            <w:vMerge w:val="continue"/>
          </w:tcPr>
          <w:p>
            <w:pPr>
              <w:spacing w:after="0"/>
              <w:rPr>
                <w:sz w:val="22"/>
                <w:szCs w:val="22"/>
                <w:color w:val="auto"/>
              </w:rPr>
            </w:pPr>
          </w:p>
        </w:tc>
        <w:tc>
          <w:tcPr>
            <w:tcW w:w="340" w:type="dxa"/>
            <w:vAlign w:val="bottom"/>
            <w:gridSpan w:val="2"/>
            <w:vMerge w:val="continue"/>
          </w:tcPr>
          <w:p>
            <w:pPr>
              <w:spacing w:after="0"/>
              <w:rPr>
                <w:sz w:val="22"/>
                <w:szCs w:val="22"/>
                <w:color w:val="auto"/>
              </w:rPr>
            </w:pPr>
          </w:p>
        </w:tc>
        <w:tc>
          <w:tcPr>
            <w:tcW w:w="720" w:type="dxa"/>
            <w:vAlign w:val="bottom"/>
            <w:gridSpan w:val="2"/>
            <w:vMerge w:val="continue"/>
          </w:tcPr>
          <w:p>
            <w:pPr>
              <w:spacing w:after="0"/>
              <w:rPr>
                <w:sz w:val="22"/>
                <w:szCs w:val="22"/>
                <w:color w:val="auto"/>
              </w:rPr>
            </w:pPr>
          </w:p>
        </w:tc>
        <w:tc>
          <w:tcPr>
            <w:tcW w:w="280" w:type="dxa"/>
            <w:vAlign w:val="bottom"/>
            <w:vMerge w:val="continue"/>
          </w:tcPr>
          <w:p>
            <w:pPr>
              <w:spacing w:after="0"/>
              <w:rPr>
                <w:sz w:val="22"/>
                <w:szCs w:val="22"/>
                <w:color w:val="auto"/>
              </w:rPr>
            </w:pPr>
          </w:p>
        </w:tc>
        <w:tc>
          <w:tcPr>
            <w:tcW w:w="640" w:type="dxa"/>
            <w:vAlign w:val="bottom"/>
            <w:gridSpan w:val="2"/>
            <w:vMerge w:val="continue"/>
          </w:tcPr>
          <w:p>
            <w:pPr>
              <w:spacing w:after="0"/>
              <w:rPr>
                <w:sz w:val="22"/>
                <w:szCs w:val="22"/>
                <w:color w:val="auto"/>
              </w:rPr>
            </w:pPr>
          </w:p>
        </w:tc>
        <w:tc>
          <w:tcPr>
            <w:tcW w:w="420" w:type="dxa"/>
            <w:vAlign w:val="bottom"/>
            <w:gridSpan w:val="2"/>
            <w:vMerge w:val="continue"/>
          </w:tcPr>
          <w:p>
            <w:pPr>
              <w:spacing w:after="0"/>
              <w:rPr>
                <w:sz w:val="22"/>
                <w:szCs w:val="22"/>
                <w:color w:val="auto"/>
              </w:rPr>
            </w:pPr>
          </w:p>
        </w:tc>
        <w:tc>
          <w:tcPr>
            <w:tcW w:w="52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218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 tax</w:t>
            </w:r>
          </w:p>
        </w:tc>
        <w:tc>
          <w:tcPr>
            <w:tcW w:w="18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auto"/>
            </w:tcBorders>
            <w:shd w:val="clear" w:color="auto" w:fill="CCEEFF"/>
          </w:tcPr>
          <w:p>
            <w:pPr>
              <w:spacing w:after="0"/>
              <w:rPr>
                <w:sz w:val="13"/>
                <w:szCs w:val="13"/>
                <w:color w:val="auto"/>
              </w:rPr>
            </w:pPr>
          </w:p>
        </w:tc>
        <w:tc>
          <w:tcPr>
            <w:tcW w:w="56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260" w:type="dxa"/>
            <w:vAlign w:val="bottom"/>
            <w:tcBorders>
              <w:top w:val="single" w:sz="8" w:color="auto"/>
            </w:tcBorders>
            <w:shd w:val="clear" w:color="auto" w:fill="CCEEFF"/>
          </w:tcPr>
          <w:p>
            <w:pPr>
              <w:spacing w:after="0"/>
              <w:rPr>
                <w:sz w:val="13"/>
                <w:szCs w:val="13"/>
                <w:color w:val="auto"/>
              </w:rPr>
            </w:pPr>
          </w:p>
        </w:tc>
        <w:tc>
          <w:tcPr>
            <w:tcW w:w="5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260" w:type="dxa"/>
            <w:vAlign w:val="bottom"/>
            <w:tcBorders>
              <w:top w:val="single" w:sz="8" w:color="auto"/>
            </w:tcBorders>
            <w:shd w:val="clear" w:color="auto" w:fill="CCEEFF"/>
          </w:tcPr>
          <w:p>
            <w:pPr>
              <w:spacing w:after="0"/>
              <w:rPr>
                <w:sz w:val="13"/>
                <w:szCs w:val="13"/>
                <w:color w:val="auto"/>
              </w:rPr>
            </w:pPr>
          </w:p>
        </w:tc>
        <w:tc>
          <w:tcPr>
            <w:tcW w:w="52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280" w:type="dxa"/>
            <w:vAlign w:val="bottom"/>
            <w:tcBorders>
              <w:top w:val="single" w:sz="8" w:color="auto"/>
            </w:tcBorders>
            <w:shd w:val="clear" w:color="auto" w:fill="CCEEFF"/>
          </w:tcPr>
          <w:p>
            <w:pPr>
              <w:spacing w:after="0"/>
              <w:rPr>
                <w:sz w:val="13"/>
                <w:szCs w:val="13"/>
                <w:color w:val="auto"/>
              </w:rPr>
            </w:pPr>
          </w:p>
        </w:tc>
        <w:tc>
          <w:tcPr>
            <w:tcW w:w="5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360" w:type="dxa"/>
            <w:vAlign w:val="bottom"/>
            <w:tcBorders>
              <w:top w:val="single" w:sz="8" w:color="auto"/>
            </w:tcBorders>
            <w:shd w:val="clear" w:color="auto" w:fill="CCEEFF"/>
          </w:tcPr>
          <w:p>
            <w:pPr>
              <w:spacing w:after="0"/>
              <w:rPr>
                <w:sz w:val="13"/>
                <w:szCs w:val="13"/>
                <w:color w:val="auto"/>
              </w:rPr>
            </w:pPr>
          </w:p>
        </w:tc>
        <w:tc>
          <w:tcPr>
            <w:tcW w:w="460" w:type="dxa"/>
            <w:vAlign w:val="bottom"/>
            <w:tcBorders>
              <w:top w:val="single" w:sz="8" w:color="auto"/>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 for exemption</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200" w:type="dxa"/>
            <w:vAlign w:val="bottom"/>
            <w:shd w:val="clear" w:color="auto" w:fill="CCEEFF"/>
          </w:tcPr>
          <w:p>
            <w:pPr>
              <w:spacing w:after="0"/>
              <w:rPr>
                <w:sz w:val="18"/>
                <w:szCs w:val="18"/>
                <w:color w:val="auto"/>
              </w:rPr>
            </w:pPr>
          </w:p>
        </w:tc>
        <w:tc>
          <w:tcPr>
            <w:tcW w:w="180" w:type="dxa"/>
            <w:vAlign w:val="bottom"/>
            <w:vMerge w:val="restart"/>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80" w:type="dxa"/>
            <w:vAlign w:val="bottom"/>
            <w:shd w:val="clear" w:color="auto" w:fill="CCEEFF"/>
          </w:tcPr>
          <w:p>
            <w:pPr>
              <w:spacing w:after="0"/>
              <w:rPr>
                <w:sz w:val="18"/>
                <w:szCs w:val="18"/>
                <w:color w:val="auto"/>
              </w:rPr>
            </w:pPr>
          </w:p>
        </w:tc>
        <w:tc>
          <w:tcPr>
            <w:tcW w:w="240" w:type="dxa"/>
            <w:vAlign w:val="bottom"/>
            <w:vMerge w:val="restart"/>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5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4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64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gridSpan w:val="2"/>
            <w:vMerge w:val="restart"/>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benefit (d)</w:t>
            </w:r>
          </w:p>
        </w:tc>
        <w:tc>
          <w:tcPr>
            <w:tcW w:w="180" w:type="dxa"/>
            <w:vAlign w:val="bottom"/>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vMerge w:val="continue"/>
            <w:shd w:val="clear" w:color="auto" w:fill="CCEEFF"/>
          </w:tcPr>
          <w:p>
            <w:pPr>
              <w:spacing w:after="0"/>
              <w:rPr>
                <w:sz w:val="18"/>
                <w:szCs w:val="18"/>
                <w:color w:val="auto"/>
              </w:rPr>
            </w:pPr>
          </w:p>
        </w:tc>
        <w:tc>
          <w:tcPr>
            <w:tcW w:w="56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4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4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580" w:right="460" w:hanging="572"/>
        <w:spacing w:after="0" w:line="308" w:lineRule="auto"/>
        <w:tabs>
          <w:tab w:leader="none" w:pos="580" w:val="left"/>
        </w:tabs>
        <w:numPr>
          <w:ilvl w:val="0"/>
          <w:numId w:val="7"/>
        </w:numPr>
        <w:rPr>
          <w:rFonts w:ascii="Arial" w:cs="Arial" w:eastAsia="Arial" w:hAnsi="Arial"/>
          <w:sz w:val="17"/>
          <w:szCs w:val="17"/>
          <w:color w:val="auto"/>
        </w:rPr>
      </w:pPr>
      <w:r>
        <w:rPr>
          <w:rFonts w:ascii="Arial" w:cs="Arial" w:eastAsia="Arial" w:hAnsi="Arial"/>
          <w:sz w:val="17"/>
          <w:szCs w:val="17"/>
          <w:color w:val="auto"/>
        </w:rPr>
        <w:t>$3.0 million of additional employer and employee withholding taxes relating to exercises of affected options, including penalty and interest, and $24.2 million of Section 409A expenses of employees, including penalties and interest was also recorded in fiscal 2007.</w:t>
      </w:r>
    </w:p>
    <w:p>
      <w:pPr>
        <w:spacing w:after="0" w:line="147" w:lineRule="exact"/>
        <w:rPr>
          <w:sz w:val="20"/>
          <w:szCs w:val="20"/>
          <w:color w:val="auto"/>
        </w:rPr>
      </w:pPr>
    </w:p>
    <w:p>
      <w:pPr>
        <w:ind w:left="580" w:hanging="572"/>
        <w:spacing w:after="0"/>
        <w:tabs>
          <w:tab w:leader="none" w:pos="580" w:val="left"/>
        </w:tabs>
        <w:numPr>
          <w:ilvl w:val="0"/>
          <w:numId w:val="8"/>
        </w:numPr>
        <w:rPr>
          <w:rFonts w:ascii="Arial" w:cs="Arial" w:eastAsia="Arial" w:hAnsi="Arial"/>
          <w:sz w:val="18"/>
          <w:szCs w:val="18"/>
          <w:color w:val="auto"/>
        </w:rPr>
      </w:pPr>
      <w:r>
        <w:rPr>
          <w:rFonts w:ascii="Arial" w:cs="Arial" w:eastAsia="Arial" w:hAnsi="Arial"/>
          <w:sz w:val="18"/>
          <w:szCs w:val="18"/>
          <w:color w:val="auto"/>
        </w:rPr>
        <w:t>$4.9 million of penalty and interest associated with Section 162(m) liability was also recorded in fiscal 2007.</w:t>
      </w:r>
    </w:p>
    <w:p>
      <w:pPr>
        <w:spacing w:after="0" w:line="279" w:lineRule="exact"/>
        <w:rPr>
          <w:sz w:val="20"/>
          <w:szCs w:val="20"/>
          <w:color w:val="auto"/>
        </w:rPr>
      </w:pPr>
    </w:p>
    <w:p>
      <w:pPr>
        <w:ind w:left="280" w:right="120" w:hanging="272"/>
        <w:spacing w:after="0" w:line="276" w:lineRule="auto"/>
        <w:tabs>
          <w:tab w:leader="none" w:pos="260" w:val="left"/>
        </w:tabs>
        <w:numPr>
          <w:ilvl w:val="0"/>
          <w:numId w:val="9"/>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Payroll Tax - </w:t>
      </w:r>
      <w:r>
        <w:rPr>
          <w:rFonts w:ascii="Arial" w:cs="Arial" w:eastAsia="Arial" w:hAnsi="Arial"/>
          <w:sz w:val="17"/>
          <w:szCs w:val="17"/>
          <w:color w:val="auto"/>
        </w:rPr>
        <w:t>The federal and state revised measurement dates for certain stock options as discussed in this filing may result in adverse tax consequences</w:t>
      </w:r>
      <w:r>
        <w:rPr>
          <w:rFonts w:ascii="Arial" w:cs="Arial" w:eastAsia="Arial" w:hAnsi="Arial"/>
          <w:sz w:val="17"/>
          <w:szCs w:val="17"/>
          <w:i w:val="1"/>
          <w:iCs w:val="1"/>
          <w:color w:val="auto"/>
        </w:rPr>
        <w:t xml:space="preserve"> </w:t>
      </w:r>
      <w:r>
        <w:rPr>
          <w:rFonts w:ascii="Arial" w:cs="Arial" w:eastAsia="Arial" w:hAnsi="Arial"/>
          <w:sz w:val="17"/>
          <w:szCs w:val="17"/>
          <w:color w:val="auto"/>
        </w:rPr>
        <w:t>to holders of those options under IRC Section 409A which was enacted in 2004 to impose certain restrictions on deferred compensation arrangements. The adverse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pacing w:after="0" w:line="172" w:lineRule="exact"/>
        <w:rPr>
          <w:rFonts w:ascii="Arial" w:cs="Arial" w:eastAsia="Arial" w:hAnsi="Arial"/>
          <w:sz w:val="17"/>
          <w:szCs w:val="17"/>
          <w:i w:val="1"/>
          <w:iCs w:val="1"/>
          <w:color w:val="auto"/>
        </w:rPr>
      </w:pPr>
    </w:p>
    <w:p>
      <w:pPr>
        <w:ind w:left="660" w:right="40" w:hanging="328"/>
        <w:spacing w:after="0" w:line="271" w:lineRule="auto"/>
        <w:tabs>
          <w:tab w:leader="none" w:pos="624" w:val="left"/>
        </w:tabs>
        <w:numPr>
          <w:ilvl w:val="1"/>
          <w:numId w:val="9"/>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issued as incentive stock options. Due to the re-measurement caused by the re-pricing, they have</w:t>
      </w:r>
      <w:r>
        <w:rPr>
          <w:rFonts w:ascii="Arial" w:cs="Arial" w:eastAsia="Arial" w:hAnsi="Arial"/>
          <w:sz w:val="17"/>
          <w:szCs w:val="17"/>
          <w:i w:val="1"/>
          <w:iCs w:val="1"/>
          <w:color w:val="auto"/>
        </w:rPr>
        <w:t xml:space="preserve"> </w:t>
      </w:r>
      <w:r>
        <w:rPr>
          <w:rFonts w:ascii="Arial" w:cs="Arial" w:eastAsia="Arial" w:hAnsi="Arial"/>
          <w:sz w:val="17"/>
          <w:szCs w:val="17"/>
          <w:color w:val="auto"/>
        </w:rPr>
        <w:t>originally become non-statutory stock options. The Company has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20" w:hanging="288"/>
        <w:spacing w:after="0"/>
        <w:tabs>
          <w:tab w:leader="none" w:pos="620" w:val="left"/>
        </w:tabs>
        <w:numPr>
          <w:ilvl w:val="1"/>
          <w:numId w:val="9"/>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120"/>
        <w:spacing w:after="0" w:line="257" w:lineRule="auto"/>
        <w:rPr>
          <w:sz w:val="20"/>
          <w:szCs w:val="20"/>
          <w:color w:val="auto"/>
        </w:rPr>
      </w:pPr>
      <w:r>
        <w:rPr>
          <w:rFonts w:ascii="Arial" w:cs="Arial" w:eastAsia="Arial" w:hAnsi="Arial"/>
          <w:sz w:val="18"/>
          <w:szCs w:val="18"/>
          <w:color w:val="auto"/>
        </w:rPr>
        <w:t>The Company has informed employees who exercised options in 2006 that any additional tax costs accruing to such employees from Section 409A, ISO disqualification, and employment taxes will be reimbursed by the Company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188" w:lineRule="exact"/>
        <w:rPr>
          <w:sz w:val="20"/>
          <w:szCs w:val="20"/>
          <w:color w:val="auto"/>
        </w:rPr>
      </w:pPr>
    </w:p>
    <w:p>
      <w:pPr>
        <w:jc w:val="both"/>
        <w:ind w:left="660" w:right="20"/>
        <w:spacing w:after="0" w:line="264" w:lineRule="auto"/>
        <w:rPr>
          <w:sz w:val="20"/>
          <w:szCs w:val="20"/>
          <w:color w:val="auto"/>
        </w:rPr>
      </w:pPr>
      <w:r>
        <w:rPr>
          <w:rFonts w:ascii="Arial" w:cs="Arial" w:eastAsia="Arial" w:hAnsi="Arial"/>
          <w:sz w:val="18"/>
          <w:szCs w:val="18"/>
          <w:color w:val="auto"/>
        </w:rPr>
        <w:t>Because all holders of re-measured stock options generally were not involved in or aware of the retroactive pricing, the Board of Directors approved the Company’s plan to deal with the adverse tax consequences that may be incurred by the holders of the re-measured options in the fourth quarter of fiscal 2007. Therefore, the Company recorded in the last quarter of fiscal</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20"/>
        <w:spacing w:after="0" w:line="259" w:lineRule="auto"/>
        <w:rPr>
          <w:sz w:val="20"/>
          <w:szCs w:val="20"/>
          <w:color w:val="auto"/>
        </w:rPr>
      </w:pPr>
      <w:r>
        <w:rPr>
          <w:rFonts w:ascii="Arial" w:cs="Arial" w:eastAsia="Arial" w:hAnsi="Arial"/>
          <w:sz w:val="18"/>
          <w:szCs w:val="18"/>
          <w:color w:val="auto"/>
        </w:rPr>
        <w:t>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The Company has sent timely notices to the IRS and the California Franchise Tax Board that it elected to participate in these programs.</w:t>
      </w:r>
    </w:p>
    <w:p>
      <w:pPr>
        <w:spacing w:after="0" w:line="187" w:lineRule="exact"/>
        <w:rPr>
          <w:sz w:val="20"/>
          <w:szCs w:val="20"/>
          <w:color w:val="auto"/>
        </w:rPr>
      </w:pPr>
    </w:p>
    <w:p>
      <w:pPr>
        <w:ind w:left="660" w:right="20" w:hanging="328"/>
        <w:spacing w:after="0" w:line="279" w:lineRule="auto"/>
        <w:tabs>
          <w:tab w:leader="none" w:pos="624" w:val="left"/>
        </w:tabs>
        <w:numPr>
          <w:ilvl w:val="1"/>
          <w:numId w:val="10"/>
        </w:numPr>
        <w:rPr>
          <w:rFonts w:ascii="Arial" w:cs="Arial" w:eastAsia="Arial" w:hAnsi="Arial"/>
          <w:sz w:val="17"/>
          <w:szCs w:val="17"/>
          <w:color w:val="auto"/>
        </w:rPr>
      </w:pPr>
      <w:r>
        <w:rPr>
          <w:rFonts w:ascii="Arial" w:cs="Arial" w:eastAsia="Arial" w:hAnsi="Arial"/>
          <w:sz w:val="17"/>
          <w:szCs w:val="17"/>
          <w:i w:val="1"/>
          <w:iCs w:val="1"/>
          <w:color w:val="auto"/>
        </w:rPr>
        <w:t>Unexercised options</w:t>
      </w:r>
      <w:r>
        <w:rPr>
          <w:rFonts w:ascii="Arial" w:cs="Arial" w:eastAsia="Arial" w:hAnsi="Arial"/>
          <w:sz w:val="17"/>
          <w:szCs w:val="17"/>
          <w:color w:val="auto"/>
        </w:rPr>
        <w:t>. The IRS has provided taxpayers with the following two ways of correcting unexercised discounted stock options: 1) setting a</w:t>
      </w:r>
      <w:r>
        <w:rPr>
          <w:rFonts w:ascii="Arial" w:cs="Arial" w:eastAsia="Arial" w:hAnsi="Arial"/>
          <w:sz w:val="17"/>
          <w:szCs w:val="17"/>
          <w:i w:val="1"/>
          <w:iCs w:val="1"/>
          <w:color w:val="auto"/>
        </w:rPr>
        <w:t xml:space="preserve"> </w:t>
      </w:r>
      <w:r>
        <w:rPr>
          <w:rFonts w:ascii="Arial" w:cs="Arial" w:eastAsia="Arial" w:hAnsi="Arial"/>
          <w:sz w:val="17"/>
          <w:szCs w:val="17"/>
          <w:color w:val="auto"/>
        </w:rPr>
        <w:t>fixed exercise date; or 2) increasing the exercise price of the option up to the fair market price on the date of grant. The Company is actively evaluating these options. The discount associated with unexercised stock options outstanding as of January 27, 2007 amounted to $51.7 million. The Company has not determined the tax consequences associated with these potential future remedies.</w:t>
      </w:r>
    </w:p>
    <w:p>
      <w:pPr>
        <w:spacing w:after="0" w:line="171" w:lineRule="exact"/>
        <w:rPr>
          <w:rFonts w:ascii="Arial" w:cs="Arial" w:eastAsia="Arial" w:hAnsi="Arial"/>
          <w:sz w:val="17"/>
          <w:szCs w:val="17"/>
          <w:color w:val="auto"/>
        </w:rPr>
      </w:pPr>
    </w:p>
    <w:p>
      <w:pPr>
        <w:ind w:left="340" w:right="60" w:hanging="332"/>
        <w:spacing w:after="0" w:line="276" w:lineRule="auto"/>
        <w:tabs>
          <w:tab w:leader="none" w:pos="320" w:val="left"/>
        </w:tabs>
        <w:numPr>
          <w:ilvl w:val="0"/>
          <w:numId w:val="10"/>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Deferred Tax Asset for Stock Based Compensation: </w:t>
      </w:r>
      <w:r>
        <w:rPr>
          <w:rFonts w:ascii="Arial" w:cs="Arial" w:eastAsia="Arial" w:hAnsi="Arial"/>
          <w:sz w:val="17"/>
          <w:szCs w:val="17"/>
          <w:color w:val="auto"/>
        </w:rPr>
        <w:t>The Company recorded adjustments for the creation of additional deferred tax asset for stock based</w:t>
      </w:r>
      <w:r>
        <w:rPr>
          <w:rFonts w:ascii="Arial" w:cs="Arial" w:eastAsia="Arial" w:hAnsi="Arial"/>
          <w:sz w:val="17"/>
          <w:szCs w:val="17"/>
          <w:i w:val="1"/>
          <w:iCs w:val="1"/>
          <w:color w:val="auto"/>
        </w:rPr>
        <w:t xml:space="preserve"> </w:t>
      </w:r>
      <w:r>
        <w:rPr>
          <w:rFonts w:ascii="Arial" w:cs="Arial" w:eastAsia="Arial" w:hAnsi="Arial"/>
          <w:sz w:val="17"/>
          <w:szCs w:val="17"/>
          <w:color w:val="auto"/>
        </w:rPr>
        <w:t>compensation that is deductible at later periods for U.S. income tax purposes on its balance sheets for year end dates of each of fiscal 2002 through fiscal 2006. As a result, additional benefits for income tax arising from stock based compensation was recognized in fiscal 2006 of $1.8 million, fiscal 2005 of $1.1 million, fiscal 2004 of $1.2 million, fiscal 2003 of $0.4 million and fiscal 2002 of $0.3 million. The total gross stock-based compensation cost that results in a deferred tax benefit is $12.0 million of the total expense of $327.4 million.</w:t>
      </w:r>
    </w:p>
    <w:p>
      <w:pPr>
        <w:spacing w:after="0" w:line="172" w:lineRule="exact"/>
        <w:rPr>
          <w:rFonts w:ascii="Arial" w:cs="Arial" w:eastAsia="Arial" w:hAnsi="Arial"/>
          <w:sz w:val="17"/>
          <w:szCs w:val="17"/>
          <w:i w:val="1"/>
          <w:iCs w:val="1"/>
          <w:color w:val="auto"/>
        </w:rPr>
      </w:pPr>
    </w:p>
    <w:p>
      <w:pPr>
        <w:ind w:left="340" w:right="180"/>
        <w:spacing w:after="0" w:line="257" w:lineRule="auto"/>
        <w:rPr>
          <w:rFonts w:ascii="Arial" w:cs="Arial" w:eastAsia="Arial" w:hAnsi="Arial"/>
          <w:sz w:val="17"/>
          <w:szCs w:val="17"/>
          <w:i w:val="1"/>
          <w:iCs w:val="1"/>
          <w:color w:val="auto"/>
        </w:rPr>
      </w:pPr>
      <w:r>
        <w:rPr>
          <w:rFonts w:ascii="Arial" w:cs="Arial" w:eastAsia="Arial" w:hAnsi="Arial"/>
          <w:sz w:val="18"/>
          <w:szCs w:val="18"/>
          <w:color w:val="auto"/>
        </w:rPr>
        <w:t>In addition, the Company evaluated the impact of the restatement on its global tax provision. The Company and its subsidiaries file tax returns in multiple tax jurisdictions around the world. In the U.S. jurisdiction one of the company’s subsidiaries claims a tax deduction relative to stock options with regard to the U.S. distributor business. In accordance with FAS 123R for this jurisdiction where the deduction is claimed during fiscal 2007, the Company has recorded a deferred tax asset totaling $3.5 million at January 27, 2007, to reflect future tax deductions to the extent the company believes such asset is recoverable.</w:t>
      </w:r>
    </w:p>
    <w:p>
      <w:pPr>
        <w:spacing w:after="0" w:line="188" w:lineRule="exact"/>
        <w:rPr>
          <w:rFonts w:ascii="Arial" w:cs="Arial" w:eastAsia="Arial" w:hAnsi="Arial"/>
          <w:sz w:val="17"/>
          <w:szCs w:val="17"/>
          <w:i w:val="1"/>
          <w:iCs w:val="1"/>
          <w:color w:val="auto"/>
        </w:rPr>
      </w:pPr>
    </w:p>
    <w:p>
      <w:pPr>
        <w:ind w:left="340" w:hanging="332"/>
        <w:spacing w:after="0" w:line="255" w:lineRule="auto"/>
        <w:tabs>
          <w:tab w:leader="none" w:pos="324"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Income Tax - Section 162(m) and utilization of deferred tax assets: </w:t>
      </w:r>
      <w:r>
        <w:rPr>
          <w:rFonts w:ascii="Arial" w:cs="Arial" w:eastAsia="Arial" w:hAnsi="Arial"/>
          <w:sz w:val="18"/>
          <w:szCs w:val="18"/>
          <w:color w:val="auto"/>
        </w:rPr>
        <w:t>The Company has accrued for the current and deferred tax impact of $104.5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of non-deductible officer compensation related to Internal Revenue Code Section 162(m) (“Section 162(m)”) in fiscal 2006. Section 162(m) limits the deductibility of compensation in excess of one million dollars, but exempts stock option compensation where the option was issued at fair market value on the date of grant. The Company has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The Company has accrued the penalty and interest totaling $4.9 million associated with this liability in fiscal 2007.</w:t>
      </w:r>
    </w:p>
    <w:p>
      <w:pPr>
        <w:spacing w:after="0" w:line="189" w:lineRule="exact"/>
        <w:rPr>
          <w:rFonts w:ascii="Arial" w:cs="Arial" w:eastAsia="Arial" w:hAnsi="Arial"/>
          <w:sz w:val="18"/>
          <w:szCs w:val="18"/>
          <w:i w:val="1"/>
          <w:iCs w:val="1"/>
          <w:color w:val="auto"/>
        </w:rPr>
      </w:pPr>
    </w:p>
    <w:p>
      <w:pPr>
        <w:ind w:left="340" w:right="300" w:hanging="332"/>
        <w:spacing w:after="0" w:line="277" w:lineRule="auto"/>
        <w:tabs>
          <w:tab w:leader="none" w:pos="32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The Company recorded adjustments to correct an overstatement of deferred tax asset related to the Singapore entity. The original deferred tax</w:t>
      </w:r>
      <w:r>
        <w:rPr>
          <w:rFonts w:ascii="Arial" w:cs="Arial" w:eastAsia="Arial" w:hAnsi="Arial"/>
          <w:sz w:val="18"/>
          <w:szCs w:val="18"/>
          <w:i w:val="1"/>
          <w:iCs w:val="1"/>
          <w:color w:val="auto"/>
        </w:rPr>
        <w:t xml:space="preserve"> </w:t>
      </w:r>
      <w:r>
        <w:rPr>
          <w:rFonts w:ascii="Arial" w:cs="Arial" w:eastAsia="Arial" w:hAnsi="Arial"/>
          <w:sz w:val="18"/>
          <w:szCs w:val="18"/>
          <w:color w:val="auto"/>
        </w:rPr>
        <w:t>asset had not reflected the benefit of the Pioneer status of this entity.</w:t>
      </w:r>
    </w:p>
    <w:p>
      <w:pPr>
        <w:sectPr>
          <w:pgSz w:w="11900" w:h="16929" w:orient="portrait"/>
          <w:cols w:equalWidth="0" w:num="1">
            <w:col w:w="11420"/>
          </w:cols>
          <w:pgMar w:left="240" w:top="134" w:right="239" w:bottom="0" w:gutter="0" w:footer="0" w:header="0"/>
        </w:sectPr>
      </w:pPr>
    </w:p>
    <w:bookmarkStart w:id="9" w:name="page10"/>
    <w:bookmarkEnd w:id="9"/>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8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The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5"/>
              </w:rPr>
              <w:t>Cummulative</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86"/>
              </w:rPr>
              <w:t>Section</w:t>
            </w:r>
          </w:p>
        </w:tc>
        <w:tc>
          <w:tcPr>
            <w:tcW w:w="120" w:type="dxa"/>
            <w:vAlign w:val="bottom"/>
          </w:tcPr>
          <w:p>
            <w:pPr>
              <w:spacing w:after="0"/>
              <w:rPr>
                <w:sz w:val="11"/>
                <w:szCs w:val="11"/>
                <w:color w:val="auto"/>
              </w:rPr>
            </w:pPr>
          </w:p>
        </w:tc>
        <w:tc>
          <w:tcPr>
            <w:tcW w:w="100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effect of</w:t>
            </w: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vMerge w:val="restart"/>
          </w:tcPr>
          <w:p>
            <w:pPr>
              <w:jc w:val="center"/>
              <w:ind w:right="54"/>
              <w:spacing w:after="0"/>
              <w:rPr>
                <w:sz w:val="20"/>
                <w:szCs w:val="20"/>
                <w:color w:val="auto"/>
              </w:rPr>
            </w:pPr>
            <w:r>
              <w:rPr>
                <w:rFonts w:ascii="Arial" w:cs="Arial" w:eastAsia="Arial" w:hAnsi="Arial"/>
                <w:sz w:val="14"/>
                <w:szCs w:val="14"/>
                <w:b w:val="1"/>
                <w:bCs w:val="1"/>
                <w:color w:val="auto"/>
                <w:w w:val="95"/>
              </w:rPr>
              <w:t>Estimated</w:t>
            </w: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6"/>
              </w:rPr>
              <w:t>Additional</w:t>
            </w:r>
          </w:p>
        </w:tc>
        <w:tc>
          <w:tcPr>
            <w:tcW w:w="140" w:type="dxa"/>
            <w:vAlign w:val="bottom"/>
          </w:tcPr>
          <w:p>
            <w:pPr>
              <w:spacing w:after="0"/>
              <w:rPr>
                <w:sz w:val="11"/>
                <w:szCs w:val="11"/>
                <w:color w:val="auto"/>
              </w:rPr>
            </w:pPr>
          </w:p>
        </w:tc>
        <w:tc>
          <w:tcPr>
            <w:tcW w:w="92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6"/>
              </w:rPr>
              <w:t>Additional</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88"/>
              </w:rPr>
              <w:t>change in</w:t>
            </w: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Stock-based</w:t>
            </w: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4"/>
              </w:rPr>
              <w:t>162(m) and</w:t>
            </w:r>
          </w:p>
        </w:tc>
        <w:tc>
          <w:tcPr>
            <w:tcW w:w="120" w:type="dxa"/>
            <w:vAlign w:val="bottom"/>
          </w:tcPr>
          <w:p>
            <w:pPr>
              <w:spacing w:after="0"/>
              <w:rPr>
                <w:sz w:val="11"/>
                <w:szCs w:val="11"/>
                <w:color w:val="auto"/>
              </w:rPr>
            </w:pPr>
          </w:p>
        </w:tc>
        <w:tc>
          <w:tcPr>
            <w:tcW w:w="10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0"/>
              </w:rPr>
              <w:t>accounting</w:t>
            </w:r>
          </w:p>
        </w:tc>
        <w:tc>
          <w:tcPr>
            <w:tcW w:w="120" w:type="dxa"/>
            <w:vAlign w:val="bottom"/>
          </w:tcPr>
          <w:p>
            <w:pPr>
              <w:spacing w:after="0"/>
              <w:rPr>
                <w:sz w:val="11"/>
                <w:szCs w:val="11"/>
                <w:color w:val="auto"/>
              </w:rPr>
            </w:pPr>
          </w:p>
        </w:tc>
        <w:tc>
          <w:tcPr>
            <w:tcW w:w="9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5"/>
              </w:rPr>
              <w:t>Total</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6"/>
              </w:rPr>
              <w:t>additional</w:t>
            </w: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2"/>
              </w:rPr>
              <w:t>deferred</w:t>
            </w:r>
          </w:p>
        </w:tc>
        <w:tc>
          <w:tcPr>
            <w:tcW w:w="140" w:type="dxa"/>
            <w:vAlign w:val="bottom"/>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2"/>
              </w:rPr>
              <w:t>deferred</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4"/>
              </w:rPr>
              <w:t>utilization</w:t>
            </w: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principle,</w:t>
            </w:r>
          </w:p>
        </w:tc>
        <w:tc>
          <w:tcPr>
            <w:tcW w:w="12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8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88"/>
              </w:rPr>
              <w:t>compensation</w:t>
            </w: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7"/>
              </w:rPr>
              <w:t>payroll tax</w:t>
            </w: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income tax</w:t>
            </w:r>
          </w:p>
        </w:tc>
        <w:tc>
          <w:tcPr>
            <w:tcW w:w="140" w:type="dxa"/>
            <w:vAlign w:val="bottom"/>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2"/>
              </w:rPr>
              <w:t>income tax</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2"/>
              </w:rPr>
              <w:t>of deferred</w:t>
            </w: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net of tax</w:t>
            </w:r>
          </w:p>
        </w:tc>
        <w:tc>
          <w:tcPr>
            <w:tcW w:w="108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2"/>
              </w:rPr>
              <w:t>Adjustments,</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expense</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jc w:val="center"/>
              <w:ind w:right="54"/>
              <w:spacing w:after="0"/>
              <w:rPr>
                <w:sz w:val="20"/>
                <w:szCs w:val="20"/>
                <w:color w:val="auto"/>
              </w:rPr>
            </w:pPr>
            <w:r>
              <w:rPr>
                <w:rFonts w:ascii="Arial" w:cs="Arial" w:eastAsia="Arial" w:hAnsi="Arial"/>
                <w:sz w:val="14"/>
                <w:szCs w:val="14"/>
                <w:b w:val="1"/>
                <w:bCs w:val="1"/>
                <w:color w:val="auto"/>
                <w:w w:val="85"/>
              </w:rPr>
              <w:t>expense</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benefit</w:t>
            </w:r>
          </w:p>
        </w:tc>
        <w:tc>
          <w:tcPr>
            <w:tcW w:w="140" w:type="dxa"/>
            <w:vAlign w:val="bottom"/>
          </w:tcPr>
          <w:p>
            <w:pPr>
              <w:spacing w:after="0"/>
              <w:rPr>
                <w:sz w:val="14"/>
                <w:szCs w:val="14"/>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provision</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tax assets</w:t>
            </w:r>
          </w:p>
        </w:tc>
        <w:tc>
          <w:tcPr>
            <w:tcW w:w="120" w:type="dxa"/>
            <w:vAlign w:val="bottom"/>
          </w:tcPr>
          <w:p>
            <w:pPr>
              <w:spacing w:after="0"/>
              <w:rPr>
                <w:sz w:val="14"/>
                <w:szCs w:val="14"/>
                <w:color w:val="auto"/>
              </w:rPr>
            </w:pP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effect</w:t>
            </w:r>
          </w:p>
        </w:tc>
        <w:tc>
          <w:tcPr>
            <w:tcW w:w="120" w:type="dxa"/>
            <w:vAlign w:val="bottom"/>
          </w:tcPr>
          <w:p>
            <w:pPr>
              <w:spacing w:after="0"/>
              <w:rPr>
                <w:sz w:val="14"/>
                <w:szCs w:val="14"/>
                <w:color w:val="auto"/>
              </w:rPr>
            </w:pPr>
          </w:p>
        </w:tc>
        <w:tc>
          <w:tcPr>
            <w:tcW w:w="9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net of taxes</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12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Fiscal 2000</w:t>
            </w:r>
          </w:p>
        </w:tc>
        <w:tc>
          <w:tcPr>
            <w:tcW w:w="100" w:type="dxa"/>
            <w:vAlign w:val="bottom"/>
            <w:tcBorders>
              <w:top w:val="single" w:sz="8" w:color="CCEEFF"/>
            </w:tcBorders>
            <w:shd w:val="clear" w:color="auto" w:fill="CCEEFF"/>
          </w:tcPr>
          <w:p>
            <w:pPr>
              <w:spacing w:after="0"/>
              <w:rPr>
                <w:sz w:val="15"/>
                <w:szCs w:val="15"/>
                <w:color w:val="auto"/>
              </w:rPr>
            </w:pPr>
          </w:p>
        </w:tc>
        <w:tc>
          <w:tcPr>
            <w:tcW w:w="9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92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90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prior *</w:t>
            </w:r>
          </w:p>
        </w:tc>
        <w:tc>
          <w:tcPr>
            <w:tcW w:w="100" w:type="dxa"/>
            <w:vAlign w:val="bottom"/>
            <w:shd w:val="clear" w:color="auto" w:fill="CCEEFF"/>
          </w:tcPr>
          <w:p>
            <w:pPr>
              <w:spacing w:after="0"/>
              <w:rPr>
                <w:sz w:val="20"/>
                <w:szCs w:val="20"/>
                <w:color w:val="auto"/>
              </w:rPr>
            </w:pP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6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Fiscal 2001</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18,707</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18,707</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Fiscal 2002</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33,059</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Fiscal 2003</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35,540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17</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(405</w:t>
            </w:r>
          </w:p>
        </w:tc>
        <w:tc>
          <w:tcPr>
            <w:tcW w:w="140" w:type="dxa"/>
            <w:vAlign w:val="bottom"/>
          </w:tcPr>
          <w:p>
            <w:pPr>
              <w:spacing w:after="0"/>
              <w:rPr>
                <w:sz w:val="18"/>
                <w:szCs w:val="18"/>
                <w:color w:val="auto"/>
              </w:rPr>
            </w:pPr>
          </w:p>
        </w:tc>
        <w:tc>
          <w:tcPr>
            <w:tcW w:w="9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35,152</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Fiscal 2004</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63,766</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1260" w:type="dxa"/>
            <w:vAlign w:val="bottom"/>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92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90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6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January 31,</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2004</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152,835</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938</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(1,834</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151,939</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40"/>
        </w:trPr>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gridSpan w:val="3"/>
          </w:tcPr>
          <w:p>
            <w:pPr>
              <w:jc w:val="right"/>
              <w:ind w:right="368"/>
              <w:spacing w:after="0"/>
              <w:rPr>
                <w:sz w:val="20"/>
                <w:szCs w:val="20"/>
                <w:color w:val="auto"/>
              </w:rPr>
            </w:pPr>
            <w:r>
              <w:rPr>
                <w:rFonts w:ascii="Arial" w:cs="Arial" w:eastAsia="Arial" w:hAnsi="Arial"/>
                <w:sz w:val="14"/>
                <w:szCs w:val="14"/>
                <w:b w:val="1"/>
                <w:bCs w:val="1"/>
                <w:color w:val="auto"/>
                <w:w w:val="92"/>
              </w:rPr>
              <w:t>Net income</w:t>
            </w: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2"/>
              </w:rPr>
              <w:t>Net income</w:t>
            </w:r>
          </w:p>
        </w:tc>
        <w:tc>
          <w:tcPr>
            <w:tcW w:w="0" w:type="dxa"/>
            <w:vAlign w:val="bottom"/>
          </w:tcPr>
          <w:p>
            <w:pPr>
              <w:spacing w:after="0"/>
              <w:rPr>
                <w:sz w:val="1"/>
                <w:szCs w:val="1"/>
                <w:color w:val="auto"/>
              </w:rPr>
            </w:pPr>
          </w:p>
        </w:tc>
      </w:tr>
      <w:tr>
        <w:trPr>
          <w:trHeight w:val="162"/>
        </w:trPr>
        <w:tc>
          <w:tcPr>
            <w:tcW w:w="1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3"/>
          </w:tcPr>
          <w:p>
            <w:pPr>
              <w:jc w:val="right"/>
              <w:ind w:right="348"/>
              <w:spacing w:after="0"/>
              <w:rPr>
                <w:sz w:val="20"/>
                <w:szCs w:val="20"/>
                <w:color w:val="auto"/>
              </w:rPr>
            </w:pPr>
            <w:r>
              <w:rPr>
                <w:rFonts w:ascii="Arial" w:cs="Arial" w:eastAsia="Arial" w:hAnsi="Arial"/>
                <w:sz w:val="14"/>
                <w:szCs w:val="14"/>
                <w:b w:val="1"/>
                <w:bCs w:val="1"/>
                <w:color w:val="auto"/>
                <w:w w:val="94"/>
              </w:rPr>
              <w:t>as reported</w:t>
            </w:r>
          </w:p>
        </w:tc>
        <w:tc>
          <w:tcPr>
            <w:tcW w:w="9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as restated</w:t>
            </w:r>
          </w:p>
        </w:tc>
        <w:tc>
          <w:tcPr>
            <w:tcW w:w="0" w:type="dxa"/>
            <w:vAlign w:val="bottom"/>
          </w:tcPr>
          <w:p>
            <w:pPr>
              <w:spacing w:after="0"/>
              <w:rPr>
                <w:sz w:val="1"/>
                <w:szCs w:val="1"/>
                <w:color w:val="auto"/>
              </w:rPr>
            </w:pPr>
          </w:p>
        </w:tc>
      </w:tr>
      <w:tr>
        <w:trPr>
          <w:trHeight w:val="210"/>
        </w:trPr>
        <w:tc>
          <w:tcPr>
            <w:tcW w:w="12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Fiscal 2005</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141,661</w:t>
            </w: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75,684</w:t>
            </w:r>
          </w:p>
        </w:tc>
        <w:tc>
          <w:tcPr>
            <w:tcW w:w="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0" w:type="dxa"/>
            <w:vAlign w:val="bottom"/>
            <w:tcBorders>
              <w:top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(1,150)</w:t>
            </w:r>
          </w:p>
        </w:tc>
        <w:tc>
          <w:tcPr>
            <w:tcW w:w="1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8"/>
                <w:szCs w:val="18"/>
                <w:color w:val="auto"/>
              </w:rPr>
            </w:pPr>
          </w:p>
        </w:tc>
        <w:tc>
          <w:tcPr>
            <w:tcW w:w="1000" w:type="dxa"/>
            <w:vAlign w:val="bottom"/>
            <w:tcBorders>
              <w:top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78,866</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62,795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Fiscal 2006:</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ended April</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30, 2005</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8,719</w:t>
            </w:r>
          </w:p>
        </w:tc>
        <w:tc>
          <w:tcPr>
            <w:tcW w:w="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866</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ended July</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30, 2005</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29,120</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1,083</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30,203</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ended</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October 29,</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2005</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9,102</w:t>
            </w:r>
          </w:p>
        </w:tc>
        <w:tc>
          <w:tcPr>
            <w:tcW w:w="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9,691</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ended</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January 28,</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2006</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51,915</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1,846</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(1,822)</w:t>
            </w:r>
          </w:p>
        </w:tc>
        <w:tc>
          <w:tcPr>
            <w:tcW w:w="14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3,249</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82,394</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Total for</w:t>
            </w:r>
          </w:p>
        </w:tc>
        <w:tc>
          <w:tcPr>
            <w:tcW w:w="100" w:type="dxa"/>
            <w:vAlign w:val="bottom"/>
            <w:tcBorders>
              <w:top w:val="single" w:sz="8" w:color="CCEEFF"/>
            </w:tcBorders>
            <w:shd w:val="clear" w:color="auto" w:fill="CCEEFF"/>
          </w:tcPr>
          <w:p>
            <w:pPr>
              <w:spacing w:after="0"/>
              <w:rPr>
                <w:sz w:val="15"/>
                <w:szCs w:val="15"/>
                <w:color w:val="auto"/>
              </w:rPr>
            </w:pPr>
          </w:p>
        </w:tc>
        <w:tc>
          <w:tcPr>
            <w:tcW w:w="9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92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90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Fiscal 2006</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331,363</w:t>
            </w:r>
          </w:p>
        </w:tc>
        <w:tc>
          <w:tcPr>
            <w:tcW w:w="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98,856</w:t>
            </w:r>
          </w:p>
        </w:tc>
        <w:tc>
          <w:tcPr>
            <w:tcW w:w="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(1,822)</w:t>
            </w:r>
          </w:p>
        </w:tc>
        <w:tc>
          <w:tcPr>
            <w:tcW w:w="14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131,873</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199,490</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92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90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6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January 28,</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2006</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327,375</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7,628</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(4,806)</w:t>
            </w:r>
          </w:p>
        </w:tc>
        <w:tc>
          <w:tcPr>
            <w:tcW w:w="14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5,275</w:t>
            </w: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362,678</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ended April</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29, 2006</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4,225</w:t>
            </w:r>
          </w:p>
        </w:tc>
        <w:tc>
          <w:tcPr>
            <w:tcW w:w="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2,170</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(3,325)</w:t>
            </w:r>
          </w:p>
        </w:tc>
        <w:tc>
          <w:tcPr>
            <w:tcW w:w="1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3,510</w:t>
            </w: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(8,846)</w:t>
            </w:r>
          </w:p>
        </w:tc>
        <w:tc>
          <w:tcPr>
            <w:tcW w:w="1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(2,266)</w:t>
            </w: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92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90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86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April 29,</w:t>
            </w:r>
          </w:p>
        </w:tc>
        <w:tc>
          <w:tcPr>
            <w:tcW w:w="100" w:type="dxa"/>
            <w:vAlign w:val="bottom"/>
          </w:tcPr>
          <w:p>
            <w:pPr>
              <w:spacing w:after="0"/>
              <w:rPr>
                <w:sz w:val="18"/>
                <w:szCs w:val="18"/>
                <w:color w:val="auto"/>
              </w:rPr>
            </w:pPr>
          </w:p>
        </w:tc>
        <w:tc>
          <w:tcPr>
            <w:tcW w:w="1160" w:type="dxa"/>
            <w:vAlign w:val="bottom"/>
            <w:gridSpan w:val="3"/>
            <w:vMerge w:val="restart"/>
          </w:tcPr>
          <w:p>
            <w:pPr>
              <w:jc w:val="right"/>
              <w:spacing w:after="0"/>
              <w:rPr>
                <w:sz w:val="20"/>
                <w:szCs w:val="20"/>
                <w:color w:val="auto"/>
              </w:rPr>
            </w:pPr>
            <w:r>
              <w:rPr>
                <w:rFonts w:ascii="Arial" w:cs="Arial" w:eastAsia="Arial" w:hAnsi="Arial"/>
                <w:sz w:val="18"/>
                <w:szCs w:val="18"/>
                <w:color w:val="auto"/>
              </w:rPr>
              <w:t>$</w:t>
            </w:r>
          </w:p>
        </w:tc>
        <w:tc>
          <w:tcPr>
            <w:tcW w:w="920" w:type="dxa"/>
            <w:vAlign w:val="bottom"/>
            <w:vMerge w:val="restart"/>
          </w:tcPr>
          <w:p>
            <w:pPr>
              <w:jc w:val="right"/>
              <w:spacing w:after="0"/>
              <w:rPr>
                <w:sz w:val="20"/>
                <w:szCs w:val="20"/>
                <w:color w:val="auto"/>
              </w:rPr>
            </w:pPr>
            <w:r>
              <w:rPr>
                <w:rFonts w:ascii="Arial" w:cs="Arial" w:eastAsia="Arial" w:hAnsi="Arial"/>
                <w:sz w:val="18"/>
                <w:szCs w:val="18"/>
                <w:color w:val="auto"/>
              </w:rPr>
              <w:t>331,600</w:t>
            </w:r>
          </w:p>
        </w:tc>
        <w:tc>
          <w:tcPr>
            <w:tcW w:w="60" w:type="dxa"/>
            <w:vAlign w:val="bottom"/>
          </w:tcPr>
          <w:p>
            <w:pPr>
              <w:spacing w:after="0"/>
              <w:rPr>
                <w:sz w:val="18"/>
                <w:szCs w:val="18"/>
                <w:color w:val="auto"/>
              </w:rPr>
            </w:pPr>
          </w:p>
        </w:tc>
        <w:tc>
          <w:tcPr>
            <w:tcW w:w="20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w:t>
            </w:r>
          </w:p>
        </w:tc>
        <w:tc>
          <w:tcPr>
            <w:tcW w:w="900" w:type="dxa"/>
            <w:vAlign w:val="bottom"/>
            <w:vMerge w:val="restart"/>
          </w:tcPr>
          <w:p>
            <w:pPr>
              <w:jc w:val="right"/>
              <w:spacing w:after="0"/>
              <w:rPr>
                <w:sz w:val="20"/>
                <w:szCs w:val="20"/>
                <w:color w:val="auto"/>
              </w:rPr>
            </w:pPr>
            <w:r>
              <w:rPr>
                <w:rFonts w:ascii="Arial" w:cs="Arial" w:eastAsia="Arial" w:hAnsi="Arial"/>
                <w:sz w:val="18"/>
                <w:szCs w:val="18"/>
                <w:color w:val="auto"/>
              </w:rPr>
              <w:t>9,798</w:t>
            </w:r>
          </w:p>
        </w:tc>
        <w:tc>
          <w:tcPr>
            <w:tcW w:w="26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w:t>
            </w:r>
          </w:p>
        </w:tc>
        <w:tc>
          <w:tcPr>
            <w:tcW w:w="100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(8,131)</w:t>
            </w: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vMerge w:val="restart"/>
          </w:tcPr>
          <w:p>
            <w:pPr>
              <w:jc w:val="right"/>
              <w:spacing w:after="0"/>
              <w:rPr>
                <w:sz w:val="20"/>
                <w:szCs w:val="20"/>
                <w:color w:val="auto"/>
              </w:rPr>
            </w:pPr>
            <w:r>
              <w:rPr>
                <w:rFonts w:ascii="Arial" w:cs="Arial" w:eastAsia="Arial" w:hAnsi="Arial"/>
                <w:sz w:val="18"/>
                <w:szCs w:val="18"/>
                <w:color w:val="auto"/>
              </w:rPr>
              <w:t>5,275</w:t>
            </w:r>
          </w:p>
        </w:tc>
        <w:tc>
          <w:tcPr>
            <w:tcW w:w="60" w:type="dxa"/>
            <w:vAlign w:val="bottom"/>
          </w:tcPr>
          <w:p>
            <w:pPr>
              <w:spacing w:after="0"/>
              <w:rPr>
                <w:sz w:val="18"/>
                <w:szCs w:val="18"/>
                <w:color w:val="auto"/>
              </w:rPr>
            </w:pPr>
          </w:p>
        </w:tc>
        <w:tc>
          <w:tcPr>
            <w:tcW w:w="18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30,716</w:t>
            </w:r>
          </w:p>
        </w:tc>
        <w:tc>
          <w:tcPr>
            <w:tcW w:w="140" w:type="dxa"/>
            <w:vAlign w:val="bottom"/>
          </w:tcPr>
          <w:p>
            <w:pPr>
              <w:spacing w:after="0"/>
              <w:rPr>
                <w:sz w:val="18"/>
                <w:szCs w:val="18"/>
                <w:color w:val="auto"/>
              </w:rPr>
            </w:pP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(8,846)</w:t>
            </w: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360,412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260" w:type="dxa"/>
            <w:vAlign w:val="bottom"/>
          </w:tcPr>
          <w:p>
            <w:pPr>
              <w:ind w:left="180"/>
              <w:spacing w:after="0"/>
              <w:rPr>
                <w:sz w:val="20"/>
                <w:szCs w:val="20"/>
                <w:color w:val="auto"/>
              </w:rPr>
            </w:pPr>
            <w:r>
              <w:rPr>
                <w:rFonts w:ascii="Arial" w:cs="Arial" w:eastAsia="Arial" w:hAnsi="Arial"/>
                <w:sz w:val="18"/>
                <w:szCs w:val="18"/>
                <w:color w:val="auto"/>
              </w:rPr>
              <w:t>2006</w:t>
            </w:r>
          </w:p>
        </w:tc>
        <w:tc>
          <w:tcPr>
            <w:tcW w:w="100" w:type="dxa"/>
            <w:vAlign w:val="bottom"/>
          </w:tcPr>
          <w:p>
            <w:pPr>
              <w:spacing w:after="0"/>
              <w:rPr>
                <w:sz w:val="18"/>
                <w:szCs w:val="18"/>
                <w:color w:val="auto"/>
              </w:rPr>
            </w:pPr>
          </w:p>
        </w:tc>
        <w:tc>
          <w:tcPr>
            <w:tcW w:w="1160" w:type="dxa"/>
            <w:vAlign w:val="bottom"/>
            <w:gridSpan w:val="3"/>
            <w:vMerge w:val="continue"/>
          </w:tcPr>
          <w:p>
            <w:pPr>
              <w:spacing w:after="0"/>
              <w:rPr>
                <w:sz w:val="18"/>
                <w:szCs w:val="18"/>
                <w:color w:val="auto"/>
              </w:rPr>
            </w:pPr>
          </w:p>
        </w:tc>
        <w:tc>
          <w:tcPr>
            <w:tcW w:w="920" w:type="dxa"/>
            <w:vAlign w:val="bottom"/>
            <w:vMerge w:val="continue"/>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gridSpan w:val="2"/>
            <w:vMerge w:val="continue"/>
          </w:tcPr>
          <w:p>
            <w:pPr>
              <w:spacing w:after="0"/>
              <w:rPr>
                <w:sz w:val="18"/>
                <w:szCs w:val="18"/>
                <w:color w:val="auto"/>
              </w:rPr>
            </w:pPr>
          </w:p>
        </w:tc>
        <w:tc>
          <w:tcPr>
            <w:tcW w:w="900" w:type="dxa"/>
            <w:vAlign w:val="bottom"/>
            <w:vMerge w:val="continue"/>
          </w:tcPr>
          <w:p>
            <w:pPr>
              <w:spacing w:after="0"/>
              <w:rPr>
                <w:sz w:val="18"/>
                <w:szCs w:val="18"/>
                <w:color w:val="auto"/>
              </w:rPr>
            </w:pPr>
          </w:p>
        </w:tc>
        <w:tc>
          <w:tcPr>
            <w:tcW w:w="260" w:type="dxa"/>
            <w:vAlign w:val="bottom"/>
            <w:gridSpan w:val="2"/>
            <w:vMerge w:val="continue"/>
          </w:tcPr>
          <w:p>
            <w:pPr>
              <w:spacing w:after="0"/>
              <w:rPr>
                <w:sz w:val="18"/>
                <w:szCs w:val="18"/>
                <w:color w:val="auto"/>
              </w:rPr>
            </w:pPr>
          </w:p>
        </w:tc>
        <w:tc>
          <w:tcPr>
            <w:tcW w:w="1000" w:type="dxa"/>
            <w:vAlign w:val="bottom"/>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860" w:type="dxa"/>
            <w:vAlign w:val="bottom"/>
            <w:vMerge w:val="continue"/>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gridSpan w:val="2"/>
            <w:vMerge w:val="continue"/>
          </w:tcPr>
          <w:p>
            <w:pPr>
              <w:spacing w:after="0"/>
              <w:rPr>
                <w:sz w:val="18"/>
                <w:szCs w:val="18"/>
                <w:color w:val="auto"/>
              </w:rPr>
            </w:pPr>
          </w:p>
        </w:tc>
        <w:tc>
          <w:tcPr>
            <w:tcW w:w="88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1000" w:type="dxa"/>
            <w:vAlign w:val="bottom"/>
            <w:gridSpan w:val="2"/>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8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 Comprised $1,062,000 for fiscal 2000, $139,000 for fiscal 1999, $41,000 for fiscal 1998, $12,000 for fiscal 1997 and $1,000 for fiscal 1996.</w:t>
      </w:r>
    </w:p>
    <w:p>
      <w:pPr>
        <w:spacing w:after="0" w:line="225" w:lineRule="exact"/>
        <w:rPr>
          <w:sz w:val="20"/>
          <w:szCs w:val="20"/>
          <w:color w:val="auto"/>
        </w:rPr>
      </w:pPr>
    </w:p>
    <w:p>
      <w:pPr>
        <w:jc w:val="both"/>
        <w:ind w:right="20"/>
        <w:spacing w:after="0" w:line="277" w:lineRule="auto"/>
        <w:rPr>
          <w:sz w:val="20"/>
          <w:szCs w:val="20"/>
          <w:color w:val="auto"/>
        </w:rPr>
      </w:pPr>
      <w:r>
        <w:rPr>
          <w:rFonts w:ascii="Arial" w:cs="Arial" w:eastAsia="Arial" w:hAnsi="Arial"/>
          <w:sz w:val="18"/>
          <w:szCs w:val="18"/>
          <w:color w:val="auto"/>
        </w:rPr>
        <w:t>The restatement adjustments reduced previously reported basic net income per share by $0.24 and $0.14 for fiscal 2006 and 2005, respectively and diluted net income per share by $0.20 and $0.13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jc w:val="both"/>
        <w:ind w:right="160"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ectPr>
          <w:pgSz w:w="11900" w:h="16838" w:orient="portrait"/>
          <w:cols w:equalWidth="0" w:num="1">
            <w:col w:w="11420"/>
          </w:cols>
          <w:pgMar w:left="240" w:top="125" w:right="239" w:bottom="609" w:gutter="0" w:footer="0" w:header="0"/>
        </w:sect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609" w:gutter="0" w:footer="0" w:header="0"/>
          <w:type w:val="continuous"/>
        </w:sectPr>
      </w:pPr>
    </w:p>
    <w:bookmarkStart w:id="10" w:name="page11"/>
    <w:bookmarkEnd w:id="10"/>
    <w:p>
      <w:pPr>
        <w:spacing w:after="0" w:line="19"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three and six months ended July 30, 2005:</w:t>
      </w:r>
    </w:p>
    <w:p>
      <w:pPr>
        <w:spacing w:after="0" w:line="1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880" w:type="dxa"/>
            <w:vAlign w:val="bottom"/>
            <w:tcBorders>
              <w:bottom w:val="single" w:sz="8" w:color="auto"/>
            </w:tcBorders>
            <w:gridSpan w:val="7"/>
          </w:tcPr>
          <w:p>
            <w:pPr>
              <w:jc w:val="right"/>
              <w:spacing w:after="0"/>
              <w:rPr>
                <w:sz w:val="20"/>
                <w:szCs w:val="20"/>
                <w:color w:val="auto"/>
              </w:rPr>
            </w:pPr>
            <w:r>
              <w:rPr>
                <w:rFonts w:ascii="Arial" w:cs="Arial" w:eastAsia="Arial" w:hAnsi="Arial"/>
                <w:sz w:val="14"/>
                <w:szCs w:val="14"/>
                <w:b w:val="1"/>
                <w:bCs w:val="1"/>
                <w:color w:val="auto"/>
              </w:rPr>
              <w:t>Three Months Ended July 30, 2005</w:t>
            </w:r>
          </w:p>
        </w:tc>
        <w:tc>
          <w:tcPr>
            <w:tcW w:w="82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78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Six Months Ended July 30, 2005</w:t>
            </w:r>
          </w:p>
        </w:tc>
        <w:tc>
          <w:tcPr>
            <w:tcW w:w="8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6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60" w:type="dxa"/>
            <w:vAlign w:val="bottom"/>
            <w:gridSpan w:val="2"/>
          </w:tcPr>
          <w:p>
            <w:pPr>
              <w:jc w:val="center"/>
              <w:ind w:right="40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6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89"/>
              </w:rPr>
              <w:t>As</w:t>
            </w:r>
          </w:p>
        </w:tc>
        <w:tc>
          <w:tcPr>
            <w:tcW w:w="120" w:type="dxa"/>
            <w:vAlign w:val="bottom"/>
          </w:tcPr>
          <w:p>
            <w:pPr>
              <w:spacing w:after="0"/>
              <w:rPr>
                <w:sz w:val="8"/>
                <w:szCs w:val="8"/>
                <w:color w:val="auto"/>
              </w:rPr>
            </w:pPr>
          </w:p>
        </w:tc>
        <w:tc>
          <w:tcPr>
            <w:tcW w:w="112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22"/>
        </w:trPr>
        <w:tc>
          <w:tcPr>
            <w:tcW w:w="3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60" w:type="dxa"/>
            <w:vAlign w:val="bottom"/>
            <w:gridSpan w:val="2"/>
          </w:tcPr>
          <w:p>
            <w:pPr>
              <w:jc w:val="center"/>
              <w:ind w:right="380"/>
              <w:spacing w:after="0" w:line="122" w:lineRule="exact"/>
              <w:rPr>
                <w:sz w:val="20"/>
                <w:szCs w:val="20"/>
                <w:color w:val="auto"/>
              </w:rPr>
            </w:pPr>
            <w:r>
              <w:rPr>
                <w:rFonts w:ascii="Arial" w:cs="Arial" w:eastAsia="Arial" w:hAnsi="Arial"/>
                <w:sz w:val="14"/>
                <w:szCs w:val="14"/>
                <w:b w:val="1"/>
                <w:bCs w:val="1"/>
                <w:color w:val="auto"/>
                <w:w w:val="93"/>
              </w:rPr>
              <w:t>Previously</w:t>
            </w:r>
          </w:p>
        </w:tc>
        <w:tc>
          <w:tcPr>
            <w:tcW w:w="100" w:type="dxa"/>
            <w:vAlign w:val="bottom"/>
          </w:tcPr>
          <w:p>
            <w:pPr>
              <w:spacing w:after="0"/>
              <w:rPr>
                <w:sz w:val="10"/>
                <w:szCs w:val="10"/>
                <w:color w:val="auto"/>
              </w:rPr>
            </w:pPr>
          </w:p>
        </w:tc>
        <w:tc>
          <w:tcPr>
            <w:tcW w:w="1200" w:type="dxa"/>
            <w:vAlign w:val="bottom"/>
            <w:gridSpan w:val="2"/>
            <w:vMerge w:val="restart"/>
          </w:tcPr>
          <w:p>
            <w:pPr>
              <w:jc w:val="right"/>
              <w:ind w:right="400"/>
              <w:spacing w:after="0"/>
              <w:rPr>
                <w:sz w:val="20"/>
                <w:szCs w:val="20"/>
                <w:color w:val="auto"/>
              </w:rPr>
            </w:pPr>
            <w:r>
              <w:rPr>
                <w:rFonts w:ascii="Arial" w:cs="Arial" w:eastAsia="Arial" w:hAnsi="Arial"/>
                <w:sz w:val="14"/>
                <w:szCs w:val="14"/>
                <w:b w:val="1"/>
                <w:bCs w:val="1"/>
                <w:color w:val="auto"/>
                <w:w w:val="91"/>
              </w:rPr>
              <w:t>Adjustments</w:t>
            </w:r>
          </w:p>
        </w:tc>
        <w:tc>
          <w:tcPr>
            <w:tcW w:w="2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6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1120" w:type="dxa"/>
            <w:vAlign w:val="bottom"/>
            <w:gridSpan w:val="2"/>
          </w:tcPr>
          <w:p>
            <w:pPr>
              <w:jc w:val="center"/>
              <w:ind w:right="360"/>
              <w:spacing w:after="0" w:line="122"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0"/>
                <w:szCs w:val="10"/>
                <w:color w:val="auto"/>
              </w:rPr>
            </w:pPr>
          </w:p>
        </w:tc>
        <w:tc>
          <w:tcPr>
            <w:tcW w:w="1400" w:type="dxa"/>
            <w:vAlign w:val="bottom"/>
            <w:gridSpan w:val="2"/>
            <w:vMerge w:val="restart"/>
          </w:tcPr>
          <w:p>
            <w:pPr>
              <w:jc w:val="right"/>
              <w:ind w:right="600"/>
              <w:spacing w:after="0"/>
              <w:rPr>
                <w:sz w:val="20"/>
                <w:szCs w:val="20"/>
                <w:color w:val="auto"/>
              </w:rPr>
            </w:pPr>
            <w:r>
              <w:rPr>
                <w:rFonts w:ascii="Arial" w:cs="Arial" w:eastAsia="Arial" w:hAnsi="Arial"/>
                <w:sz w:val="14"/>
                <w:szCs w:val="14"/>
                <w:b w:val="1"/>
                <w:bCs w:val="1"/>
                <w:color w:val="auto"/>
                <w:w w:val="91"/>
              </w:rPr>
              <w:t>Adjustments</w:t>
            </w:r>
          </w:p>
        </w:tc>
        <w:tc>
          <w:tcPr>
            <w:tcW w:w="16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3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91"/>
              </w:rPr>
              <w:t>Restated</w:t>
            </w:r>
          </w:p>
        </w:tc>
        <w:tc>
          <w:tcPr>
            <w:tcW w:w="120" w:type="dxa"/>
            <w:vAlign w:val="bottom"/>
          </w:tcPr>
          <w:p>
            <w:pPr>
              <w:spacing w:after="0"/>
              <w:rPr>
                <w:sz w:val="11"/>
                <w:szCs w:val="11"/>
                <w:color w:val="auto"/>
              </w:rPr>
            </w:pPr>
          </w:p>
        </w:tc>
        <w:tc>
          <w:tcPr>
            <w:tcW w:w="11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1"/>
              </w:rPr>
              <w:t>Reported</w:t>
            </w:r>
          </w:p>
        </w:tc>
        <w:tc>
          <w:tcPr>
            <w:tcW w:w="100" w:type="dxa"/>
            <w:vAlign w:val="bottom"/>
          </w:tcPr>
          <w:p>
            <w:pPr>
              <w:spacing w:after="0"/>
              <w:rPr>
                <w:sz w:val="11"/>
                <w:szCs w:val="11"/>
                <w:color w:val="auto"/>
              </w:rPr>
            </w:pPr>
          </w:p>
        </w:tc>
        <w:tc>
          <w:tcPr>
            <w:tcW w:w="140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36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2720" w:type="dxa"/>
            <w:vAlign w:val="bottom"/>
            <w:tcBorders>
              <w:top w:val="single" w:sz="8" w:color="auto"/>
            </w:tcBorders>
            <w:gridSpan w:val="7"/>
          </w:tcPr>
          <w:p>
            <w:pPr>
              <w:ind w:left="20"/>
              <w:spacing w:after="0" w:line="129" w:lineRule="exact"/>
              <w:rPr>
                <w:sz w:val="20"/>
                <w:szCs w:val="20"/>
                <w:color w:val="auto"/>
              </w:rPr>
            </w:pPr>
            <w:r>
              <w:rPr>
                <w:rFonts w:ascii="Arial" w:cs="Arial" w:eastAsia="Arial" w:hAnsi="Arial"/>
                <w:sz w:val="14"/>
                <w:szCs w:val="14"/>
                <w:b w:val="1"/>
                <w:bCs w:val="1"/>
                <w:color w:val="auto"/>
                <w:w w:val="96"/>
              </w:rPr>
              <w:t>(In thousands, except per share amounts)</w:t>
            </w: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4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ind w:left="140"/>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183,646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1,805(A)</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185,451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358,890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2,346(A)</w:t>
            </w: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361,236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tcPr>
          <w:p>
            <w:pPr>
              <w:ind w:left="140"/>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73,164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14,941(A)</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88,105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145,062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20,993(A)</w:t>
            </w:r>
          </w:p>
        </w:tc>
        <w:tc>
          <w:tcPr>
            <w:tcW w:w="1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166,055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ind w:left="140"/>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21,275</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4,864(A)</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26,139</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42,264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5,897(A)</w:t>
            </w: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48,161</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tcPr>
          <w:p>
            <w:pPr>
              <w:ind w:left="140"/>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8,340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9,110(A)</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17,450</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15,078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gridSpan w:val="2"/>
          </w:tcPr>
          <w:p>
            <w:pPr>
              <w:jc w:val="right"/>
              <w:ind w:right="220"/>
              <w:spacing w:after="0"/>
              <w:rPr>
                <w:sz w:val="20"/>
                <w:szCs w:val="20"/>
                <w:color w:val="auto"/>
              </w:rPr>
            </w:pPr>
            <w:r>
              <w:rPr>
                <w:rFonts w:ascii="Arial" w:cs="Arial" w:eastAsia="Arial" w:hAnsi="Arial"/>
                <w:sz w:val="18"/>
                <w:szCs w:val="18"/>
                <w:color w:val="auto"/>
              </w:rPr>
              <w:t>11,940(A)</w:t>
            </w:r>
          </w:p>
        </w:tc>
        <w:tc>
          <w:tcPr>
            <w:tcW w:w="1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27,018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Amortization of stock-based compensation</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20" w:type="dxa"/>
            <w:vAlign w:val="bottom"/>
            <w:gridSpan w:val="4"/>
            <w:shd w:val="clear" w:color="auto" w:fill="CCEEFF"/>
          </w:tcPr>
          <w:p>
            <w:pPr>
              <w:jc w:val="right"/>
              <w:ind w:right="305"/>
              <w:spacing w:after="0"/>
              <w:rPr>
                <w:sz w:val="20"/>
                <w:szCs w:val="20"/>
                <w:color w:val="auto"/>
              </w:rPr>
            </w:pPr>
            <w:r>
              <w:rPr>
                <w:rFonts w:ascii="Arial" w:cs="Arial" w:eastAsia="Arial" w:hAnsi="Arial"/>
                <w:sz w:val="18"/>
                <w:szCs w:val="18"/>
                <w:color w:val="auto"/>
              </w:rPr>
              <w:t>(517)(A)</w:t>
            </w:r>
          </w:p>
        </w:tc>
        <w:tc>
          <w:tcPr>
            <w:tcW w:w="10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(1,388)(A)</w:t>
            </w: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620" w:type="dxa"/>
            <w:vAlign w:val="bottom"/>
          </w:tcPr>
          <w:p>
            <w:pPr>
              <w:ind w:left="140"/>
              <w:spacing w:after="0" w:line="201" w:lineRule="exact"/>
              <w:rPr>
                <w:sz w:val="20"/>
                <w:szCs w:val="20"/>
                <w:color w:val="auto"/>
              </w:rPr>
            </w:pPr>
            <w:r>
              <w:rPr>
                <w:rFonts w:ascii="Arial" w:cs="Arial" w:eastAsia="Arial" w:hAnsi="Arial"/>
                <w:sz w:val="18"/>
                <w:szCs w:val="18"/>
                <w:color w:val="auto"/>
              </w:rPr>
              <w:t>Amortization and write-off of goodwill and</w:t>
            </w: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620" w:type="dxa"/>
            <w:vAlign w:val="bottom"/>
          </w:tcPr>
          <w:p>
            <w:pPr>
              <w:ind w:left="260"/>
              <w:spacing w:after="0"/>
              <w:rPr>
                <w:sz w:val="20"/>
                <w:szCs w:val="20"/>
                <w:color w:val="auto"/>
              </w:rPr>
            </w:pPr>
            <w:r>
              <w:rPr>
                <w:rFonts w:ascii="Arial" w:cs="Arial" w:eastAsia="Arial" w:hAnsi="Arial"/>
                <w:sz w:val="18"/>
                <w:szCs w:val="18"/>
                <w:color w:val="auto"/>
              </w:rPr>
              <w:t>acquired intangible assets and other</w:t>
            </w:r>
          </w:p>
        </w:tc>
        <w:tc>
          <w:tcPr>
            <w:tcW w:w="14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19,753</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19,753</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39,512</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39,512</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620" w:type="dxa"/>
            <w:vAlign w:val="bottom"/>
            <w:tcBorders>
              <w:top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Total operating costs and expenses</w:t>
            </w: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306,695</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336,898</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602,194</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641,982</w:t>
            </w:r>
          </w:p>
        </w:tc>
        <w:tc>
          <w:tcPr>
            <w:tcW w:w="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20" w:type="dxa"/>
            <w:vAlign w:val="bottom"/>
          </w:tcPr>
          <w:p>
            <w:pPr>
              <w:spacing w:after="0"/>
              <w:rPr>
                <w:sz w:val="20"/>
                <w:szCs w:val="20"/>
                <w:color w:val="auto"/>
              </w:rPr>
            </w:pPr>
            <w:r>
              <w:rPr>
                <w:rFonts w:ascii="Arial" w:cs="Arial" w:eastAsia="Arial" w:hAnsi="Arial"/>
                <w:sz w:val="18"/>
                <w:szCs w:val="18"/>
                <w:color w:val="auto"/>
              </w:rPr>
              <w:t>Operating income (loss)</w:t>
            </w: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83,759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53,556</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153,030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113,242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2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4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88,143</w:t>
            </w: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57,940</w:t>
            </w:r>
          </w:p>
        </w:tc>
        <w:tc>
          <w:tcPr>
            <w:tcW w:w="2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161,026</w:t>
            </w: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121,238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36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77,302</w:t>
            </w:r>
          </w:p>
        </w:tc>
        <w:tc>
          <w:tcPr>
            <w:tcW w:w="22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Borders>
              <w:bottom w:val="single" w:sz="8" w:color="CCEEFF"/>
            </w:tcBorders>
          </w:tcPr>
          <w:p>
            <w:pPr>
              <w:spacing w:after="0"/>
              <w:rPr>
                <w:sz w:val="21"/>
                <w:szCs w:val="21"/>
                <w:color w:val="auto"/>
              </w:rPr>
            </w:pPr>
          </w:p>
        </w:tc>
        <w:tc>
          <w:tcPr>
            <w:tcW w:w="24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47,099</w:t>
            </w:r>
          </w:p>
        </w:tc>
        <w:tc>
          <w:tcPr>
            <w:tcW w:w="24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140,834</w:t>
            </w:r>
          </w:p>
        </w:tc>
        <w:tc>
          <w:tcPr>
            <w:tcW w:w="22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101,046</w:t>
            </w:r>
          </w:p>
        </w:tc>
        <w:tc>
          <w:tcPr>
            <w:tcW w:w="2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362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Basic net income (loss) per share</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0.14</w:t>
            </w: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(0.06)</w:t>
            </w:r>
          </w:p>
        </w:tc>
        <w:tc>
          <w:tcPr>
            <w:tcW w:w="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0.08</w:t>
            </w: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0.25</w:t>
            </w: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(0.07)</w:t>
            </w:r>
          </w:p>
        </w:tc>
        <w:tc>
          <w:tcPr>
            <w:tcW w:w="480" w:type="dxa"/>
            <w:vAlign w:val="bottom"/>
            <w:shd w:val="clear" w:color="auto" w:fill="CCEEFF"/>
          </w:tcPr>
          <w:p>
            <w:pPr>
              <w:spacing w:after="0"/>
              <w:rPr>
                <w:sz w:val="17"/>
                <w:szCs w:val="17"/>
                <w:color w:val="auto"/>
              </w:rPr>
            </w:pPr>
          </w:p>
        </w:tc>
        <w:tc>
          <w:tcPr>
            <w:tcW w:w="1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0.18</w:t>
            </w:r>
          </w:p>
        </w:tc>
        <w:tc>
          <w:tcPr>
            <w:tcW w:w="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0.12</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200"/>
              <w:spacing w:after="0"/>
              <w:rPr>
                <w:sz w:val="20"/>
                <w:szCs w:val="20"/>
                <w:color w:val="auto"/>
              </w:rPr>
            </w:pPr>
            <w:r>
              <w:rPr>
                <w:rFonts w:ascii="Arial" w:cs="Arial" w:eastAsia="Arial" w:hAnsi="Arial"/>
                <w:sz w:val="18"/>
                <w:szCs w:val="18"/>
                <w:color w:val="auto"/>
              </w:rPr>
              <w:t>(0.04)</w:t>
            </w:r>
          </w:p>
        </w:tc>
        <w:tc>
          <w:tcPr>
            <w:tcW w:w="42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0.08</w:t>
            </w:r>
          </w:p>
        </w:tc>
        <w:tc>
          <w:tcPr>
            <w:tcW w:w="24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0.23</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400" w:type="dxa"/>
            <w:vAlign w:val="bottom"/>
            <w:gridSpan w:val="2"/>
          </w:tcPr>
          <w:p>
            <w:pPr>
              <w:jc w:val="right"/>
              <w:ind w:right="420"/>
              <w:spacing w:after="0"/>
              <w:rPr>
                <w:sz w:val="20"/>
                <w:szCs w:val="20"/>
                <w:color w:val="auto"/>
              </w:rPr>
            </w:pPr>
            <w:r>
              <w:rPr>
                <w:rFonts w:ascii="Arial" w:cs="Arial" w:eastAsia="Arial" w:hAnsi="Arial"/>
                <w:sz w:val="18"/>
                <w:szCs w:val="18"/>
                <w:color w:val="auto"/>
              </w:rPr>
              <w:t>(0.07)</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561,832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561,832</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559,709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559,709</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2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14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626,205</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626,205</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623,798</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623,798</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162560</wp:posOffset>
            </wp:positionV>
            <wp:extent cx="138938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43" w:lineRule="exact"/>
        <w:rPr>
          <w:sz w:val="20"/>
          <w:szCs w:val="20"/>
          <w:color w:val="auto"/>
        </w:rPr>
      </w:pPr>
    </w:p>
    <w:p>
      <w:pPr>
        <w:ind w:left="360" w:right="80" w:hanging="359"/>
        <w:spacing w:after="0" w:line="277" w:lineRule="auto"/>
        <w:rPr>
          <w:sz w:val="20"/>
          <w:szCs w:val="20"/>
          <w:color w:val="auto"/>
        </w:rPr>
      </w:pPr>
      <w:r>
        <w:rPr>
          <w:rFonts w:ascii="Arial" w:cs="Arial" w:eastAsia="Arial" w:hAnsi="Arial"/>
          <w:sz w:val="18"/>
          <w:szCs w:val="18"/>
          <w:color w:val="auto"/>
        </w:rPr>
        <w:t>(A.) Adjustments for additional stock-based compensation expense pursuant to APB 25 and reclassification of previously reported stock-based compensation expenses to the respective functional cost and expense line items.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3"/>
          </w:tcPr>
          <w:p>
            <w:pPr>
              <w:jc w:val="center"/>
              <w:ind w:right="440"/>
              <w:spacing w:after="0"/>
              <w:rPr>
                <w:sz w:val="20"/>
                <w:szCs w:val="20"/>
                <w:color w:val="auto"/>
              </w:rPr>
            </w:pPr>
            <w:r>
              <w:rPr>
                <w:rFonts w:ascii="Arial" w:cs="Arial" w:eastAsia="Arial" w:hAnsi="Arial"/>
                <w:sz w:val="14"/>
                <w:szCs w:val="14"/>
                <w:b w:val="1"/>
                <w:bCs w:val="1"/>
                <w:color w:val="auto"/>
                <w:w w:val="94"/>
              </w:rPr>
              <w:t>January 28, 2006</w:t>
            </w:r>
          </w:p>
        </w:tc>
        <w:tc>
          <w:tcPr>
            <w:tcW w:w="1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5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560" w:type="dxa"/>
            <w:vAlign w:val="bottom"/>
            <w:gridSpan w:val="2"/>
          </w:tcPr>
          <w:p>
            <w:pPr>
              <w:jc w:val="center"/>
              <w:ind w:right="720"/>
              <w:spacing w:after="0" w:line="102" w:lineRule="exact"/>
              <w:rPr>
                <w:sz w:val="20"/>
                <w:szCs w:val="20"/>
                <w:color w:val="auto"/>
              </w:rPr>
            </w:pPr>
            <w:r>
              <w:rPr>
                <w:rFonts w:ascii="Arial" w:cs="Arial" w:eastAsia="Arial" w:hAnsi="Arial"/>
                <w:sz w:val="11"/>
                <w:szCs w:val="11"/>
                <w:b w:val="1"/>
                <w:bCs w:val="1"/>
                <w:color w:val="auto"/>
              </w:rPr>
              <w:t>As</w:t>
            </w:r>
          </w:p>
        </w:tc>
        <w:tc>
          <w:tcPr>
            <w:tcW w:w="1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0" w:type="dxa"/>
            <w:vAlign w:val="bottom"/>
            <w:gridSpan w:val="2"/>
            <w:vMerge w:val="restart"/>
          </w:tcPr>
          <w:p>
            <w:pPr>
              <w:jc w:val="center"/>
              <w:ind w:right="52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65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560" w:type="dxa"/>
            <w:vAlign w:val="bottom"/>
            <w:gridSpan w:val="2"/>
          </w:tcPr>
          <w:p>
            <w:pPr>
              <w:jc w:val="center"/>
              <w:ind w:right="7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60" w:type="dxa"/>
            <w:vAlign w:val="bottom"/>
          </w:tcPr>
          <w:p>
            <w:pPr>
              <w:spacing w:after="0"/>
              <w:rPr>
                <w:sz w:val="11"/>
                <w:szCs w:val="11"/>
                <w:color w:val="auto"/>
              </w:rPr>
            </w:pPr>
          </w:p>
        </w:tc>
        <w:tc>
          <w:tcPr>
            <w:tcW w:w="1460" w:type="dxa"/>
            <w:vAlign w:val="bottom"/>
            <w:gridSpan w:val="2"/>
            <w:vMerge w:val="restart"/>
          </w:tcPr>
          <w:p>
            <w:pPr>
              <w:jc w:val="center"/>
              <w:ind w:right="560"/>
              <w:spacing w:after="0"/>
              <w:rPr>
                <w:sz w:val="20"/>
                <w:szCs w:val="20"/>
                <w:color w:val="auto"/>
              </w:rPr>
            </w:pPr>
            <w:r>
              <w:rPr>
                <w:rFonts w:ascii="Arial" w:cs="Arial" w:eastAsia="Arial" w:hAnsi="Arial"/>
                <w:sz w:val="14"/>
                <w:szCs w:val="14"/>
                <w:b w:val="1"/>
                <w:bCs w:val="1"/>
                <w:color w:val="auto"/>
                <w:w w:val="91"/>
              </w:rPr>
              <w:t>Adjustments</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6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1"/>
              </w:rPr>
              <w:t>Reported</w:t>
            </w:r>
          </w:p>
        </w:tc>
        <w:tc>
          <w:tcPr>
            <w:tcW w:w="16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3520" w:type="dxa"/>
            <w:vAlign w:val="bottom"/>
            <w:tcBorders>
              <w:top w:val="single" w:sz="8" w:color="auto"/>
            </w:tcBorders>
            <w:gridSpan w:val="7"/>
          </w:tcPr>
          <w:p>
            <w:pPr>
              <w:jc w:val="center"/>
              <w:ind w:left="693"/>
              <w:spacing w:after="0" w:line="129" w:lineRule="exact"/>
              <w:rPr>
                <w:sz w:val="20"/>
                <w:szCs w:val="20"/>
                <w:color w:val="auto"/>
              </w:rPr>
            </w:pPr>
            <w:r>
              <w:rPr>
                <w:rFonts w:ascii="Arial" w:cs="Arial" w:eastAsia="Arial" w:hAnsi="Arial"/>
                <w:sz w:val="14"/>
                <w:szCs w:val="14"/>
                <w:b w:val="1"/>
                <w:bCs w:val="1"/>
                <w:color w:val="auto"/>
                <w:w w:val="91"/>
              </w:rPr>
              <w:t>(In thousands, except per share amounts)</w:t>
            </w:r>
          </w:p>
        </w:tc>
        <w:tc>
          <w:tcPr>
            <w:tcW w:w="9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Current assets:</w:t>
            </w: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572,591</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572,591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 of $3,028</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211,374</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211,374</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18,007</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80"/>
              <w:spacing w:after="0"/>
              <w:rPr>
                <w:sz w:val="20"/>
                <w:szCs w:val="20"/>
                <w:color w:val="auto"/>
              </w:rPr>
            </w:pPr>
            <w:r>
              <w:rPr>
                <w:rFonts w:ascii="Arial" w:cs="Arial" w:eastAsia="Arial" w:hAnsi="Arial"/>
                <w:sz w:val="18"/>
                <w:szCs w:val="18"/>
                <w:color w:val="auto"/>
              </w:rPr>
              <w:t>(14,062)(B)</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4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2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260,921</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260,921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111,973</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111,973</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5,279(B)</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48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ind w:right="6"/>
              <w:spacing w:after="0"/>
              <w:rPr>
                <w:sz w:val="20"/>
                <w:szCs w:val="20"/>
                <w:color w:val="auto"/>
              </w:rPr>
            </w:pPr>
            <w:r>
              <w:rPr>
                <w:rFonts w:ascii="Arial" w:cs="Arial" w:eastAsia="Arial" w:hAnsi="Arial"/>
                <w:sz w:val="15"/>
                <w:szCs w:val="15"/>
                <w:color w:val="auto"/>
                <w:w w:val="71"/>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(8,783)</w:t>
            </w:r>
          </w:p>
        </w:tc>
        <w:tc>
          <w:tcPr>
            <w:tcW w:w="38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22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65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196,606</w:t>
            </w:r>
          </w:p>
        </w:tc>
        <w:tc>
          <w:tcPr>
            <w:tcW w:w="480" w:type="dxa"/>
            <w:vAlign w:val="bottom"/>
          </w:tcPr>
          <w:p>
            <w:pPr>
              <w:spacing w:after="0"/>
              <w:rPr>
                <w:sz w:val="18"/>
                <w:szCs w:val="18"/>
                <w:color w:val="auto"/>
              </w:rPr>
            </w:pPr>
          </w:p>
        </w:tc>
        <w:tc>
          <w:tcPr>
            <w:tcW w:w="160" w:type="dxa"/>
            <w:vAlign w:val="bottom"/>
          </w:tcPr>
          <w:p>
            <w:pPr>
              <w:jc w:val="right"/>
              <w:ind w:right="6"/>
              <w:spacing w:after="0"/>
              <w:rPr>
                <w:sz w:val="20"/>
                <w:szCs w:val="20"/>
                <w:color w:val="auto"/>
              </w:rPr>
            </w:pPr>
            <w:r>
              <w:rPr>
                <w:rFonts w:ascii="Arial" w:cs="Arial" w:eastAsia="Arial" w:hAnsi="Arial"/>
                <w:sz w:val="15"/>
                <w:szCs w:val="15"/>
                <w:color w:val="auto"/>
                <w:w w:val="71"/>
              </w:rPr>
              <w:t>$</w:t>
            </w: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34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196,606</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51,549</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140"/>
              <w:spacing w:after="0"/>
              <w:rPr>
                <w:sz w:val="20"/>
                <w:szCs w:val="20"/>
                <w:color w:val="auto"/>
              </w:rPr>
            </w:pPr>
            <w:r>
              <w:rPr>
                <w:rFonts w:ascii="Arial" w:cs="Arial" w:eastAsia="Arial" w:hAnsi="Arial"/>
                <w:sz w:val="18"/>
                <w:szCs w:val="18"/>
                <w:color w:val="auto"/>
              </w:rPr>
              <w:t>7,628(C)</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59,177</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21,042(B)</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29,773</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29,773</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4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Capital lease obligations, net of current portion</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Non-current income taxes payable</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85,126</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gridSpan w:val="2"/>
          </w:tcPr>
          <w:p>
            <w:pPr>
              <w:jc w:val="right"/>
              <w:ind w:right="140"/>
              <w:spacing w:after="0"/>
              <w:rPr>
                <w:sz w:val="20"/>
                <w:szCs w:val="20"/>
                <w:color w:val="auto"/>
              </w:rPr>
            </w:pPr>
            <w:r>
              <w:rPr>
                <w:rFonts w:ascii="Arial" w:cs="Arial" w:eastAsia="Arial" w:hAnsi="Arial"/>
                <w:sz w:val="18"/>
                <w:szCs w:val="18"/>
                <w:color w:val="auto"/>
              </w:rPr>
              <w:t>1,419(B)</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86,545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Other long-term liabilities</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18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48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3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2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5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18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00" w:type="dxa"/>
            <w:vAlign w:val="bottom"/>
          </w:tcPr>
          <w:p>
            <w:pPr>
              <w:ind w:left="160"/>
              <w:spacing w:after="0" w:line="201" w:lineRule="exact"/>
              <w:rPr>
                <w:sz w:val="20"/>
                <w:szCs w:val="20"/>
                <w:color w:val="auto"/>
              </w:rPr>
            </w:pPr>
            <w:r>
              <w:rPr>
                <w:rFonts w:ascii="Arial" w:cs="Arial" w:eastAsia="Arial" w:hAnsi="Arial"/>
                <w:sz w:val="18"/>
                <w:szCs w:val="18"/>
                <w:color w:val="auto"/>
                <w:w w:val="97"/>
              </w:rPr>
              <w:t>Preferred stock, $0.002 par value; 8,000 shares authorized; no shares issued and</w:t>
            </w:r>
          </w:p>
        </w:tc>
        <w:tc>
          <w:tcPr>
            <w:tcW w:w="1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tcPr>
          <w:p>
            <w:pPr>
              <w:ind w:left="340"/>
              <w:spacing w:after="0"/>
              <w:rPr>
                <w:sz w:val="20"/>
                <w:szCs w:val="20"/>
                <w:color w:val="auto"/>
              </w:rPr>
            </w:pPr>
            <w:r>
              <w:rPr>
                <w:rFonts w:ascii="Arial" w:cs="Arial" w:eastAsia="Arial" w:hAnsi="Arial"/>
                <w:sz w:val="18"/>
                <w:szCs w:val="18"/>
                <w:color w:val="auto"/>
              </w:rPr>
              <w:t>outstanding</w:t>
            </w:r>
          </w:p>
        </w:tc>
        <w:tc>
          <w:tcPr>
            <w:tcW w:w="180" w:type="dxa"/>
            <w:vAlign w:val="bottom"/>
          </w:tcPr>
          <w:p>
            <w:pPr>
              <w:spacing w:after="0"/>
              <w:rPr>
                <w:sz w:val="20"/>
                <w:szCs w:val="20"/>
                <w:color w:val="auto"/>
              </w:rPr>
            </w:pPr>
          </w:p>
        </w:tc>
        <w:tc>
          <w:tcPr>
            <w:tcW w:w="156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0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3"/>
              </w:rPr>
              <w:t>Common stock, $0.002 par value; 992,000 shares authorized; 582,776 shares issued</w:t>
            </w:r>
          </w:p>
        </w:tc>
        <w:tc>
          <w:tcPr>
            <w:tcW w:w="18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and outstanding</w:t>
            </w:r>
          </w:p>
        </w:tc>
        <w:tc>
          <w:tcPr>
            <w:tcW w:w="180" w:type="dxa"/>
            <w:vAlign w:val="bottom"/>
            <w:shd w:val="clear" w:color="auto" w:fill="CCEEFF"/>
          </w:tcPr>
          <w:p>
            <w:pPr>
              <w:spacing w:after="0"/>
              <w:rPr>
                <w:sz w:val="20"/>
                <w:szCs w:val="20"/>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4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180" w:type="dxa"/>
            <w:vAlign w:val="bottom"/>
          </w:tcPr>
          <w:p>
            <w:pPr>
              <w:spacing w:after="0"/>
              <w:rPr>
                <w:sz w:val="20"/>
                <w:szCs w:val="20"/>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3,249,587</w:t>
            </w:r>
          </w:p>
        </w:tc>
        <w:tc>
          <w:tcPr>
            <w:tcW w:w="4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460" w:type="dxa"/>
            <w:vAlign w:val="bottom"/>
            <w:gridSpan w:val="2"/>
          </w:tcPr>
          <w:p>
            <w:pPr>
              <w:jc w:val="right"/>
              <w:ind w:right="120"/>
              <w:spacing w:after="0"/>
              <w:rPr>
                <w:sz w:val="20"/>
                <w:szCs w:val="20"/>
                <w:color w:val="auto"/>
              </w:rPr>
            </w:pPr>
            <w:r>
              <w:rPr>
                <w:rFonts w:ascii="Arial" w:cs="Arial" w:eastAsia="Arial" w:hAnsi="Arial"/>
                <w:sz w:val="18"/>
                <w:szCs w:val="18"/>
                <w:color w:val="auto"/>
              </w:rPr>
              <w:t>384,652(A)</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3,634,239</w:t>
            </w: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58" w:orient="portrait"/>
          <w:cols w:equalWidth="0" w:num="1">
            <w:col w:w="11420"/>
          </w:cols>
          <w:pgMar w:left="240" w:top="125" w:right="239" w:bottom="0" w:gutter="0" w:footer="0" w:header="0"/>
        </w:sectPr>
      </w:pPr>
    </w:p>
    <w:bookmarkStart w:id="11" w:name="page12"/>
    <w:bookmarkEnd w:id="1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6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stock-based compensation</w:t>
            </w:r>
          </w:p>
        </w:tc>
        <w:tc>
          <w:tcPr>
            <w:tcW w:w="30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(1,141)</w:t>
            </w:r>
          </w:p>
        </w:tc>
        <w:tc>
          <w:tcPr>
            <w:tcW w:w="3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(60,846)(A)</w:t>
            </w: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(61,987)</w:t>
            </w:r>
          </w:p>
        </w:tc>
      </w:tr>
      <w:tr>
        <w:trPr>
          <w:trHeight w:val="216"/>
        </w:trPr>
        <w:tc>
          <w:tcPr>
            <w:tcW w:w="6520" w:type="dxa"/>
            <w:vAlign w:val="bottom"/>
          </w:tcPr>
          <w:p>
            <w:pPr>
              <w:ind w:left="180"/>
              <w:spacing w:after="0"/>
              <w:rPr>
                <w:sz w:val="20"/>
                <w:szCs w:val="20"/>
                <w:color w:val="auto"/>
              </w:rPr>
            </w:pPr>
            <w:r>
              <w:rPr>
                <w:rFonts w:ascii="Arial" w:cs="Arial" w:eastAsia="Arial" w:hAnsi="Arial"/>
                <w:sz w:val="18"/>
                <w:szCs w:val="18"/>
                <w:color w:val="auto"/>
              </w:rPr>
              <w:t>Accumulated other comprehensive loss</w:t>
            </w:r>
          </w:p>
        </w:tc>
        <w:tc>
          <w:tcPr>
            <w:tcW w:w="300" w:type="dxa"/>
            <w:vAlign w:val="bottom"/>
          </w:tcPr>
          <w:p>
            <w:pPr>
              <w:spacing w:after="0"/>
              <w:rPr>
                <w:sz w:val="18"/>
                <w:szCs w:val="18"/>
                <w:color w:val="auto"/>
              </w:rPr>
            </w:pPr>
          </w:p>
        </w:tc>
        <w:tc>
          <w:tcPr>
            <w:tcW w:w="1440" w:type="dxa"/>
            <w:vAlign w:val="bottom"/>
            <w:gridSpan w:val="2"/>
          </w:tcPr>
          <w:p>
            <w:pPr>
              <w:jc w:val="right"/>
              <w:ind w:right="420"/>
              <w:spacing w:after="0"/>
              <w:rPr>
                <w:sz w:val="20"/>
                <w:szCs w:val="20"/>
                <w:color w:val="auto"/>
              </w:rPr>
            </w:pPr>
            <w:r>
              <w:rPr>
                <w:rFonts w:ascii="Arial" w:cs="Arial" w:eastAsia="Arial" w:hAnsi="Arial"/>
                <w:sz w:val="18"/>
                <w:szCs w:val="18"/>
                <w:color w:val="auto"/>
              </w:rPr>
              <w:t>(1,759)</w:t>
            </w:r>
          </w:p>
        </w:tc>
        <w:tc>
          <w:tcPr>
            <w:tcW w:w="340" w:type="dxa"/>
            <w:vAlign w:val="bottom"/>
          </w:tcPr>
          <w:p>
            <w:pPr>
              <w:spacing w:after="0"/>
              <w:rPr>
                <w:sz w:val="18"/>
                <w:szCs w:val="18"/>
                <w:color w:val="auto"/>
              </w:rPr>
            </w:pPr>
          </w:p>
        </w:tc>
        <w:tc>
          <w:tcPr>
            <w:tcW w:w="13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(1,759)</w:t>
            </w:r>
          </w:p>
        </w:tc>
      </w:tr>
      <w:tr>
        <w:trPr>
          <w:trHeight w:val="216"/>
        </w:trPr>
        <w:tc>
          <w:tcPr>
            <w:tcW w:w="6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30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(201,755)</w:t>
            </w:r>
          </w:p>
        </w:tc>
        <w:tc>
          <w:tcPr>
            <w:tcW w:w="3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(362,678)</w:t>
            </w: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(564,433)</w:t>
            </w:r>
          </w:p>
        </w:tc>
      </w:tr>
      <w:tr>
        <w:trPr>
          <w:trHeight w:val="210"/>
        </w:trPr>
        <w:tc>
          <w:tcPr>
            <w:tcW w:w="65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shareholders’ equity</w:t>
            </w:r>
          </w:p>
        </w:tc>
        <w:tc>
          <w:tcPr>
            <w:tcW w:w="30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480" w:type="dxa"/>
            <w:vAlign w:val="bottom"/>
            <w:tcBorders>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4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220" w:type="dxa"/>
            <w:vAlign w:val="bottom"/>
            <w:tcBorders>
              <w:bottom w:val="single" w:sz="8" w:color="CCEEFF"/>
            </w:tcBorders>
          </w:tcPr>
          <w:p>
            <w:pPr>
              <w:spacing w:after="0"/>
              <w:rPr>
                <w:sz w:val="18"/>
                <w:szCs w:val="18"/>
                <w:color w:val="auto"/>
              </w:rPr>
            </w:pPr>
          </w:p>
        </w:tc>
      </w:tr>
      <w:tr>
        <w:trPr>
          <w:trHeight w:val="223"/>
        </w:trPr>
        <w:tc>
          <w:tcPr>
            <w:tcW w:w="652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300" w:type="dxa"/>
            <w:vAlign w:val="bottom"/>
            <w:tcBorders>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480" w:type="dxa"/>
            <w:vAlign w:val="bottom"/>
            <w:tcBorders>
              <w:bottom w:val="single" w:sz="8" w:color="CCEEFF"/>
            </w:tcBorders>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jc w:val="right"/>
              <w:ind w:right="185"/>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(8,783</w:t>
            </w:r>
          </w:p>
        </w:tc>
        <w:tc>
          <w:tcPr>
            <w:tcW w:w="400" w:type="dxa"/>
            <w:vAlign w:val="bottom"/>
            <w:tcBorders>
              <w:bottom w:val="single" w:sz="8" w:color="CCEEFF"/>
            </w:tcBorders>
            <w:shd w:val="clear" w:color="auto" w:fill="CCEEFF"/>
          </w:tcPr>
          <w:p>
            <w:pPr>
              <w:jc w:val="right"/>
              <w:ind w:right="260"/>
              <w:spacing w:after="0"/>
              <w:rPr>
                <w:sz w:val="20"/>
                <w:szCs w:val="20"/>
                <w:color w:val="auto"/>
              </w:rPr>
            </w:pPr>
            <w:r>
              <w:rPr>
                <w:rFonts w:ascii="Arial" w:cs="Arial" w:eastAsia="Arial" w:hAnsi="Arial"/>
                <w:sz w:val="16"/>
                <w:szCs w:val="16"/>
                <w:color w:val="auto"/>
                <w:w w:val="74"/>
              </w:rPr>
              <w:t>)</w:t>
            </w:r>
          </w:p>
        </w:tc>
        <w:tc>
          <w:tcPr>
            <w:tcW w:w="8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3,504,506</w:t>
            </w:r>
          </w:p>
        </w:tc>
        <w:tc>
          <w:tcPr>
            <w:tcW w:w="220" w:type="dxa"/>
            <w:vAlign w:val="bottom"/>
            <w:tcBorders>
              <w:bottom w:val="single" w:sz="8" w:color="CCEEFF"/>
            </w:tcBorders>
            <w:shd w:val="clear" w:color="auto" w:fill="CCEEFF"/>
          </w:tcPr>
          <w:p>
            <w:pPr>
              <w:spacing w:after="0"/>
              <w:rPr>
                <w:sz w:val="19"/>
                <w:szCs w:val="19"/>
                <w:color w:val="auto"/>
              </w:rPr>
            </w:pPr>
          </w:p>
        </w:tc>
      </w:tr>
      <w:tr>
        <w:trPr>
          <w:trHeight w:val="20"/>
        </w:trPr>
        <w:tc>
          <w:tcPr>
            <w:tcW w:w="65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(A.) Adjustments for additional stock-based compensation expense pursuant to APB 25, net of tax benefit from employee stock transactions.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 Adjustments to deferred tax assets arising from the stock-based compensation charge.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Adjustments for additional payroll taxes.</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the three and six months ended July 29,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3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4"/>
          </w:tcPr>
          <w:p>
            <w:pPr>
              <w:jc w:val="center"/>
              <w:ind w:right="40"/>
              <w:spacing w:after="0"/>
              <w:rPr>
                <w:sz w:val="20"/>
                <w:szCs w:val="20"/>
                <w:color w:val="auto"/>
              </w:rPr>
            </w:pPr>
            <w:r>
              <w:rPr>
                <w:rFonts w:ascii="Arial" w:cs="Arial" w:eastAsia="Arial" w:hAnsi="Arial"/>
                <w:sz w:val="14"/>
                <w:szCs w:val="14"/>
                <w:b w:val="1"/>
                <w:bCs w:val="1"/>
                <w:color w:val="auto"/>
                <w:w w:val="93"/>
              </w:rPr>
              <w:t>Six Months Ended July 29, 2005</w:t>
            </w: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63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500" w:type="dxa"/>
            <w:vAlign w:val="bottom"/>
            <w:gridSpan w:val="2"/>
          </w:tcPr>
          <w:p>
            <w:pPr>
              <w:jc w:val="center"/>
              <w:ind w:right="588"/>
              <w:spacing w:after="0" w:line="102" w:lineRule="exact"/>
              <w:rPr>
                <w:sz w:val="20"/>
                <w:szCs w:val="20"/>
                <w:color w:val="auto"/>
              </w:rPr>
            </w:pPr>
            <w:r>
              <w:rPr>
                <w:rFonts w:ascii="Arial" w:cs="Arial" w:eastAsia="Arial" w:hAnsi="Arial"/>
                <w:sz w:val="11"/>
                <w:szCs w:val="11"/>
                <w:b w:val="1"/>
                <w:bCs w:val="1"/>
                <w:color w:val="auto"/>
              </w:rPr>
              <w:t>As</w:t>
            </w: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140" w:type="dxa"/>
            <w:vAlign w:val="bottom"/>
            <w:gridSpan w:val="2"/>
            <w:vMerge w:val="restart"/>
          </w:tcPr>
          <w:p>
            <w:pPr>
              <w:jc w:val="right"/>
              <w:ind w:right="70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63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500" w:type="dxa"/>
            <w:vAlign w:val="bottom"/>
            <w:gridSpan w:val="2"/>
          </w:tcPr>
          <w:p>
            <w:pPr>
              <w:jc w:val="center"/>
              <w:ind w:right="608"/>
              <w:spacing w:after="0" w:line="135" w:lineRule="exact"/>
              <w:rPr>
                <w:sz w:val="20"/>
                <w:szCs w:val="20"/>
                <w:color w:val="auto"/>
              </w:rPr>
            </w:pPr>
            <w:r>
              <w:rPr>
                <w:rFonts w:ascii="Arial" w:cs="Arial" w:eastAsia="Arial" w:hAnsi="Arial"/>
                <w:sz w:val="14"/>
                <w:szCs w:val="14"/>
                <w:b w:val="1"/>
                <w:bCs w:val="1"/>
                <w:color w:val="auto"/>
                <w:w w:val="93"/>
              </w:rPr>
              <w:t>Previously</w:t>
            </w:r>
          </w:p>
        </w:tc>
        <w:tc>
          <w:tcPr>
            <w:tcW w:w="120" w:type="dxa"/>
            <w:vAlign w:val="bottom"/>
          </w:tcPr>
          <w:p>
            <w:pPr>
              <w:spacing w:after="0"/>
              <w:rPr>
                <w:sz w:val="11"/>
                <w:szCs w:val="11"/>
                <w:color w:val="auto"/>
              </w:rPr>
            </w:pPr>
          </w:p>
        </w:tc>
        <w:tc>
          <w:tcPr>
            <w:tcW w:w="1540" w:type="dxa"/>
            <w:vAlign w:val="bottom"/>
            <w:gridSpan w:val="2"/>
            <w:vMerge w:val="restart"/>
          </w:tcPr>
          <w:p>
            <w:pPr>
              <w:jc w:val="center"/>
              <w:ind w:right="560"/>
              <w:spacing w:after="0"/>
              <w:rPr>
                <w:sz w:val="20"/>
                <w:szCs w:val="20"/>
                <w:color w:val="auto"/>
              </w:rPr>
            </w:pPr>
            <w:r>
              <w:rPr>
                <w:rFonts w:ascii="Arial" w:cs="Arial" w:eastAsia="Arial" w:hAnsi="Arial"/>
                <w:sz w:val="14"/>
                <w:szCs w:val="14"/>
                <w:b w:val="1"/>
                <w:bCs w:val="1"/>
                <w:color w:val="auto"/>
                <w:w w:val="91"/>
              </w:rPr>
              <w:t>Adjustments</w:t>
            </w:r>
          </w:p>
        </w:tc>
        <w:tc>
          <w:tcPr>
            <w:tcW w:w="22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63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00" w:type="dxa"/>
            <w:vAlign w:val="bottom"/>
            <w:gridSpan w:val="2"/>
          </w:tcPr>
          <w:p>
            <w:pPr>
              <w:jc w:val="center"/>
              <w:ind w:right="568"/>
              <w:spacing w:after="0"/>
              <w:rPr>
                <w:sz w:val="20"/>
                <w:szCs w:val="20"/>
                <w:color w:val="auto"/>
              </w:rPr>
            </w:pPr>
            <w:r>
              <w:rPr>
                <w:rFonts w:ascii="Arial" w:cs="Arial" w:eastAsia="Arial" w:hAnsi="Arial"/>
                <w:sz w:val="14"/>
                <w:szCs w:val="14"/>
                <w:b w:val="1"/>
                <w:bCs w:val="1"/>
                <w:color w:val="auto"/>
                <w:w w:val="94"/>
              </w:rPr>
              <w:t>Reported</w:t>
            </w:r>
          </w:p>
        </w:tc>
        <w:tc>
          <w:tcPr>
            <w:tcW w:w="120" w:type="dxa"/>
            <w:vAlign w:val="bottom"/>
          </w:tcPr>
          <w:p>
            <w:pPr>
              <w:spacing w:after="0"/>
              <w:rPr>
                <w:sz w:val="14"/>
                <w:szCs w:val="14"/>
                <w:color w:val="auto"/>
              </w:rPr>
            </w:pPr>
          </w:p>
        </w:tc>
        <w:tc>
          <w:tcPr>
            <w:tcW w:w="154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Restated</w:t>
            </w:r>
          </w:p>
        </w:tc>
        <w:tc>
          <w:tcPr>
            <w:tcW w:w="0" w:type="dxa"/>
            <w:vAlign w:val="bottom"/>
          </w:tcPr>
          <w:p>
            <w:pPr>
              <w:spacing w:after="0"/>
              <w:rPr>
                <w:sz w:val="1"/>
                <w:szCs w:val="1"/>
                <w:color w:val="auto"/>
              </w:rPr>
            </w:pPr>
          </w:p>
        </w:tc>
      </w:tr>
      <w:tr>
        <w:trPr>
          <w:trHeight w:val="129"/>
        </w:trPr>
        <w:tc>
          <w:tcPr>
            <w:tcW w:w="63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540" w:type="dxa"/>
            <w:vAlign w:val="bottom"/>
            <w:tcBorders>
              <w:top w:val="single" w:sz="8" w:color="auto"/>
            </w:tcBorders>
            <w:gridSpan w:val="2"/>
          </w:tcPr>
          <w:p>
            <w:pPr>
              <w:jc w:val="center"/>
              <w:ind w:right="600"/>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22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54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140,834</w:t>
            </w:r>
          </w:p>
        </w:tc>
        <w:tc>
          <w:tcPr>
            <w:tcW w:w="44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gridSpan w:val="2"/>
          </w:tcPr>
          <w:p>
            <w:pPr>
              <w:jc w:val="right"/>
              <w:ind w:right="360"/>
              <w:spacing w:after="0"/>
              <w:rPr>
                <w:sz w:val="20"/>
                <w:szCs w:val="20"/>
                <w:color w:val="auto"/>
              </w:rPr>
            </w:pPr>
            <w:r>
              <w:rPr>
                <w:rFonts w:ascii="Arial" w:cs="Arial" w:eastAsia="Arial" w:hAnsi="Arial"/>
                <w:sz w:val="18"/>
                <w:szCs w:val="18"/>
                <w:color w:val="auto"/>
              </w:rPr>
              <w:t>(39,788)</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101,046</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6"/>
              </w:rPr>
              <w:t>Adjustments to reconcile net income to net cash provided by operating activities:</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27,589</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27,589</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Stock-based compensation</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37,839(A)</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39,227</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39,512</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39,512</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Changes in assets and liabilities, net of acquisition:</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540"/>
              <w:spacing w:after="0"/>
              <w:rPr>
                <w:sz w:val="20"/>
                <w:szCs w:val="20"/>
                <w:color w:val="auto"/>
              </w:rPr>
            </w:pPr>
            <w:r>
              <w:rPr>
                <w:rFonts w:ascii="Arial" w:cs="Arial" w:eastAsia="Arial" w:hAnsi="Arial"/>
                <w:sz w:val="18"/>
                <w:szCs w:val="18"/>
                <w:color w:val="auto"/>
              </w:rPr>
              <w:t>Accounts receivable</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00" w:type="dxa"/>
            <w:vAlign w:val="bottom"/>
            <w:gridSpan w:val="2"/>
          </w:tcPr>
          <w:p>
            <w:pPr>
              <w:jc w:val="right"/>
              <w:ind w:right="308"/>
              <w:spacing w:after="0"/>
              <w:rPr>
                <w:sz w:val="20"/>
                <w:szCs w:val="20"/>
                <w:color w:val="auto"/>
              </w:rPr>
            </w:pPr>
            <w:r>
              <w:rPr>
                <w:rFonts w:ascii="Arial" w:cs="Arial" w:eastAsia="Arial" w:hAnsi="Arial"/>
                <w:sz w:val="18"/>
                <w:szCs w:val="18"/>
                <w:color w:val="auto"/>
              </w:rPr>
              <w:t>(9,255)</w:t>
            </w: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(9,255)</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Inventories</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14,702</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14,702</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540"/>
              <w:spacing w:after="0"/>
              <w:rPr>
                <w:sz w:val="20"/>
                <w:szCs w:val="20"/>
                <w:color w:val="auto"/>
              </w:rPr>
            </w:pPr>
            <w:r>
              <w:rPr>
                <w:rFonts w:ascii="Arial" w:cs="Arial" w:eastAsia="Arial" w:hAnsi="Arial"/>
                <w:sz w:val="18"/>
                <w:szCs w:val="18"/>
                <w:color w:val="auto"/>
              </w:rPr>
              <w:t>Prepaid expenses and other assets</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00" w:type="dxa"/>
            <w:vAlign w:val="bottom"/>
            <w:gridSpan w:val="2"/>
          </w:tcPr>
          <w:p>
            <w:pPr>
              <w:jc w:val="right"/>
              <w:ind w:right="308"/>
              <w:spacing w:after="0"/>
              <w:rPr>
                <w:sz w:val="20"/>
                <w:szCs w:val="20"/>
                <w:color w:val="auto"/>
              </w:rPr>
            </w:pPr>
            <w:r>
              <w:rPr>
                <w:rFonts w:ascii="Arial" w:cs="Arial" w:eastAsia="Arial" w:hAnsi="Arial"/>
                <w:sz w:val="18"/>
                <w:szCs w:val="18"/>
                <w:color w:val="auto"/>
              </w:rPr>
              <w:t>(65,308)</w:t>
            </w: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(65,308)</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Accounts payable</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9,946</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9,946</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540"/>
              <w:spacing w:after="0"/>
              <w:rPr>
                <w:sz w:val="20"/>
                <w:szCs w:val="20"/>
                <w:color w:val="auto"/>
              </w:rPr>
            </w:pPr>
            <w:r>
              <w:rPr>
                <w:rFonts w:ascii="Arial" w:cs="Arial" w:eastAsia="Arial" w:hAnsi="Arial"/>
                <w:sz w:val="18"/>
                <w:szCs w:val="18"/>
                <w:color w:val="auto"/>
              </w:rPr>
              <w:t>Accrued liabilities and other</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1,048</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1,048</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Accrued employee compensation</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708</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1,949(B)</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2,657</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540"/>
              <w:spacing w:after="0"/>
              <w:rPr>
                <w:sz w:val="20"/>
                <w:szCs w:val="20"/>
                <w:color w:val="auto"/>
              </w:rPr>
            </w:pPr>
            <w:r>
              <w:rPr>
                <w:rFonts w:ascii="Arial" w:cs="Arial" w:eastAsia="Arial" w:hAnsi="Arial"/>
                <w:sz w:val="18"/>
                <w:szCs w:val="18"/>
                <w:color w:val="auto"/>
              </w:rPr>
              <w:t>Income taxes payable</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18,148</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18,148</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Deferred income</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36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Net cash provided by operating activities</w:t>
            </w:r>
          </w:p>
        </w:tc>
        <w:tc>
          <w:tcPr>
            <w:tcW w:w="34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44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63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3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00" w:type="dxa"/>
            <w:vAlign w:val="bottom"/>
            <w:gridSpan w:val="2"/>
          </w:tcPr>
          <w:p>
            <w:pPr>
              <w:jc w:val="right"/>
              <w:ind w:right="308"/>
              <w:spacing w:after="0"/>
              <w:rPr>
                <w:sz w:val="20"/>
                <w:szCs w:val="20"/>
                <w:color w:val="auto"/>
              </w:rPr>
            </w:pPr>
            <w:r>
              <w:rPr>
                <w:rFonts w:ascii="Arial" w:cs="Arial" w:eastAsia="Arial" w:hAnsi="Arial"/>
                <w:sz w:val="18"/>
                <w:szCs w:val="18"/>
                <w:color w:val="auto"/>
              </w:rPr>
              <w:t>(253,023)</w:t>
            </w: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(253,023)</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150,524</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150,524</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00" w:type="dxa"/>
            <w:vAlign w:val="bottom"/>
            <w:gridSpan w:val="2"/>
          </w:tcPr>
          <w:p>
            <w:pPr>
              <w:jc w:val="right"/>
              <w:ind w:right="308"/>
              <w:spacing w:after="0"/>
              <w:rPr>
                <w:sz w:val="20"/>
                <w:szCs w:val="20"/>
                <w:color w:val="auto"/>
              </w:rPr>
            </w:pPr>
            <w:r>
              <w:rPr>
                <w:rFonts w:ascii="Arial" w:cs="Arial" w:eastAsia="Arial" w:hAnsi="Arial"/>
                <w:sz w:val="18"/>
                <w:szCs w:val="18"/>
                <w:color w:val="auto"/>
              </w:rPr>
              <w:t>(37,841)</w:t>
            </w: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(37,841)</w:t>
            </w:r>
          </w:p>
        </w:tc>
        <w:tc>
          <w:tcPr>
            <w:tcW w:w="0" w:type="dxa"/>
            <w:vAlign w:val="bottom"/>
          </w:tcPr>
          <w:p>
            <w:pPr>
              <w:spacing w:after="0"/>
              <w:rPr>
                <w:sz w:val="1"/>
                <w:szCs w:val="1"/>
                <w:color w:val="auto"/>
              </w:rPr>
            </w:pPr>
          </w:p>
        </w:tc>
      </w:tr>
      <w:tr>
        <w:trPr>
          <w:trHeight w:val="210"/>
        </w:trPr>
        <w:tc>
          <w:tcPr>
            <w:tcW w:w="63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(used in) investing activities</w:t>
            </w:r>
          </w:p>
        </w:tc>
        <w:tc>
          <w:tcPr>
            <w:tcW w:w="3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(140,340)</w:t>
            </w: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(140,340)</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636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3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51,606</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51,606</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00" w:type="dxa"/>
            <w:vAlign w:val="bottom"/>
            <w:gridSpan w:val="2"/>
          </w:tcPr>
          <w:p>
            <w:pPr>
              <w:jc w:val="right"/>
              <w:ind w:right="308"/>
              <w:spacing w:after="0"/>
              <w:rPr>
                <w:sz w:val="20"/>
                <w:szCs w:val="20"/>
                <w:color w:val="auto"/>
              </w:rPr>
            </w:pPr>
            <w:r>
              <w:rPr>
                <w:rFonts w:ascii="Arial" w:cs="Arial" w:eastAsia="Arial" w:hAnsi="Arial"/>
                <w:sz w:val="18"/>
                <w:szCs w:val="18"/>
                <w:color w:val="auto"/>
              </w:rPr>
              <w:t>(6,784)</w:t>
            </w:r>
          </w:p>
        </w:tc>
        <w:tc>
          <w:tcPr>
            <w:tcW w:w="120" w:type="dxa"/>
            <w:vAlign w:val="bottom"/>
          </w:tcPr>
          <w:p>
            <w:pPr>
              <w:spacing w:after="0"/>
              <w:rPr>
                <w:sz w:val="18"/>
                <w:szCs w:val="18"/>
                <w:color w:val="auto"/>
              </w:rPr>
            </w:pP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(6,784)</w:t>
            </w:r>
          </w:p>
        </w:tc>
        <w:tc>
          <w:tcPr>
            <w:tcW w:w="0" w:type="dxa"/>
            <w:vAlign w:val="bottom"/>
          </w:tcPr>
          <w:p>
            <w:pPr>
              <w:spacing w:after="0"/>
              <w:rPr>
                <w:sz w:val="1"/>
                <w:szCs w:val="1"/>
                <w:color w:val="auto"/>
              </w:rPr>
            </w:pPr>
          </w:p>
        </w:tc>
      </w:tr>
      <w:tr>
        <w:trPr>
          <w:trHeight w:val="210"/>
        </w:trPr>
        <w:tc>
          <w:tcPr>
            <w:tcW w:w="63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3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44,822</w:t>
            </w: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44,822</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360" w:type="dxa"/>
            <w:vAlign w:val="bottom"/>
          </w:tcPr>
          <w:p>
            <w:pPr>
              <w:spacing w:after="0"/>
              <w:rPr>
                <w:sz w:val="20"/>
                <w:szCs w:val="20"/>
                <w:color w:val="auto"/>
              </w:rPr>
            </w:pPr>
            <w:r>
              <w:rPr>
                <w:rFonts w:ascii="Arial" w:cs="Arial" w:eastAsia="Arial" w:hAnsi="Arial"/>
                <w:sz w:val="18"/>
                <w:szCs w:val="18"/>
                <w:color w:val="auto"/>
              </w:rPr>
              <w:t>Net increase (decrease) in cash and cash equivalents</w:t>
            </w: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85,516</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85,516</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3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36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251,987</w:t>
            </w:r>
          </w:p>
        </w:tc>
        <w:tc>
          <w:tcPr>
            <w:tcW w:w="44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251,987</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(A.) Adjustments for additional stock-based compensation expense pursuant to APB 25.</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 Adjustments for additional payroll tax.</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240" w:firstLine="324"/>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enterprises,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20" w:firstLine="324"/>
        <w:spacing w:after="0" w:line="291" w:lineRule="auto"/>
        <w:rPr>
          <w:sz w:val="20"/>
          <w:szCs w:val="20"/>
          <w:color w:val="auto"/>
        </w:rPr>
      </w:pPr>
      <w:r>
        <w:rPr>
          <w:rFonts w:ascii="Arial" w:cs="Arial" w:eastAsia="Arial" w:hAnsi="Arial"/>
          <w:sz w:val="16"/>
          <w:szCs w:val="16"/>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5"/>
          <w:szCs w:val="15"/>
          <w:color w:val="auto"/>
        </w:rPr>
        <w:t>Fiscal years 2007 and 2006</w:t>
      </w:r>
    </w:p>
    <w:p>
      <w:pPr>
        <w:spacing w:after="0"/>
        <w:rPr>
          <w:sz w:val="20"/>
          <w:szCs w:val="20"/>
          <w:color w:val="auto"/>
        </w:rPr>
      </w:pPr>
      <w:r>
        <w:rPr>
          <w:rFonts w:ascii="Arial" w:cs="Arial" w:eastAsia="Arial" w:hAnsi="Arial"/>
          <w:sz w:val="18"/>
          <w:szCs w:val="18"/>
          <w:color w:val="auto"/>
        </w:rPr>
        <w:t>comprised 52-weeks.</w:t>
      </w:r>
    </w:p>
    <w:p>
      <w:pPr>
        <w:sectPr>
          <w:pgSz w:w="11900" w:h="16838" w:orient="portrait"/>
          <w:cols w:equalWidth="0" w:num="1">
            <w:col w:w="11420"/>
          </w:cols>
          <w:pgMar w:left="240" w:top="140" w:right="239" w:bottom="0" w:gutter="0" w:footer="0" w:header="0"/>
        </w:sectPr>
      </w:pPr>
    </w:p>
    <w:bookmarkStart w:id="12" w:name="page13"/>
    <w:bookmarkEnd w:id="12"/>
    <w:p>
      <w:pPr>
        <w:ind w:right="180" w:firstLine="324"/>
        <w:spacing w:after="0" w:line="293"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 million shares of common stock. Stock certificates representing one additional share for each share held were delivered on July 24, 2006 (payment date) to all shareholders of record at the close of business on July 10, 2006 (record date). All share and per share amounts in these condensed consolidated financial statements and related notes have been retroactively adjusted to reflect the stock split for all periods presented.</w:t>
      </w:r>
    </w:p>
    <w:p>
      <w:pPr>
        <w:spacing w:after="0" w:line="165"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except for the effect of the restatement as discussed in Note 1, necessary to fairly state the Company’s financial position as of July 29, 2006, the results of its operations for the three and six months ended July 29, 2006 and July 30, 2005, respectively and its cash flows for the six months ended July 29, 2006 and July 30, 2005, respectively. These condensed consolidated financial statements and related notes are unaudited and should be read in conjunction with the Company’s audited financial statements and related notes included in the Company’s Annual Report on Form 10-K for the year ended January 27, 2007, filed concurrently with this Form 10-Q. The results of operations for the three and six months ended July 29, 2006 are not necessarily indicative of the results that may be expected for any other interim period or for the full fiscal year.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20" w:firstLine="324"/>
        <w:spacing w:after="0" w:line="271" w:lineRule="auto"/>
        <w:rPr>
          <w:sz w:val="20"/>
          <w:szCs w:val="20"/>
          <w:color w:val="auto"/>
        </w:rPr>
      </w:pPr>
      <w:r>
        <w:rPr>
          <w:rFonts w:ascii="Arial" w:cs="Arial" w:eastAsia="Arial" w:hAnsi="Arial"/>
          <w:sz w:val="17"/>
          <w:szCs w:val="17"/>
          <w:color w:val="auto"/>
        </w:rPr>
        <w:t>The preparation of unaudited interim condensed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may differ from these estimates.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460" w:firstLine="324"/>
        <w:spacing w:after="0" w:line="264" w:lineRule="auto"/>
        <w:rPr>
          <w:sz w:val="20"/>
          <w:szCs w:val="20"/>
          <w:color w:val="auto"/>
        </w:rPr>
      </w:pPr>
      <w:r>
        <w:rPr>
          <w:rFonts w:ascii="Arial" w:cs="Arial" w:eastAsia="Arial" w:hAnsi="Arial"/>
          <w:sz w:val="18"/>
          <w:szCs w:val="18"/>
          <w:color w:val="auto"/>
        </w:rPr>
        <w:t>The unaudited interim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160" w:firstLine="324"/>
        <w:spacing w:after="0" w:line="293"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1" w:lineRule="exact"/>
        <w:rPr>
          <w:sz w:val="20"/>
          <w:szCs w:val="20"/>
          <w:color w:val="auto"/>
        </w:rPr>
      </w:pPr>
    </w:p>
    <w:p>
      <w:pPr>
        <w:jc w:val="both"/>
        <w:ind w:right="600" w:firstLine="324"/>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firstLine="324"/>
        <w:spacing w:after="0" w:line="276" w:lineRule="auto"/>
        <w:rPr>
          <w:sz w:val="20"/>
          <w:szCs w:val="20"/>
          <w:color w:val="auto"/>
        </w:rPr>
      </w:pPr>
      <w:r>
        <w:rPr>
          <w:rFonts w:ascii="Arial" w:cs="Arial" w:eastAsia="Arial" w:hAnsi="Arial"/>
          <w:sz w:val="17"/>
          <w:szCs w:val="17"/>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3"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ectPr>
          <w:pgSz w:w="11900" w:h="16838" w:orient="portrait"/>
          <w:cols w:equalWidth="0" w:num="1">
            <w:col w:w="11400"/>
          </w:cols>
          <w:pgMar w:left="240" w:top="125" w:right="259" w:bottom="36" w:gutter="0" w:footer="0" w:header="0"/>
        </w:sectPr>
      </w:pPr>
    </w:p>
    <w:bookmarkStart w:id="13" w:name="page14"/>
    <w:bookmarkEnd w:id="13"/>
    <w:p>
      <w:pPr>
        <w:ind w:right="180" w:firstLine="324"/>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Research and development and other costs consist primarily of $149.9 million and $85.9 million of research and development costs for the three month periods ended July 29, 2006 and July 30, 2005, respectively, excluding costs related to patent investigation and filings for the three month periods ended July 29, 2006 and July 30, 2005 which were $2.7 million and $2.2 million, respectively.</w:t>
      </w:r>
    </w:p>
    <w:p>
      <w:pPr>
        <w:spacing w:after="0" w:line="181" w:lineRule="exact"/>
        <w:rPr>
          <w:sz w:val="20"/>
          <w:szCs w:val="20"/>
          <w:color w:val="auto"/>
        </w:rPr>
      </w:pPr>
    </w:p>
    <w:p>
      <w:pPr>
        <w:jc w:val="both"/>
        <w:ind w:right="200" w:firstLine="324"/>
        <w:spacing w:after="0" w:line="264" w:lineRule="auto"/>
        <w:rPr>
          <w:sz w:val="20"/>
          <w:szCs w:val="20"/>
          <w:color w:val="auto"/>
        </w:rPr>
      </w:pPr>
      <w:r>
        <w:rPr>
          <w:rFonts w:ascii="Arial" w:cs="Arial" w:eastAsia="Arial" w:hAnsi="Arial"/>
          <w:sz w:val="18"/>
          <w:szCs w:val="18"/>
          <w:color w:val="auto"/>
        </w:rPr>
        <w:t>Research and development and other costs consist primarily of $276.8 million and $162.8 million of research and development costs for the six month periods ended July 29, 2006 and July 30, 2005, respectively, excluding costs related to patent investigation and filings for the six month periods ended July 29, 2006 and July 30, 2005 which were $5.1 million and $3.3 million, respectively.</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 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pacing w:after="0" w:line="200" w:lineRule="exact"/>
        <w:rPr>
          <w:sz w:val="20"/>
          <w:szCs w:val="20"/>
          <w:color w:val="auto"/>
        </w:rPr>
      </w:pPr>
    </w:p>
    <w:p>
      <w:pPr>
        <w:spacing w:after="0" w:line="21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170"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expected term.</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auditing principle of $8.8 million net of tax as of the year ended January 27, 2007, as restated, reflecting the net cumulative impact of estimated forfeitures that were previously not included in the determination of historic stock based compensation expense in periods prior to January 28, 2006.</w:t>
      </w:r>
    </w:p>
    <w:p>
      <w:pPr>
        <w:spacing w:after="0" w:line="181" w:lineRule="exact"/>
        <w:rPr>
          <w:sz w:val="20"/>
          <w:szCs w:val="20"/>
          <w:color w:val="auto"/>
        </w:rPr>
      </w:pPr>
    </w:p>
    <w:p>
      <w:pPr>
        <w:ind w:right="60" w:firstLine="324"/>
        <w:spacing w:after="0" w:line="272" w:lineRule="auto"/>
        <w:rPr>
          <w:sz w:val="20"/>
          <w:szCs w:val="20"/>
          <w:color w:val="auto"/>
        </w:rPr>
      </w:pPr>
      <w:r>
        <w:rPr>
          <w:rFonts w:ascii="Arial" w:cs="Arial" w:eastAsia="Arial" w:hAnsi="Arial"/>
          <w:sz w:val="17"/>
          <w:szCs w:val="17"/>
          <w:color w:val="auto"/>
        </w:rPr>
        <w:t>As a result of the adoption of SFAS 123R, stock-based compensation increased from $29.7 million and $39.4 million in the three and six months ended July 30, 2005, respectively to $55.6 million and $104.4 million in the three and six months ended July 29, 2006. Stock-based compensation of $0.7 million was capitalized in inventory as of July 29, 2006. There was no stock-based compensation cost included in inventory as of January 28, 2006. In accordance with the modified prospective method, the consolidated financial statements for prior periods have not been restated to reflect, and do not include, the impact of SFAS 123R. Prior to the adoption of SFAS 123R, the Company presented deferred compensation as a separate component of shareholders’ equity. In accordance with the provisions of SFAS 123R, on January 29, 2006, unamortized deferred compensation totaling $62.0 million on that date was eliminated with a corresponding reduction in additional paid-in capital.</w:t>
      </w:r>
    </w:p>
    <w:p>
      <w:pPr>
        <w:spacing w:after="0" w:line="178"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Available-for-sale investments (in thousands)</w:t>
      </w:r>
    </w:p>
    <w:p>
      <w:pPr>
        <w:sectPr>
          <w:pgSz w:w="11900" w:h="16838" w:orient="portrait"/>
          <w:cols w:equalWidth="0" w:num="1">
            <w:col w:w="11380"/>
          </w:cols>
          <w:pgMar w:left="240" w:top="125" w:right="279" w:bottom="0" w:gutter="0" w:footer="0" w:header="0"/>
        </w:sectPr>
      </w:pPr>
    </w:p>
    <w:bookmarkStart w:id="14" w:name="page15"/>
    <w:bookmarkEnd w:id="14"/>
    <w:p>
      <w:pPr>
        <w:spacing w:after="0" w:line="200" w:lineRule="exact"/>
        <w:rPr>
          <w:sz w:val="20"/>
          <w:szCs w:val="20"/>
          <w:color w:val="auto"/>
        </w:rPr>
      </w:pPr>
    </w:p>
    <w:p>
      <w:pPr>
        <w:spacing w:after="0" w:line="381" w:lineRule="exact"/>
        <w:rPr>
          <w:sz w:val="20"/>
          <w:szCs w:val="20"/>
          <w:color w:val="auto"/>
        </w:rPr>
      </w:pPr>
    </w:p>
    <w:p>
      <w:pPr>
        <w:ind w:left="540"/>
        <w:spacing w:after="0"/>
        <w:rPr>
          <w:sz w:val="20"/>
          <w:szCs w:val="20"/>
          <w:color w:val="auto"/>
        </w:rPr>
      </w:pPr>
      <w:r>
        <w:rPr>
          <w:rFonts w:ascii="Arial" w:cs="Arial" w:eastAsia="Arial" w:hAnsi="Arial"/>
          <w:sz w:val="18"/>
          <w:szCs w:val="18"/>
          <w:color w:val="auto"/>
        </w:rPr>
        <w:t>Corporate debt securities</w:t>
      </w:r>
    </w:p>
    <w:p>
      <w:pPr>
        <w:spacing w:after="0" w:line="23" w:lineRule="exact"/>
        <w:rPr>
          <w:sz w:val="20"/>
          <w:szCs w:val="20"/>
          <w:color w:val="auto"/>
        </w:rPr>
      </w:pPr>
    </w:p>
    <w:p>
      <w:pPr>
        <w:ind w:left="540"/>
        <w:spacing w:after="0"/>
        <w:rPr>
          <w:sz w:val="20"/>
          <w:szCs w:val="20"/>
          <w:color w:val="auto"/>
        </w:rPr>
      </w:pPr>
      <w:r>
        <w:rPr>
          <w:rFonts w:ascii="Arial" w:cs="Arial" w:eastAsia="Arial" w:hAnsi="Arial"/>
          <w:sz w:val="18"/>
          <w:szCs w:val="18"/>
          <w:color w:val="auto"/>
        </w:rPr>
        <w:t>Auction rate securities</w:t>
      </w:r>
    </w:p>
    <w:p>
      <w:pPr>
        <w:spacing w:after="0" w:line="23" w:lineRule="exact"/>
        <w:rPr>
          <w:sz w:val="20"/>
          <w:szCs w:val="20"/>
          <w:color w:val="auto"/>
        </w:rPr>
      </w:pPr>
    </w:p>
    <w:p>
      <w:pPr>
        <w:ind w:left="720" w:right="40" w:hanging="179"/>
        <w:spacing w:after="0" w:line="250" w:lineRule="auto"/>
        <w:rPr>
          <w:sz w:val="20"/>
          <w:szCs w:val="20"/>
          <w:color w:val="auto"/>
        </w:rPr>
      </w:pPr>
      <w:r>
        <w:rPr>
          <w:rFonts w:ascii="Arial" w:cs="Arial" w:eastAsia="Arial" w:hAnsi="Arial"/>
          <w:sz w:val="18"/>
          <w:szCs w:val="18"/>
          <w:color w:val="auto"/>
        </w:rPr>
        <w:t>U.S. Federal, State, county and municipal debt securities</w:t>
      </w:r>
    </w:p>
    <w:p>
      <w:pPr>
        <w:spacing w:after="0" w:line="1" w:lineRule="exact"/>
        <w:rPr>
          <w:sz w:val="20"/>
          <w:szCs w:val="20"/>
          <w:color w:val="auto"/>
        </w:rPr>
      </w:pPr>
    </w:p>
    <w:p>
      <w:pPr>
        <w:ind w:left="540"/>
        <w:spacing w:after="0"/>
        <w:rPr>
          <w:sz w:val="20"/>
          <w:szCs w:val="20"/>
          <w:color w:val="auto"/>
        </w:rPr>
      </w:pPr>
      <w:r>
        <w:rPr>
          <w:rFonts w:ascii="Arial" w:cs="Arial" w:eastAsia="Arial" w:hAnsi="Arial"/>
          <w:sz w:val="18"/>
          <w:szCs w:val="18"/>
          <w:color w:val="auto"/>
        </w:rPr>
        <w:t>Short-term investments</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1"/>
        </w:trPr>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940" w:type="dxa"/>
            <w:vAlign w:val="bottom"/>
            <w:tcBorders>
              <w:bottom w:val="single" w:sz="8" w:color="auto"/>
            </w:tcBorders>
            <w:gridSpan w:val="5"/>
          </w:tcPr>
          <w:p>
            <w:pPr>
              <w:ind w:left="380"/>
              <w:spacing w:after="0"/>
              <w:rPr>
                <w:sz w:val="20"/>
                <w:szCs w:val="20"/>
                <w:color w:val="auto"/>
              </w:rPr>
            </w:pPr>
            <w:r>
              <w:rPr>
                <w:rFonts w:ascii="Arial" w:cs="Arial" w:eastAsia="Arial" w:hAnsi="Arial"/>
                <w:sz w:val="14"/>
                <w:szCs w:val="14"/>
                <w:b w:val="1"/>
                <w:bCs w:val="1"/>
                <w:color w:val="auto"/>
              </w:rPr>
              <w:t>July 29, 2006</w:t>
            </w: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06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Amortized</w:t>
            </w:r>
          </w:p>
        </w:tc>
        <w:tc>
          <w:tcPr>
            <w:tcW w:w="160" w:type="dxa"/>
            <w:vAlign w:val="bottom"/>
          </w:tcPr>
          <w:p>
            <w:pPr>
              <w:spacing w:after="0"/>
              <w:rPr>
                <w:sz w:val="8"/>
                <w:szCs w:val="8"/>
                <w:color w:val="auto"/>
              </w:rPr>
            </w:pPr>
          </w:p>
        </w:tc>
        <w:tc>
          <w:tcPr>
            <w:tcW w:w="900" w:type="dxa"/>
            <w:vAlign w:val="bottom"/>
            <w:gridSpan w:val="2"/>
          </w:tcPr>
          <w:p>
            <w:pPr>
              <w:ind w:left="80"/>
              <w:spacing w:after="0" w:line="102" w:lineRule="exact"/>
              <w:rPr>
                <w:sz w:val="20"/>
                <w:szCs w:val="20"/>
                <w:color w:val="auto"/>
              </w:rPr>
            </w:pPr>
            <w:r>
              <w:rPr>
                <w:rFonts w:ascii="Arial" w:cs="Arial" w:eastAsia="Arial" w:hAnsi="Arial"/>
                <w:sz w:val="11"/>
                <w:szCs w:val="11"/>
                <w:b w:val="1"/>
                <w:bCs w:val="1"/>
                <w:color w:val="auto"/>
              </w:rPr>
              <w:t>Gross</w:t>
            </w:r>
          </w:p>
        </w:tc>
        <w:tc>
          <w:tcPr>
            <w:tcW w:w="140" w:type="dxa"/>
            <w:vAlign w:val="bottom"/>
          </w:tcPr>
          <w:p>
            <w:pPr>
              <w:spacing w:after="0"/>
              <w:rPr>
                <w:sz w:val="8"/>
                <w:szCs w:val="8"/>
                <w:color w:val="auto"/>
              </w:rPr>
            </w:pPr>
          </w:p>
        </w:tc>
        <w:tc>
          <w:tcPr>
            <w:tcW w:w="90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760" w:type="dxa"/>
            <w:vAlign w:val="bottom"/>
            <w:vMerge w:val="restart"/>
          </w:tcPr>
          <w:p>
            <w:pPr>
              <w:jc w:val="right"/>
              <w:ind w:right="36"/>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35"/>
        </w:trPr>
        <w:tc>
          <w:tcPr>
            <w:tcW w:w="1060" w:type="dxa"/>
            <w:vAlign w:val="bottom"/>
            <w:gridSpan w:val="3"/>
            <w:vMerge w:val="continue"/>
          </w:tcPr>
          <w:p>
            <w:pPr>
              <w:spacing w:after="0"/>
              <w:rPr>
                <w:sz w:val="11"/>
                <w:szCs w:val="11"/>
                <w:color w:val="auto"/>
              </w:rPr>
            </w:pPr>
          </w:p>
        </w:tc>
        <w:tc>
          <w:tcPr>
            <w:tcW w:w="1060" w:type="dxa"/>
            <w:vAlign w:val="bottom"/>
            <w:gridSpan w:val="3"/>
          </w:tcPr>
          <w:p>
            <w:pPr>
              <w:ind w:left="80"/>
              <w:spacing w:after="0" w:line="135" w:lineRule="exact"/>
              <w:rPr>
                <w:sz w:val="20"/>
                <w:szCs w:val="20"/>
                <w:color w:val="auto"/>
              </w:rPr>
            </w:pPr>
            <w:r>
              <w:rPr>
                <w:rFonts w:ascii="Arial" w:cs="Arial" w:eastAsia="Arial" w:hAnsi="Arial"/>
                <w:sz w:val="14"/>
                <w:szCs w:val="14"/>
                <w:b w:val="1"/>
                <w:bCs w:val="1"/>
                <w:color w:val="auto"/>
              </w:rPr>
              <w:t>Unrealized</w:t>
            </w:r>
          </w:p>
        </w:tc>
        <w:tc>
          <w:tcPr>
            <w:tcW w:w="104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180" w:type="dxa"/>
            <w:vAlign w:val="bottom"/>
          </w:tcPr>
          <w:p>
            <w:pPr>
              <w:spacing w:after="0"/>
              <w:rPr>
                <w:sz w:val="14"/>
                <w:szCs w:val="14"/>
                <w:color w:val="auto"/>
              </w:rPr>
            </w:pPr>
          </w:p>
        </w:tc>
        <w:tc>
          <w:tcPr>
            <w:tcW w:w="8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900" w:type="dxa"/>
            <w:vAlign w:val="bottom"/>
            <w:gridSpan w:val="2"/>
          </w:tcPr>
          <w:p>
            <w:pPr>
              <w:ind w:left="80"/>
              <w:spacing w:after="0"/>
              <w:rPr>
                <w:sz w:val="20"/>
                <w:szCs w:val="20"/>
                <w:color w:val="auto"/>
              </w:rPr>
            </w:pPr>
            <w:r>
              <w:rPr>
                <w:rFonts w:ascii="Arial" w:cs="Arial" w:eastAsia="Arial" w:hAnsi="Arial"/>
                <w:sz w:val="14"/>
                <w:szCs w:val="14"/>
                <w:b w:val="1"/>
                <w:bCs w:val="1"/>
                <w:color w:val="auto"/>
              </w:rPr>
              <w:t>Gains</w:t>
            </w:r>
          </w:p>
        </w:tc>
        <w:tc>
          <w:tcPr>
            <w:tcW w:w="14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760" w:type="dxa"/>
            <w:vAlign w:val="bottom"/>
          </w:tcPr>
          <w:p>
            <w:pPr>
              <w:jc w:val="right"/>
              <w:ind w:right="36"/>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95"/>
        </w:trPr>
        <w:tc>
          <w:tcPr>
            <w:tcW w:w="18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25,719</w:t>
            </w:r>
          </w:p>
        </w:tc>
        <w:tc>
          <w:tcPr>
            <w:tcW w:w="220" w:type="dxa"/>
            <w:vAlign w:val="bottom"/>
          </w:tcPr>
          <w:p>
            <w:pPr>
              <w:spacing w:after="0"/>
              <w:rPr>
                <w:sz w:val="16"/>
                <w:szCs w:val="16"/>
                <w:color w:val="auto"/>
              </w:rPr>
            </w:pPr>
          </w:p>
        </w:tc>
        <w:tc>
          <w:tcPr>
            <w:tcW w:w="1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tcPr>
          <w:p>
            <w:pPr>
              <w:ind w:left="480"/>
              <w:spacing w:after="0" w:line="195" w:lineRule="exact"/>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16"/>
                <w:szCs w:val="16"/>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(377)</w:t>
            </w:r>
          </w:p>
        </w:tc>
        <w:tc>
          <w:tcPr>
            <w:tcW w:w="200" w:type="dxa"/>
            <w:vAlign w:val="bottom"/>
          </w:tcPr>
          <w:p>
            <w:pPr>
              <w:spacing w:after="0"/>
              <w:rPr>
                <w:sz w:val="16"/>
                <w:szCs w:val="16"/>
                <w:color w:val="auto"/>
              </w:rPr>
            </w:pPr>
          </w:p>
        </w:tc>
        <w:tc>
          <w:tcPr>
            <w:tcW w:w="1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25,342</w:t>
            </w:r>
          </w:p>
        </w:tc>
        <w:tc>
          <w:tcPr>
            <w:tcW w:w="0" w:type="dxa"/>
            <w:vAlign w:val="bottom"/>
          </w:tcPr>
          <w:p>
            <w:pPr>
              <w:spacing w:after="0"/>
              <w:rPr>
                <w:sz w:val="1"/>
                <w:szCs w:val="1"/>
                <w:color w:val="auto"/>
              </w:rPr>
            </w:pPr>
          </w:p>
        </w:tc>
      </w:tr>
      <w:tr>
        <w:trPr>
          <w:trHeight w:val="230"/>
        </w:trPr>
        <w:tc>
          <w:tcPr>
            <w:tcW w:w="18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340,499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0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340,499</w:t>
            </w:r>
          </w:p>
        </w:tc>
        <w:tc>
          <w:tcPr>
            <w:tcW w:w="0" w:type="dxa"/>
            <w:vAlign w:val="bottom"/>
          </w:tcPr>
          <w:p>
            <w:pPr>
              <w:spacing w:after="0"/>
              <w:rPr>
                <w:sz w:val="1"/>
                <w:szCs w:val="1"/>
                <w:color w:val="auto"/>
              </w:rPr>
            </w:pPr>
          </w:p>
        </w:tc>
      </w:tr>
      <w:tr>
        <w:trPr>
          <w:trHeight w:val="432"/>
        </w:trPr>
        <w:tc>
          <w:tcPr>
            <w:tcW w:w="18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84,779</w:t>
            </w: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0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4"/>
                <w:szCs w:val="24"/>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(1,209)</w:t>
            </w:r>
          </w:p>
        </w:tc>
        <w:tc>
          <w:tcPr>
            <w:tcW w:w="100" w:type="dxa"/>
            <w:vAlign w:val="bottom"/>
          </w:tcPr>
          <w:p>
            <w:pPr>
              <w:spacing w:after="0"/>
              <w:rPr>
                <w:sz w:val="24"/>
                <w:szCs w:val="24"/>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83,570</w:t>
            </w:r>
          </w:p>
        </w:tc>
        <w:tc>
          <w:tcPr>
            <w:tcW w:w="0" w:type="dxa"/>
            <w:vAlign w:val="bottom"/>
          </w:tcPr>
          <w:p>
            <w:pPr>
              <w:spacing w:after="0"/>
              <w:rPr>
                <w:sz w:val="1"/>
                <w:szCs w:val="1"/>
                <w:color w:val="auto"/>
              </w:rPr>
            </w:pPr>
          </w:p>
        </w:tc>
      </w:tr>
      <w:tr>
        <w:trPr>
          <w:trHeight w:val="223"/>
        </w:trPr>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450,997</w:t>
            </w:r>
          </w:p>
        </w:tc>
        <w:tc>
          <w:tcPr>
            <w:tcW w:w="2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ind w:left="48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(1,586</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449,411</w:t>
            </w:r>
          </w:p>
        </w:tc>
        <w:tc>
          <w:tcPr>
            <w:tcW w:w="0" w:type="dxa"/>
            <w:vAlign w:val="bottom"/>
          </w:tcPr>
          <w:p>
            <w:pPr>
              <w:spacing w:after="0"/>
              <w:rPr>
                <w:sz w:val="1"/>
                <w:szCs w:val="1"/>
                <w:color w:val="auto"/>
              </w:rPr>
            </w:pPr>
          </w:p>
        </w:tc>
      </w:tr>
      <w:tr>
        <w:trPr>
          <w:trHeight w:val="20"/>
        </w:trPr>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-2610485</wp:posOffset>
            </wp:positionH>
            <wp:positionV relativeFrom="paragraph">
              <wp:posOffset>-736600</wp:posOffset>
            </wp:positionV>
            <wp:extent cx="5196840" cy="14605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196840" cy="146050"/>
                    </a:xfrm>
                    <a:prstGeom prst="rect">
                      <a:avLst/>
                    </a:prstGeom>
                    <a:noFill/>
                  </pic:spPr>
                </pic:pic>
              </a:graphicData>
            </a:graphic>
          </wp:anchor>
        </w:drawing>
        <w:drawing>
          <wp:anchor simplePos="0" relativeHeight="251657728" behindDoc="1" locked="0" layoutInCell="0" allowOverlap="1">
            <wp:simplePos x="0" y="0"/>
            <wp:positionH relativeFrom="column">
              <wp:posOffset>-2610485</wp:posOffset>
            </wp:positionH>
            <wp:positionV relativeFrom="paragraph">
              <wp:posOffset>-454025</wp:posOffset>
            </wp:positionV>
            <wp:extent cx="5196840" cy="2743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5196840" cy="274320"/>
                    </a:xfrm>
                    <a:prstGeom prst="rect">
                      <a:avLst/>
                    </a:prstGeom>
                    <a:noFill/>
                  </pic:spPr>
                </pic:pic>
              </a:graphicData>
            </a:graphic>
          </wp:anchor>
        </w:drawing>
      </w:r>
    </w:p>
    <w:p>
      <w:pPr>
        <w:spacing w:after="0" w:line="200" w:lineRule="exact"/>
        <w:rPr>
          <w:sz w:val="20"/>
          <w:szCs w:val="20"/>
          <w:color w:val="auto"/>
        </w:rPr>
      </w:pPr>
    </w:p>
    <w:p>
      <w:pPr>
        <w:sectPr>
          <w:pgSz w:w="11900" w:h="16844" w:orient="portrait"/>
          <w:cols w:equalWidth="0" w:num="2">
            <w:col w:w="3940" w:space="720"/>
            <w:col w:w="6760"/>
          </w:cols>
          <w:pgMar w:left="240" w:top="104" w:right="239" w:bottom="0" w:gutter="0" w:footer="0" w:header="0"/>
        </w:sectPr>
      </w:pPr>
    </w:p>
    <w:p>
      <w:pPr>
        <w:spacing w:after="0" w:line="34"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41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940" w:type="dxa"/>
            <w:vAlign w:val="bottom"/>
            <w:tcBorders>
              <w:bottom w:val="single" w:sz="8" w:color="auto"/>
            </w:tcBorders>
            <w:gridSpan w:val="5"/>
          </w:tcPr>
          <w:p>
            <w:pPr>
              <w:ind w:left="260"/>
              <w:spacing w:after="0"/>
              <w:rPr>
                <w:sz w:val="20"/>
                <w:szCs w:val="20"/>
                <w:color w:val="auto"/>
              </w:rPr>
            </w:pPr>
            <w:r>
              <w:rPr>
                <w:rFonts w:ascii="Arial" w:cs="Arial" w:eastAsia="Arial" w:hAnsi="Arial"/>
                <w:sz w:val="14"/>
                <w:szCs w:val="14"/>
                <w:b w:val="1"/>
                <w:bCs w:val="1"/>
                <w:color w:val="auto"/>
              </w:rPr>
              <w:t>January 28, 2006</w:t>
            </w: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100" w:type="dxa"/>
            <w:vAlign w:val="bottom"/>
          </w:tcPr>
          <w:p>
            <w:pPr>
              <w:spacing w:after="0"/>
              <w:rPr>
                <w:sz w:val="8"/>
                <w:szCs w:val="8"/>
                <w:color w:val="auto"/>
              </w:rPr>
            </w:pPr>
          </w:p>
        </w:tc>
        <w:tc>
          <w:tcPr>
            <w:tcW w:w="1060" w:type="dxa"/>
            <w:vAlign w:val="bottom"/>
            <w:gridSpan w:val="3"/>
            <w:vMerge w:val="restart"/>
          </w:tcPr>
          <w:p>
            <w:pPr>
              <w:jc w:val="right"/>
              <w:ind w:right="320"/>
              <w:spacing w:after="0"/>
              <w:rPr>
                <w:sz w:val="20"/>
                <w:szCs w:val="20"/>
                <w:color w:val="auto"/>
              </w:rPr>
            </w:pPr>
            <w:r>
              <w:rPr>
                <w:rFonts w:ascii="Arial" w:cs="Arial" w:eastAsia="Arial" w:hAnsi="Arial"/>
                <w:sz w:val="14"/>
                <w:szCs w:val="14"/>
                <w:b w:val="1"/>
                <w:bCs w:val="1"/>
                <w:color w:val="auto"/>
              </w:rPr>
              <w:t>Amortized</w:t>
            </w:r>
          </w:p>
        </w:tc>
        <w:tc>
          <w:tcPr>
            <w:tcW w:w="160" w:type="dxa"/>
            <w:vAlign w:val="bottom"/>
          </w:tcPr>
          <w:p>
            <w:pPr>
              <w:spacing w:after="0"/>
              <w:rPr>
                <w:sz w:val="8"/>
                <w:szCs w:val="8"/>
                <w:color w:val="auto"/>
              </w:rPr>
            </w:pPr>
          </w:p>
        </w:tc>
        <w:tc>
          <w:tcPr>
            <w:tcW w:w="880" w:type="dxa"/>
            <w:vAlign w:val="bottom"/>
            <w:gridSpan w:val="2"/>
          </w:tcPr>
          <w:p>
            <w:pPr>
              <w:ind w:left="60"/>
              <w:spacing w:after="0" w:line="102" w:lineRule="exact"/>
              <w:rPr>
                <w:sz w:val="20"/>
                <w:szCs w:val="20"/>
                <w:color w:val="auto"/>
              </w:rPr>
            </w:pPr>
            <w:r>
              <w:rPr>
                <w:rFonts w:ascii="Arial" w:cs="Arial" w:eastAsia="Arial" w:hAnsi="Arial"/>
                <w:sz w:val="11"/>
                <w:szCs w:val="11"/>
                <w:b w:val="1"/>
                <w:bCs w:val="1"/>
                <w:color w:val="auto"/>
              </w:rPr>
              <w:t>Gross</w:t>
            </w:r>
          </w:p>
        </w:tc>
        <w:tc>
          <w:tcPr>
            <w:tcW w:w="160" w:type="dxa"/>
            <w:vAlign w:val="bottom"/>
          </w:tcPr>
          <w:p>
            <w:pPr>
              <w:spacing w:after="0"/>
              <w:rPr>
                <w:sz w:val="8"/>
                <w:szCs w:val="8"/>
                <w:color w:val="auto"/>
              </w:rPr>
            </w:pPr>
          </w:p>
        </w:tc>
        <w:tc>
          <w:tcPr>
            <w:tcW w:w="90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840" w:type="dxa"/>
            <w:vAlign w:val="bottom"/>
            <w:gridSpan w:val="2"/>
            <w:vMerge w:val="restart"/>
          </w:tcPr>
          <w:p>
            <w:pPr>
              <w:jc w:val="right"/>
              <w:ind w:right="20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35"/>
        </w:trPr>
        <w:tc>
          <w:tcPr>
            <w:tcW w:w="4100" w:type="dxa"/>
            <w:vAlign w:val="bottom"/>
          </w:tcPr>
          <w:p>
            <w:pPr>
              <w:spacing w:after="0"/>
              <w:rPr>
                <w:sz w:val="11"/>
                <w:szCs w:val="11"/>
                <w:color w:val="auto"/>
              </w:rPr>
            </w:pPr>
          </w:p>
        </w:tc>
        <w:tc>
          <w:tcPr>
            <w:tcW w:w="1060" w:type="dxa"/>
            <w:vAlign w:val="bottom"/>
            <w:gridSpan w:val="3"/>
            <w:vMerge w:val="continue"/>
          </w:tcPr>
          <w:p>
            <w:pPr>
              <w:spacing w:after="0"/>
              <w:rPr>
                <w:sz w:val="11"/>
                <w:szCs w:val="11"/>
                <w:color w:val="auto"/>
              </w:rPr>
            </w:pPr>
          </w:p>
        </w:tc>
        <w:tc>
          <w:tcPr>
            <w:tcW w:w="1040" w:type="dxa"/>
            <w:vAlign w:val="bottom"/>
            <w:gridSpan w:val="3"/>
          </w:tcPr>
          <w:p>
            <w:pPr>
              <w:ind w:left="80"/>
              <w:spacing w:after="0" w:line="135" w:lineRule="exact"/>
              <w:rPr>
                <w:sz w:val="20"/>
                <w:szCs w:val="20"/>
                <w:color w:val="auto"/>
              </w:rPr>
            </w:pPr>
            <w:r>
              <w:rPr>
                <w:rFonts w:ascii="Arial" w:cs="Arial" w:eastAsia="Arial" w:hAnsi="Arial"/>
                <w:sz w:val="14"/>
                <w:szCs w:val="14"/>
                <w:b w:val="1"/>
                <w:bCs w:val="1"/>
                <w:color w:val="auto"/>
              </w:rPr>
              <w:t>Unrealized</w:t>
            </w:r>
          </w:p>
        </w:tc>
        <w:tc>
          <w:tcPr>
            <w:tcW w:w="106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Unrealized</w:t>
            </w:r>
          </w:p>
        </w:tc>
        <w:tc>
          <w:tcPr>
            <w:tcW w:w="10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Cost</w:t>
            </w:r>
          </w:p>
        </w:tc>
        <w:tc>
          <w:tcPr>
            <w:tcW w:w="160" w:type="dxa"/>
            <w:vAlign w:val="bottom"/>
          </w:tcPr>
          <w:p>
            <w:pPr>
              <w:spacing w:after="0"/>
              <w:rPr>
                <w:sz w:val="14"/>
                <w:szCs w:val="14"/>
                <w:color w:val="auto"/>
              </w:rPr>
            </w:pPr>
          </w:p>
        </w:tc>
        <w:tc>
          <w:tcPr>
            <w:tcW w:w="880" w:type="dxa"/>
            <w:vAlign w:val="bottom"/>
            <w:gridSpan w:val="2"/>
          </w:tcPr>
          <w:p>
            <w:pPr>
              <w:ind w:left="60"/>
              <w:spacing w:after="0"/>
              <w:rPr>
                <w:sz w:val="20"/>
                <w:szCs w:val="20"/>
                <w:color w:val="auto"/>
              </w:rPr>
            </w:pPr>
            <w:r>
              <w:rPr>
                <w:rFonts w:ascii="Arial" w:cs="Arial" w:eastAsia="Arial" w:hAnsi="Arial"/>
                <w:sz w:val="14"/>
                <w:szCs w:val="14"/>
                <w:b w:val="1"/>
                <w:bCs w:val="1"/>
                <w:color w:val="auto"/>
              </w:rPr>
              <w:t>Gains</w:t>
            </w:r>
          </w:p>
        </w:tc>
        <w:tc>
          <w:tcPr>
            <w:tcW w:w="16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210"/>
        </w:trPr>
        <w:tc>
          <w:tcPr>
            <w:tcW w:w="4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33,662</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33,111</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438,615</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438,615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1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107,414</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(1,592)</w:t>
            </w: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105,822</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41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579,691</w:t>
            </w:r>
          </w:p>
        </w:tc>
        <w:tc>
          <w:tcPr>
            <w:tcW w:w="2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577,548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(4,957)</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(4,957)</w:t>
            </w:r>
          </w:p>
        </w:tc>
        <w:tc>
          <w:tcPr>
            <w:tcW w:w="0" w:type="dxa"/>
            <w:vAlign w:val="bottom"/>
          </w:tcPr>
          <w:p>
            <w:pPr>
              <w:spacing w:after="0"/>
              <w:rPr>
                <w:sz w:val="1"/>
                <w:szCs w:val="1"/>
                <w:color w:val="auto"/>
              </w:rPr>
            </w:pPr>
          </w:p>
        </w:tc>
      </w:tr>
      <w:tr>
        <w:trPr>
          <w:trHeight w:val="223"/>
        </w:trPr>
        <w:tc>
          <w:tcPr>
            <w:tcW w:w="41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574,734</w:t>
            </w:r>
          </w:p>
        </w:tc>
        <w:tc>
          <w:tcPr>
            <w:tcW w:w="2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6"/>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20" w:firstLine="324"/>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July 29, 2006 are presented in the following table (in thousands):</w:t>
      </w:r>
    </w:p>
    <w:p>
      <w:pPr>
        <w:spacing w:after="0" w:line="132"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40" w:type="dxa"/>
            <w:vAlign w:val="bottom"/>
            <w:gridSpan w:val="2"/>
          </w:tcPr>
          <w:p>
            <w:pPr>
              <w:jc w:val="right"/>
              <w:ind w:right="13"/>
              <w:spacing w:after="0"/>
              <w:rPr>
                <w:sz w:val="20"/>
                <w:szCs w:val="20"/>
                <w:color w:val="auto"/>
              </w:rPr>
            </w:pPr>
            <w:r>
              <w:rPr>
                <w:rFonts w:ascii="Arial" w:cs="Arial" w:eastAsia="Arial" w:hAnsi="Arial"/>
                <w:sz w:val="14"/>
                <w:szCs w:val="14"/>
                <w:b w:val="1"/>
                <w:bCs w:val="1"/>
                <w:color w:val="auto"/>
              </w:rPr>
              <w:t>Amortized</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Estimated</w:t>
            </w:r>
          </w:p>
        </w:tc>
      </w:tr>
      <w:tr>
        <w:trPr>
          <w:trHeight w:val="162"/>
        </w:trPr>
        <w:tc>
          <w:tcPr>
            <w:tcW w:w="2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jc w:val="right"/>
              <w:ind w:right="213"/>
              <w:spacing w:after="0"/>
              <w:rPr>
                <w:sz w:val="20"/>
                <w:szCs w:val="20"/>
                <w:color w:val="auto"/>
              </w:rPr>
            </w:pPr>
            <w:r>
              <w:rPr>
                <w:rFonts w:ascii="Arial" w:cs="Arial" w:eastAsia="Arial" w:hAnsi="Arial"/>
                <w:sz w:val="14"/>
                <w:szCs w:val="14"/>
                <w:b w:val="1"/>
                <w:bCs w:val="1"/>
                <w:color w:val="auto"/>
              </w:rPr>
              <w:t>Cost</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20" w:type="dxa"/>
            <w:vAlign w:val="bottom"/>
          </w:tcPr>
          <w:p>
            <w:pPr>
              <w:spacing w:after="0"/>
              <w:rPr>
                <w:sz w:val="18"/>
                <w:szCs w:val="18"/>
                <w:color w:val="auto"/>
              </w:rPr>
            </w:pPr>
          </w:p>
        </w:tc>
        <w:tc>
          <w:tcPr>
            <w:tcW w:w="2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5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6"/>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47,355</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47,097</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7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63,143</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61,815</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7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5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340,499</w:t>
            </w: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340,499</w:t>
            </w:r>
          </w:p>
        </w:tc>
        <w:tc>
          <w:tcPr>
            <w:tcW w:w="6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27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60" w:type="dxa"/>
            <w:vAlign w:val="bottom"/>
            <w:tcBorders>
              <w:bottom w:val="single" w:sz="8" w:color="auto"/>
            </w:tcBorders>
          </w:tcPr>
          <w:p>
            <w:pPr>
              <w:jc w:val="right"/>
              <w:ind w:right="6"/>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450,997</w:t>
            </w:r>
          </w:p>
        </w:tc>
        <w:tc>
          <w:tcPr>
            <w:tcW w:w="2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449,411</w:t>
            </w:r>
          </w:p>
        </w:tc>
        <w:tc>
          <w:tcPr>
            <w:tcW w:w="6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683"/>
        </w:trPr>
        <w:tc>
          <w:tcPr>
            <w:tcW w:w="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jc w:val="right"/>
              <w:ind w:right="233"/>
              <w:spacing w:after="0"/>
              <w:rPr>
                <w:sz w:val="20"/>
                <w:szCs w:val="20"/>
                <w:color w:val="auto"/>
              </w:rPr>
            </w:pPr>
            <w:r>
              <w:rPr>
                <w:rFonts w:ascii="Arial" w:cs="Arial" w:eastAsia="Arial" w:hAnsi="Arial"/>
                <w:sz w:val="18"/>
                <w:szCs w:val="18"/>
                <w:color w:val="auto"/>
              </w:rPr>
              <w:t>21</w:t>
            </w: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5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5"/>
          </w:tcPr>
          <w:p>
            <w:pPr>
              <w:jc w:val="right"/>
              <w:ind w:right="860"/>
              <w:spacing w:after="0"/>
              <w:rPr>
                <w:sz w:val="20"/>
                <w:szCs w:val="20"/>
                <w:color w:val="auto"/>
              </w:rPr>
            </w:pPr>
            <w:r>
              <w:rPr>
                <w:rFonts w:ascii="Arial" w:cs="Arial" w:eastAsia="Arial" w:hAnsi="Arial"/>
                <w:sz w:val="14"/>
                <w:szCs w:val="14"/>
                <w:b w:val="1"/>
                <w:bCs w:val="1"/>
                <w:color w:val="auto"/>
              </w:rPr>
              <w:t>July 29, 2006</w:t>
            </w: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r>
      <w:tr>
        <w:trPr>
          <w:trHeight w:val="129"/>
        </w:trPr>
        <w:tc>
          <w:tcPr>
            <w:tcW w:w="4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120" w:type="dxa"/>
            <w:vAlign w:val="bottom"/>
            <w:gridSpan w:val="5"/>
          </w:tcPr>
          <w:p>
            <w:pPr>
              <w:jc w:val="right"/>
              <w:ind w:right="540"/>
              <w:spacing w:after="0" w:line="129"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140" w:type="dxa"/>
            <w:vAlign w:val="bottom"/>
            <w:gridSpan w:val="5"/>
          </w:tcPr>
          <w:p>
            <w:pPr>
              <w:ind w:left="260"/>
              <w:spacing w:after="0" w:line="129" w:lineRule="exact"/>
              <w:rPr>
                <w:sz w:val="20"/>
                <w:szCs w:val="20"/>
                <w:color w:val="auto"/>
              </w:rPr>
            </w:pPr>
            <w:r>
              <w:rPr>
                <w:rFonts w:ascii="Arial" w:cs="Arial" w:eastAsia="Arial" w:hAnsi="Arial"/>
                <w:sz w:val="14"/>
                <w:szCs w:val="14"/>
                <w:b w:val="1"/>
                <w:bCs w:val="1"/>
                <w:color w:val="auto"/>
              </w:rPr>
              <w:t>12 months or more</w:t>
            </w:r>
          </w:p>
        </w:tc>
        <w:tc>
          <w:tcPr>
            <w:tcW w:w="180" w:type="dxa"/>
            <w:vAlign w:val="bottom"/>
          </w:tcPr>
          <w:p>
            <w:pPr>
              <w:spacing w:after="0"/>
              <w:rPr>
                <w:sz w:val="11"/>
                <w:szCs w:val="11"/>
                <w:color w:val="auto"/>
              </w:rPr>
            </w:pPr>
          </w:p>
        </w:tc>
        <w:tc>
          <w:tcPr>
            <w:tcW w:w="108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Total</w:t>
            </w: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r>
      <w:tr>
        <w:trPr>
          <w:trHeight w:val="102"/>
        </w:trPr>
        <w:tc>
          <w:tcPr>
            <w:tcW w:w="45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122"/>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tcPr>
          <w:p>
            <w:pPr>
              <w:jc w:val="center"/>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center"/>
              <w:ind w:right="102"/>
              <w:spacing w:after="0" w:line="102" w:lineRule="exact"/>
              <w:rPr>
                <w:sz w:val="20"/>
                <w:szCs w:val="20"/>
                <w:color w:val="auto"/>
              </w:rPr>
            </w:pPr>
            <w:r>
              <w:rPr>
                <w:rFonts w:ascii="Arial" w:cs="Arial" w:eastAsia="Arial" w:hAnsi="Arial"/>
                <w:sz w:val="11"/>
                <w:szCs w:val="11"/>
                <w:b w:val="1"/>
                <w:bCs w:val="1"/>
                <w:color w:val="auto"/>
              </w:rPr>
              <w:t>Fair</w:t>
            </w:r>
          </w:p>
        </w:tc>
        <w:tc>
          <w:tcPr>
            <w:tcW w:w="26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2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Fair</w:t>
            </w:r>
          </w:p>
        </w:tc>
        <w:tc>
          <w:tcPr>
            <w:tcW w:w="1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2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r>
      <w:tr>
        <w:trPr>
          <w:trHeight w:val="162"/>
        </w:trPr>
        <w:tc>
          <w:tcPr>
            <w:tcW w:w="4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tcPr>
          <w:p>
            <w:pPr>
              <w:jc w:val="center"/>
              <w:ind w:right="122"/>
              <w:spacing w:after="0"/>
              <w:rPr>
                <w:sz w:val="20"/>
                <w:szCs w:val="20"/>
                <w:color w:val="auto"/>
              </w:rPr>
            </w:pPr>
            <w:r>
              <w:rPr>
                <w:rFonts w:ascii="Arial" w:cs="Arial" w:eastAsia="Arial" w:hAnsi="Arial"/>
                <w:sz w:val="14"/>
                <w:szCs w:val="14"/>
                <w:b w:val="1"/>
                <w:bCs w:val="1"/>
                <w:color w:val="auto"/>
                <w:w w:val="90"/>
              </w:rPr>
              <w:t>Value</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center"/>
              <w:ind w:right="122"/>
              <w:spacing w:after="0"/>
              <w:rPr>
                <w:sz w:val="20"/>
                <w:szCs w:val="20"/>
                <w:color w:val="auto"/>
              </w:rPr>
            </w:pPr>
            <w:r>
              <w:rPr>
                <w:rFonts w:ascii="Arial" w:cs="Arial" w:eastAsia="Arial" w:hAnsi="Arial"/>
                <w:sz w:val="14"/>
                <w:szCs w:val="14"/>
                <w:b w:val="1"/>
                <w:bCs w:val="1"/>
                <w:color w:val="auto"/>
                <w:w w:val="96"/>
              </w:rPr>
              <w:t>Value</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9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8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2"/>
              </w:rPr>
              <w:t>Losses</w:t>
            </w:r>
          </w:p>
        </w:tc>
      </w:tr>
      <w:tr>
        <w:trPr>
          <w:trHeight w:val="210"/>
        </w:trPr>
        <w:tc>
          <w:tcPr>
            <w:tcW w:w="4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25,342</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(377)</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25,342</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(377)</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83,570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(1,209)</w:t>
            </w: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83,570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(1,209)</w:t>
            </w:r>
          </w:p>
        </w:tc>
      </w:tr>
      <w:tr>
        <w:trPr>
          <w:trHeight w:val="223"/>
        </w:trPr>
        <w:tc>
          <w:tcPr>
            <w:tcW w:w="45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108,912</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(1,586</w:t>
            </w:r>
          </w:p>
        </w:tc>
        <w:tc>
          <w:tcPr>
            <w:tcW w:w="260" w:type="dxa"/>
            <w:vAlign w:val="bottom"/>
            <w:tcBorders>
              <w:top w:val="single" w:sz="8" w:color="CCEEFF"/>
              <w:bottom w:val="single" w:sz="8" w:color="CCEEFF"/>
            </w:tcBorders>
            <w:shd w:val="clear" w:color="auto" w:fill="CCEEFF"/>
          </w:tcPr>
          <w:p>
            <w:pPr>
              <w:jc w:val="right"/>
              <w:ind w:right="12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108,912</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(1,586</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45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900" w:type="dxa"/>
            <w:vAlign w:val="bottom"/>
            <w:tcBorders>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r>
        <w:trPr>
          <w:trHeight w:val="386"/>
        </w:trPr>
        <w:tc>
          <w:tcPr>
            <w:tcW w:w="456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140" w:type="dxa"/>
            <w:vAlign w:val="bottom"/>
            <w:tcBorders>
              <w:bottom w:val="single" w:sz="8" w:color="auto"/>
            </w:tcBorders>
            <w:gridSpan w:val="5"/>
          </w:tcPr>
          <w:p>
            <w:pPr>
              <w:ind w:left="280"/>
              <w:spacing w:after="0"/>
              <w:rPr>
                <w:sz w:val="20"/>
                <w:szCs w:val="20"/>
                <w:color w:val="auto"/>
              </w:rPr>
            </w:pPr>
            <w:r>
              <w:rPr>
                <w:rFonts w:ascii="Arial" w:cs="Arial" w:eastAsia="Arial" w:hAnsi="Arial"/>
                <w:sz w:val="14"/>
                <w:szCs w:val="14"/>
                <w:b w:val="1"/>
                <w:bCs w:val="1"/>
                <w:color w:val="auto"/>
              </w:rPr>
              <w:t>January 28, 2006</w:t>
            </w:r>
          </w:p>
        </w:tc>
        <w:tc>
          <w:tcPr>
            <w:tcW w:w="18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r>
      <w:tr>
        <w:trPr>
          <w:trHeight w:val="129"/>
        </w:trPr>
        <w:tc>
          <w:tcPr>
            <w:tcW w:w="4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120" w:type="dxa"/>
            <w:vAlign w:val="bottom"/>
            <w:gridSpan w:val="5"/>
          </w:tcPr>
          <w:p>
            <w:pPr>
              <w:jc w:val="right"/>
              <w:ind w:right="540"/>
              <w:spacing w:after="0" w:line="129"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140" w:type="dxa"/>
            <w:vAlign w:val="bottom"/>
            <w:gridSpan w:val="5"/>
          </w:tcPr>
          <w:p>
            <w:pPr>
              <w:ind w:left="260"/>
              <w:spacing w:after="0" w:line="129" w:lineRule="exact"/>
              <w:rPr>
                <w:sz w:val="20"/>
                <w:szCs w:val="20"/>
                <w:color w:val="auto"/>
              </w:rPr>
            </w:pPr>
            <w:r>
              <w:rPr>
                <w:rFonts w:ascii="Arial" w:cs="Arial" w:eastAsia="Arial" w:hAnsi="Arial"/>
                <w:sz w:val="14"/>
                <w:szCs w:val="14"/>
                <w:b w:val="1"/>
                <w:bCs w:val="1"/>
                <w:color w:val="auto"/>
              </w:rPr>
              <w:t>12 months or more</w:t>
            </w:r>
          </w:p>
        </w:tc>
        <w:tc>
          <w:tcPr>
            <w:tcW w:w="180" w:type="dxa"/>
            <w:vAlign w:val="bottom"/>
          </w:tcPr>
          <w:p>
            <w:pPr>
              <w:spacing w:after="0"/>
              <w:rPr>
                <w:sz w:val="11"/>
                <w:szCs w:val="11"/>
                <w:color w:val="auto"/>
              </w:rPr>
            </w:pPr>
          </w:p>
        </w:tc>
        <w:tc>
          <w:tcPr>
            <w:tcW w:w="108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Total</w:t>
            </w: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r>
      <w:tr>
        <w:trPr>
          <w:trHeight w:val="102"/>
        </w:trPr>
        <w:tc>
          <w:tcPr>
            <w:tcW w:w="45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122"/>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tcPr>
          <w:p>
            <w:pPr>
              <w:jc w:val="center"/>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center"/>
              <w:ind w:right="102"/>
              <w:spacing w:after="0" w:line="102" w:lineRule="exact"/>
              <w:rPr>
                <w:sz w:val="20"/>
                <w:szCs w:val="20"/>
                <w:color w:val="auto"/>
              </w:rPr>
            </w:pPr>
            <w:r>
              <w:rPr>
                <w:rFonts w:ascii="Arial" w:cs="Arial" w:eastAsia="Arial" w:hAnsi="Arial"/>
                <w:sz w:val="11"/>
                <w:szCs w:val="11"/>
                <w:b w:val="1"/>
                <w:bCs w:val="1"/>
                <w:color w:val="auto"/>
              </w:rPr>
              <w:t>Fair</w:t>
            </w:r>
          </w:p>
        </w:tc>
        <w:tc>
          <w:tcPr>
            <w:tcW w:w="26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2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Fair</w:t>
            </w:r>
          </w:p>
        </w:tc>
        <w:tc>
          <w:tcPr>
            <w:tcW w:w="1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2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r>
      <w:tr>
        <w:trPr>
          <w:trHeight w:val="162"/>
        </w:trPr>
        <w:tc>
          <w:tcPr>
            <w:tcW w:w="4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tcPr>
          <w:p>
            <w:pPr>
              <w:jc w:val="center"/>
              <w:ind w:right="122"/>
              <w:spacing w:after="0"/>
              <w:rPr>
                <w:sz w:val="20"/>
                <w:szCs w:val="20"/>
                <w:color w:val="auto"/>
              </w:rPr>
            </w:pPr>
            <w:r>
              <w:rPr>
                <w:rFonts w:ascii="Arial" w:cs="Arial" w:eastAsia="Arial" w:hAnsi="Arial"/>
                <w:sz w:val="14"/>
                <w:szCs w:val="14"/>
                <w:b w:val="1"/>
                <w:bCs w:val="1"/>
                <w:color w:val="auto"/>
                <w:w w:val="90"/>
              </w:rPr>
              <w:t>Value</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center"/>
              <w:ind w:right="122"/>
              <w:spacing w:after="0"/>
              <w:rPr>
                <w:sz w:val="20"/>
                <w:szCs w:val="20"/>
                <w:color w:val="auto"/>
              </w:rPr>
            </w:pPr>
            <w:r>
              <w:rPr>
                <w:rFonts w:ascii="Arial" w:cs="Arial" w:eastAsia="Arial" w:hAnsi="Arial"/>
                <w:sz w:val="14"/>
                <w:szCs w:val="14"/>
                <w:b w:val="1"/>
                <w:bCs w:val="1"/>
                <w:color w:val="auto"/>
                <w:w w:val="96"/>
              </w:rPr>
              <w:t>Value</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9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8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2"/>
              </w:rPr>
              <w:t>Losses</w:t>
            </w:r>
          </w:p>
        </w:tc>
      </w:tr>
      <w:tr>
        <w:trPr>
          <w:trHeight w:val="210"/>
        </w:trPr>
        <w:tc>
          <w:tcPr>
            <w:tcW w:w="4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28,154</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28,154</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4,998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(24)</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100,824</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(1,568)</w:t>
            </w:r>
          </w:p>
        </w:tc>
        <w:tc>
          <w:tcPr>
            <w:tcW w:w="1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105,822</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(1,592)</w:t>
            </w:r>
          </w:p>
        </w:tc>
      </w:tr>
      <w:tr>
        <w:trPr>
          <w:trHeight w:val="223"/>
        </w:trPr>
        <w:tc>
          <w:tcPr>
            <w:tcW w:w="45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4,998</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80" w:type="dxa"/>
            <w:vAlign w:val="bottom"/>
            <w:tcBorders>
              <w:top w:val="single" w:sz="8" w:color="CCEEFF"/>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128,978</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(2,119</w:t>
            </w:r>
          </w:p>
        </w:tc>
        <w:tc>
          <w:tcPr>
            <w:tcW w:w="260" w:type="dxa"/>
            <w:vAlign w:val="bottom"/>
            <w:tcBorders>
              <w:top w:val="single" w:sz="8" w:color="CCEEFF"/>
              <w:bottom w:val="single" w:sz="8" w:color="CCEEFF"/>
            </w:tcBorders>
            <w:shd w:val="clear" w:color="auto" w:fill="CCEEFF"/>
          </w:tcPr>
          <w:p>
            <w:pPr>
              <w:jc w:val="right"/>
              <w:ind w:right="12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133,976</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(2,143</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45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Inventories (in thousands)</w:t>
      </w:r>
    </w:p>
    <w:p>
      <w:pPr>
        <w:spacing w:after="0" w:line="191"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380" w:type="dxa"/>
            <w:vAlign w:val="bottom"/>
          </w:tcPr>
          <w:p>
            <w:pPr>
              <w:spacing w:after="0"/>
              <w:rPr>
                <w:sz w:val="13"/>
                <w:szCs w:val="13"/>
                <w:color w:val="auto"/>
              </w:rPr>
            </w:pPr>
          </w:p>
        </w:tc>
        <w:tc>
          <w:tcPr>
            <w:tcW w:w="60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July 29,</w:t>
            </w:r>
          </w:p>
        </w:tc>
        <w:tc>
          <w:tcPr>
            <w:tcW w:w="90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61"/>
        </w:trPr>
        <w:tc>
          <w:tcPr>
            <w:tcW w:w="380" w:type="dxa"/>
            <w:vAlign w:val="bottom"/>
          </w:tcPr>
          <w:p>
            <w:pPr>
              <w:spacing w:after="0"/>
              <w:rPr>
                <w:sz w:val="14"/>
                <w:szCs w:val="14"/>
                <w:color w:val="auto"/>
              </w:rPr>
            </w:pPr>
          </w:p>
        </w:tc>
        <w:tc>
          <w:tcPr>
            <w:tcW w:w="60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62"/>
              <w:spacing w:after="0"/>
              <w:rPr>
                <w:sz w:val="20"/>
                <w:szCs w:val="20"/>
                <w:color w:val="auto"/>
              </w:rPr>
            </w:pPr>
            <w:r>
              <w:rPr>
                <w:rFonts w:ascii="Arial" w:cs="Arial" w:eastAsia="Arial" w:hAnsi="Arial"/>
                <w:sz w:val="14"/>
                <w:szCs w:val="14"/>
                <w:b w:val="1"/>
                <w:bCs w:val="1"/>
                <w:color w:val="auto"/>
                <w:w w:val="83"/>
              </w:rPr>
              <w:t>2006</w:t>
            </w:r>
          </w:p>
        </w:tc>
        <w:tc>
          <w:tcPr>
            <w:tcW w:w="2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89"/>
              </w:rPr>
              <w:t>2006</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114,555</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96,110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60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14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116,541</w:t>
            </w:r>
          </w:p>
        </w:tc>
        <w:tc>
          <w:tcPr>
            <w:tcW w:w="2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115,264</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600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231,096</w:t>
            </w:r>
          </w:p>
        </w:tc>
        <w:tc>
          <w:tcPr>
            <w:tcW w:w="2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211,374</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Prepaid expenses and other current assets (in thousands)</w:t>
            </w: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6380" w:type="dxa"/>
            <w:vAlign w:val="bottom"/>
            <w:gridSpan w:val="2"/>
            <w:vMerge w:val="continue"/>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380" w:type="dxa"/>
            <w:vAlign w:val="bottom"/>
          </w:tcPr>
          <w:p>
            <w:pPr>
              <w:spacing w:after="0"/>
              <w:rPr>
                <w:sz w:val="24"/>
                <w:szCs w:val="24"/>
                <w:color w:val="auto"/>
              </w:rPr>
            </w:pPr>
          </w:p>
        </w:tc>
        <w:tc>
          <w:tcPr>
            <w:tcW w:w="60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July 29,</w:t>
            </w:r>
          </w:p>
        </w:tc>
        <w:tc>
          <w:tcPr>
            <w:tcW w:w="90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61"/>
        </w:trPr>
        <w:tc>
          <w:tcPr>
            <w:tcW w:w="38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Pr>
          <w:p>
            <w:pPr>
              <w:jc w:val="center"/>
              <w:ind w:right="62"/>
              <w:spacing w:after="0"/>
              <w:rPr>
                <w:sz w:val="20"/>
                <w:szCs w:val="20"/>
                <w:color w:val="auto"/>
              </w:rPr>
            </w:pPr>
            <w:r>
              <w:rPr>
                <w:rFonts w:ascii="Arial" w:cs="Arial" w:eastAsia="Arial" w:hAnsi="Arial"/>
                <w:sz w:val="14"/>
                <w:szCs w:val="14"/>
                <w:b w:val="1"/>
                <w:bCs w:val="1"/>
                <w:color w:val="auto"/>
                <w:w w:val="83"/>
              </w:rPr>
              <w:t>2006</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jc w:val="center"/>
              <w:ind w:right="99"/>
              <w:spacing w:after="0"/>
              <w:rPr>
                <w:sz w:val="20"/>
                <w:szCs w:val="20"/>
                <w:color w:val="auto"/>
              </w:rPr>
            </w:pPr>
            <w:r>
              <w:rPr>
                <w:rFonts w:ascii="Arial" w:cs="Arial" w:eastAsia="Arial" w:hAnsi="Arial"/>
                <w:sz w:val="14"/>
                <w:szCs w:val="14"/>
                <w:b w:val="1"/>
                <w:bCs w:val="1"/>
                <w:color w:val="auto"/>
                <w:w w:val="89"/>
              </w:rPr>
              <w:t>2006</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p>
      <w:pPr>
        <w:sectPr>
          <w:pgSz w:w="11900" w:h="16844" w:orient="portrait"/>
          <w:cols w:equalWidth="0" w:num="1">
            <w:col w:w="11420"/>
          </w:cols>
          <w:pgMar w:left="240" w:top="104" w:right="239" w:bottom="0" w:gutter="0" w:footer="0" w:header="0"/>
          <w:type w:val="continuous"/>
        </w:sectPr>
      </w:pPr>
    </w:p>
    <w:tbl>
      <w:tblPr>
        <w:tblLayout w:type="fixed"/>
        <w:tblInd w:w="720" w:type="dxa"/>
        <w:tblCellMar>
          <w:top w:w="0" w:type="dxa"/>
          <w:left w:w="0" w:type="dxa"/>
          <w:bottom w:w="0" w:type="dxa"/>
          <w:right w:w="0" w:type="dxa"/>
        </w:tblCellMar>
      </w:tblPr>
      <w:tr>
        <w:trPr>
          <w:trHeight w:val="210"/>
        </w:trPr>
        <w:tc>
          <w:tcPr>
            <w:tcW w:w="6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   51,680</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62,120</w:t>
            </w:r>
          </w:p>
        </w:tc>
        <w:tc>
          <w:tcPr>
            <w:tcW w:w="60" w:type="dxa"/>
            <w:vAlign w:val="bottom"/>
            <w:tcBorders>
              <w:top w:val="single" w:sz="8" w:color="CCEEFF"/>
            </w:tcBorders>
            <w:shd w:val="clear" w:color="auto" w:fill="CCEEFF"/>
          </w:tcPr>
          <w:p>
            <w:pPr>
              <w:spacing w:after="0"/>
              <w:rPr>
                <w:sz w:val="18"/>
                <w:szCs w:val="18"/>
                <w:color w:val="auto"/>
              </w:rPr>
            </w:pPr>
          </w:p>
        </w:tc>
      </w:tr>
      <w:tr>
        <w:trPr>
          <w:trHeight w:val="230"/>
        </w:trPr>
        <w:tc>
          <w:tcPr>
            <w:tcW w:w="6000" w:type="dxa"/>
            <w:vAlign w:val="bottom"/>
          </w:tcPr>
          <w:p>
            <w:pPr>
              <w:spacing w:after="0"/>
              <w:rPr>
                <w:sz w:val="20"/>
                <w:szCs w:val="20"/>
                <w:color w:val="auto"/>
              </w:rPr>
            </w:pPr>
            <w:r>
              <w:rPr>
                <w:rFonts w:ascii="Arial" w:cs="Arial" w:eastAsia="Arial" w:hAnsi="Arial"/>
                <w:sz w:val="18"/>
                <w:szCs w:val="18"/>
                <w:color w:val="auto"/>
              </w:rPr>
              <w:t>Receivable from foundry</w:t>
            </w:r>
          </w:p>
        </w:tc>
        <w:tc>
          <w:tcPr>
            <w:tcW w:w="820" w:type="dxa"/>
            <w:vAlign w:val="bottom"/>
          </w:tcPr>
          <w:p>
            <w:pPr>
              <w:jc w:val="right"/>
              <w:spacing w:after="0"/>
              <w:rPr>
                <w:sz w:val="20"/>
                <w:szCs w:val="20"/>
                <w:color w:val="auto"/>
              </w:rPr>
            </w:pPr>
            <w:r>
              <w:rPr>
                <w:rFonts w:ascii="Arial" w:cs="Arial" w:eastAsia="Arial" w:hAnsi="Arial"/>
                <w:sz w:val="18"/>
                <w:szCs w:val="18"/>
                <w:color w:val="auto"/>
              </w:rPr>
              <w:t>24,098</w:t>
            </w: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19,512</w:t>
            </w:r>
          </w:p>
        </w:tc>
        <w:tc>
          <w:tcPr>
            <w:tcW w:w="60" w:type="dxa"/>
            <w:vAlign w:val="bottom"/>
          </w:tcPr>
          <w:p>
            <w:pPr>
              <w:spacing w:after="0"/>
              <w:rPr>
                <w:sz w:val="20"/>
                <w:szCs w:val="20"/>
                <w:color w:val="auto"/>
              </w:rPr>
            </w:pPr>
          </w:p>
        </w:tc>
      </w:tr>
    </w:tbl>
    <w:p>
      <w:pPr>
        <w:sectPr>
          <w:pgSz w:w="11900" w:h="16844" w:orient="portrait"/>
          <w:cols w:equalWidth="0" w:num="1">
            <w:col w:w="11420"/>
          </w:cols>
          <w:pgMar w:left="240" w:top="104" w:right="239" w:bottom="0" w:gutter="0" w:footer="0" w:header="0"/>
          <w:type w:val="continuous"/>
        </w:sectPr>
      </w:pPr>
    </w:p>
    <w:bookmarkStart w:id="15" w:name="page16"/>
    <w:bookmarkEnd w:id="15"/>
    <w:p>
      <w:pPr>
        <w:spacing w:after="0" w:line="1" w:lineRule="exact"/>
        <w:rPr>
          <w:sz w:val="20"/>
          <w:szCs w:val="20"/>
          <w:color w:val="auto"/>
        </w:rPr>
      </w:pPr>
    </w:p>
    <w:tbl>
      <w:tblPr>
        <w:tblLayout w:type="fixed"/>
        <w:tblInd w:w="340" w:type="dxa"/>
        <w:tblCellMar>
          <w:top w:w="0" w:type="dxa"/>
          <w:left w:w="0" w:type="dxa"/>
          <w:bottom w:w="0" w:type="dxa"/>
          <w:right w:w="0" w:type="dxa"/>
        </w:tblCellMar>
      </w:tblPr>
      <w:tr>
        <w:trPr>
          <w:trHeight w:val="216"/>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31,272</w:t>
            </w:r>
          </w:p>
        </w:tc>
        <w:tc>
          <w:tcPr>
            <w:tcW w:w="2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95"/>
              </w:rPr>
              <w:t>107,050</w:t>
            </w:r>
          </w:p>
        </w:tc>
        <w:tc>
          <w:tcPr>
            <w:tcW w:w="220" w:type="dxa"/>
            <w:vAlign w:val="bottom"/>
          </w:tcPr>
          <w:p>
            <w:pPr>
              <w:spacing w:after="0"/>
              <w:rPr>
                <w:sz w:val="18"/>
                <w:szCs w:val="18"/>
                <w:color w:val="auto"/>
              </w:rPr>
            </w:pPr>
          </w:p>
        </w:tc>
        <w:tc>
          <w:tcPr>
            <w:tcW w:w="18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104,307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2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Property and equipment (in thousands)</w:t>
            </w:r>
          </w:p>
        </w:tc>
        <w:tc>
          <w:tcPr>
            <w:tcW w:w="10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4620" w:type="dxa"/>
            <w:vAlign w:val="bottom"/>
            <w:gridSpan w:val="3"/>
            <w:vMerge w:val="continue"/>
          </w:tcPr>
          <w:p>
            <w:pPr>
              <w:spacing w:after="0"/>
              <w:rPr>
                <w:sz w:val="24"/>
                <w:szCs w:val="24"/>
                <w:color w:val="auto"/>
              </w:rPr>
            </w:pPr>
          </w:p>
        </w:tc>
        <w:tc>
          <w:tcPr>
            <w:tcW w:w="10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3"/>
              </w:rPr>
              <w:t>July 29,</w:t>
            </w:r>
          </w:p>
        </w:tc>
        <w:tc>
          <w:tcPr>
            <w:tcW w:w="100" w:type="dxa"/>
            <w:vAlign w:val="bottom"/>
          </w:tcPr>
          <w:p>
            <w:pPr>
              <w:spacing w:after="0"/>
              <w:rPr>
                <w:sz w:val="24"/>
                <w:szCs w:val="24"/>
                <w:color w:val="auto"/>
              </w:rPr>
            </w:pPr>
          </w:p>
        </w:tc>
        <w:tc>
          <w:tcPr>
            <w:tcW w:w="940" w:type="dxa"/>
            <w:vAlign w:val="bottom"/>
            <w:gridSpan w:val="5"/>
          </w:tcPr>
          <w:p>
            <w:pPr>
              <w:jc w:val="center"/>
              <w:ind w:right="100"/>
              <w:spacing w:after="0"/>
              <w:rPr>
                <w:sz w:val="20"/>
                <w:szCs w:val="20"/>
                <w:color w:val="auto"/>
              </w:rPr>
            </w:pPr>
            <w:r>
              <w:rPr>
                <w:rFonts w:ascii="Arial" w:cs="Arial" w:eastAsia="Arial" w:hAnsi="Arial"/>
                <w:sz w:val="14"/>
                <w:szCs w:val="14"/>
                <w:b w:val="1"/>
                <w:bCs w:val="1"/>
                <w:color w:val="auto"/>
                <w:w w:val="93"/>
              </w:rPr>
              <w:t>January 28,</w:t>
            </w: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200" w:type="dxa"/>
            <w:vAlign w:val="bottom"/>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4240" w:type="dxa"/>
            <w:vAlign w:val="bottom"/>
            <w:tcBorders>
              <w:bottom w:val="single" w:sz="8" w:color="CCEEFF"/>
            </w:tcBorders>
          </w:tcPr>
          <w:p>
            <w:pPr>
              <w:spacing w:after="0"/>
              <w:rPr>
                <w:sz w:val="14"/>
                <w:szCs w:val="14"/>
                <w:color w:val="auto"/>
              </w:rPr>
            </w:pPr>
          </w:p>
        </w:tc>
        <w:tc>
          <w:tcPr>
            <w:tcW w:w="10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442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182,938</w:t>
            </w:r>
          </w:p>
        </w:tc>
        <w:tc>
          <w:tcPr>
            <w:tcW w:w="12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142,320</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Computer software</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123,731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108,032</w:t>
            </w:r>
          </w:p>
        </w:tc>
        <w:tc>
          <w:tcPr>
            <w:tcW w:w="100" w:type="dxa"/>
            <w:vAlign w:val="bottom"/>
            <w:shd w:val="clear" w:color="auto" w:fill="CCEEFF"/>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Furniture and fixtures</w:t>
            </w: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13,126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10,588</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10,517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9,292</w:t>
            </w:r>
          </w:p>
        </w:tc>
        <w:tc>
          <w:tcPr>
            <w:tcW w:w="100" w:type="dxa"/>
            <w:vAlign w:val="bottom"/>
            <w:shd w:val="clear" w:color="auto" w:fill="CCEEFF"/>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Buildings</w:t>
            </w: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9,469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8,727</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Building improvements</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24,747</w:t>
            </w:r>
          </w:p>
        </w:tc>
        <w:tc>
          <w:tcPr>
            <w:tcW w:w="100" w:type="dxa"/>
            <w:vAlign w:val="bottom"/>
            <w:shd w:val="clear" w:color="auto" w:fill="CCEEFF"/>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Land</w:t>
            </w: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51,500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51,500</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10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91,606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56,311</w:t>
            </w:r>
          </w:p>
        </w:tc>
        <w:tc>
          <w:tcPr>
            <w:tcW w:w="100" w:type="dxa"/>
            <w:vAlign w:val="bottom"/>
            <w:shd w:val="clear" w:color="auto" w:fill="CCEEFF"/>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508,716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411,517</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0" w:type="dxa"/>
            <w:vAlign w:val="bottom"/>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 and amortization</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3"/>
              </w:rPr>
              <w:t>(179,420)</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w w:val="95"/>
              </w:rPr>
              <w:t>(150,596)</w:t>
            </w: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329,296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260,921</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40" w:type="dxa"/>
            <w:vAlign w:val="bottom"/>
          </w:tcPr>
          <w:p>
            <w:pPr>
              <w:spacing w:after="0" w:line="20" w:lineRule="exact"/>
              <w:rPr>
                <w:sz w:val="1"/>
                <w:szCs w:val="1"/>
                <w:color w:val="auto"/>
              </w:rPr>
            </w:pPr>
          </w:p>
        </w:tc>
        <w:tc>
          <w:tcPr>
            <w:tcW w:w="1000" w:type="dxa"/>
            <w:vAlign w:val="bottom"/>
            <w:vMerge w:val="restart"/>
          </w:tcPr>
          <w:p>
            <w:pPr>
              <w:jc w:val="right"/>
              <w:ind w:right="70"/>
              <w:spacing w:after="0"/>
              <w:rPr>
                <w:sz w:val="20"/>
                <w:szCs w:val="20"/>
                <w:color w:val="auto"/>
              </w:rPr>
            </w:pPr>
            <w:r>
              <w:rPr>
                <w:rFonts w:ascii="Arial" w:cs="Arial" w:eastAsia="Arial" w:hAnsi="Arial"/>
                <w:sz w:val="18"/>
                <w:szCs w:val="18"/>
                <w:color w:val="auto"/>
              </w:rPr>
              <w:t>22</w:t>
            </w: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10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Purchased intangible assets (in thousands)</w:t>
      </w:r>
    </w:p>
    <w:p>
      <w:pPr>
        <w:spacing w:after="0" w:line="207"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17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4"/>
          </w:tcPr>
          <w:p>
            <w:pPr>
              <w:jc w:val="right"/>
              <w:ind w:right="20"/>
              <w:spacing w:after="0"/>
              <w:rPr>
                <w:sz w:val="20"/>
                <w:szCs w:val="20"/>
                <w:color w:val="auto"/>
              </w:rPr>
            </w:pPr>
            <w:r>
              <w:rPr>
                <w:rFonts w:ascii="Arial" w:cs="Arial" w:eastAsia="Arial" w:hAnsi="Arial"/>
                <w:sz w:val="14"/>
                <w:szCs w:val="14"/>
                <w:b w:val="1"/>
                <w:bCs w:val="1"/>
                <w:color w:val="auto"/>
                <w:w w:val="92"/>
              </w:rPr>
              <w:t>As of July 29, 2006</w:t>
            </w: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As of January 28, 2006</w:t>
            </w:r>
          </w:p>
        </w:tc>
        <w:tc>
          <w:tcPr>
            <w:tcW w:w="80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74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center"/>
              <w:ind w:right="38"/>
              <w:spacing w:after="0" w:line="102" w:lineRule="exact"/>
              <w:rPr>
                <w:sz w:val="20"/>
                <w:szCs w:val="20"/>
                <w:color w:val="auto"/>
              </w:rPr>
            </w:pPr>
            <w:r>
              <w:rPr>
                <w:rFonts w:ascii="Arial" w:cs="Arial" w:eastAsia="Arial" w:hAnsi="Arial"/>
                <w:sz w:val="11"/>
                <w:szCs w:val="11"/>
                <w:b w:val="1"/>
                <w:bCs w:val="1"/>
                <w:color w:val="auto"/>
              </w:rPr>
              <w:t>Gross</w:t>
            </w:r>
          </w:p>
        </w:tc>
        <w:tc>
          <w:tcPr>
            <w:tcW w:w="160" w:type="dxa"/>
            <w:vAlign w:val="bottom"/>
          </w:tcPr>
          <w:p>
            <w:pPr>
              <w:spacing w:after="0"/>
              <w:rPr>
                <w:sz w:val="8"/>
                <w:szCs w:val="8"/>
                <w:color w:val="auto"/>
              </w:rPr>
            </w:pPr>
          </w:p>
        </w:tc>
        <w:tc>
          <w:tcPr>
            <w:tcW w:w="1040" w:type="dxa"/>
            <w:vAlign w:val="bottom"/>
            <w:gridSpan w:val="3"/>
            <w:vMerge w:val="restart"/>
          </w:tcPr>
          <w:p>
            <w:pPr>
              <w:jc w:val="right"/>
              <w:ind w:right="200"/>
              <w:spacing w:after="0"/>
              <w:rPr>
                <w:sz w:val="20"/>
                <w:szCs w:val="20"/>
                <w:color w:val="auto"/>
              </w:rPr>
            </w:pPr>
            <w:r>
              <w:rPr>
                <w:rFonts w:ascii="Arial" w:cs="Arial" w:eastAsia="Arial" w:hAnsi="Arial"/>
                <w:sz w:val="14"/>
                <w:szCs w:val="14"/>
                <w:b w:val="1"/>
                <w:bCs w:val="1"/>
                <w:color w:val="auto"/>
                <w:w w:val="93"/>
              </w:rPr>
              <w:t>Accumulated</w:t>
            </w:r>
          </w:p>
        </w:tc>
        <w:tc>
          <w:tcPr>
            <w:tcW w:w="120" w:type="dxa"/>
            <w:vAlign w:val="bottom"/>
          </w:tcPr>
          <w:p>
            <w:pPr>
              <w:spacing w:after="0"/>
              <w:rPr>
                <w:sz w:val="8"/>
                <w:szCs w:val="8"/>
                <w:color w:val="auto"/>
              </w:rPr>
            </w:pPr>
          </w:p>
        </w:tc>
        <w:tc>
          <w:tcPr>
            <w:tcW w:w="760" w:type="dxa"/>
            <w:vAlign w:val="bottom"/>
          </w:tcPr>
          <w:p>
            <w:pPr>
              <w:jc w:val="center"/>
              <w:ind w:right="58"/>
              <w:spacing w:after="0" w:line="102" w:lineRule="exact"/>
              <w:rPr>
                <w:sz w:val="20"/>
                <w:szCs w:val="20"/>
                <w:color w:val="auto"/>
              </w:rPr>
            </w:pPr>
            <w:r>
              <w:rPr>
                <w:rFonts w:ascii="Arial" w:cs="Arial" w:eastAsia="Arial" w:hAnsi="Arial"/>
                <w:sz w:val="11"/>
                <w:szCs w:val="11"/>
                <w:b w:val="1"/>
                <w:bCs w:val="1"/>
                <w:color w:val="auto"/>
              </w:rPr>
              <w:t>Net</w:t>
            </w: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Gross</w:t>
            </w:r>
          </w:p>
        </w:tc>
        <w:tc>
          <w:tcPr>
            <w:tcW w:w="1060" w:type="dxa"/>
            <w:vAlign w:val="bottom"/>
            <w:gridSpan w:val="3"/>
            <w:vMerge w:val="restart"/>
          </w:tcPr>
          <w:p>
            <w:pPr>
              <w:jc w:val="right"/>
              <w:ind w:right="220"/>
              <w:spacing w:after="0"/>
              <w:rPr>
                <w:sz w:val="20"/>
                <w:szCs w:val="20"/>
                <w:color w:val="auto"/>
              </w:rPr>
            </w:pPr>
            <w:r>
              <w:rPr>
                <w:rFonts w:ascii="Arial" w:cs="Arial" w:eastAsia="Arial" w:hAnsi="Arial"/>
                <w:sz w:val="14"/>
                <w:szCs w:val="14"/>
                <w:b w:val="1"/>
                <w:bCs w:val="1"/>
                <w:color w:val="auto"/>
                <w:w w:val="93"/>
              </w:rPr>
              <w:t>Accumulated</w:t>
            </w:r>
          </w:p>
        </w:tc>
        <w:tc>
          <w:tcPr>
            <w:tcW w:w="140" w:type="dxa"/>
            <w:vAlign w:val="bottom"/>
          </w:tcPr>
          <w:p>
            <w:pPr>
              <w:spacing w:after="0"/>
              <w:rPr>
                <w:sz w:val="8"/>
                <w:szCs w:val="8"/>
                <w:color w:val="auto"/>
              </w:rPr>
            </w:pPr>
          </w:p>
        </w:tc>
        <w:tc>
          <w:tcPr>
            <w:tcW w:w="800" w:type="dxa"/>
            <w:vAlign w:val="bottom"/>
          </w:tcPr>
          <w:p>
            <w:pPr>
              <w:jc w:val="center"/>
              <w:ind w:right="58"/>
              <w:spacing w:after="0" w:line="102" w:lineRule="exact"/>
              <w:rPr>
                <w:sz w:val="20"/>
                <w:szCs w:val="20"/>
                <w:color w:val="auto"/>
              </w:rPr>
            </w:pPr>
            <w:r>
              <w:rPr>
                <w:rFonts w:ascii="Arial" w:cs="Arial" w:eastAsia="Arial" w:hAnsi="Arial"/>
                <w:sz w:val="11"/>
                <w:szCs w:val="11"/>
                <w:b w:val="1"/>
                <w:bCs w:val="1"/>
                <w:color w:val="auto"/>
              </w:rPr>
              <w:t>Net</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center"/>
              <w:ind w:right="38"/>
              <w:spacing w:after="0" w:line="135"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1"/>
                <w:szCs w:val="11"/>
                <w:color w:val="auto"/>
              </w:rPr>
            </w:pPr>
          </w:p>
        </w:tc>
        <w:tc>
          <w:tcPr>
            <w:tcW w:w="1040" w:type="dxa"/>
            <w:vAlign w:val="bottom"/>
            <w:gridSpan w:val="3"/>
            <w:vMerge w:val="continue"/>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7"/>
              </w:rPr>
              <w:t>Carrying</w:t>
            </w:r>
          </w:p>
        </w:tc>
        <w:tc>
          <w:tcPr>
            <w:tcW w:w="120" w:type="dxa"/>
            <w:vAlign w:val="bottom"/>
          </w:tcPr>
          <w:p>
            <w:pPr>
              <w:spacing w:after="0"/>
              <w:rPr>
                <w:sz w:val="11"/>
                <w:szCs w:val="11"/>
                <w:color w:val="auto"/>
              </w:rPr>
            </w:pPr>
          </w:p>
        </w:tc>
        <w:tc>
          <w:tcPr>
            <w:tcW w:w="9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7"/>
              </w:rPr>
              <w:t>Carrying</w:t>
            </w:r>
          </w:p>
        </w:tc>
        <w:tc>
          <w:tcPr>
            <w:tcW w:w="106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62"/>
        </w:trPr>
        <w:tc>
          <w:tcPr>
            <w:tcW w:w="1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jc w:val="center"/>
              <w:ind w:right="58"/>
              <w:spacing w:after="0"/>
              <w:rPr>
                <w:sz w:val="20"/>
                <w:szCs w:val="20"/>
                <w:color w:val="auto"/>
              </w:rPr>
            </w:pPr>
            <w:r>
              <w:rPr>
                <w:rFonts w:ascii="Arial" w:cs="Arial" w:eastAsia="Arial" w:hAnsi="Arial"/>
                <w:sz w:val="14"/>
                <w:szCs w:val="14"/>
                <w:b w:val="1"/>
                <w:bCs w:val="1"/>
                <w:color w:val="auto"/>
                <w:w w:val="94"/>
              </w:rPr>
              <w:t>Amount</w:t>
            </w:r>
          </w:p>
        </w:tc>
        <w:tc>
          <w:tcPr>
            <w:tcW w:w="160" w:type="dxa"/>
            <w:vAlign w:val="bottom"/>
          </w:tcPr>
          <w:p>
            <w:pPr>
              <w:spacing w:after="0"/>
              <w:rPr>
                <w:sz w:val="14"/>
                <w:szCs w:val="14"/>
                <w:color w:val="auto"/>
              </w:rPr>
            </w:pPr>
          </w:p>
        </w:tc>
        <w:tc>
          <w:tcPr>
            <w:tcW w:w="10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Amortization</w:t>
            </w:r>
          </w:p>
        </w:tc>
        <w:tc>
          <w:tcPr>
            <w:tcW w:w="120" w:type="dxa"/>
            <w:vAlign w:val="bottom"/>
          </w:tcPr>
          <w:p>
            <w:pPr>
              <w:spacing w:after="0"/>
              <w:rPr>
                <w:sz w:val="14"/>
                <w:szCs w:val="14"/>
                <w:color w:val="auto"/>
              </w:rPr>
            </w:pPr>
          </w:p>
        </w:tc>
        <w:tc>
          <w:tcPr>
            <w:tcW w:w="9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4"/>
                <w:szCs w:val="14"/>
                <w:color w:val="auto"/>
              </w:rPr>
            </w:pPr>
          </w:p>
        </w:tc>
        <w:tc>
          <w:tcPr>
            <w:tcW w:w="9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4"/>
              </w:rPr>
              <w:t>Amount</w:t>
            </w:r>
          </w:p>
        </w:tc>
        <w:tc>
          <w:tcPr>
            <w:tcW w:w="10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5"/>
              </w:rPr>
              <w:t>Amortization</w:t>
            </w:r>
          </w:p>
        </w:tc>
        <w:tc>
          <w:tcPr>
            <w:tcW w:w="140" w:type="dxa"/>
            <w:vAlign w:val="bottom"/>
          </w:tcPr>
          <w:p>
            <w:pPr>
              <w:spacing w:after="0"/>
              <w:rPr>
                <w:sz w:val="14"/>
                <w:szCs w:val="14"/>
                <w:color w:val="auto"/>
              </w:rPr>
            </w:pPr>
          </w:p>
        </w:tc>
        <w:tc>
          <w:tcPr>
            <w:tcW w:w="8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82"/>
        </w:trPr>
        <w:tc>
          <w:tcPr>
            <w:tcW w:w="174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Purchased</w:t>
            </w: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technology</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507,900</w:t>
            </w:r>
          </w:p>
        </w:tc>
        <w:tc>
          <w:tcPr>
            <w:tcW w:w="32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(427,584)</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80,316</w:t>
            </w: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437,415</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(400,980)</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36,435</w:t>
            </w:r>
          </w:p>
        </w:tc>
        <w:tc>
          <w:tcPr>
            <w:tcW w:w="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740" w:type="dxa"/>
            <w:vAlign w:val="bottom"/>
          </w:tcPr>
          <w:p>
            <w:pPr>
              <w:spacing w:after="0"/>
              <w:rPr>
                <w:sz w:val="20"/>
                <w:szCs w:val="20"/>
                <w:color w:val="auto"/>
              </w:rPr>
            </w:pPr>
            <w:r>
              <w:rPr>
                <w:rFonts w:ascii="Arial" w:cs="Arial" w:eastAsia="Arial" w:hAnsi="Arial"/>
                <w:sz w:val="18"/>
                <w:szCs w:val="18"/>
                <w:color w:val="auto"/>
              </w:rPr>
              <w:t>Core technology</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71,900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(9,160)</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62,740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26,400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(2,031)</w:t>
            </w:r>
          </w:p>
        </w:tc>
        <w:tc>
          <w:tcPr>
            <w:tcW w:w="1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24,369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4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740" w:type="dxa"/>
            <w:vAlign w:val="bottom"/>
          </w:tcPr>
          <w:p>
            <w:pPr>
              <w:spacing w:after="0"/>
              <w:rPr>
                <w:sz w:val="20"/>
                <w:szCs w:val="20"/>
                <w:color w:val="auto"/>
              </w:rPr>
            </w:pPr>
            <w:r>
              <w:rPr>
                <w:rFonts w:ascii="Arial" w:cs="Arial" w:eastAsia="Arial" w:hAnsi="Arial"/>
                <w:sz w:val="18"/>
                <w:szCs w:val="18"/>
                <w:color w:val="auto"/>
              </w:rPr>
              <w:t>Supply contract</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(99)</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801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7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122,200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(14,254)</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107,946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54,400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(3,231)</w:t>
            </w:r>
          </w:p>
        </w:tc>
        <w:tc>
          <w:tcPr>
            <w:tcW w:w="1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51,169</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740" w:type="dxa"/>
            <w:vAlign w:val="bottom"/>
            <w:vMerge w:val="restart"/>
          </w:tcPr>
          <w:p>
            <w:pPr>
              <w:ind w:left="180"/>
              <w:spacing w:after="0" w:line="201" w:lineRule="exact"/>
              <w:rPr>
                <w:sz w:val="20"/>
                <w:szCs w:val="20"/>
                <w:color w:val="auto"/>
              </w:rPr>
            </w:pPr>
            <w:r>
              <w:rPr>
                <w:rFonts w:ascii="Arial" w:cs="Arial" w:eastAsia="Arial" w:hAnsi="Arial"/>
                <w:sz w:val="18"/>
                <w:szCs w:val="18"/>
                <w:color w:val="auto"/>
              </w:rPr>
              <w:t>Total intangible</w:t>
            </w: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1740" w:type="dxa"/>
            <w:vAlign w:val="bottom"/>
            <w:vMerge w:val="continue"/>
          </w:tcPr>
          <w:p>
            <w:pPr>
              <w:spacing w:after="0"/>
              <w:rPr>
                <w:sz w:val="15"/>
                <w:szCs w:val="15"/>
                <w:color w:val="auto"/>
              </w:rPr>
            </w:pP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703,000</w:t>
            </w:r>
          </w:p>
        </w:tc>
        <w:tc>
          <w:tcPr>
            <w:tcW w:w="32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w w:val="98"/>
              </w:rPr>
              <w:t>(451,197)</w:t>
            </w: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251,803</w:t>
            </w:r>
          </w:p>
        </w:tc>
        <w:tc>
          <w:tcPr>
            <w:tcW w:w="160" w:type="dxa"/>
            <w:vAlign w:val="bottom"/>
          </w:tcPr>
          <w:p>
            <w:pPr>
              <w:spacing w:after="0"/>
              <w:rPr>
                <w:sz w:val="15"/>
                <w:szCs w:val="15"/>
                <w:color w:val="auto"/>
              </w:rPr>
            </w:pP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vMerge w:val="restart"/>
          </w:tcPr>
          <w:p>
            <w:pPr>
              <w:jc w:val="right"/>
              <w:spacing w:after="0"/>
              <w:rPr>
                <w:sz w:val="20"/>
                <w:szCs w:val="20"/>
                <w:color w:val="auto"/>
              </w:rPr>
            </w:pPr>
            <w:r>
              <w:rPr>
                <w:rFonts w:ascii="Arial" w:cs="Arial" w:eastAsia="Arial" w:hAnsi="Arial"/>
                <w:sz w:val="18"/>
                <w:szCs w:val="18"/>
                <w:color w:val="auto"/>
              </w:rPr>
              <w:t>518,315</w:t>
            </w:r>
          </w:p>
        </w:tc>
        <w:tc>
          <w:tcPr>
            <w:tcW w:w="140" w:type="dxa"/>
            <w:vAlign w:val="bottom"/>
          </w:tcPr>
          <w:p>
            <w:pPr>
              <w:spacing w:after="0"/>
              <w:rPr>
                <w:sz w:val="15"/>
                <w:szCs w:val="15"/>
                <w:color w:val="auto"/>
              </w:rPr>
            </w:pPr>
          </w:p>
        </w:tc>
        <w:tc>
          <w:tcPr>
            <w:tcW w:w="180" w:type="dxa"/>
            <w:vAlign w:val="bottom"/>
            <w:vMerge w:val="restart"/>
          </w:tcPr>
          <w:p>
            <w:pPr>
              <w:jc w:val="right"/>
              <w:ind w:right="1"/>
              <w:spacing w:after="0"/>
              <w:rPr>
                <w:sz w:val="20"/>
                <w:szCs w:val="20"/>
                <w:color w:val="auto"/>
              </w:rPr>
            </w:pPr>
            <w:r>
              <w:rPr>
                <w:rFonts w:ascii="Arial" w:cs="Arial" w:eastAsia="Arial" w:hAnsi="Arial"/>
                <w:sz w:val="18"/>
                <w:szCs w:val="18"/>
                <w:color w:val="auto"/>
                <w:w w:val="79"/>
              </w:rPr>
              <w:t>$</w:t>
            </w:r>
          </w:p>
        </w:tc>
        <w:tc>
          <w:tcPr>
            <w:tcW w:w="880" w:type="dxa"/>
            <w:vAlign w:val="bottom"/>
            <w:gridSpan w:val="2"/>
            <w:vMerge w:val="restart"/>
          </w:tcPr>
          <w:p>
            <w:pPr>
              <w:jc w:val="right"/>
              <w:ind w:right="80"/>
              <w:spacing w:after="0"/>
              <w:rPr>
                <w:sz w:val="20"/>
                <w:szCs w:val="20"/>
                <w:color w:val="auto"/>
              </w:rPr>
            </w:pPr>
            <w:r>
              <w:rPr>
                <w:rFonts w:ascii="Arial" w:cs="Arial" w:eastAsia="Arial" w:hAnsi="Arial"/>
                <w:sz w:val="18"/>
                <w:szCs w:val="18"/>
                <w:color w:val="auto"/>
              </w:rPr>
              <w:t>(406,342)</w:t>
            </w: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vMerge w:val="restart"/>
          </w:tcPr>
          <w:p>
            <w:pPr>
              <w:jc w:val="right"/>
              <w:spacing w:after="0"/>
              <w:rPr>
                <w:sz w:val="20"/>
                <w:szCs w:val="20"/>
                <w:color w:val="auto"/>
              </w:rPr>
            </w:pPr>
            <w:r>
              <w:rPr>
                <w:rFonts w:ascii="Arial" w:cs="Arial" w:eastAsia="Arial" w:hAnsi="Arial"/>
                <w:sz w:val="18"/>
                <w:szCs w:val="18"/>
                <w:color w:val="auto"/>
              </w:rPr>
              <w:t>111,973</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1740" w:type="dxa"/>
            <w:vAlign w:val="bottom"/>
          </w:tcPr>
          <w:p>
            <w:pPr>
              <w:ind w:left="360"/>
              <w:spacing w:after="0"/>
              <w:rPr>
                <w:sz w:val="20"/>
                <w:szCs w:val="20"/>
                <w:color w:val="auto"/>
              </w:rPr>
            </w:pPr>
            <w:r>
              <w:rPr>
                <w:rFonts w:ascii="Arial" w:cs="Arial" w:eastAsia="Arial" w:hAnsi="Arial"/>
                <w:sz w:val="18"/>
                <w:szCs w:val="18"/>
                <w:color w:val="auto"/>
              </w:rPr>
              <w:t>assets</w:t>
            </w:r>
          </w:p>
        </w:tc>
        <w:tc>
          <w:tcPr>
            <w:tcW w:w="12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320" w:type="dxa"/>
            <w:vAlign w:val="bottom"/>
            <w:gridSpan w:val="2"/>
            <w:vMerge w:val="continue"/>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78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vMerge w:val="continue"/>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80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7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The increase in goodwill during the second quarter of fiscal 2007 of $81.0 million was due to goodwill from the acquisitions of the Avago Business (of $77.0 million) and other businesses (of $4.0 million).</w:t>
      </w:r>
    </w:p>
    <w:p>
      <w:pPr>
        <w:spacing w:after="0" w:line="170" w:lineRule="exact"/>
        <w:rPr>
          <w:sz w:val="20"/>
          <w:szCs w:val="20"/>
          <w:color w:val="auto"/>
        </w:rPr>
      </w:pPr>
    </w:p>
    <w:p>
      <w:pPr>
        <w:ind w:right="580" w:firstLine="324"/>
        <w:spacing w:after="0" w:line="277" w:lineRule="auto"/>
        <w:rPr>
          <w:sz w:val="20"/>
          <w:szCs w:val="20"/>
          <w:color w:val="auto"/>
        </w:rPr>
      </w:pPr>
      <w:r>
        <w:rPr>
          <w:rFonts w:ascii="Arial" w:cs="Arial" w:eastAsia="Arial" w:hAnsi="Arial"/>
          <w:sz w:val="18"/>
          <w:szCs w:val="18"/>
          <w:color w:val="auto"/>
        </w:rPr>
        <w:t>The increase in purchased intangible assets during the six months ended July 29, 2006 was from the acquisitions of the semiconductor division of UTStarcom, Inc., Avago Technologies Limited and other companies (see Note 4).</w:t>
      </w:r>
    </w:p>
    <w:p>
      <w:pPr>
        <w:spacing w:after="0" w:line="170"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Identified intangible assets consist of purchased technology, core technology, supply contract and customer contracts and related relationships. Purchased technologies are amortized on a straight-line basis over their estimated useful lives ranging from one to five years. Core technologies are amortized on a straight-line basis over their estimated useful lives ranging from one to six years. The supply contract is amortized on a straight-line basis over its estimated useful life of four years. Customer contracts and related relationships are amortized on a straight-line basis over their estimated useful lives ranging from four to six years. The aggregate amortization expense of identified intangible assets was $27.4 million in the second quarter of fiscal 2007, $19.8 million in the second of quarter of fiscal 2006, $44.8 million in the first six months of fiscal 2007 and $39.5 million in the first six months of fiscal 2006. The estimated total amortization expenses of acquired intangible assets is $46.6 million for the remaining six months of fiscal 2007, $72.8 million for fiscal 2008, $66.9 million for 2009, $40.9 million for fiscal 2010, $18.1 million for fiscal 2011, $5.7 for fiscal 2012, $0.7 million for fiscal 2013 and $0.1 million for fiscal 2014.</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Other long-term liabilities (in thousands)</w:t>
      </w:r>
    </w:p>
    <w:p>
      <w:pPr>
        <w:spacing w:after="0" w:line="191"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ind w:left="20"/>
              <w:spacing w:after="0"/>
              <w:rPr>
                <w:sz w:val="20"/>
                <w:szCs w:val="20"/>
                <w:color w:val="auto"/>
              </w:rPr>
            </w:pPr>
            <w:r>
              <w:rPr>
                <w:rFonts w:ascii="Arial" w:cs="Arial" w:eastAsia="Arial" w:hAnsi="Arial"/>
                <w:sz w:val="14"/>
                <w:szCs w:val="14"/>
                <w:b w:val="1"/>
                <w:bCs w:val="1"/>
                <w:color w:val="auto"/>
              </w:rPr>
              <w:t>July 29,</w:t>
            </w: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r>
      <w:tr>
        <w:trPr>
          <w:trHeight w:val="162"/>
        </w:trPr>
        <w:tc>
          <w:tcPr>
            <w:tcW w:w="4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2006</w:t>
            </w:r>
          </w:p>
        </w:tc>
        <w:tc>
          <w:tcPr>
            <w:tcW w:w="60" w:type="dxa"/>
            <w:vAlign w:val="bottom"/>
          </w:tcPr>
          <w:p>
            <w:pPr>
              <w:spacing w:after="0"/>
              <w:rPr>
                <w:sz w:val="14"/>
                <w:szCs w:val="14"/>
                <w:color w:val="auto"/>
              </w:rPr>
            </w:pPr>
          </w:p>
        </w:tc>
      </w:tr>
      <w:tr>
        <w:trPr>
          <w:trHeight w:val="129"/>
        </w:trPr>
        <w:tc>
          <w:tcPr>
            <w:tcW w:w="4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 charge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2,896</w:t>
            </w:r>
          </w:p>
        </w:tc>
        <w:tc>
          <w:tcPr>
            <w:tcW w:w="60" w:type="dxa"/>
            <w:vAlign w:val="bottom"/>
            <w:shd w:val="clear" w:color="auto" w:fill="CCEEFF"/>
          </w:tcPr>
          <w:p>
            <w:pPr>
              <w:spacing w:after="0"/>
              <w:rPr>
                <w:sz w:val="18"/>
                <w:szCs w:val="18"/>
                <w:color w:val="auto"/>
              </w:rPr>
            </w:pP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Accrued severance</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15,879</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13,083</w:t>
            </w:r>
          </w:p>
        </w:tc>
        <w:tc>
          <w:tcPr>
            <w:tcW w:w="6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leased asset under construction</w:t>
            </w: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w:t>
            </w:r>
          </w:p>
        </w:tc>
        <w:tc>
          <w:tcPr>
            <w:tcW w:w="60" w:type="dxa"/>
            <w:vAlign w:val="bottom"/>
            <w:shd w:val="clear" w:color="auto" w:fill="CCEEFF"/>
          </w:tcPr>
          <w:p>
            <w:pPr>
              <w:spacing w:after="0"/>
              <w:rPr>
                <w:sz w:val="18"/>
                <w:szCs w:val="18"/>
                <w:color w:val="auto"/>
              </w:rPr>
            </w:pPr>
          </w:p>
        </w:tc>
      </w:tr>
      <w:tr>
        <w:trPr>
          <w:trHeight w:val="216"/>
        </w:trPr>
        <w:tc>
          <w:tcPr>
            <w:tcW w:w="45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3,184</w:t>
            </w:r>
          </w:p>
        </w:tc>
        <w:tc>
          <w:tcPr>
            <w:tcW w:w="2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2,892</w:t>
            </w:r>
          </w:p>
        </w:tc>
        <w:tc>
          <w:tcPr>
            <w:tcW w:w="60" w:type="dxa"/>
            <w:vAlign w:val="bottom"/>
            <w:tcBorders>
              <w:bottom w:val="single" w:sz="8" w:color="CCEEFF"/>
            </w:tcBorders>
          </w:tcPr>
          <w:p>
            <w:pPr>
              <w:spacing w:after="0"/>
              <w:rPr>
                <w:sz w:val="18"/>
                <w:szCs w:val="18"/>
                <w:color w:val="auto"/>
              </w:rPr>
            </w:pPr>
          </w:p>
        </w:tc>
      </w:tr>
      <w:tr>
        <w:trPr>
          <w:trHeight w:val="210"/>
        </w:trPr>
        <w:tc>
          <w:tcPr>
            <w:tcW w:w="45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34,583</w:t>
            </w:r>
          </w:p>
        </w:tc>
        <w:tc>
          <w:tcPr>
            <w:tcW w:w="2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4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683"/>
        </w:trPr>
        <w:tc>
          <w:tcPr>
            <w:tcW w:w="4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jc w:val="right"/>
              <w:ind w:right="114"/>
              <w:spacing w:after="0"/>
              <w:rPr>
                <w:sz w:val="20"/>
                <w:szCs w:val="20"/>
                <w:color w:val="auto"/>
              </w:rPr>
            </w:pPr>
            <w:r>
              <w:rPr>
                <w:rFonts w:ascii="Arial" w:cs="Arial" w:eastAsia="Arial" w:hAnsi="Arial"/>
                <w:sz w:val="18"/>
                <w:szCs w:val="18"/>
                <w:color w:val="auto"/>
              </w:rPr>
              <w:t>23</w:t>
            </w: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180" w:firstLine="324"/>
        <w:spacing w:after="0" w:line="342"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w:t>
      </w:r>
    </w:p>
    <w:p>
      <w:pPr>
        <w:sectPr>
          <w:pgSz w:w="11900" w:h="16838" w:orient="portrait"/>
          <w:cols w:equalWidth="0" w:num="1">
            <w:col w:w="11400"/>
          </w:cols>
          <w:pgMar w:left="240" w:top="140" w:right="259" w:bottom="0" w:gutter="0" w:footer="0" w:header="0"/>
        </w:sectPr>
      </w:pPr>
    </w:p>
    <w:bookmarkStart w:id="16" w:name="page17"/>
    <w:bookmarkEnd w:id="16"/>
    <w:p>
      <w:pPr>
        <w:spacing w:after="0" w:line="87"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and dilutive potential common shares. The computations of basic and diluted net income per share are presented in the following table (in thousands, except per share amounts):</w:t>
      </w:r>
    </w:p>
    <w:p>
      <w:pPr>
        <w:spacing w:after="0" w:line="149"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64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426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14"/>
              <w:spacing w:after="0" w:line="103"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40" w:type="dxa"/>
            <w:vAlign w:val="bottom"/>
            <w:tcBorders>
              <w:top w:val="single" w:sz="8" w:color="auto"/>
            </w:tcBorders>
            <w:gridSpan w:val="2"/>
          </w:tcPr>
          <w:p>
            <w:pPr>
              <w:ind w:left="2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jc w:val="center"/>
              <w:ind w:right="34"/>
              <w:spacing w:after="0" w:line="103" w:lineRule="exact"/>
              <w:rPr>
                <w:sz w:val="20"/>
                <w:szCs w:val="20"/>
                <w:color w:val="auto"/>
              </w:rPr>
            </w:pPr>
            <w:r>
              <w:rPr>
                <w:rFonts w:ascii="Arial" w:cs="Arial" w:eastAsia="Arial" w:hAnsi="Arial"/>
                <w:sz w:val="11"/>
                <w:szCs w:val="11"/>
                <w:b w:val="1"/>
                <w:bCs w:val="1"/>
                <w:color w:val="auto"/>
              </w:rPr>
              <w:t>July 30,</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4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83"/>
              </w:rPr>
              <w:t>2005</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6"/>
              </w:rPr>
              <w:t>20052005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4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Income before change in accounting principle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44,881</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47,099</w:t>
            </w:r>
          </w:p>
        </w:tc>
        <w:tc>
          <w:tcPr>
            <w:tcW w:w="20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113,598</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101,046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47,099</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122,444</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101,046</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vMerge w:val="restart"/>
          </w:tcPr>
          <w:p>
            <w:pPr>
              <w:spacing w:after="0"/>
              <w:rPr>
                <w:sz w:val="20"/>
                <w:szCs w:val="20"/>
                <w:color w:val="auto"/>
              </w:rPr>
            </w:pPr>
            <w:r>
              <w:rPr>
                <w:rFonts w:ascii="Arial" w:cs="Arial" w:eastAsia="Arial" w:hAnsi="Arial"/>
                <w:sz w:val="18"/>
                <w:szCs w:val="18"/>
                <w:color w:val="auto"/>
              </w:rPr>
              <w:t>Denominator:</w:t>
            </w: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26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w w:val="95"/>
              </w:rPr>
              <w:t>Weighted average shares of common stock outstanding</w:t>
            </w: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586,133</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561,832</w:t>
            </w: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584,918</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559,709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6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586,133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561,832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584,918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559,709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Warrants</w:t>
            </w: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1,695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1,647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1,741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1,627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Contingently issuable shares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Common stock options and other</w:t>
            </w: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45,705</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62,178</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49,865</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61,780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633,533</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626,205</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636,524</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623,798</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vMerge w:val="restart"/>
          </w:tcPr>
          <w:p>
            <w:pPr>
              <w:spacing w:after="0"/>
              <w:rPr>
                <w:sz w:val="20"/>
                <w:szCs w:val="20"/>
                <w:color w:val="auto"/>
              </w:rPr>
            </w:pPr>
            <w:r>
              <w:rPr>
                <w:rFonts w:ascii="Arial" w:cs="Arial" w:eastAsia="Arial" w:hAnsi="Arial"/>
                <w:sz w:val="18"/>
                <w:szCs w:val="18"/>
                <w:color w:val="auto"/>
              </w:rPr>
              <w:t>Income before change in accounting principle</w:t>
            </w: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26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ind w:left="18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0.07</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0.18</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0.16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ind w:left="180"/>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0.08</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0.21</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Options to purchase 34,197,280 common shares at a weighted average exercise price of $24.77 have been excluded from the computation of diluted net income per share for the three months ended July 29, 2006 using the treasury stock method calculation. Options to purchase 368,704 common shares at a weighted average exercise price of $20.84 have been excluded from the computation of diluted net income per share for the three months ended July 30, 2005 using the treasury stock method calculation.</w:t>
      </w:r>
    </w:p>
    <w:p>
      <w:pPr>
        <w:spacing w:after="0" w:line="187"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Options to purchase 26,643,184 common shares at a weighted average exercise price of $24.58 have been excluded from the computation of diluted net income per share for the six months ended July 29, 2006 using the treasury stock method calculation. Options to purchase 685,082 common shares at a weighted average exercise price of $19.69 have been excluded from the computation of diluted net income per share for the six months ended July 30, 2005 using the treasury stock method calculation.</w:t>
      </w:r>
    </w:p>
    <w:p>
      <w:pPr>
        <w:spacing w:after="0" w:line="183"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Comprehensive income (in thousands)</w:t>
      </w:r>
    </w:p>
    <w:p>
      <w:pPr>
        <w:spacing w:after="0" w:line="207"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3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8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78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Six Months Ended</w:t>
            </w:r>
          </w:p>
        </w:tc>
      </w:tr>
      <w:tr>
        <w:trPr>
          <w:trHeight w:val="102"/>
        </w:trPr>
        <w:tc>
          <w:tcPr>
            <w:tcW w:w="39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ind w:left="4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680" w:type="dxa"/>
            <w:vAlign w:val="bottom"/>
            <w:tcBorders>
              <w:top w:val="single" w:sz="8" w:color="auto"/>
            </w:tcBorders>
          </w:tcPr>
          <w:p>
            <w:pPr>
              <w:jc w:val="center"/>
              <w:ind w:right="2"/>
              <w:spacing w:after="0" w:line="103"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ind w:left="20"/>
              <w:spacing w:after="0" w:line="103"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jc w:val="center"/>
              <w:ind w:right="22"/>
              <w:spacing w:after="0" w:line="103" w:lineRule="exact"/>
              <w:rPr>
                <w:sz w:val="20"/>
                <w:szCs w:val="20"/>
                <w:color w:val="auto"/>
              </w:rPr>
            </w:pPr>
            <w:r>
              <w:rPr>
                <w:rFonts w:ascii="Arial" w:cs="Arial" w:eastAsia="Arial" w:hAnsi="Arial"/>
                <w:sz w:val="11"/>
                <w:szCs w:val="11"/>
                <w:b w:val="1"/>
                <w:bCs w:val="1"/>
                <w:color w:val="auto"/>
              </w:rPr>
              <w:t>July 30,</w:t>
            </w:r>
          </w:p>
        </w:tc>
        <w:tc>
          <w:tcPr>
            <w:tcW w:w="100" w:type="dxa"/>
            <w:vAlign w:val="bottom"/>
          </w:tcPr>
          <w:p>
            <w:pPr>
              <w:spacing w:after="0"/>
              <w:rPr>
                <w:sz w:val="8"/>
                <w:szCs w:val="8"/>
                <w:color w:val="auto"/>
              </w:rPr>
            </w:pPr>
          </w:p>
        </w:tc>
      </w:tr>
      <w:tr>
        <w:trPr>
          <w:trHeight w:val="161"/>
        </w:trPr>
        <w:tc>
          <w:tcPr>
            <w:tcW w:w="39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9"/>
              </w:rPr>
              <w:t>2005</w:t>
            </w:r>
          </w:p>
        </w:tc>
        <w:tc>
          <w:tcPr>
            <w:tcW w:w="100" w:type="dxa"/>
            <w:vAlign w:val="bottom"/>
          </w:tcPr>
          <w:p>
            <w:pPr>
              <w:spacing w:after="0"/>
              <w:rPr>
                <w:sz w:val="14"/>
                <w:szCs w:val="14"/>
                <w:color w:val="auto"/>
              </w:rPr>
            </w:pPr>
          </w:p>
        </w:tc>
      </w:tr>
      <w:tr>
        <w:trPr>
          <w:trHeight w:val="129"/>
        </w:trPr>
        <w:tc>
          <w:tcPr>
            <w:tcW w:w="39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jc w:val="center"/>
              <w:ind w:right="22"/>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jc w:val="center"/>
              <w:ind w:right="22"/>
              <w:spacing w:after="0" w:line="129" w:lineRule="exact"/>
              <w:rPr>
                <w:sz w:val="20"/>
                <w:szCs w:val="20"/>
                <w:color w:val="auto"/>
              </w:rPr>
            </w:pPr>
            <w:r>
              <w:rPr>
                <w:rFonts w:ascii="Arial" w:cs="Arial" w:eastAsia="Arial" w:hAnsi="Arial"/>
                <w:sz w:val="14"/>
                <w:szCs w:val="14"/>
                <w:b w:val="1"/>
                <w:bCs w:val="1"/>
                <w:color w:val="auto"/>
                <w:w w:val="93"/>
              </w:rPr>
              <w:t>(restated)</w:t>
            </w:r>
          </w:p>
        </w:tc>
        <w:tc>
          <w:tcPr>
            <w:tcW w:w="100" w:type="dxa"/>
            <w:vAlign w:val="bottom"/>
          </w:tcPr>
          <w:p>
            <w:pPr>
              <w:spacing w:after="0"/>
              <w:rPr>
                <w:sz w:val="11"/>
                <w:szCs w:val="1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47,099</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122,444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101,046</w:t>
            </w:r>
          </w:p>
        </w:tc>
        <w:tc>
          <w:tcPr>
            <w:tcW w:w="100" w:type="dxa"/>
            <w:vAlign w:val="bottom"/>
            <w:shd w:val="clear" w:color="auto" w:fill="CCEEFF"/>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02"/>
        </w:trPr>
        <w:tc>
          <w:tcPr>
            <w:tcW w:w="3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Unrealized gain (loss) on available-for-sale</w:t>
            </w: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investments and other, net of tax</w:t>
            </w: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w:t>
            </w: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(145)</w:t>
            </w: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(875)</w:t>
            </w:r>
          </w:p>
        </w:tc>
      </w:tr>
      <w:tr>
        <w:trPr>
          <w:trHeight w:val="210"/>
        </w:trPr>
        <w:tc>
          <w:tcPr>
            <w:tcW w:w="396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44,975</w:t>
            </w:r>
          </w:p>
        </w:tc>
        <w:tc>
          <w:tcPr>
            <w:tcW w:w="2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46,954</w:t>
            </w:r>
          </w:p>
        </w:tc>
        <w:tc>
          <w:tcPr>
            <w:tcW w:w="2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122,944</w:t>
            </w:r>
          </w:p>
        </w:tc>
        <w:tc>
          <w:tcPr>
            <w:tcW w:w="2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100,171</w:t>
            </w:r>
          </w:p>
        </w:tc>
        <w:tc>
          <w:tcPr>
            <w:tcW w:w="100" w:type="dxa"/>
            <w:vAlign w:val="bottom"/>
          </w:tcPr>
          <w:p>
            <w:pPr>
              <w:spacing w:after="0"/>
              <w:rPr>
                <w:sz w:val="18"/>
                <w:szCs w:val="18"/>
                <w:color w:val="auto"/>
              </w:rPr>
            </w:pPr>
          </w:p>
        </w:tc>
      </w:tr>
      <w:tr>
        <w:trPr>
          <w:trHeight w:val="20"/>
        </w:trPr>
        <w:tc>
          <w:tcPr>
            <w:tcW w:w="39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60" w:firstLine="324"/>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Acquisitions</w:t>
      </w:r>
    </w:p>
    <w:p>
      <w:pPr>
        <w:spacing w:after="0" w:line="229"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Company acquired the hard disk and tape drive controller semiconductor business of QLogic Corporation (“QLogic Business”) during the third quarter of fiscal 2006, the semiconductor division of UTStarcom, Inc (“UTStarcom Business”) in the first quarter of fiscal 2007, and the printer semiconductor division of Avago Technologies Limited (“Avago Business”) and assets of another business from an unrelated party during the second quarter of fiscal 2007.</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QLogic Business</w:t>
      </w:r>
    </w:p>
    <w:p>
      <w:pPr>
        <w:spacing w:after="0" w:line="225"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Company acquired the QLogic Business on November 4, 2005. The QLogic Business designs and supplies controller chips for data storage peripherals, such as hard disk and tape drives. The QLogic Business provides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QLogic Business net tangible and intangible assets acquired. The Company recorded goodwill, which is not deductible for tax purposes, in connection with this transaction.</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firstLine="324"/>
        <w:spacing w:after="0" w:line="264" w:lineRule="auto"/>
        <w:rPr>
          <w:sz w:val="20"/>
          <w:szCs w:val="20"/>
          <w:color w:val="auto"/>
        </w:rPr>
      </w:pPr>
      <w:r>
        <w:rPr>
          <w:rFonts w:ascii="Arial" w:cs="Arial" w:eastAsia="Arial" w:hAnsi="Arial"/>
          <w:sz w:val="18"/>
          <w:szCs w:val="18"/>
          <w:color w:val="auto"/>
        </w:rPr>
        <w:t>Under terms of the agreement, the Company issued a combination of $184.0 million in cash and 1,960,998 shares of its common stock valued at $45.6 million for total consideration of $229.6 million. The agreement provides for $12.0 million of the consideration to be placed in escrow for up to one year from the closing date to secure QLogic’s obligations under certain representation and warranty provisions.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purchase price of the QLogic Business of $232.5 million was determined as follows (in thousands):</w:t>
      </w:r>
    </w:p>
    <w:p>
      <w:pPr>
        <w:spacing w:after="0" w:line="240"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184,032</w:t>
            </w:r>
          </w:p>
        </w:tc>
      </w:tr>
      <w:tr>
        <w:trPr>
          <w:trHeight w:val="230"/>
        </w:trPr>
        <w:tc>
          <w:tcPr>
            <w:tcW w:w="4800" w:type="dxa"/>
            <w:vAlign w:val="bottom"/>
          </w:tcPr>
          <w:p>
            <w:pPr>
              <w:spacing w:after="0"/>
              <w:rPr>
                <w:sz w:val="20"/>
                <w:szCs w:val="20"/>
                <w:color w:val="auto"/>
              </w:rPr>
            </w:pPr>
            <w:r>
              <w:rPr>
                <w:rFonts w:ascii="Arial" w:cs="Arial" w:eastAsia="Arial" w:hAnsi="Arial"/>
                <w:sz w:val="18"/>
                <w:szCs w:val="18"/>
                <w:color w:val="auto"/>
              </w:rPr>
              <w:t>Value of Marvell common stock issued</w:t>
            </w:r>
          </w:p>
        </w:tc>
        <w:tc>
          <w:tcPr>
            <w:tcW w:w="2920" w:type="dxa"/>
            <w:vAlign w:val="bottom"/>
          </w:tcPr>
          <w:p>
            <w:pPr>
              <w:jc w:val="right"/>
              <w:spacing w:after="0"/>
              <w:rPr>
                <w:sz w:val="20"/>
                <w:szCs w:val="20"/>
                <w:color w:val="auto"/>
              </w:rPr>
            </w:pPr>
            <w:r>
              <w:rPr>
                <w:rFonts w:ascii="Arial" w:cs="Arial" w:eastAsia="Arial" w:hAnsi="Arial"/>
                <w:sz w:val="18"/>
                <w:szCs w:val="18"/>
                <w:color w:val="auto"/>
              </w:rPr>
              <w:t>45,583</w:t>
            </w:r>
          </w:p>
        </w:tc>
      </w:tr>
    </w:tbl>
    <w:p>
      <w:pPr>
        <w:sectPr>
          <w:pgSz w:w="11900" w:h="16925" w:orient="portrait"/>
          <w:cols w:equalWidth="0" w:num="1">
            <w:col w:w="11420"/>
          </w:cols>
          <w:pgMar w:left="240" w:top="125" w:right="239" w:bottom="0" w:gutter="0" w:footer="0" w:header="0"/>
        </w:sectPr>
      </w:pPr>
    </w:p>
    <w:bookmarkStart w:id="17" w:name="page18"/>
    <w:bookmarkEnd w:id="17"/>
    <w:p>
      <w:pPr>
        <w:spacing w:after="0" w:line="69"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60" w:type="dxa"/>
            <w:vAlign w:val="bottom"/>
            <w:shd w:val="clear" w:color="auto" w:fill="CCEEFF"/>
          </w:tcPr>
          <w:p>
            <w:pPr>
              <w:spacing w:after="0"/>
              <w:rPr>
                <w:sz w:val="18"/>
                <w:szCs w:val="18"/>
                <w:color w:val="auto"/>
              </w:rPr>
            </w:pPr>
          </w:p>
        </w:tc>
      </w:tr>
      <w:tr>
        <w:trPr>
          <w:trHeight w:val="210"/>
        </w:trPr>
        <w:tc>
          <w:tcPr>
            <w:tcW w:w="6760" w:type="dxa"/>
            <w:vAlign w:val="bottom"/>
          </w:tcPr>
          <w:p>
            <w:pPr>
              <w:spacing w:after="0"/>
              <w:rPr>
                <w:sz w:val="20"/>
                <w:szCs w:val="20"/>
                <w:color w:val="auto"/>
              </w:rPr>
            </w:pPr>
            <w:r>
              <w:rPr>
                <w:rFonts w:ascii="Arial" w:cs="Arial" w:eastAsia="Arial" w:hAnsi="Arial"/>
                <w:sz w:val="18"/>
                <w:szCs w:val="18"/>
                <w:color w:val="auto"/>
              </w:rPr>
              <w:t>Total purchase price</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   232,535</w:t>
            </w:r>
          </w:p>
        </w:tc>
        <w:tc>
          <w:tcPr>
            <w:tcW w:w="60" w:type="dxa"/>
            <w:vAlign w:val="bottom"/>
          </w:tcPr>
          <w:p>
            <w:pPr>
              <w:spacing w:after="0"/>
              <w:rPr>
                <w:sz w:val="18"/>
                <w:szCs w:val="18"/>
                <w:color w:val="auto"/>
              </w:rPr>
            </w:pPr>
          </w:p>
        </w:tc>
      </w:tr>
      <w:tr>
        <w:trPr>
          <w:trHeight w:val="20"/>
        </w:trPr>
        <w:tc>
          <w:tcPr>
            <w:tcW w:w="676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80" w:firstLine="324"/>
        <w:spacing w:after="0" w:line="308" w:lineRule="auto"/>
        <w:rPr>
          <w:sz w:val="20"/>
          <w:szCs w:val="20"/>
          <w:color w:val="auto"/>
        </w:rPr>
      </w:pPr>
      <w:r>
        <w:rPr>
          <w:rFonts w:ascii="Arial" w:cs="Arial" w:eastAsia="Arial" w:hAnsi="Arial"/>
          <w:sz w:val="17"/>
          <w:szCs w:val="17"/>
          <w:color w:val="auto"/>
        </w:rPr>
        <w:t>The value of the 1,960,998 shares of the Company’s common stock issued was determined based on the average price of the Company’s common stock over a 5-day period including the two days before and after August 29, 2005 (the announcement date), or $23.25 per share.</w:t>
      </w:r>
    </w:p>
    <w:p>
      <w:pPr>
        <w:spacing w:after="0" w:line="147" w:lineRule="exact"/>
        <w:rPr>
          <w:sz w:val="20"/>
          <w:szCs w:val="20"/>
          <w:color w:val="auto"/>
        </w:rPr>
      </w:pPr>
    </w:p>
    <w:p>
      <w:pPr>
        <w:ind w:right="2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the QLogic Business’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c>
          <w:tcPr>
            <w:tcW w:w="60" w:type="dxa"/>
            <w:vAlign w:val="bottom"/>
            <w:shd w:val="clear" w:color="auto" w:fill="CCEEFF"/>
          </w:tcPr>
          <w:p>
            <w:pPr>
              <w:spacing w:after="0"/>
              <w:rPr>
                <w:sz w:val="18"/>
                <w:szCs w:val="18"/>
                <w:color w:val="auto"/>
              </w:rPr>
            </w:pP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r>
      <w:tr>
        <w:trPr>
          <w:trHeight w:val="216"/>
        </w:trPr>
        <w:tc>
          <w:tcPr>
            <w:tcW w:w="676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r>
      <w:tr>
        <w:trPr>
          <w:trHeight w:val="216"/>
        </w:trPr>
        <w:tc>
          <w:tcPr>
            <w:tcW w:w="6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In-process technology</w:t>
            </w: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Pr>
          <w:p>
            <w:pPr>
              <w:spacing w:after="0"/>
              <w:rPr>
                <w:sz w:val="18"/>
                <w:szCs w:val="18"/>
                <w:color w:val="auto"/>
              </w:rPr>
            </w:pP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79,862</w:t>
            </w:r>
          </w:p>
        </w:tc>
        <w:tc>
          <w:tcPr>
            <w:tcW w:w="60" w:type="dxa"/>
            <w:vAlign w:val="bottom"/>
            <w:shd w:val="clear" w:color="auto" w:fill="CCEEFF"/>
          </w:tcPr>
          <w:p>
            <w:pPr>
              <w:spacing w:after="0"/>
              <w:rPr>
                <w:sz w:val="18"/>
                <w:szCs w:val="18"/>
                <w:color w:val="auto"/>
              </w:rPr>
            </w:pPr>
          </w:p>
        </w:tc>
      </w:tr>
      <w:tr>
        <w:trPr>
          <w:trHeight w:val="210"/>
        </w:trPr>
        <w:tc>
          <w:tcPr>
            <w:tcW w:w="6760" w:type="dxa"/>
            <w:vAlign w:val="bottom"/>
          </w:tcPr>
          <w:p>
            <w:pPr>
              <w:spacing w:after="0"/>
              <w:rPr>
                <w:sz w:val="20"/>
                <w:szCs w:val="20"/>
                <w:color w:val="auto"/>
              </w:rPr>
            </w:pPr>
            <w:r>
              <w:rPr>
                <w:rFonts w:ascii="Arial" w:cs="Arial" w:eastAsia="Arial" w:hAnsi="Arial"/>
                <w:sz w:val="18"/>
                <w:szCs w:val="18"/>
                <w:color w:val="auto"/>
              </w:rPr>
              <w:t>Total estimated purchase price allocation</w:t>
            </w: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232,535</w:t>
            </w:r>
          </w:p>
        </w:tc>
        <w:tc>
          <w:tcPr>
            <w:tcW w:w="60" w:type="dxa"/>
            <w:vAlign w:val="bottom"/>
          </w:tcPr>
          <w:p>
            <w:pPr>
              <w:spacing w:after="0"/>
              <w:rPr>
                <w:sz w:val="18"/>
                <w:szCs w:val="18"/>
                <w:color w:val="auto"/>
              </w:rPr>
            </w:pPr>
          </w:p>
        </w:tc>
      </w:tr>
      <w:tr>
        <w:trPr>
          <w:trHeight w:val="20"/>
        </w:trPr>
        <w:tc>
          <w:tcPr>
            <w:tcW w:w="67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40" w:firstLine="324"/>
        <w:spacing w:after="0" w:line="257" w:lineRule="auto"/>
        <w:rPr>
          <w:sz w:val="20"/>
          <w:szCs w:val="20"/>
          <w:color w:val="auto"/>
        </w:rPr>
      </w:pPr>
      <w:r>
        <w:rPr>
          <w:rFonts w:ascii="Arial" w:cs="Arial" w:eastAsia="Arial" w:hAnsi="Arial"/>
          <w:sz w:val="18"/>
          <w:szCs w:val="18"/>
          <w:color w:val="auto"/>
        </w:rPr>
        <w:t>The Company acquired tangible assets of approximately $25.1 million consisting of inventory and fixed assets, net of assumed liabilities and was recorded at its estimated fair value. The amortizable intangible assets of $123.3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one to four years are:</w:t>
      </w:r>
    </w:p>
    <w:p>
      <w:pPr>
        <w:spacing w:after="0" w:line="15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12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Estimated</w:t>
            </w:r>
          </w:p>
        </w:tc>
        <w:tc>
          <w:tcPr>
            <w:tcW w:w="10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5"/>
              </w:rPr>
              <w:t>Estimated Fair</w:t>
            </w:r>
          </w:p>
        </w:tc>
        <w:tc>
          <w:tcPr>
            <w:tcW w:w="0" w:type="dxa"/>
            <w:vAlign w:val="bottom"/>
          </w:tcPr>
          <w:p>
            <w:pPr>
              <w:spacing w:after="0"/>
              <w:rPr>
                <w:sz w:val="1"/>
                <w:szCs w:val="1"/>
                <w:color w:val="auto"/>
              </w:rPr>
            </w:pPr>
          </w:p>
        </w:tc>
      </w:tr>
      <w:tr>
        <w:trPr>
          <w:trHeight w:val="135"/>
        </w:trPr>
        <w:tc>
          <w:tcPr>
            <w:tcW w:w="4020" w:type="dxa"/>
            <w:vAlign w:val="bottom"/>
          </w:tcPr>
          <w:p>
            <w:pPr>
              <w:spacing w:after="0"/>
              <w:rPr>
                <w:sz w:val="11"/>
                <w:szCs w:val="11"/>
                <w:color w:val="auto"/>
              </w:rPr>
            </w:pPr>
          </w:p>
        </w:tc>
        <w:tc>
          <w:tcPr>
            <w:tcW w:w="12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Remaining</w:t>
            </w:r>
          </w:p>
        </w:tc>
        <w:tc>
          <w:tcPr>
            <w:tcW w:w="10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020" w:type="dxa"/>
            <w:vAlign w:val="bottom"/>
          </w:tcPr>
          <w:p>
            <w:pPr>
              <w:spacing w:after="0"/>
              <w:rPr>
                <w:sz w:val="14"/>
                <w:szCs w:val="14"/>
                <w:color w:val="auto"/>
              </w:rPr>
            </w:pPr>
          </w:p>
        </w:tc>
        <w:tc>
          <w:tcPr>
            <w:tcW w:w="12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220" w:type="dxa"/>
            <w:vAlign w:val="bottom"/>
          </w:tcPr>
          <w:p>
            <w:pPr>
              <w:spacing w:after="0"/>
              <w:rPr>
                <w:sz w:val="14"/>
                <w:szCs w:val="14"/>
                <w:color w:val="auto"/>
              </w:rPr>
            </w:pPr>
          </w:p>
        </w:tc>
        <w:tc>
          <w:tcPr>
            <w:tcW w:w="8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0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10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9"/>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22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8"/>
              </w:rPr>
              <w:t>1 to 2</w:t>
            </w:r>
          </w:p>
        </w:tc>
        <w:tc>
          <w:tcPr>
            <w:tcW w:w="22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Core technology</w:t>
            </w:r>
          </w:p>
        </w:tc>
        <w:tc>
          <w:tcPr>
            <w:tcW w:w="100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Customer relationships</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In-process research and development</w:t>
            </w:r>
          </w:p>
        </w:tc>
        <w:tc>
          <w:tcPr>
            <w:tcW w:w="1220" w:type="dxa"/>
            <w:vAlign w:val="bottom"/>
            <w:tcBorders>
              <w:bottom w:val="single" w:sz="8" w:color="CCEEFF"/>
            </w:tcBorders>
            <w:gridSpan w:val="2"/>
          </w:tcPr>
          <w:p>
            <w:pPr>
              <w:jc w:val="center"/>
              <w:ind w:right="220"/>
              <w:spacing w:after="0"/>
              <w:rPr>
                <w:sz w:val="20"/>
                <w:szCs w:val="20"/>
                <w:color w:val="auto"/>
              </w:rPr>
            </w:pPr>
            <w:r>
              <w:rPr>
                <w:rFonts w:ascii="Arial" w:cs="Arial" w:eastAsia="Arial" w:hAnsi="Arial"/>
                <w:sz w:val="18"/>
                <w:szCs w:val="18"/>
                <w:color w:val="auto"/>
              </w:rPr>
              <w:t>N/A</w:t>
            </w:r>
          </w:p>
        </w:tc>
        <w:tc>
          <w:tcPr>
            <w:tcW w:w="22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10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127,600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Existing technology comprised products that have reached technological feasibility and includes the fibre channel hard disk controller (“HDC”), Small Computer System Interface (“SCSI”) HDC and the tape drive products of the hard disk and tape drive controller business of QLogic. The core technology represents technology that is embedded in the existing technology that was separately valued. Customer relationships represent future projected revenues that are derived from sales of future versions of existing products that will be sold to existing customers.</w:t>
      </w:r>
    </w:p>
    <w:p>
      <w:pPr>
        <w:spacing w:after="0" w:line="171"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Of the total purchase price, $4.3 million was allocated to in-process research and development (“IPRD”) based upon the fair values of assets acquired and was charged to expense in the fourth quarter of fiscal 2006. The QLogic Business was developing new products that had not reached technological feasibility and which had no alternative use and therefore was immediately written-off. The projects in process consisted of a product based on a combined SCSI HDC and fibre channel HDC that would help customers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transition from a SCSI market.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At the time of the acquisition, the project was approximately 25.0% complete with aggregate costs to complete of $2.7 million. The project was canceled in January 2006.</w:t>
      </w:r>
    </w:p>
    <w:p>
      <w:pPr>
        <w:spacing w:after="0" w:line="178" w:lineRule="exact"/>
        <w:rPr>
          <w:sz w:val="20"/>
          <w:szCs w:val="20"/>
          <w:color w:val="auto"/>
        </w:rPr>
      </w:pPr>
    </w:p>
    <w:p>
      <w:pPr>
        <w:ind w:right="82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QLogic Business are 1.2 years for developed technology, 3.0 years for core technology and 4.0 years for customer relationships.</w:t>
      </w:r>
    </w:p>
    <w:p>
      <w:pPr>
        <w:spacing w:after="0" w:line="170" w:lineRule="exact"/>
        <w:rPr>
          <w:sz w:val="20"/>
          <w:szCs w:val="20"/>
          <w:color w:val="auto"/>
        </w:rPr>
      </w:pPr>
    </w:p>
    <w:p>
      <w:pPr>
        <w:jc w:val="both"/>
        <w:ind w:right="500" w:firstLine="324"/>
        <w:spacing w:after="0" w:line="312" w:lineRule="auto"/>
        <w:rPr>
          <w:sz w:val="20"/>
          <w:szCs w:val="20"/>
          <w:color w:val="auto"/>
        </w:rPr>
      </w:pPr>
      <w:r>
        <w:rPr>
          <w:rFonts w:ascii="Arial" w:cs="Arial" w:eastAsia="Arial" w:hAnsi="Arial"/>
          <w:sz w:val="16"/>
          <w:szCs w:val="16"/>
          <w:color w:val="auto"/>
        </w:rPr>
        <w:t>The results of operations of the QLogic Business have been included in the Company’s consolidated statements of operations since the acquisition completion date of November 4, 2005. The following unaudited pro forma information presents a summary of the results of operations of the Company assuming the acquisition of the QLogic Business occurred at the beginning of the period presented (in thousands, except for per share amounts):</w:t>
      </w:r>
    </w:p>
    <w:p>
      <w:pPr>
        <w:spacing w:after="0" w:line="10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520" w:type="dxa"/>
            <w:vAlign w:val="bottom"/>
          </w:tcPr>
          <w:p>
            <w:pPr>
              <w:spacing w:after="0"/>
              <w:rPr>
                <w:sz w:val="14"/>
                <w:szCs w:val="14"/>
                <w:color w:val="auto"/>
              </w:rPr>
            </w:pPr>
          </w:p>
        </w:tc>
        <w:tc>
          <w:tcPr>
            <w:tcW w:w="118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95"/>
              </w:rPr>
              <w:t>Three Months</w:t>
            </w:r>
          </w:p>
        </w:tc>
        <w:tc>
          <w:tcPr>
            <w:tcW w:w="12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5520" w:type="dxa"/>
            <w:vAlign w:val="bottom"/>
          </w:tcPr>
          <w:p>
            <w:pPr>
              <w:spacing w:after="0"/>
              <w:rPr>
                <w:sz w:val="11"/>
                <w:szCs w:val="11"/>
                <w:color w:val="auto"/>
              </w:rPr>
            </w:pPr>
          </w:p>
        </w:tc>
        <w:tc>
          <w:tcPr>
            <w:tcW w:w="118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Ended July 30,</w:t>
            </w:r>
          </w:p>
        </w:tc>
        <w:tc>
          <w:tcPr>
            <w:tcW w:w="104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Ended July 30,</w:t>
            </w:r>
          </w:p>
        </w:tc>
      </w:tr>
      <w:tr>
        <w:trPr>
          <w:trHeight w:val="162"/>
        </w:trPr>
        <w:tc>
          <w:tcPr>
            <w:tcW w:w="5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96"/>
              </w:rPr>
              <w:t>2005</w:t>
            </w:r>
          </w:p>
        </w:tc>
        <w:tc>
          <w:tcPr>
            <w:tcW w:w="60" w:type="dxa"/>
            <w:vAlign w:val="bottom"/>
          </w:tcPr>
          <w:p>
            <w:pPr>
              <w:spacing w:after="0"/>
              <w:rPr>
                <w:sz w:val="14"/>
                <w:szCs w:val="14"/>
                <w:color w:val="auto"/>
              </w:rPr>
            </w:pPr>
          </w:p>
        </w:tc>
      </w:tr>
      <w:tr>
        <w:trPr>
          <w:trHeight w:val="129"/>
        </w:trPr>
        <w:tc>
          <w:tcPr>
            <w:tcW w:w="55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20" w:type="dxa"/>
            <w:vAlign w:val="bottom"/>
          </w:tcPr>
          <w:p>
            <w:pPr>
              <w:jc w:val="center"/>
              <w:ind w:right="56"/>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r>
      <w:tr>
        <w:trPr>
          <w:trHeight w:val="216"/>
        </w:trPr>
        <w:tc>
          <w:tcPr>
            <w:tcW w:w="5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428,438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836,716</w:t>
            </w:r>
          </w:p>
        </w:tc>
        <w:tc>
          <w:tcPr>
            <w:tcW w:w="60" w:type="dxa"/>
            <w:vAlign w:val="bottom"/>
            <w:shd w:val="clear" w:color="auto" w:fill="CCEEFF"/>
          </w:tcPr>
          <w:p>
            <w:pPr>
              <w:spacing w:after="0"/>
              <w:rPr>
                <w:sz w:val="18"/>
                <w:szCs w:val="18"/>
                <w:color w:val="auto"/>
              </w:rPr>
            </w:pPr>
          </w:p>
        </w:tc>
      </w:tr>
      <w:tr>
        <w:trPr>
          <w:trHeight w:val="216"/>
        </w:trPr>
        <w:tc>
          <w:tcPr>
            <w:tcW w:w="5520" w:type="dxa"/>
            <w:vAlign w:val="bottom"/>
          </w:tcPr>
          <w:p>
            <w:pPr>
              <w:spacing w:after="0"/>
              <w:rPr>
                <w:sz w:val="20"/>
                <w:szCs w:val="20"/>
                <w:color w:val="auto"/>
              </w:rPr>
            </w:pPr>
            <w:r>
              <w:rPr>
                <w:rFonts w:ascii="Arial" w:cs="Arial" w:eastAsia="Arial" w:hAnsi="Arial"/>
                <w:sz w:val="18"/>
                <w:szCs w:val="18"/>
                <w:color w:val="auto"/>
              </w:rPr>
              <w:t>Net income</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49,591</w:t>
            </w:r>
          </w:p>
        </w:tc>
        <w:tc>
          <w:tcPr>
            <w:tcW w:w="2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107,164</w:t>
            </w:r>
          </w:p>
        </w:tc>
        <w:tc>
          <w:tcPr>
            <w:tcW w:w="60" w:type="dxa"/>
            <w:vAlign w:val="bottom"/>
          </w:tcPr>
          <w:p>
            <w:pPr>
              <w:spacing w:after="0"/>
              <w:rPr>
                <w:sz w:val="18"/>
                <w:szCs w:val="18"/>
                <w:color w:val="auto"/>
              </w:rPr>
            </w:pPr>
          </w:p>
        </w:tc>
      </w:tr>
      <w:tr>
        <w:trPr>
          <w:trHeight w:val="216"/>
        </w:trPr>
        <w:tc>
          <w:tcPr>
            <w:tcW w:w="55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shd w:val="clear" w:color="auto" w:fill="CCEEFF"/>
          </w:tcPr>
          <w:p>
            <w:pPr>
              <w:spacing w:after="0"/>
              <w:rPr>
                <w:sz w:val="18"/>
                <w:szCs w:val="18"/>
                <w:color w:val="auto"/>
              </w:rPr>
            </w:pPr>
          </w:p>
        </w:tc>
      </w:tr>
      <w:tr>
        <w:trPr>
          <w:trHeight w:val="230"/>
        </w:trPr>
        <w:tc>
          <w:tcPr>
            <w:tcW w:w="552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0.08</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0.17</w:t>
            </w: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right="200" w:firstLine="324"/>
        <w:spacing w:after="0" w:line="342" w:lineRule="auto"/>
        <w:rPr>
          <w:sz w:val="20"/>
          <w:szCs w:val="20"/>
          <w:color w:val="auto"/>
        </w:rPr>
      </w:pPr>
      <w:r>
        <w:rPr>
          <w:rFonts w:ascii="Arial" w:cs="Arial" w:eastAsia="Arial" w:hAnsi="Arial"/>
          <w:sz w:val="16"/>
          <w:szCs w:val="16"/>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w:t>
      </w:r>
    </w:p>
    <w:p>
      <w:pPr>
        <w:sectPr>
          <w:pgSz w:w="11900" w:h="16908" w:orient="portrait"/>
          <w:cols w:equalWidth="0" w:num="1">
            <w:col w:w="11420"/>
          </w:cols>
          <w:pgMar w:left="240" w:top="140" w:right="239" w:bottom="0" w:gutter="0" w:footer="0" w:header="0"/>
        </w:sectPr>
      </w:pPr>
    </w:p>
    <w:bookmarkStart w:id="18" w:name="page19"/>
    <w:bookmarkEnd w:id="18"/>
    <w:p>
      <w:pPr>
        <w:spacing w:after="0" w:line="93"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88"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Under the terms of the agreement, the Company paid $24.0 million in cash. In the third quarter of fiscal 2007, the Company recorded additional purchase consideration of $16.0 million upon the achievement of the contingent milestones as defined in the purchase agreement. The purchase price of the acquisition was $24.8 million and was determined as follows (in thousands):</w:t>
      </w:r>
    </w:p>
    <w:p>
      <w:pPr>
        <w:spacing w:after="0" w:line="196" w:lineRule="exact"/>
        <w:rPr>
          <w:sz w:val="20"/>
          <w:szCs w:val="20"/>
          <w:color w:val="auto"/>
        </w:rPr>
      </w:pPr>
    </w:p>
    <w:tbl>
      <w:tblPr>
        <w:tblLayout w:type="fixed"/>
        <w:tblInd w:w="9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36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24,008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Estimated transaction costs</w:t>
            </w:r>
          </w:p>
        </w:tc>
        <w:tc>
          <w:tcPr>
            <w:tcW w:w="21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c>
          <w:tcPr>
            <w:tcW w:w="6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16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24,800</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35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328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Fixed assets</w:t>
            </w:r>
          </w:p>
        </w:tc>
        <w:tc>
          <w:tcPr>
            <w:tcW w:w="308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560" w:type="dxa"/>
            <w:vAlign w:val="bottom"/>
            <w:shd w:val="clear" w:color="auto" w:fill="CCEEFF"/>
          </w:tcPr>
          <w:p>
            <w:pPr>
              <w:spacing w:after="0"/>
              <w:rPr>
                <w:sz w:val="18"/>
                <w:szCs w:val="18"/>
                <w:color w:val="auto"/>
              </w:rPr>
            </w:pPr>
          </w:p>
        </w:tc>
        <w:tc>
          <w:tcPr>
            <w:tcW w:w="3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3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3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4,100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3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3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(8,708)</w:t>
            </w:r>
          </w:p>
        </w:tc>
        <w:tc>
          <w:tcPr>
            <w:tcW w:w="0" w:type="dxa"/>
            <w:vAlign w:val="bottom"/>
          </w:tcPr>
          <w:p>
            <w:pPr>
              <w:spacing w:after="0"/>
              <w:rPr>
                <w:sz w:val="1"/>
                <w:szCs w:val="1"/>
                <w:color w:val="auto"/>
              </w:rPr>
            </w:pPr>
          </w:p>
        </w:tc>
      </w:tr>
      <w:tr>
        <w:trPr>
          <w:trHeight w:val="210"/>
        </w:trPr>
        <w:tc>
          <w:tcPr>
            <w:tcW w:w="356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308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24,800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60" w:type="dxa"/>
            <w:vAlign w:val="bottom"/>
          </w:tcPr>
          <w:p>
            <w:pPr>
              <w:spacing w:after="0" w:line="20" w:lineRule="exact"/>
              <w:rPr>
                <w:sz w:val="1"/>
                <w:szCs w:val="1"/>
                <w:color w:val="auto"/>
              </w:rPr>
            </w:pPr>
          </w:p>
        </w:tc>
        <w:tc>
          <w:tcPr>
            <w:tcW w:w="3080" w:type="dxa"/>
            <w:vAlign w:val="bottom"/>
            <w:vMerge w:val="restart"/>
          </w:tcPr>
          <w:p>
            <w:pPr>
              <w:jc w:val="right"/>
              <w:ind w:right="1470"/>
              <w:spacing w:after="0"/>
              <w:rPr>
                <w:sz w:val="20"/>
                <w:szCs w:val="20"/>
                <w:color w:val="auto"/>
              </w:rPr>
            </w:pPr>
            <w:r>
              <w:rPr>
                <w:rFonts w:ascii="Arial" w:cs="Arial" w:eastAsia="Arial" w:hAnsi="Arial"/>
                <w:sz w:val="18"/>
                <w:szCs w:val="18"/>
                <w:color w:val="auto"/>
              </w:rPr>
              <w:t>26</w:t>
            </w: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3560" w:type="dxa"/>
            <w:vAlign w:val="bottom"/>
          </w:tcPr>
          <w:p>
            <w:pPr>
              <w:spacing w:after="0"/>
              <w:rPr>
                <w:sz w:val="24"/>
                <w:szCs w:val="24"/>
                <w:color w:val="auto"/>
              </w:rPr>
            </w:pPr>
          </w:p>
        </w:tc>
        <w:tc>
          <w:tcPr>
            <w:tcW w:w="308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three to four years are:</w:t>
      </w:r>
    </w:p>
    <w:p>
      <w:pPr>
        <w:spacing w:after="0" w:line="14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12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Estimated</w:t>
            </w:r>
          </w:p>
        </w:tc>
        <w:tc>
          <w:tcPr>
            <w:tcW w:w="10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5"/>
              </w:rPr>
              <w:t>Estimated Fair</w:t>
            </w:r>
          </w:p>
        </w:tc>
        <w:tc>
          <w:tcPr>
            <w:tcW w:w="0" w:type="dxa"/>
            <w:vAlign w:val="bottom"/>
          </w:tcPr>
          <w:p>
            <w:pPr>
              <w:spacing w:after="0"/>
              <w:rPr>
                <w:sz w:val="1"/>
                <w:szCs w:val="1"/>
                <w:color w:val="auto"/>
              </w:rPr>
            </w:pPr>
          </w:p>
        </w:tc>
      </w:tr>
      <w:tr>
        <w:trPr>
          <w:trHeight w:val="135"/>
        </w:trPr>
        <w:tc>
          <w:tcPr>
            <w:tcW w:w="4020" w:type="dxa"/>
            <w:vAlign w:val="bottom"/>
          </w:tcPr>
          <w:p>
            <w:pPr>
              <w:spacing w:after="0"/>
              <w:rPr>
                <w:sz w:val="11"/>
                <w:szCs w:val="11"/>
                <w:color w:val="auto"/>
              </w:rPr>
            </w:pPr>
          </w:p>
        </w:tc>
        <w:tc>
          <w:tcPr>
            <w:tcW w:w="12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Remaining</w:t>
            </w:r>
          </w:p>
        </w:tc>
        <w:tc>
          <w:tcPr>
            <w:tcW w:w="10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020" w:type="dxa"/>
            <w:vAlign w:val="bottom"/>
          </w:tcPr>
          <w:p>
            <w:pPr>
              <w:spacing w:after="0"/>
              <w:rPr>
                <w:sz w:val="14"/>
                <w:szCs w:val="14"/>
                <w:color w:val="auto"/>
              </w:rPr>
            </w:pPr>
          </w:p>
        </w:tc>
        <w:tc>
          <w:tcPr>
            <w:tcW w:w="12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220" w:type="dxa"/>
            <w:vAlign w:val="bottom"/>
          </w:tcPr>
          <w:p>
            <w:pPr>
              <w:spacing w:after="0"/>
              <w:rPr>
                <w:sz w:val="14"/>
                <w:szCs w:val="14"/>
                <w:color w:val="auto"/>
              </w:rPr>
            </w:pPr>
          </w:p>
        </w:tc>
        <w:tc>
          <w:tcPr>
            <w:tcW w:w="8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0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10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9"/>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3</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Core technology</w:t>
            </w:r>
          </w:p>
        </w:tc>
        <w:tc>
          <w:tcPr>
            <w:tcW w:w="100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4,100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Customer relationships</w:t>
            </w:r>
          </w:p>
        </w:tc>
        <w:tc>
          <w:tcPr>
            <w:tcW w:w="1000" w:type="dxa"/>
            <w:vAlign w:val="bottom"/>
            <w:tcBorders>
              <w:bottom w:val="single" w:sz="8" w:color="CCEEFF"/>
            </w:tcBorders>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13,900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10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w:t>
      </w:r>
    </w:p>
    <w:p>
      <w:pPr>
        <w:spacing w:after="0" w:line="188"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Approximately $8.7 million has been preliminarily allocated as a liability, calculated as the excess of the fair value of net tangible and intangible assets acquired over the purchase price. Contingent consideration is still outstanding which may result in the recognition of additional costs of up to $16.0 million from the acquisition if the contingency is issuable in cash or becomes issuable. The defined milestones for the contingent consideration are based on the achievement of certain levels of PHS subscribers and are expected to be resolved by September 30, 2006. The liability will be adjusted once the contingency is resolved. Any contingent payments made will result in additional consideration and reduce the liability. Accordingly, goodwill may be recorded if the total purchase price exceeds the fair value of the net tangible and intangible assets acquired. If the contingency does not occur, the liability will be reduced to zero and the amount will be allocated to intangible assets based on their relative fair values.</w:t>
      </w:r>
    </w:p>
    <w:p>
      <w:pPr>
        <w:spacing w:after="0" w:line="178" w:lineRule="exact"/>
        <w:rPr>
          <w:sz w:val="20"/>
          <w:szCs w:val="20"/>
          <w:color w:val="auto"/>
        </w:rPr>
      </w:pPr>
    </w:p>
    <w:p>
      <w:pPr>
        <w:ind w:right="200" w:firstLine="324"/>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187" w:lineRule="exact"/>
        <w:rPr>
          <w:sz w:val="20"/>
          <w:szCs w:val="20"/>
          <w:color w:val="auto"/>
        </w:rPr>
      </w:pPr>
    </w:p>
    <w:p>
      <w:pPr>
        <w:ind w:right="50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developed technology, 4.0 years for core technology, 4.0 years for customer relationships and 4.0 year for the supply contract.</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Avago Business</w:t>
      </w:r>
    </w:p>
    <w:p>
      <w:pPr>
        <w:spacing w:after="0" w:line="225" w:lineRule="exact"/>
        <w:rPr>
          <w:sz w:val="20"/>
          <w:szCs w:val="20"/>
          <w:color w:val="auto"/>
        </w:rPr>
      </w:pPr>
    </w:p>
    <w:p>
      <w:pPr>
        <w:ind w:right="60" w:firstLine="324"/>
        <w:spacing w:after="0" w:line="302" w:lineRule="auto"/>
        <w:rPr>
          <w:sz w:val="20"/>
          <w:szCs w:val="20"/>
          <w:color w:val="auto"/>
        </w:rPr>
      </w:pPr>
      <w:r>
        <w:rPr>
          <w:rFonts w:ascii="Arial" w:cs="Arial" w:eastAsia="Arial" w:hAnsi="Arial"/>
          <w:sz w:val="16"/>
          <w:szCs w:val="16"/>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obtain, accelerate and strengthen the Company’s entry into the printer market, leverage its portfolio of complementary technology, obtain important printer systems level knowledge and strengthen the Company’s relationship with the only customer of the products. These factors contributed to a purchase price that was in excess of the fair</w:t>
      </w:r>
    </w:p>
    <w:p>
      <w:pPr>
        <w:sectPr>
          <w:pgSz w:w="11900" w:h="16931" w:orient="portrait"/>
          <w:cols w:equalWidth="0" w:num="1">
            <w:col w:w="11400"/>
          </w:cols>
          <w:pgMar w:left="240" w:top="125" w:right="259" w:bottom="0" w:gutter="0" w:footer="0" w:header="0"/>
        </w:sectPr>
      </w:pPr>
    </w:p>
    <w:bookmarkStart w:id="19" w:name="page20"/>
    <w:bookmarkEnd w:id="19"/>
    <w:p>
      <w:pPr>
        <w:spacing w:after="0" w:line="45"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value of the Avago Business net tangible and intangible assets acquired. The Company recorded goodwill, which is not deductible for tax purposes, in connection with this transaction.</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0" w:firstLine="324"/>
        <w:spacing w:after="0" w:line="264" w:lineRule="auto"/>
        <w:rPr>
          <w:sz w:val="20"/>
          <w:szCs w:val="20"/>
          <w:color w:val="auto"/>
        </w:rPr>
      </w:pPr>
      <w:r>
        <w:rPr>
          <w:rFonts w:ascii="Arial" w:cs="Arial" w:eastAsia="Arial" w:hAnsi="Arial"/>
          <w:sz w:val="18"/>
          <w:szCs w:val="18"/>
          <w:color w:val="auto"/>
        </w:rPr>
        <w:t>Under the terms of the agreement, the Company paid $251.5 million in cash at the acquisition date and may pay up to an additional $35.0 million in cash if certain defined milestones are achieved subsequent to the acquisition date. The purchase price of the acquisition was $254.9 million and was determined as follows (in thousands):</w:t>
      </w:r>
    </w:p>
    <w:p>
      <w:pPr>
        <w:spacing w:after="0" w:line="196"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251,509</w:t>
            </w:r>
          </w:p>
        </w:tc>
        <w:tc>
          <w:tcPr>
            <w:tcW w:w="60" w:type="dxa"/>
            <w:vAlign w:val="bottom"/>
            <w:shd w:val="clear" w:color="auto" w:fill="CCEEFF"/>
          </w:tcPr>
          <w:p>
            <w:pPr>
              <w:spacing w:after="0"/>
              <w:rPr>
                <w:sz w:val="18"/>
                <w:szCs w:val="18"/>
                <w:color w:val="auto"/>
              </w:rPr>
            </w:pPr>
          </w:p>
        </w:tc>
      </w:tr>
      <w:tr>
        <w:trPr>
          <w:trHeight w:val="216"/>
        </w:trPr>
        <w:tc>
          <w:tcPr>
            <w:tcW w:w="67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Estimated transaction costs</w:t>
            </w:r>
          </w:p>
        </w:tc>
        <w:tc>
          <w:tcPr>
            <w:tcW w:w="2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c>
          <w:tcPr>
            <w:tcW w:w="60" w:type="dxa"/>
            <w:vAlign w:val="bottom"/>
            <w:tcBorders>
              <w:bottom w:val="single" w:sz="8" w:color="CCEEFF"/>
            </w:tcBorders>
          </w:tcPr>
          <w:p>
            <w:pPr>
              <w:spacing w:after="0"/>
              <w:rPr>
                <w:sz w:val="18"/>
                <w:szCs w:val="18"/>
                <w:color w:val="auto"/>
              </w:rPr>
            </w:pPr>
          </w:p>
        </w:tc>
      </w:tr>
      <w:tr>
        <w:trPr>
          <w:trHeight w:val="210"/>
        </w:trPr>
        <w:tc>
          <w:tcPr>
            <w:tcW w:w="67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254,897</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7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ind w:right="260" w:firstLine="324"/>
        <w:spacing w:after="0" w:line="264" w:lineRule="auto"/>
        <w:rPr>
          <w:sz w:val="20"/>
          <w:szCs w:val="20"/>
          <w:color w:val="auto"/>
        </w:rPr>
      </w:pPr>
      <w:r>
        <w:rPr>
          <w:rFonts w:ascii="Arial" w:cs="Arial" w:eastAsia="Arial" w:hAnsi="Arial"/>
          <w:sz w:val="18"/>
          <w:szCs w:val="18"/>
          <w:color w:val="auto"/>
        </w:rPr>
        <w:t>In the third quarter of fiscal 2007, the Company recorded additional purchase consideration of $10.0 million upon the achievement of certain levels of revenue of the past year. The remaining contingent consideration of up to $25.0 million is still outstanding and may result in the recognition of additional purchase consideration in the future.</w:t>
      </w:r>
    </w:p>
    <w:p>
      <w:pPr>
        <w:spacing w:after="0" w:line="181"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adjusted, as follows (in thousands):</w:t>
      </w:r>
    </w:p>
    <w:p>
      <w:pPr>
        <w:spacing w:after="0" w:line="185" w:lineRule="exact"/>
        <w:rPr>
          <w:sz w:val="20"/>
          <w:szCs w:val="20"/>
          <w:color w:val="auto"/>
        </w:rPr>
      </w:pPr>
    </w:p>
    <w:tbl>
      <w:tblPr>
        <w:tblLayout w:type="fixed"/>
        <w:tblInd w:w="720" w:type="dxa"/>
        <w:tblCellMar>
          <w:top w:w="0" w:type="dxa"/>
          <w:left w:w="0" w:type="dxa"/>
          <w:bottom w:w="0" w:type="dxa"/>
          <w:right w:w="0" w:type="dxa"/>
        </w:tblCellMar>
      </w:tblP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80" w:type="dxa"/>
            <w:vAlign w:val="bottom"/>
            <w:shd w:val="clear" w:color="auto" w:fill="CCEEFF"/>
          </w:tcPr>
          <w:p>
            <w:pPr>
              <w:spacing w:after="0"/>
              <w:rPr>
                <w:sz w:val="18"/>
                <w:szCs w:val="18"/>
                <w:color w:val="auto"/>
              </w:rPr>
            </w:pP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Current assets</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1,261</w:t>
            </w:r>
          </w:p>
        </w:tc>
        <w:tc>
          <w:tcPr>
            <w:tcW w:w="8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925</w:t>
            </w:r>
          </w:p>
        </w:tc>
        <w:tc>
          <w:tcPr>
            <w:tcW w:w="80" w:type="dxa"/>
            <w:vAlign w:val="bottom"/>
            <w:shd w:val="clear" w:color="auto" w:fill="CCEEFF"/>
          </w:tcPr>
          <w:p>
            <w:pPr>
              <w:spacing w:after="0"/>
              <w:rPr>
                <w:sz w:val="18"/>
                <w:szCs w:val="18"/>
                <w:color w:val="auto"/>
              </w:rPr>
            </w:pP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23,896</w:t>
            </w:r>
          </w:p>
        </w:tc>
        <w:tc>
          <w:tcPr>
            <w:tcW w:w="8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Fixed assets</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14,322</w:t>
            </w:r>
          </w:p>
        </w:tc>
        <w:tc>
          <w:tcPr>
            <w:tcW w:w="80" w:type="dxa"/>
            <w:vAlign w:val="bottom"/>
            <w:shd w:val="clear" w:color="auto" w:fill="CCEEFF"/>
          </w:tcPr>
          <w:p>
            <w:pPr>
              <w:spacing w:after="0"/>
              <w:rPr>
                <w:sz w:val="18"/>
                <w:szCs w:val="18"/>
                <w:color w:val="auto"/>
              </w:rPr>
            </w:pP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Other current assets</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2,750</w:t>
            </w:r>
          </w:p>
        </w:tc>
        <w:tc>
          <w:tcPr>
            <w:tcW w:w="8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(12,541)</w:t>
            </w: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Accrued employee benefits</w:t>
            </w:r>
          </w:p>
        </w:tc>
        <w:tc>
          <w:tcPr>
            <w:tcW w:w="16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(3,998)</w:t>
            </w:r>
          </w:p>
        </w:tc>
      </w:tr>
      <w:tr>
        <w:trPr>
          <w:trHeight w:val="210"/>
        </w:trPr>
        <w:tc>
          <w:tcPr>
            <w:tcW w:w="68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28,486</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68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80" w:type="dxa"/>
            <w:vAlign w:val="bottom"/>
            <w:shd w:val="clear" w:color="auto" w:fill="CCEEFF"/>
          </w:tcPr>
          <w:p>
            <w:pPr>
              <w:spacing w:after="0"/>
              <w:rPr>
                <w:sz w:val="18"/>
                <w:szCs w:val="18"/>
                <w:color w:val="auto"/>
              </w:rPr>
            </w:pPr>
          </w:p>
        </w:tc>
      </w:tr>
      <w:tr>
        <w:trPr>
          <w:trHeight w:val="216"/>
        </w:trPr>
        <w:tc>
          <w:tcPr>
            <w:tcW w:w="682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40,200</w:t>
            </w:r>
          </w:p>
        </w:tc>
        <w:tc>
          <w:tcPr>
            <w:tcW w:w="80" w:type="dxa"/>
            <w:vAlign w:val="bottom"/>
          </w:tcPr>
          <w:p>
            <w:pPr>
              <w:spacing w:after="0"/>
              <w:rPr>
                <w:sz w:val="18"/>
                <w:szCs w:val="18"/>
                <w:color w:val="auto"/>
              </w:rPr>
            </w:pPr>
          </w:p>
        </w:tc>
      </w:tr>
      <w:tr>
        <w:trPr>
          <w:trHeight w:val="216"/>
        </w:trPr>
        <w:tc>
          <w:tcPr>
            <w:tcW w:w="6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80" w:type="dxa"/>
            <w:vAlign w:val="bottom"/>
            <w:shd w:val="clear" w:color="auto" w:fill="CCEEFF"/>
          </w:tcPr>
          <w:p>
            <w:pPr>
              <w:spacing w:after="0"/>
              <w:rPr>
                <w:sz w:val="18"/>
                <w:szCs w:val="18"/>
                <w:color w:val="auto"/>
              </w:rPr>
            </w:pPr>
          </w:p>
        </w:tc>
      </w:tr>
      <w:tr>
        <w:trPr>
          <w:trHeight w:val="216"/>
        </w:trPr>
        <w:tc>
          <w:tcPr>
            <w:tcW w:w="68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1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77,011</w:t>
            </w:r>
          </w:p>
        </w:tc>
        <w:tc>
          <w:tcPr>
            <w:tcW w:w="80" w:type="dxa"/>
            <w:vAlign w:val="bottom"/>
            <w:tcBorders>
              <w:bottom w:val="single" w:sz="8" w:color="CCEEFF"/>
            </w:tcBorders>
          </w:tcPr>
          <w:p>
            <w:pPr>
              <w:spacing w:after="0"/>
              <w:rPr>
                <w:sz w:val="18"/>
                <w:szCs w:val="18"/>
                <w:color w:val="auto"/>
              </w:rPr>
            </w:pPr>
          </w:p>
        </w:tc>
      </w:tr>
      <w:tr>
        <w:trPr>
          <w:trHeight w:val="210"/>
        </w:trPr>
        <w:tc>
          <w:tcPr>
            <w:tcW w:w="68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purchase price allocation</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254,897</w:t>
            </w:r>
          </w:p>
        </w:tc>
        <w:tc>
          <w:tcPr>
            <w:tcW w:w="80" w:type="dxa"/>
            <w:vAlign w:val="bottom"/>
            <w:tcBorders>
              <w:bottom w:val="single" w:sz="8" w:color="CCEEFF"/>
            </w:tcBorders>
            <w:shd w:val="clear" w:color="auto" w:fill="CCEEFF"/>
          </w:tcPr>
          <w:p>
            <w:pPr>
              <w:spacing w:after="0"/>
              <w:rPr>
                <w:sz w:val="18"/>
                <w:szCs w:val="18"/>
                <w:color w:val="auto"/>
              </w:rPr>
            </w:pPr>
          </w:p>
        </w:tc>
      </w:tr>
      <w:tr>
        <w:trPr>
          <w:trHeight w:val="20"/>
        </w:trPr>
        <w:tc>
          <w:tcPr>
            <w:tcW w:w="68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three to six years are:</w:t>
      </w:r>
    </w:p>
    <w:p>
      <w:pPr>
        <w:spacing w:after="0" w:line="14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12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Estimated</w:t>
            </w:r>
          </w:p>
        </w:tc>
        <w:tc>
          <w:tcPr>
            <w:tcW w:w="10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5"/>
              </w:rPr>
              <w:t>Estimated Fair</w:t>
            </w:r>
          </w:p>
        </w:tc>
        <w:tc>
          <w:tcPr>
            <w:tcW w:w="0" w:type="dxa"/>
            <w:vAlign w:val="bottom"/>
          </w:tcPr>
          <w:p>
            <w:pPr>
              <w:spacing w:after="0"/>
              <w:rPr>
                <w:sz w:val="1"/>
                <w:szCs w:val="1"/>
                <w:color w:val="auto"/>
              </w:rPr>
            </w:pPr>
          </w:p>
        </w:tc>
      </w:tr>
      <w:tr>
        <w:trPr>
          <w:trHeight w:val="135"/>
        </w:trPr>
        <w:tc>
          <w:tcPr>
            <w:tcW w:w="4020" w:type="dxa"/>
            <w:vAlign w:val="bottom"/>
          </w:tcPr>
          <w:p>
            <w:pPr>
              <w:spacing w:after="0"/>
              <w:rPr>
                <w:sz w:val="11"/>
                <w:szCs w:val="11"/>
                <w:color w:val="auto"/>
              </w:rPr>
            </w:pPr>
          </w:p>
        </w:tc>
        <w:tc>
          <w:tcPr>
            <w:tcW w:w="12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Remaining</w:t>
            </w:r>
          </w:p>
        </w:tc>
        <w:tc>
          <w:tcPr>
            <w:tcW w:w="10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020" w:type="dxa"/>
            <w:vAlign w:val="bottom"/>
          </w:tcPr>
          <w:p>
            <w:pPr>
              <w:spacing w:after="0"/>
              <w:rPr>
                <w:sz w:val="14"/>
                <w:szCs w:val="14"/>
                <w:color w:val="auto"/>
              </w:rPr>
            </w:pPr>
          </w:p>
        </w:tc>
        <w:tc>
          <w:tcPr>
            <w:tcW w:w="12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220" w:type="dxa"/>
            <w:vAlign w:val="bottom"/>
          </w:tcPr>
          <w:p>
            <w:pPr>
              <w:spacing w:after="0"/>
              <w:rPr>
                <w:sz w:val="14"/>
                <w:szCs w:val="14"/>
                <w:color w:val="auto"/>
              </w:rPr>
            </w:pPr>
          </w:p>
        </w:tc>
        <w:tc>
          <w:tcPr>
            <w:tcW w:w="8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020" w:type="dxa"/>
            <w:vAlign w:val="bottom"/>
          </w:tcPr>
          <w:p>
            <w:pPr>
              <w:spacing w:after="0"/>
              <w:rPr>
                <w:sz w:val="11"/>
                <w:szCs w:val="11"/>
                <w:color w:val="auto"/>
              </w:rPr>
            </w:pPr>
          </w:p>
        </w:tc>
        <w:tc>
          <w:tcPr>
            <w:tcW w:w="10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10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9"/>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22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8"/>
              </w:rPr>
              <w:t>3 to 4</w:t>
            </w:r>
          </w:p>
        </w:tc>
        <w:tc>
          <w:tcPr>
            <w:tcW w:w="22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Core technology</w:t>
            </w:r>
          </w:p>
        </w:tc>
        <w:tc>
          <w:tcPr>
            <w:tcW w:w="1220" w:type="dxa"/>
            <w:vAlign w:val="bottom"/>
            <w:gridSpan w:val="2"/>
          </w:tcPr>
          <w:p>
            <w:pPr>
              <w:jc w:val="center"/>
              <w:ind w:right="220"/>
              <w:spacing w:after="0"/>
              <w:rPr>
                <w:sz w:val="20"/>
                <w:szCs w:val="20"/>
                <w:color w:val="auto"/>
              </w:rPr>
            </w:pPr>
            <w:r>
              <w:rPr>
                <w:rFonts w:ascii="Arial" w:cs="Arial" w:eastAsia="Arial" w:hAnsi="Arial"/>
                <w:sz w:val="18"/>
                <w:szCs w:val="18"/>
                <w:color w:val="auto"/>
                <w:w w:val="88"/>
              </w:rPr>
              <w:t>3 to 6</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40,200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5</w:t>
            </w:r>
          </w:p>
        </w:tc>
        <w:tc>
          <w:tcPr>
            <w:tcW w:w="2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20" w:type="dxa"/>
            <w:vAlign w:val="bottom"/>
          </w:tcPr>
          <w:p>
            <w:pPr>
              <w:spacing w:after="0"/>
              <w:rPr>
                <w:sz w:val="20"/>
                <w:szCs w:val="20"/>
                <w:color w:val="auto"/>
              </w:rPr>
            </w:pPr>
            <w:r>
              <w:rPr>
                <w:rFonts w:ascii="Arial" w:cs="Arial" w:eastAsia="Arial" w:hAnsi="Arial"/>
                <w:sz w:val="18"/>
                <w:szCs w:val="18"/>
                <w:color w:val="auto"/>
              </w:rPr>
              <w:t>Total intangible assets acquired</w:t>
            </w:r>
          </w:p>
        </w:tc>
        <w:tc>
          <w:tcPr>
            <w:tcW w:w="10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Borders>
              <w:bottom w:val="single" w:sz="8" w:color="auto"/>
            </w:tcBorders>
          </w:tcPr>
          <w:p>
            <w:pPr>
              <w:jc w:val="right"/>
              <w:ind w:right="39"/>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149,400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ind w:right="120" w:firstLine="324"/>
        <w:spacing w:after="0" w:line="312" w:lineRule="auto"/>
        <w:rPr>
          <w:sz w:val="20"/>
          <w:szCs w:val="20"/>
          <w:color w:val="auto"/>
        </w:rPr>
      </w:pPr>
      <w:r>
        <w:rPr>
          <w:rFonts w:ascii="Arial" w:cs="Arial" w:eastAsia="Arial" w:hAnsi="Arial"/>
          <w:sz w:val="16"/>
          <w:szCs w:val="16"/>
          <w:color w:val="auto"/>
        </w:rPr>
        <w:t>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w:t>
      </w:r>
    </w:p>
    <w:p>
      <w:pPr>
        <w:spacing w:after="0" w:line="147"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developed technology, 4.9 years for core technology and 5.0 years for customer relationships.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results of operations of the UTStarcom Business and Avago Business have been included in the Company’s consolidated statements of operations since their respective acquisition completion date of February 16, 2006 and May 1, 2006. The following unaudited pro forma information presents a summary of the results of operations of the Company assuming the acquisitions of the UTStarcom Business and Avago Business occurred at the beginning of the period presented (in thousands, except for per share amounts):</w:t>
      </w:r>
    </w:p>
    <w:p>
      <w:pPr>
        <w:spacing w:after="0" w:line="148" w:lineRule="exact"/>
        <w:rPr>
          <w:sz w:val="20"/>
          <w:szCs w:val="20"/>
          <w:color w:val="auto"/>
        </w:rPr>
      </w:pPr>
    </w:p>
    <w:tbl>
      <w:tblPr>
        <w:tblLayout w:type="fixed"/>
        <w:tblInd w:w="5000" w:type="dxa"/>
        <w:tblCellMar>
          <w:top w:w="0" w:type="dxa"/>
          <w:left w:w="0" w:type="dxa"/>
          <w:bottom w:w="0" w:type="dxa"/>
          <w:right w:w="0" w:type="dxa"/>
        </w:tblCellMar>
      </w:tblPr>
      <w:tr>
        <w:trPr>
          <w:trHeight w:val="161"/>
        </w:trPr>
        <w:tc>
          <w:tcPr>
            <w:tcW w:w="12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Six Months</w:t>
            </w:r>
          </w:p>
        </w:tc>
        <w:tc>
          <w:tcPr>
            <w:tcW w:w="12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Three Months</w:t>
            </w:r>
          </w:p>
        </w:tc>
        <w:tc>
          <w:tcPr>
            <w:tcW w:w="1020" w:type="dxa"/>
            <w:vAlign w:val="bottom"/>
          </w:tcPr>
          <w:p>
            <w:pPr>
              <w:jc w:val="center"/>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12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 July 29,</w:t>
            </w:r>
          </w:p>
        </w:tc>
        <w:tc>
          <w:tcPr>
            <w:tcW w:w="12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Ended July 30,</w:t>
            </w:r>
          </w:p>
        </w:tc>
        <w:tc>
          <w:tcPr>
            <w:tcW w:w="10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3"/>
              </w:rPr>
              <w:t>Ended July 30,</w:t>
            </w:r>
          </w:p>
        </w:tc>
      </w:tr>
      <w:tr>
        <w:trPr>
          <w:trHeight w:val="162"/>
        </w:trPr>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r>
      <w:tr>
        <w:trPr>
          <w:trHeight w:val="129"/>
        </w:trPr>
        <w:tc>
          <w:tcPr>
            <w:tcW w:w="10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0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10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r>
    </w:tbl>
    <w:p>
      <w:pPr>
        <w:spacing w:after="0" w:line="9" w:lineRule="exact"/>
        <w:rPr>
          <w:sz w:val="20"/>
          <w:szCs w:val="20"/>
          <w:color w:val="auto"/>
        </w:rPr>
      </w:pPr>
    </w:p>
    <w:p>
      <w:pPr>
        <w:sectPr>
          <w:pgSz w:w="11900" w:h="16884" w:orient="portrait"/>
          <w:cols w:equalWidth="0" w:num="1">
            <w:col w:w="11400"/>
          </w:cols>
          <w:pgMar w:left="240" w:top="125" w:right="259" w:bottom="0" w:gutter="0" w:footer="0" w:header="0"/>
        </w:sectPr>
      </w:pPr>
    </w:p>
    <w:tbl>
      <w:tblPr>
        <w:tblLayout w:type="fixed"/>
        <w:tblInd w:w="720" w:type="dxa"/>
        <w:tblCellMar>
          <w:top w:w="0" w:type="dxa"/>
          <w:left w:w="0" w:type="dxa"/>
          <w:bottom w:w="0" w:type="dxa"/>
          <w:right w:w="0" w:type="dxa"/>
        </w:tblCellMar>
      </w:tblPr>
      <w:tr>
        <w:trPr>
          <w:trHeight w:val="207"/>
        </w:trPr>
        <w:tc>
          <w:tcPr>
            <w:tcW w:w="31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3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1,133,181</w:t>
            </w:r>
          </w:p>
        </w:tc>
        <w:tc>
          <w:tcPr>
            <w:tcW w:w="3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420,670</w:t>
            </w:r>
          </w:p>
        </w:tc>
        <w:tc>
          <w:tcPr>
            <w:tcW w:w="3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818,366</w:t>
            </w:r>
          </w:p>
        </w:tc>
      </w:tr>
      <w:tr>
        <w:trPr>
          <w:trHeight w:val="216"/>
        </w:trPr>
        <w:tc>
          <w:tcPr>
            <w:tcW w:w="3120" w:type="dxa"/>
            <w:vAlign w:val="bottom"/>
          </w:tcPr>
          <w:p>
            <w:pPr>
              <w:spacing w:after="0"/>
              <w:rPr>
                <w:sz w:val="20"/>
                <w:szCs w:val="20"/>
                <w:color w:val="auto"/>
              </w:rPr>
            </w:pPr>
            <w:r>
              <w:rPr>
                <w:rFonts w:ascii="Arial" w:cs="Arial" w:eastAsia="Arial" w:hAnsi="Arial"/>
                <w:sz w:val="18"/>
                <w:szCs w:val="18"/>
                <w:color w:val="auto"/>
              </w:rPr>
              <w:t>Net income</w:t>
            </w:r>
          </w:p>
        </w:tc>
        <w:tc>
          <w:tcPr>
            <w:tcW w:w="134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0"/>
              <w:spacing w:after="0"/>
              <w:rPr>
                <w:sz w:val="20"/>
                <w:szCs w:val="20"/>
                <w:color w:val="auto"/>
              </w:rPr>
            </w:pPr>
            <w:r>
              <w:rPr>
                <w:rFonts w:ascii="Arial" w:cs="Arial" w:eastAsia="Arial" w:hAnsi="Arial"/>
                <w:sz w:val="18"/>
                <w:szCs w:val="18"/>
                <w:color w:val="auto"/>
              </w:rPr>
              <w:t>110,003</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27,544</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63,915</w:t>
            </w:r>
          </w:p>
        </w:tc>
      </w:tr>
      <w:tr>
        <w:trPr>
          <w:trHeight w:val="216"/>
        </w:trPr>
        <w:tc>
          <w:tcPr>
            <w:tcW w:w="31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3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0.19</w:t>
            </w:r>
          </w:p>
        </w:tc>
        <w:tc>
          <w:tcPr>
            <w:tcW w:w="3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0.05</w:t>
            </w:r>
          </w:p>
        </w:tc>
        <w:tc>
          <w:tcPr>
            <w:tcW w:w="3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r>
    </w:tbl>
    <w:p>
      <w:pPr>
        <w:sectPr>
          <w:pgSz w:w="11900" w:h="16884" w:orient="portrait"/>
          <w:cols w:equalWidth="0" w:num="1">
            <w:col w:w="11400"/>
          </w:cols>
          <w:pgMar w:left="240" w:top="125" w:right="259" w:bottom="0" w:gutter="0" w:footer="0" w:header="0"/>
          <w:type w:val="continuous"/>
        </w:sectPr>
      </w:pPr>
    </w:p>
    <w:bookmarkStart w:id="20" w:name="page21"/>
    <w:bookmarkEnd w:id="20"/>
    <w:p>
      <w:pPr>
        <w:ind w:left="720"/>
        <w:spacing w:after="0"/>
        <w:tabs>
          <w:tab w:leader="none" w:pos="4980" w:val="left"/>
          <w:tab w:leader="none" w:pos="5660" w:val="left"/>
          <w:tab w:leader="none" w:pos="6200" w:val="left"/>
          <w:tab w:leader="none" w:pos="6900" w:val="left"/>
          <w:tab w:leader="none" w:pos="7440" w:val="left"/>
          <w:tab w:leader="none" w:pos="8120" w:val="left"/>
        </w:tabs>
        <w:rPr>
          <w:sz w:val="20"/>
          <w:szCs w:val="20"/>
          <w:color w:val="auto"/>
        </w:rPr>
      </w:pPr>
      <w:r>
        <w:rPr>
          <w:rFonts w:ascii="Arial" w:cs="Arial" w:eastAsia="Arial" w:hAnsi="Arial"/>
          <w:sz w:val="18"/>
          <w:szCs w:val="18"/>
          <w:color w:val="auto"/>
        </w:rPr>
        <w:t>Diluted net income per share</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0.17</w:t>
        <w:tab/>
        <w:t>$</w:t>
      </w:r>
      <w:r>
        <w:rPr>
          <w:sz w:val="20"/>
          <w:szCs w:val="20"/>
          <w:color w:val="auto"/>
        </w:rPr>
        <w:tab/>
      </w:r>
      <w:r>
        <w:rPr>
          <w:rFonts w:ascii="Arial" w:cs="Arial" w:eastAsia="Arial" w:hAnsi="Arial"/>
          <w:sz w:val="18"/>
          <w:szCs w:val="18"/>
          <w:color w:val="auto"/>
        </w:rPr>
        <w:t>0.04</w:t>
        <w:tab/>
        <w:t>$</w:t>
      </w:r>
      <w:r>
        <w:rPr>
          <w:sz w:val="20"/>
          <w:szCs w:val="20"/>
          <w:color w:val="auto"/>
        </w:rPr>
        <w:tab/>
      </w:r>
      <w:r>
        <w:rPr>
          <w:rFonts w:ascii="Arial" w:cs="Arial" w:eastAsia="Arial" w:hAnsi="Arial"/>
          <w:sz w:val="16"/>
          <w:szCs w:val="16"/>
          <w:color w:val="auto"/>
        </w:rPr>
        <w:t>0.10</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Other acquisition</w:t>
      </w:r>
    </w:p>
    <w:p>
      <w:pPr>
        <w:spacing w:after="0" w:line="225" w:lineRule="exact"/>
        <w:rPr>
          <w:sz w:val="20"/>
          <w:szCs w:val="20"/>
          <w:color w:val="auto"/>
        </w:rPr>
      </w:pPr>
    </w:p>
    <w:p>
      <w:pPr>
        <w:ind w:right="60" w:firstLine="324"/>
        <w:spacing w:after="0" w:line="302" w:lineRule="auto"/>
        <w:rPr>
          <w:sz w:val="20"/>
          <w:szCs w:val="20"/>
          <w:color w:val="auto"/>
        </w:rPr>
      </w:pPr>
      <w:r>
        <w:rPr>
          <w:rFonts w:ascii="Arial" w:cs="Arial" w:eastAsia="Arial" w:hAnsi="Arial"/>
          <w:sz w:val="16"/>
          <w:szCs w:val="16"/>
          <w:color w:val="auto"/>
        </w:rPr>
        <w:t>During the second quarter of fiscal 2007, the Company completed the acquisition of the assets of a division of an unrelated company for a purchase price of $7.3 million. Under the purchase method of accounting, the total purchase price was allocated to net tangible and intangible assets based on their fair values as of the date of the completion of the respective acquisitions. The Company recorded acquired net tangible assets of $0.4 million, amortizable intangible assets of $2.9 million and goodwill of $4.0 million. The intangible assets are being amortized over their useful lives ranging from one to six years.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Facilities Consolidation Charge</w:t>
      </w:r>
    </w:p>
    <w:p>
      <w:pPr>
        <w:spacing w:after="0" w:line="229" w:lineRule="exact"/>
        <w:rPr>
          <w:sz w:val="20"/>
          <w:szCs w:val="20"/>
          <w:color w:val="auto"/>
        </w:rPr>
      </w:pPr>
    </w:p>
    <w:p>
      <w:pPr>
        <w:ind w:right="140" w:firstLine="648"/>
        <w:spacing w:after="0" w:line="288"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(“2003 facilities consolidation”) of which $6.0 million related to non-cash charges. As of July 29, 2006, cash payments of $10.3 million, net of sublease income, had been made in connection with these charges. Approximately $3.2 million is accrued for the facilities consolidation charge as of July 29, 2006, of which</w:t>
      </w:r>
    </w:p>
    <w:p>
      <w:pPr>
        <w:ind w:right="180"/>
        <w:spacing w:after="0" w:line="261" w:lineRule="auto"/>
        <w:rPr>
          <w:sz w:val="20"/>
          <w:szCs w:val="20"/>
          <w:color w:val="auto"/>
        </w:rPr>
      </w:pPr>
      <w:r>
        <w:rPr>
          <w:rFonts w:ascii="Arial" w:cs="Arial" w:eastAsia="Arial" w:hAnsi="Arial"/>
          <w:sz w:val="18"/>
          <w:szCs w:val="18"/>
          <w:color w:val="auto"/>
        </w:rPr>
        <w:t>$0.7 million represents the current portion and is included in accrued liabilities. The long-term portion totaling $2.5 million is payable through 2010, and is included in other long-term liabilities.</w:t>
      </w:r>
    </w:p>
    <w:p>
      <w:pPr>
        <w:spacing w:after="0" w:line="184"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Activities of accrued losses related to the 2003 facilities consolidation during the six months ended July 29, 2006 were as follows (in thousands):</w:t>
      </w:r>
    </w:p>
    <w:p>
      <w:pPr>
        <w:spacing w:after="0" w:line="21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59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 July</w:t>
            </w:r>
          </w:p>
        </w:tc>
      </w:tr>
      <w:tr>
        <w:trPr>
          <w:trHeight w:val="162"/>
        </w:trPr>
        <w:tc>
          <w:tcPr>
            <w:tcW w:w="59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1"/>
              </w:rPr>
              <w:t>29, 2006</w:t>
            </w:r>
          </w:p>
        </w:tc>
        <w:tc>
          <w:tcPr>
            <w:tcW w:w="100" w:type="dxa"/>
            <w:vAlign w:val="bottom"/>
            <w:tcBorders>
              <w:bottom w:val="single" w:sz="8" w:color="CCEEFF"/>
            </w:tcBorders>
          </w:tcPr>
          <w:p>
            <w:pPr>
              <w:spacing w:after="0"/>
              <w:rPr>
                <w:sz w:val="14"/>
                <w:szCs w:val="14"/>
                <w:color w:val="auto"/>
              </w:rPr>
            </w:pPr>
          </w:p>
        </w:tc>
      </w:tr>
      <w:tr>
        <w:trPr>
          <w:trHeight w:val="210"/>
        </w:trPr>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3,578</w:t>
            </w:r>
          </w:p>
        </w:tc>
        <w:tc>
          <w:tcPr>
            <w:tcW w:w="100" w:type="dxa"/>
            <w:vAlign w:val="bottom"/>
            <w:shd w:val="clear" w:color="auto" w:fill="CCEEFF"/>
          </w:tcPr>
          <w:p>
            <w:pPr>
              <w:spacing w:after="0"/>
              <w:rPr>
                <w:sz w:val="18"/>
                <w:szCs w:val="18"/>
                <w:color w:val="auto"/>
              </w:rPr>
            </w:pPr>
          </w:p>
        </w:tc>
      </w:tr>
      <w:tr>
        <w:trPr>
          <w:trHeight w:val="216"/>
        </w:trPr>
        <w:tc>
          <w:tcPr>
            <w:tcW w:w="5900" w:type="dxa"/>
            <w:vAlign w:val="bottom"/>
          </w:tcPr>
          <w:p>
            <w:pPr>
              <w:ind w:left="180"/>
              <w:spacing w:after="0"/>
              <w:rPr>
                <w:sz w:val="20"/>
                <w:szCs w:val="20"/>
                <w:color w:val="auto"/>
              </w:rPr>
            </w:pPr>
            <w:r>
              <w:rPr>
                <w:rFonts w:ascii="Arial" w:cs="Arial" w:eastAsia="Arial" w:hAnsi="Arial"/>
                <w:sz w:val="18"/>
                <w:szCs w:val="18"/>
                <w:color w:val="auto"/>
              </w:rPr>
              <w:t>Net cash payments</w:t>
            </w:r>
          </w:p>
        </w:tc>
        <w:tc>
          <w:tcPr>
            <w:tcW w:w="120" w:type="dxa"/>
            <w:vAlign w:val="bottom"/>
          </w:tcPr>
          <w:p>
            <w:pPr>
              <w:spacing w:after="0"/>
              <w:rPr>
                <w:sz w:val="18"/>
                <w:szCs w:val="18"/>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(362)</w:t>
            </w:r>
          </w:p>
        </w:tc>
      </w:tr>
      <w:tr>
        <w:trPr>
          <w:trHeight w:val="216"/>
        </w:trPr>
        <w:tc>
          <w:tcPr>
            <w:tcW w:w="5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Non-cash charges</w:t>
            </w: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0"/>
        </w:trPr>
        <w:tc>
          <w:tcPr>
            <w:tcW w:w="5900" w:type="dxa"/>
            <w:vAlign w:val="bottom"/>
          </w:tcPr>
          <w:p>
            <w:pPr>
              <w:spacing w:after="0"/>
              <w:rPr>
                <w:sz w:val="20"/>
                <w:szCs w:val="20"/>
                <w:color w:val="auto"/>
              </w:rPr>
            </w:pPr>
            <w:r>
              <w:rPr>
                <w:rFonts w:ascii="Arial" w:cs="Arial" w:eastAsia="Arial" w:hAnsi="Arial"/>
                <w:sz w:val="18"/>
                <w:szCs w:val="18"/>
                <w:color w:val="auto"/>
              </w:rPr>
              <w:t>Ending balance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3,216</w:t>
            </w:r>
          </w:p>
        </w:tc>
        <w:tc>
          <w:tcPr>
            <w:tcW w:w="100" w:type="dxa"/>
            <w:vAlign w:val="bottom"/>
          </w:tcPr>
          <w:p>
            <w:pPr>
              <w:spacing w:after="0"/>
              <w:rPr>
                <w:sz w:val="18"/>
                <w:szCs w:val="18"/>
                <w:color w:val="auto"/>
              </w:rPr>
            </w:pPr>
          </w:p>
        </w:tc>
      </w:tr>
      <w:tr>
        <w:trPr>
          <w:trHeight w:val="20"/>
        </w:trPr>
        <w:tc>
          <w:tcPr>
            <w:tcW w:w="59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Recent Accounting Pronouncements</w:t>
      </w:r>
    </w:p>
    <w:p>
      <w:pPr>
        <w:spacing w:after="0" w:line="229"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93"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requisite service period. The Company currently accrues the cost of compensated absences for sabbatical programs when the eligible employee completes the requisite service period. The Company is required to apply the 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The Company is currently evaluating the financial impact of this guidance and the method of adoption which will be used.</w:t>
      </w:r>
    </w:p>
    <w:p>
      <w:pPr>
        <w:spacing w:after="0" w:line="189" w:lineRule="exact"/>
        <w:rPr>
          <w:sz w:val="20"/>
          <w:szCs w:val="20"/>
          <w:color w:val="auto"/>
        </w:rPr>
      </w:pPr>
    </w:p>
    <w:p>
      <w:pPr>
        <w:ind w:right="300" w:firstLine="324"/>
        <w:spacing w:after="0" w:line="255"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opening retained earnings. The Company has evaluated the impact of adopting FIN 48 and determined that there was no material impact in its consolidated financial statements.</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6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The Company is currently evaluating the impact of SFAS 157 on its consolidated financial statements.</w:t>
      </w:r>
    </w:p>
    <w:p>
      <w:pPr>
        <w:spacing w:after="0" w:line="187"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The Company is currently evaluating the impact of SAB 108 on its consolidated financial statements.</w:t>
      </w:r>
    </w:p>
    <w:p>
      <w:pPr>
        <w:spacing w:after="0" w:line="181"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Commitments and Contingencies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Warranty Obligations</w:t>
      </w:r>
    </w:p>
    <w:p>
      <w:pPr>
        <w:sectPr>
          <w:pgSz w:w="11900" w:h="16838" w:orient="portrait"/>
          <w:cols w:equalWidth="0" w:num="1">
            <w:col w:w="11420"/>
          </w:cols>
          <w:pgMar w:left="240" w:top="125" w:right="239" w:bottom="144" w:gutter="0" w:footer="0" w:header="0"/>
        </w:sectPr>
      </w:pPr>
    </w:p>
    <w:bookmarkStart w:id="21" w:name="page22"/>
    <w:bookmarkEnd w:id="21"/>
    <w:p>
      <w:pPr>
        <w:ind w:right="80" w:firstLine="324"/>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and six months ended July 29, 2006 and July 30, 2005 (in thousands):</w:t>
      </w:r>
    </w:p>
    <w:p>
      <w:pPr>
        <w:spacing w:after="0" w:line="149"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39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20" w:type="dxa"/>
            <w:vAlign w:val="bottom"/>
            <w:gridSpan w:val="6"/>
          </w:tcPr>
          <w:p>
            <w:pPr>
              <w:jc w:val="right"/>
              <w:ind w:right="320"/>
              <w:spacing w:after="0"/>
              <w:rPr>
                <w:sz w:val="20"/>
                <w:szCs w:val="20"/>
                <w:color w:val="auto"/>
              </w:rPr>
            </w:pPr>
            <w:r>
              <w:rPr>
                <w:rFonts w:ascii="Arial" w:cs="Arial" w:eastAsia="Arial" w:hAnsi="Arial"/>
                <w:sz w:val="14"/>
                <w:szCs w:val="14"/>
                <w:b w:val="1"/>
                <w:bCs w:val="1"/>
                <w:color w:val="auto"/>
                <w:w w:val="92"/>
              </w:rPr>
              <w:t>Three Months Ended</w:t>
            </w:r>
          </w:p>
        </w:tc>
        <w:tc>
          <w:tcPr>
            <w:tcW w:w="140" w:type="dxa"/>
            <w:vAlign w:val="bottom"/>
          </w:tcPr>
          <w:p>
            <w:pPr>
              <w:spacing w:after="0"/>
              <w:rPr>
                <w:sz w:val="14"/>
                <w:szCs w:val="14"/>
                <w:color w:val="auto"/>
              </w:rPr>
            </w:pPr>
          </w:p>
        </w:tc>
        <w:tc>
          <w:tcPr>
            <w:tcW w:w="148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5"/>
              </w:rPr>
              <w:t>Six Months Ended</w:t>
            </w:r>
          </w:p>
        </w:tc>
      </w:tr>
      <w:tr>
        <w:trPr>
          <w:trHeight w:val="102"/>
        </w:trPr>
        <w:tc>
          <w:tcPr>
            <w:tcW w:w="3940" w:type="dxa"/>
            <w:vAlign w:val="bottom"/>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top w:val="single" w:sz="8" w:color="auto"/>
            </w:tcBorders>
            <w:gridSpan w:val="3"/>
          </w:tcPr>
          <w:p>
            <w:pPr>
              <w:jc w:val="right"/>
              <w:ind w:right="220"/>
              <w:spacing w:after="0" w:line="102" w:lineRule="exact"/>
              <w:rPr>
                <w:sz w:val="20"/>
                <w:szCs w:val="20"/>
                <w:color w:val="auto"/>
              </w:rPr>
            </w:pPr>
            <w:r>
              <w:rPr>
                <w:rFonts w:ascii="Arial" w:cs="Arial" w:eastAsia="Arial" w:hAnsi="Arial"/>
                <w:sz w:val="11"/>
                <w:szCs w:val="11"/>
                <w:b w:val="1"/>
                <w:bCs w:val="1"/>
                <w:color w:val="auto"/>
              </w:rPr>
              <w:t>July 29,</w:t>
            </w:r>
          </w:p>
        </w:tc>
        <w:tc>
          <w:tcPr>
            <w:tcW w:w="80" w:type="dxa"/>
            <w:vAlign w:val="bottom"/>
            <w:tcBorders>
              <w:top w:val="single" w:sz="8" w:color="auto"/>
            </w:tcBorders>
          </w:tcPr>
          <w:p>
            <w:pPr>
              <w:spacing w:after="0"/>
              <w:rPr>
                <w:sz w:val="8"/>
                <w:szCs w:val="8"/>
                <w:color w:val="auto"/>
              </w:rPr>
            </w:pPr>
          </w:p>
        </w:tc>
        <w:tc>
          <w:tcPr>
            <w:tcW w:w="640" w:type="dxa"/>
            <w:vAlign w:val="bottom"/>
            <w:tcBorders>
              <w:top w:val="single" w:sz="8" w:color="auto"/>
            </w:tcBorders>
            <w:gridSpan w:val="2"/>
          </w:tcPr>
          <w:p>
            <w:pPr>
              <w:jc w:val="right"/>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860" w:type="dxa"/>
            <w:vAlign w:val="bottom"/>
            <w:tcBorders>
              <w:top w:val="single" w:sz="8" w:color="auto"/>
            </w:tcBorders>
            <w:gridSpan w:val="3"/>
          </w:tcPr>
          <w:p>
            <w:pPr>
              <w:jc w:val="right"/>
              <w:ind w:right="300"/>
              <w:spacing w:after="0" w:line="102" w:lineRule="exact"/>
              <w:rPr>
                <w:sz w:val="20"/>
                <w:szCs w:val="20"/>
                <w:color w:val="auto"/>
              </w:rPr>
            </w:pPr>
            <w:r>
              <w:rPr>
                <w:rFonts w:ascii="Arial" w:cs="Arial" w:eastAsia="Arial" w:hAnsi="Arial"/>
                <w:sz w:val="11"/>
                <w:szCs w:val="11"/>
                <w:b w:val="1"/>
                <w:bCs w:val="1"/>
                <w:color w:val="auto"/>
              </w:rPr>
              <w:t>July 29,</w:t>
            </w:r>
          </w:p>
        </w:tc>
        <w:tc>
          <w:tcPr>
            <w:tcW w:w="680" w:type="dxa"/>
            <w:vAlign w:val="bottom"/>
            <w:tcBorders>
              <w:top w:val="single" w:sz="8" w:color="auto"/>
            </w:tcBorders>
            <w:gridSpan w:val="2"/>
          </w:tcPr>
          <w:p>
            <w:pPr>
              <w:jc w:val="right"/>
              <w:ind w:right="14"/>
              <w:spacing w:after="0" w:line="102" w:lineRule="exact"/>
              <w:rPr>
                <w:sz w:val="20"/>
                <w:szCs w:val="20"/>
                <w:color w:val="auto"/>
              </w:rPr>
            </w:pPr>
            <w:r>
              <w:rPr>
                <w:rFonts w:ascii="Arial" w:cs="Arial" w:eastAsia="Arial" w:hAnsi="Arial"/>
                <w:sz w:val="11"/>
                <w:szCs w:val="11"/>
                <w:b w:val="1"/>
                <w:bCs w:val="1"/>
                <w:color w:val="auto"/>
              </w:rPr>
              <w:t>July 30,</w:t>
            </w:r>
          </w:p>
        </w:tc>
        <w:tc>
          <w:tcPr>
            <w:tcW w:w="80" w:type="dxa"/>
            <w:vAlign w:val="bottom"/>
          </w:tcPr>
          <w:p>
            <w:pPr>
              <w:spacing w:after="0"/>
              <w:rPr>
                <w:sz w:val="8"/>
                <w:szCs w:val="8"/>
                <w:color w:val="auto"/>
              </w:rPr>
            </w:pPr>
          </w:p>
        </w:tc>
      </w:tr>
      <w:tr>
        <w:trPr>
          <w:trHeight w:val="162"/>
        </w:trPr>
        <w:tc>
          <w:tcPr>
            <w:tcW w:w="394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2006</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2005</w:t>
            </w:r>
          </w:p>
        </w:tc>
        <w:tc>
          <w:tcPr>
            <w:tcW w:w="80" w:type="dxa"/>
            <w:vAlign w:val="bottom"/>
            <w:tcBorders>
              <w:bottom w:val="single" w:sz="8" w:color="CCEEFF"/>
            </w:tcBorders>
          </w:tcPr>
          <w:p>
            <w:pPr>
              <w:spacing w:after="0"/>
              <w:rPr>
                <w:sz w:val="14"/>
                <w:szCs w:val="14"/>
                <w:color w:val="auto"/>
              </w:rPr>
            </w:pPr>
          </w:p>
        </w:tc>
      </w:tr>
      <w:tr>
        <w:trPr>
          <w:trHeight w:val="196"/>
        </w:trPr>
        <w:tc>
          <w:tcPr>
            <w:tcW w:w="39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394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4,223</w:t>
            </w:r>
          </w:p>
        </w:tc>
        <w:tc>
          <w:tcPr>
            <w:tcW w:w="14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2,419</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3,914</w:t>
            </w:r>
          </w:p>
        </w:tc>
        <w:tc>
          <w:tcPr>
            <w:tcW w:w="2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1,571</w:t>
            </w:r>
          </w:p>
        </w:tc>
        <w:tc>
          <w:tcPr>
            <w:tcW w:w="80" w:type="dxa"/>
            <w:vAlign w:val="bottom"/>
          </w:tcPr>
          <w:p>
            <w:pPr>
              <w:spacing w:after="0"/>
              <w:rPr>
                <w:sz w:val="18"/>
                <w:szCs w:val="18"/>
                <w:color w:val="auto"/>
              </w:rPr>
            </w:pPr>
          </w:p>
        </w:tc>
      </w:tr>
      <w:tr>
        <w:trPr>
          <w:trHeight w:val="216"/>
        </w:trPr>
        <w:tc>
          <w:tcPr>
            <w:tcW w:w="3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898</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1,942</w:t>
            </w:r>
          </w:p>
        </w:tc>
        <w:tc>
          <w:tcPr>
            <w:tcW w:w="80" w:type="dxa"/>
            <w:vAlign w:val="bottom"/>
            <w:shd w:val="clear" w:color="auto" w:fill="CCEEFF"/>
          </w:tcPr>
          <w:p>
            <w:pPr>
              <w:spacing w:after="0"/>
              <w:rPr>
                <w:sz w:val="18"/>
                <w:szCs w:val="18"/>
                <w:color w:val="auto"/>
              </w:rPr>
            </w:pPr>
          </w:p>
        </w:tc>
      </w:tr>
      <w:tr>
        <w:trPr>
          <w:trHeight w:val="216"/>
        </w:trPr>
        <w:tc>
          <w:tcPr>
            <w:tcW w:w="394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80"/>
              <w:spacing w:after="0"/>
              <w:rPr>
                <w:sz w:val="20"/>
                <w:szCs w:val="20"/>
                <w:color w:val="auto"/>
              </w:rPr>
            </w:pPr>
            <w:r>
              <w:rPr>
                <w:rFonts w:ascii="Arial" w:cs="Arial" w:eastAsia="Arial" w:hAnsi="Arial"/>
                <w:sz w:val="18"/>
                <w:szCs w:val="18"/>
                <w:color w:val="auto"/>
              </w:rPr>
              <w:t>(240)</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160"/>
              <w:spacing w:after="0"/>
              <w:rPr>
                <w:sz w:val="20"/>
                <w:szCs w:val="20"/>
                <w:color w:val="auto"/>
              </w:rPr>
            </w:pPr>
            <w:r>
              <w:rPr>
                <w:rFonts w:ascii="Arial" w:cs="Arial" w:eastAsia="Arial" w:hAnsi="Arial"/>
                <w:sz w:val="18"/>
                <w:szCs w:val="18"/>
                <w:color w:val="auto"/>
              </w:rPr>
              <w:t>(136)</w:t>
            </w:r>
          </w:p>
        </w:tc>
        <w:tc>
          <w:tcPr>
            <w:tcW w:w="14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(270)</w:t>
            </w:r>
          </w:p>
        </w:tc>
        <w:tc>
          <w:tcPr>
            <w:tcW w:w="14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(332)</w:t>
            </w:r>
          </w:p>
        </w:tc>
      </w:tr>
      <w:tr>
        <w:trPr>
          <w:trHeight w:val="210"/>
        </w:trPr>
        <w:tc>
          <w:tcPr>
            <w:tcW w:w="394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3,983</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3,983</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3,181</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9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July 29, 2006, foundries had incurred approximately $153.0 million of manufacturing expenses on the Company’s outstanding purchase orders. As of July 29, 2006, the Company also had approximately $68.6 million of other outstanding non-cancelable purchase orders for capital purchase obligations.</w:t>
      </w:r>
    </w:p>
    <w:p>
      <w:pPr>
        <w:spacing w:after="0" w:line="187" w:lineRule="exact"/>
        <w:rPr>
          <w:sz w:val="20"/>
          <w:szCs w:val="20"/>
          <w:color w:val="auto"/>
        </w:rPr>
      </w:pPr>
    </w:p>
    <w:p>
      <w:pPr>
        <w:ind w:right="260" w:firstLine="324"/>
        <w:spacing w:after="0" w:line="273" w:lineRule="auto"/>
        <w:rPr>
          <w:sz w:val="20"/>
          <w:szCs w:val="20"/>
          <w:color w:val="auto"/>
        </w:rPr>
      </w:pPr>
      <w:r>
        <w:rPr>
          <w:rFonts w:ascii="Arial" w:cs="Arial" w:eastAsia="Arial" w:hAnsi="Arial"/>
          <w:sz w:val="17"/>
          <w:szCs w:val="17"/>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agreed-upon pricing terms until December 31, 2015. As of July 29, 2006, payments totaling $152.0 million (included in prepaid expenses and other current assets and other non current assets) have been made and approximately $61.0 million of the prepayment has been utilized as of July 29, 2006. At July 29, 2006, remaining commitments under the agreement were approximately $22.2 million.</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i w:val="1"/>
          <w:iCs w:val="1"/>
          <w:color w:val="auto"/>
        </w:rPr>
        <w:t xml:space="preserve">IPO Securities Litigation. </w:t>
      </w:r>
      <w:r>
        <w:rPr>
          <w:rFonts w:ascii="Arial" w:cs="Arial" w:eastAsia="Arial" w:hAnsi="Arial"/>
          <w:sz w:val="18"/>
          <w:szCs w:val="18"/>
          <w:color w:val="auto"/>
        </w:rPr>
        <w:t>On July 31, 2001, a putative class action suit was filed against two investment banks that participated in the underwriting of</w:t>
      </w:r>
      <w:r>
        <w:rPr>
          <w:rFonts w:ascii="Arial" w:cs="Arial" w:eastAsia="Arial" w:hAnsi="Arial"/>
          <w:sz w:val="18"/>
          <w:szCs w:val="18"/>
          <w:i w:val="1"/>
          <w:iCs w:val="1"/>
          <w:color w:val="auto"/>
        </w:rPr>
        <w:t xml:space="preserve"> </w:t>
      </w:r>
      <w:r>
        <w:rPr>
          <w:rFonts w:ascii="Arial" w:cs="Arial" w:eastAsia="Arial" w:hAnsi="Arial"/>
          <w:sz w:val="18"/>
          <w:szCs w:val="18"/>
          <w:color w:val="auto"/>
        </w:rPr>
        <w:t>the Company’s initial public offering, or IPO, on June 29, 2000. That lawsuit, which did not name Marvell or any of the Company’s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underwriters as defendants and also named as defendants Marvell and two of the Company’s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the Company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The Company’s board of directors has approved the proposed settlement, which if approved by the court would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390"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i w:val="1"/>
          <w:iCs w:val="1"/>
          <w:color w:val="auto"/>
        </w:rPr>
        <w:t xml:space="preserve">Jasmine Networks Litigation. </w:t>
      </w:r>
      <w:r>
        <w:rPr>
          <w:rFonts w:ascii="Arial" w:cs="Arial" w:eastAsia="Arial" w:hAnsi="Arial"/>
          <w:sz w:val="17"/>
          <w:szCs w:val="17"/>
          <w:color w:val="auto"/>
        </w:rPr>
        <w:t>On September 12, 2001, Jasmine Networks, Inc. (“Jasmine”) filed a lawsuit in the Santa Clara County Superior Court</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73" w:lineRule="exact"/>
        <w:rPr>
          <w:sz w:val="20"/>
          <w:szCs w:val="20"/>
          <w:color w:val="auto"/>
        </w:rPr>
      </w:pPr>
    </w:p>
    <w:p>
      <w:pPr>
        <w:ind w:right="180" w:firstLine="324"/>
        <w:spacing w:after="0" w:line="342"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w:t>
      </w:r>
    </w:p>
    <w:p>
      <w:pPr>
        <w:sectPr>
          <w:pgSz w:w="11900" w:h="16838" w:orient="portrait"/>
          <w:cols w:equalWidth="0" w:num="1">
            <w:col w:w="11420"/>
          </w:cols>
          <w:pgMar w:left="240" w:top="125" w:right="239" w:bottom="0" w:gutter="0" w:footer="0" w:header="0"/>
        </w:sectPr>
      </w:pPr>
    </w:p>
    <w:bookmarkStart w:id="22" w:name="page23"/>
    <w:bookmarkEnd w:id="22"/>
    <w:p>
      <w:pPr>
        <w:ind w:right="40"/>
        <w:spacing w:after="0" w:line="255" w:lineRule="auto"/>
        <w:rPr>
          <w:sz w:val="20"/>
          <w:szCs w:val="20"/>
          <w:color w:val="auto"/>
        </w:rPr>
      </w:pPr>
      <w:r>
        <w:rPr>
          <w:rFonts w:ascii="Arial" w:cs="Arial" w:eastAsia="Arial" w:hAnsi="Arial"/>
          <w:sz w:val="18"/>
          <w:szCs w:val="18"/>
          <w:color w:val="auto"/>
        </w:rPr>
        <w:t>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w:t>
      </w:r>
    </w:p>
    <w:p>
      <w:pPr>
        <w:spacing w:after="0" w:line="189"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the Company’s has sought indemnification from it. Also in December 2006, CSIRO filed suit in the United States District Court for the Eastern District of Texas against several manufacturers and suppliers of wireless products, including customers of the Company’s 802.11a or 802.11g wireless LAN products. The complaint alleges that the manufacture, use and sale of wireless products compliant with the IEEE 802.11a or 802.11g wireless standards infringes on the CSIRO patent. As a result of it CSIRO’s claim for patent infringement, another customer of the Company’s has sought indemnification from it. In response to these demands for indemnification, the Company has acknowledged the demands and incurred costs in response to them.</w:t>
      </w:r>
    </w:p>
    <w:p>
      <w:pPr>
        <w:spacing w:after="0" w:line="197" w:lineRule="exact"/>
        <w:rPr>
          <w:sz w:val="20"/>
          <w:szCs w:val="20"/>
          <w:color w:val="auto"/>
        </w:rPr>
      </w:pPr>
    </w:p>
    <w:p>
      <w:pPr>
        <w:ind w:right="80" w:firstLine="324"/>
        <w:spacing w:after="0" w:line="30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CSIRO has not yet responded to the complaint.</w:t>
      </w:r>
    </w:p>
    <w:p>
      <w:pPr>
        <w:spacing w:after="0" w:line="154" w:lineRule="exact"/>
        <w:rPr>
          <w:sz w:val="20"/>
          <w:szCs w:val="20"/>
          <w:color w:val="auto"/>
        </w:rPr>
      </w:pPr>
    </w:p>
    <w:p>
      <w:pPr>
        <w:ind w:right="220" w:firstLine="324"/>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79"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the Company files restated financial statements with the SEC.</w:t>
      </w:r>
    </w:p>
    <w:p>
      <w:pPr>
        <w:spacing w:after="0" w:line="167"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Securities and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Commission (“SEC”)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the Company received a document subpoena from the SEC. The Company has cooperated with the SEC and the United States Attorney regarding these matters and intends to continue to do so. The Company cannot predict the outcome of these investigations.</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ectPr>
          <w:pgSz w:w="11900" w:h="16838" w:orient="portrait"/>
          <w:cols w:equalWidth="0" w:num="1">
            <w:col w:w="11420"/>
          </w:cols>
          <w:pgMar w:left="240" w:top="125" w:right="239" w:bottom="744" w:gutter="0" w:footer="0" w:header="0"/>
        </w:sectPr>
      </w:pP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744" w:gutter="0" w:footer="0" w:header="0"/>
          <w:type w:val="continuous"/>
        </w:sectPr>
      </w:pPr>
    </w:p>
    <w:bookmarkStart w:id="23" w:name="page24"/>
    <w:bookmarkEnd w:id="23"/>
    <w:p>
      <w:pPr>
        <w:ind w:right="20" w:firstLine="324"/>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Stock-Based Compensation</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324,289,786 shares of common stock reserved for issuance thereunder as of July 29, 2006.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In August 1997, the Company adopted the 1997 Directors’ Stock Option Plan (the “Directors’ Plan”). The Directors’ Plan had 3,600,000 shares of common stock reserved thereunder as of July 29, 2006.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33,871,612 shares of common stock reserve for issuance thereunder as of July 29, 2006. Under the Purchase Plan, employees are granted the right to purchase shares of common stock at a price per share that is 85% of the lesser of the fair market value of the shares at (i) the participant’s entry date into the two-year offering period, or</w:t>
      </w:r>
    </w:p>
    <w:p>
      <w:pPr>
        <w:ind w:right="20" w:firstLine="8"/>
        <w:spacing w:after="0" w:line="271" w:lineRule="auto"/>
        <w:tabs>
          <w:tab w:leader="none" w:pos="265" w:val="left"/>
        </w:tabs>
        <w:numPr>
          <w:ilvl w:val="0"/>
          <w:numId w:val="11"/>
        </w:numPr>
        <w:rPr>
          <w:rFonts w:ascii="Arial" w:cs="Arial" w:eastAsia="Arial" w:hAnsi="Arial"/>
          <w:sz w:val="17"/>
          <w:szCs w:val="17"/>
          <w:color w:val="auto"/>
        </w:rPr>
      </w:pPr>
      <w:r>
        <w:rPr>
          <w:rFonts w:ascii="Arial" w:cs="Arial" w:eastAsia="Arial" w:hAnsi="Arial"/>
          <w:sz w:val="17"/>
          <w:szCs w:val="17"/>
          <w:color w:val="auto"/>
        </w:rPr>
        <w:t>the end of each six-month purchase period within the offering period. Participants purchase stock using payroll deductions, which may not exceed 20% of their total cash compensation. Offering and purchase periods begin on December 1 and June 1 of each year. For the three and six months ended July 29, 2006, the stock-based compensation expense related to the activity under the Purchase Plan was $4.6 million and $8.5 million, respectively. The Company issued 895,170 shares under the Purchase Plan in the three and six months ended July 29, 2006. As of July 29, 2006, there was $15.3 million of unrecognized compensation cost related to the Purchase Plan which will be recognized over the next two years.</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Stock option activity under the Company’s stock option plans for the six months ended July 29, 2006 is summarized below (in thousands, except per share amounts):</w:t>
      </w:r>
    </w:p>
    <w:p>
      <w:pPr>
        <w:spacing w:after="0" w:line="132"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1"/>
              </w:rPr>
              <w:t>Weighted</w:t>
            </w:r>
          </w:p>
        </w:tc>
        <w:tc>
          <w:tcPr>
            <w:tcW w:w="11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Weighted</w:t>
            </w:r>
          </w:p>
        </w:tc>
        <w:tc>
          <w:tcPr>
            <w:tcW w:w="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6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11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Average</w:t>
            </w:r>
          </w:p>
        </w:tc>
        <w:tc>
          <w:tcPr>
            <w:tcW w:w="120" w:type="dxa"/>
            <w:vAlign w:val="bottom"/>
          </w:tcPr>
          <w:p>
            <w:pPr>
              <w:spacing w:after="0"/>
              <w:rPr>
                <w:sz w:val="11"/>
                <w:szCs w:val="11"/>
                <w:color w:val="auto"/>
              </w:rPr>
            </w:pPr>
          </w:p>
        </w:tc>
        <w:tc>
          <w:tcPr>
            <w:tcW w:w="840" w:type="dxa"/>
            <w:vAlign w:val="bottom"/>
            <w:vMerge w:val="restart"/>
          </w:tcPr>
          <w:p>
            <w:pPr>
              <w:jc w:val="center"/>
              <w:ind w:right="85"/>
              <w:spacing w:after="0"/>
              <w:rPr>
                <w:sz w:val="20"/>
                <w:szCs w:val="20"/>
                <w:color w:val="auto"/>
              </w:rPr>
            </w:pPr>
            <w:r>
              <w:rPr>
                <w:rFonts w:ascii="Arial" w:cs="Arial" w:eastAsia="Arial" w:hAnsi="Arial"/>
                <w:sz w:val="14"/>
                <w:szCs w:val="14"/>
                <w:b w:val="1"/>
                <w:bCs w:val="1"/>
                <w:color w:val="auto"/>
                <w:w w:val="92"/>
              </w:rPr>
              <w:t>Aggregate</w:t>
            </w:r>
          </w:p>
        </w:tc>
        <w:tc>
          <w:tcPr>
            <w:tcW w:w="200" w:type="dxa"/>
            <w:vAlign w:val="bottom"/>
          </w:tcPr>
          <w:p>
            <w:pPr>
              <w:spacing w:after="0"/>
              <w:rPr>
                <w:sz w:val="11"/>
                <w:szCs w:val="11"/>
                <w:color w:val="auto"/>
              </w:rPr>
            </w:pPr>
          </w:p>
        </w:tc>
        <w:tc>
          <w:tcPr>
            <w:tcW w:w="100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3"/>
              </w:rPr>
              <w:t>Restricted</w:t>
            </w:r>
          </w:p>
        </w:tc>
        <w:tc>
          <w:tcPr>
            <w:tcW w:w="0" w:type="dxa"/>
            <w:vAlign w:val="bottom"/>
          </w:tcPr>
          <w:p>
            <w:pPr>
              <w:spacing w:after="0"/>
              <w:rPr>
                <w:sz w:val="1"/>
                <w:szCs w:val="1"/>
                <w:color w:val="auto"/>
              </w:rPr>
            </w:pPr>
          </w:p>
        </w:tc>
      </w:tr>
      <w:tr>
        <w:trPr>
          <w:trHeight w:val="135"/>
        </w:trPr>
        <w:tc>
          <w:tcPr>
            <w:tcW w:w="2660" w:type="dxa"/>
            <w:vAlign w:val="bottom"/>
          </w:tcPr>
          <w:p>
            <w:pPr>
              <w:spacing w:after="0"/>
              <w:rPr>
                <w:sz w:val="11"/>
                <w:szCs w:val="11"/>
                <w:color w:val="auto"/>
              </w:rPr>
            </w:pPr>
          </w:p>
        </w:tc>
        <w:tc>
          <w:tcPr>
            <w:tcW w:w="11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4"/>
              </w:rPr>
              <w:t>Options</w:t>
            </w:r>
          </w:p>
        </w:tc>
        <w:tc>
          <w:tcPr>
            <w:tcW w:w="140" w:type="dxa"/>
            <w:vAlign w:val="bottom"/>
          </w:tcPr>
          <w:p>
            <w:pPr>
              <w:spacing w:after="0"/>
              <w:rPr>
                <w:sz w:val="11"/>
                <w:szCs w:val="11"/>
                <w:color w:val="auto"/>
              </w:rPr>
            </w:pPr>
          </w:p>
        </w:tc>
        <w:tc>
          <w:tcPr>
            <w:tcW w:w="10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Average</w:t>
            </w:r>
          </w:p>
        </w:tc>
        <w:tc>
          <w:tcPr>
            <w:tcW w:w="11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2"/>
              </w:rPr>
              <w:t>Remaining</w:t>
            </w:r>
          </w:p>
        </w:tc>
        <w:tc>
          <w:tcPr>
            <w:tcW w:w="12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660" w:type="dxa"/>
            <w:vAlign w:val="bottom"/>
          </w:tcPr>
          <w:p>
            <w:pPr>
              <w:spacing w:after="0"/>
              <w:rPr>
                <w:sz w:val="11"/>
                <w:szCs w:val="11"/>
                <w:color w:val="auto"/>
              </w:rPr>
            </w:pPr>
          </w:p>
        </w:tc>
        <w:tc>
          <w:tcPr>
            <w:tcW w:w="112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0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86"/>
              </w:rPr>
              <w:t>Exercise</w:t>
            </w:r>
          </w:p>
        </w:tc>
        <w:tc>
          <w:tcPr>
            <w:tcW w:w="11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5"/>
              </w:rPr>
              <w:t>Contractual</w:t>
            </w:r>
          </w:p>
        </w:tc>
        <w:tc>
          <w:tcPr>
            <w:tcW w:w="120" w:type="dxa"/>
            <w:vAlign w:val="bottom"/>
          </w:tcPr>
          <w:p>
            <w:pPr>
              <w:spacing w:after="0"/>
              <w:rPr>
                <w:sz w:val="11"/>
                <w:szCs w:val="11"/>
                <w:color w:val="auto"/>
              </w:rPr>
            </w:pPr>
          </w:p>
        </w:tc>
        <w:tc>
          <w:tcPr>
            <w:tcW w:w="840" w:type="dxa"/>
            <w:vAlign w:val="bottom"/>
          </w:tcPr>
          <w:p>
            <w:pPr>
              <w:jc w:val="center"/>
              <w:ind w:right="85"/>
              <w:spacing w:after="0" w:line="135" w:lineRule="exact"/>
              <w:rPr>
                <w:sz w:val="20"/>
                <w:szCs w:val="20"/>
                <w:color w:val="auto"/>
              </w:rPr>
            </w:pPr>
            <w:r>
              <w:rPr>
                <w:rFonts w:ascii="Arial" w:cs="Arial" w:eastAsia="Arial" w:hAnsi="Arial"/>
                <w:sz w:val="14"/>
                <w:szCs w:val="14"/>
                <w:b w:val="1"/>
                <w:bCs w:val="1"/>
                <w:color w:val="auto"/>
                <w:w w:val="95"/>
              </w:rPr>
              <w:t>Intrinsic</w:t>
            </w:r>
          </w:p>
        </w:tc>
        <w:tc>
          <w:tcPr>
            <w:tcW w:w="200" w:type="dxa"/>
            <w:vAlign w:val="bottom"/>
          </w:tcPr>
          <w:p>
            <w:pPr>
              <w:spacing w:after="0"/>
              <w:rPr>
                <w:sz w:val="11"/>
                <w:szCs w:val="11"/>
                <w:color w:val="auto"/>
              </w:rPr>
            </w:pPr>
          </w:p>
        </w:tc>
        <w:tc>
          <w:tcPr>
            <w:tcW w:w="100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89"/>
              </w:rPr>
              <w:t>Stock</w:t>
            </w:r>
          </w:p>
        </w:tc>
        <w:tc>
          <w:tcPr>
            <w:tcW w:w="0" w:type="dxa"/>
            <w:vAlign w:val="bottom"/>
          </w:tcPr>
          <w:p>
            <w:pPr>
              <w:spacing w:after="0"/>
              <w:rPr>
                <w:sz w:val="1"/>
                <w:szCs w:val="1"/>
                <w:color w:val="auto"/>
              </w:rPr>
            </w:pPr>
          </w:p>
        </w:tc>
      </w:tr>
      <w:tr>
        <w:trPr>
          <w:trHeight w:val="162"/>
        </w:trPr>
        <w:tc>
          <w:tcPr>
            <w:tcW w:w="2660" w:type="dxa"/>
            <w:vAlign w:val="bottom"/>
          </w:tcPr>
          <w:p>
            <w:pPr>
              <w:spacing w:after="0"/>
              <w:rPr>
                <w:sz w:val="14"/>
                <w:szCs w:val="14"/>
                <w:color w:val="auto"/>
              </w:rPr>
            </w:pPr>
          </w:p>
        </w:tc>
        <w:tc>
          <w:tcPr>
            <w:tcW w:w="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Outstanding</w:t>
            </w: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3"/>
              </w:rPr>
              <w:t>Price</w:t>
            </w:r>
          </w:p>
        </w:tc>
        <w:tc>
          <w:tcPr>
            <w:tcW w:w="220" w:type="dxa"/>
            <w:vAlign w:val="bottom"/>
          </w:tcPr>
          <w:p>
            <w:pPr>
              <w:spacing w:after="0"/>
              <w:rPr>
                <w:sz w:val="14"/>
                <w:szCs w:val="14"/>
                <w:color w:val="auto"/>
              </w:rPr>
            </w:pPr>
          </w:p>
        </w:tc>
        <w:tc>
          <w:tcPr>
            <w:tcW w:w="9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9"/>
              </w:rPr>
              <w:t>Term</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45"/>
              <w:spacing w:after="0"/>
              <w:rPr>
                <w:sz w:val="20"/>
                <w:szCs w:val="20"/>
                <w:color w:val="auto"/>
              </w:rPr>
            </w:pPr>
            <w:r>
              <w:rPr>
                <w:rFonts w:ascii="Arial" w:cs="Arial" w:eastAsia="Arial" w:hAnsi="Arial"/>
                <w:sz w:val="14"/>
                <w:szCs w:val="14"/>
                <w:b w:val="1"/>
                <w:bCs w:val="1"/>
                <w:color w:val="auto"/>
                <w:w w:val="96"/>
              </w:rPr>
              <w:t>Value</w:t>
            </w:r>
          </w:p>
        </w:tc>
        <w:tc>
          <w:tcPr>
            <w:tcW w:w="20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Outstanding</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660" w:type="dxa"/>
            <w:vAlign w:val="bottom"/>
          </w:tcPr>
          <w:p>
            <w:pPr>
              <w:spacing w:after="0"/>
              <w:rPr>
                <w:sz w:val="8"/>
                <w:szCs w:val="8"/>
                <w:color w:val="auto"/>
              </w:rPr>
            </w:pPr>
          </w:p>
        </w:tc>
        <w:tc>
          <w:tcPr>
            <w:tcW w:w="11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3"/>
              </w:rPr>
              <w:t>(In thousands)</w:t>
            </w:r>
          </w:p>
        </w:tc>
        <w:tc>
          <w:tcPr>
            <w:tcW w:w="1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9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40" w:type="dxa"/>
            <w:vAlign w:val="bottom"/>
          </w:tcPr>
          <w:p>
            <w:pPr>
              <w:jc w:val="center"/>
              <w:ind w:right="45"/>
              <w:spacing w:after="0" w:line="102" w:lineRule="exact"/>
              <w:rPr>
                <w:sz w:val="20"/>
                <w:szCs w:val="20"/>
                <w:color w:val="auto"/>
              </w:rPr>
            </w:pPr>
            <w:r>
              <w:rPr>
                <w:rFonts w:ascii="Arial" w:cs="Arial" w:eastAsia="Arial" w:hAnsi="Arial"/>
                <w:sz w:val="11"/>
                <w:szCs w:val="11"/>
                <w:b w:val="1"/>
                <w:bCs w:val="1"/>
                <w:color w:val="auto"/>
              </w:rPr>
              <w:t>(In</w:t>
            </w:r>
          </w:p>
        </w:tc>
        <w:tc>
          <w:tcPr>
            <w:tcW w:w="200" w:type="dxa"/>
            <w:vAlign w:val="bottom"/>
          </w:tcPr>
          <w:p>
            <w:pPr>
              <w:spacing w:after="0"/>
              <w:rPr>
                <w:sz w:val="8"/>
                <w:szCs w:val="8"/>
                <w:color w:val="auto"/>
              </w:rPr>
            </w:pPr>
          </w:p>
        </w:tc>
        <w:tc>
          <w:tcPr>
            <w:tcW w:w="100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(In thousands)</w:t>
            </w:r>
          </w:p>
        </w:tc>
        <w:tc>
          <w:tcPr>
            <w:tcW w:w="0" w:type="dxa"/>
            <w:vAlign w:val="bottom"/>
          </w:tcPr>
          <w:p>
            <w:pPr>
              <w:spacing w:after="0"/>
              <w:rPr>
                <w:sz w:val="1"/>
                <w:szCs w:val="1"/>
                <w:color w:val="auto"/>
              </w:rPr>
            </w:pPr>
          </w:p>
        </w:tc>
      </w:tr>
      <w:tr>
        <w:trPr>
          <w:trHeight w:val="162"/>
        </w:trPr>
        <w:tc>
          <w:tcPr>
            <w:tcW w:w="266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jc w:val="center"/>
              <w:ind w:right="45"/>
              <w:spacing w:after="0"/>
              <w:rPr>
                <w:sz w:val="20"/>
                <w:szCs w:val="20"/>
                <w:color w:val="auto"/>
              </w:rPr>
            </w:pPr>
            <w:r>
              <w:rPr>
                <w:rFonts w:ascii="Arial" w:cs="Arial" w:eastAsia="Arial" w:hAnsi="Arial"/>
                <w:sz w:val="14"/>
                <w:szCs w:val="14"/>
                <w:b w:val="1"/>
                <w:bCs w:val="1"/>
                <w:color w:val="auto"/>
                <w:w w:val="90"/>
              </w:rPr>
              <w:t>thousands)</w:t>
            </w:r>
          </w:p>
        </w:tc>
        <w:tc>
          <w:tcPr>
            <w:tcW w:w="200" w:type="dxa"/>
            <w:vAlign w:val="bottom"/>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94,244</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66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900" w:type="dxa"/>
            <w:vAlign w:val="bottom"/>
          </w:tcPr>
          <w:p>
            <w:pPr>
              <w:jc w:val="right"/>
              <w:spacing w:after="0"/>
              <w:rPr>
                <w:sz w:val="20"/>
                <w:szCs w:val="20"/>
                <w:color w:val="auto"/>
              </w:rPr>
            </w:pPr>
            <w:r>
              <w:rPr>
                <w:rFonts w:ascii="Arial" w:cs="Arial" w:eastAsia="Arial" w:hAnsi="Arial"/>
                <w:sz w:val="18"/>
                <w:szCs w:val="18"/>
                <w:color w:val="auto"/>
              </w:rPr>
              <w:t>17,569</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28.35</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66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Options</w:t>
            </w:r>
          </w:p>
        </w:tc>
        <w:tc>
          <w:tcPr>
            <w:tcW w:w="9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6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forfeited/canceled/expired</w:t>
            </w:r>
          </w:p>
        </w:tc>
        <w:tc>
          <w:tcPr>
            <w:tcW w:w="11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(3,001)</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w:t>
            </w:r>
          </w:p>
        </w:tc>
        <w:tc>
          <w:tcPr>
            <w:tcW w:w="22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66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(3,373)</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6.00</w:t>
            </w: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6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July 29, 2006</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105,439</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12.95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4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660" w:type="dxa"/>
            <w:vAlign w:val="bottom"/>
            <w:vMerge w:val="restart"/>
          </w:tcPr>
          <w:p>
            <w:pPr>
              <w:spacing w:after="0" w:line="195" w:lineRule="exact"/>
              <w:rPr>
                <w:sz w:val="20"/>
                <w:szCs w:val="20"/>
                <w:color w:val="auto"/>
              </w:rPr>
            </w:pPr>
            <w:r>
              <w:rPr>
                <w:rFonts w:ascii="Arial" w:cs="Arial" w:eastAsia="Arial" w:hAnsi="Arial"/>
                <w:sz w:val="18"/>
                <w:szCs w:val="18"/>
                <w:color w:val="auto"/>
                <w:w w:val="97"/>
              </w:rPr>
              <w:t>Vested or expected to vest at July</w:t>
            </w: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2660" w:type="dxa"/>
            <w:vAlign w:val="bottom"/>
            <w:vMerge w:val="continue"/>
          </w:tcPr>
          <w:p>
            <w:pPr>
              <w:spacing w:after="0"/>
              <w:rPr>
                <w:sz w:val="13"/>
                <w:szCs w:val="13"/>
                <w:color w:val="auto"/>
              </w:rPr>
            </w:pPr>
          </w:p>
        </w:tc>
        <w:tc>
          <w:tcPr>
            <w:tcW w:w="900" w:type="dxa"/>
            <w:vAlign w:val="bottom"/>
            <w:vMerge w:val="restart"/>
          </w:tcPr>
          <w:p>
            <w:pPr>
              <w:jc w:val="right"/>
              <w:spacing w:after="0"/>
              <w:rPr>
                <w:sz w:val="20"/>
                <w:szCs w:val="20"/>
                <w:color w:val="auto"/>
              </w:rPr>
            </w:pPr>
            <w:r>
              <w:rPr>
                <w:rFonts w:ascii="Arial" w:cs="Arial" w:eastAsia="Arial" w:hAnsi="Arial"/>
                <w:sz w:val="18"/>
                <w:szCs w:val="18"/>
                <w:color w:val="auto"/>
              </w:rPr>
              <w:t>100,428</w:t>
            </w:r>
          </w:p>
        </w:tc>
        <w:tc>
          <w:tcPr>
            <w:tcW w:w="2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vMerge w:val="restart"/>
          </w:tcPr>
          <w:p>
            <w:pPr>
              <w:jc w:val="right"/>
              <w:spacing w:after="0"/>
              <w:rPr>
                <w:sz w:val="20"/>
                <w:szCs w:val="20"/>
                <w:color w:val="auto"/>
              </w:rPr>
            </w:pPr>
            <w:r>
              <w:rPr>
                <w:rFonts w:ascii="Arial" w:cs="Arial" w:eastAsia="Arial" w:hAnsi="Arial"/>
                <w:sz w:val="18"/>
                <w:szCs w:val="18"/>
                <w:color w:val="auto"/>
              </w:rPr>
              <w:t>782,754</w:t>
            </w:r>
          </w:p>
        </w:tc>
        <w:tc>
          <w:tcPr>
            <w:tcW w:w="1160" w:type="dxa"/>
            <w:vAlign w:val="bottom"/>
            <w:gridSpan w:val="2"/>
            <w:vMerge w:val="restart"/>
          </w:tcPr>
          <w:p>
            <w:pPr>
              <w:jc w:val="right"/>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2660" w:type="dxa"/>
            <w:vAlign w:val="bottom"/>
          </w:tcPr>
          <w:p>
            <w:pPr>
              <w:ind w:left="180"/>
              <w:spacing w:after="0"/>
              <w:rPr>
                <w:sz w:val="20"/>
                <w:szCs w:val="20"/>
                <w:color w:val="auto"/>
              </w:rPr>
            </w:pPr>
            <w:r>
              <w:rPr>
                <w:rFonts w:ascii="Arial" w:cs="Arial" w:eastAsia="Arial" w:hAnsi="Arial"/>
                <w:sz w:val="18"/>
                <w:szCs w:val="18"/>
                <w:color w:val="auto"/>
              </w:rPr>
              <w:t>29, 2006</w:t>
            </w:r>
          </w:p>
        </w:tc>
        <w:tc>
          <w:tcPr>
            <w:tcW w:w="900" w:type="dxa"/>
            <w:vAlign w:val="bottom"/>
            <w:vMerge w:val="continue"/>
          </w:tcPr>
          <w:p>
            <w:pPr>
              <w:spacing w:after="0"/>
              <w:rPr>
                <w:sz w:val="22"/>
                <w:szCs w:val="22"/>
                <w:color w:val="auto"/>
              </w:rPr>
            </w:pPr>
          </w:p>
        </w:tc>
        <w:tc>
          <w:tcPr>
            <w:tcW w:w="220" w:type="dxa"/>
            <w:vAlign w:val="bottom"/>
          </w:tcPr>
          <w:p>
            <w:pPr>
              <w:spacing w:after="0"/>
              <w:rPr>
                <w:sz w:val="22"/>
                <w:szCs w:val="22"/>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12.52</w:t>
            </w:r>
          </w:p>
        </w:tc>
        <w:tc>
          <w:tcPr>
            <w:tcW w:w="220" w:type="dxa"/>
            <w:vAlign w:val="bottom"/>
          </w:tcPr>
          <w:p>
            <w:pPr>
              <w:spacing w:after="0"/>
              <w:rPr>
                <w:sz w:val="22"/>
                <w:szCs w:val="22"/>
                <w:color w:val="auto"/>
              </w:rPr>
            </w:pPr>
          </w:p>
        </w:tc>
        <w:tc>
          <w:tcPr>
            <w:tcW w:w="1120" w:type="dxa"/>
            <w:vAlign w:val="bottom"/>
            <w:gridSpan w:val="2"/>
          </w:tcPr>
          <w:p>
            <w:pPr>
              <w:ind w:left="260"/>
              <w:spacing w:after="0"/>
              <w:rPr>
                <w:sz w:val="20"/>
                <w:szCs w:val="20"/>
                <w:color w:val="auto"/>
              </w:rPr>
            </w:pPr>
            <w:r>
              <w:rPr>
                <w:rFonts w:ascii="Arial" w:cs="Arial" w:eastAsia="Arial" w:hAnsi="Arial"/>
                <w:sz w:val="18"/>
                <w:szCs w:val="18"/>
                <w:color w:val="auto"/>
              </w:rPr>
              <w:t>6.9 years</w:t>
            </w:r>
          </w:p>
        </w:tc>
        <w:tc>
          <w:tcPr>
            <w:tcW w:w="120" w:type="dxa"/>
            <w:vAlign w:val="bottom"/>
            <w:vMerge w:val="continue"/>
          </w:tcPr>
          <w:p>
            <w:pPr>
              <w:spacing w:after="0"/>
              <w:rPr>
                <w:sz w:val="22"/>
                <w:szCs w:val="22"/>
                <w:color w:val="auto"/>
              </w:rPr>
            </w:pPr>
          </w:p>
        </w:tc>
        <w:tc>
          <w:tcPr>
            <w:tcW w:w="840" w:type="dxa"/>
            <w:vAlign w:val="bottom"/>
            <w:vMerge w:val="continue"/>
          </w:tcPr>
          <w:p>
            <w:pPr>
              <w:spacing w:after="0"/>
              <w:rPr>
                <w:sz w:val="22"/>
                <w:szCs w:val="22"/>
                <w:color w:val="auto"/>
              </w:rPr>
            </w:pPr>
          </w:p>
        </w:tc>
        <w:tc>
          <w:tcPr>
            <w:tcW w:w="1160" w:type="dxa"/>
            <w:vAlign w:val="bottom"/>
            <w:gridSpan w:val="2"/>
            <w:vMerge w:val="continue"/>
          </w:tcPr>
          <w:p>
            <w:pPr>
              <w:spacing w:after="0"/>
              <w:rPr>
                <w:sz w:val="22"/>
                <w:szCs w:val="22"/>
                <w:color w:val="auto"/>
              </w:rPr>
            </w:pP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266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Exercisable at July 29, 2006</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35,115</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CCEEFF"/>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00" w:type="dxa"/>
            <w:vAlign w:val="bottom"/>
            <w:tcBorders>
              <w:top w:val="single" w:sz="8" w:color="CCEEFF"/>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6.91</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120" w:type="dxa"/>
            <w:vAlign w:val="bottom"/>
            <w:tcBorders>
              <w:top w:val="single" w:sz="8" w:color="CCEEFF"/>
              <w:bottom w:val="single" w:sz="8" w:color="CCEEFF"/>
            </w:tcBorders>
            <w:gridSpan w:val="2"/>
            <w:shd w:val="clear" w:color="auto" w:fill="CCEEFF"/>
          </w:tcPr>
          <w:p>
            <w:pPr>
              <w:ind w:left="260"/>
              <w:spacing w:after="0" w:line="196" w:lineRule="exact"/>
              <w:rPr>
                <w:sz w:val="20"/>
                <w:szCs w:val="20"/>
                <w:color w:val="auto"/>
              </w:rPr>
            </w:pPr>
            <w:r>
              <w:rPr>
                <w:rFonts w:ascii="Arial" w:cs="Arial" w:eastAsia="Arial" w:hAnsi="Arial"/>
                <w:sz w:val="18"/>
                <w:szCs w:val="18"/>
                <w:color w:val="auto"/>
              </w:rPr>
              <w:t>5.4 years</w:t>
            </w: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405,443</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960" w:type="dxa"/>
            <w:vAlign w:val="bottom"/>
            <w:tcBorders>
              <w:top w:val="single" w:sz="8" w:color="auto"/>
              <w:bottom w:val="single" w:sz="8" w:color="CCEEFF"/>
            </w:tcBorders>
            <w:shd w:val="clear" w:color="auto" w:fill="CCEEFF"/>
          </w:tcPr>
          <w:p>
            <w:pPr>
              <w:spacing w:after="0"/>
              <w:rPr>
                <w:sz w:val="17"/>
                <w:szCs w:val="17"/>
                <w:color w:val="auto"/>
              </w:rPr>
            </w:pPr>
          </w:p>
        </w:tc>
        <w:tc>
          <w:tcPr>
            <w:tcW w:w="4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66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firstLine="648"/>
        <w:spacing w:after="0" w:line="308" w:lineRule="auto"/>
        <w:rPr>
          <w:sz w:val="20"/>
          <w:szCs w:val="20"/>
          <w:color w:val="auto"/>
        </w:rPr>
      </w:pPr>
      <w:r>
        <w:rPr>
          <w:rFonts w:ascii="Arial" w:cs="Arial" w:eastAsia="Arial" w:hAnsi="Arial"/>
          <w:sz w:val="17"/>
          <w:szCs w:val="17"/>
          <w:color w:val="auto"/>
        </w:rPr>
        <w:t>Included in the preceding table are 1,690,000 shares of options granted to certain officers at an exercise price of $24.80 during the second quarter of fiscal 2007 that will become exercisable only upon the achievement of specified annual earnings per share targets through fiscal 2010.</w:t>
      </w:r>
    </w:p>
    <w:p>
      <w:pPr>
        <w:spacing w:after="0" w:line="147" w:lineRule="exact"/>
        <w:rPr>
          <w:sz w:val="20"/>
          <w:szCs w:val="20"/>
          <w:color w:val="auto"/>
        </w:rPr>
      </w:pPr>
    </w:p>
    <w:p>
      <w:pPr>
        <w:ind w:right="40" w:firstLine="324"/>
        <w:spacing w:after="0" w:line="302" w:lineRule="auto"/>
        <w:rPr>
          <w:sz w:val="20"/>
          <w:szCs w:val="20"/>
          <w:color w:val="auto"/>
        </w:rPr>
      </w:pPr>
      <w:r>
        <w:rPr>
          <w:rFonts w:ascii="Arial" w:cs="Arial" w:eastAsia="Arial" w:hAnsi="Arial"/>
          <w:sz w:val="16"/>
          <w:szCs w:val="16"/>
          <w:color w:val="auto"/>
        </w:rPr>
        <w:t>The aggregate intrinsic value in the table above represents the total pretax intrinsic value (the aggregate difference between the closing stock price of the Company’s common stock on July 28, 2006 of $18.31 and the exercise price for in-the-money options) that would have been received by the option holders if all options had been exercised on July 29, 2006. The total intrinsic value of options exercised in the three and six months ended July 29, 2006 was $24.6 million and $72.0 million, respectively. Cash received from option exercises for the six months ended July 29, 2006 was $20.2 million.</w:t>
      </w:r>
    </w:p>
    <w:p>
      <w:pPr>
        <w:spacing w:after="0" w:line="154"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Included in the preceding table is activity related to the nonvested portion of the stock based arrangements as follows:</w:t>
      </w:r>
    </w:p>
    <w:p>
      <w:pPr>
        <w:sectPr>
          <w:pgSz w:w="11900" w:h="16838" w:orient="portrait"/>
          <w:cols w:equalWidth="0" w:num="1">
            <w:col w:w="11420"/>
          </w:cols>
          <w:pgMar w:left="240" w:top="125" w:right="239" w:bottom="46" w:gutter="0" w:footer="0" w:header="0"/>
        </w:sectPr>
      </w:pPr>
    </w:p>
    <w:bookmarkStart w:id="24" w:name="page25"/>
    <w:bookmarkEnd w:id="24"/>
    <w:tbl>
      <w:tblPr>
        <w:tblLayout w:type="fixed"/>
        <w:tblInd w:w="720" w:type="dxa"/>
        <w:tblCellMar>
          <w:top w:w="0" w:type="dxa"/>
          <w:left w:w="0" w:type="dxa"/>
          <w:bottom w:w="0" w:type="dxa"/>
          <w:right w:w="0" w:type="dxa"/>
        </w:tblCellMar>
      </w:tblPr>
      <w:tr>
        <w:trPr>
          <w:trHeight w:val="161"/>
        </w:trPr>
        <w:tc>
          <w:tcPr>
            <w:tcW w:w="2460" w:type="dxa"/>
            <w:vAlign w:val="bottom"/>
          </w:tcPr>
          <w:p>
            <w:pPr>
              <w:spacing w:after="0"/>
              <w:rPr>
                <w:sz w:val="14"/>
                <w:szCs w:val="14"/>
                <w:color w:val="auto"/>
              </w:rPr>
            </w:pPr>
          </w:p>
        </w:tc>
        <w:tc>
          <w:tcPr>
            <w:tcW w:w="102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89"/>
              </w:rPr>
              <w:t>Nonvested</w:t>
            </w:r>
          </w:p>
        </w:tc>
        <w:tc>
          <w:tcPr>
            <w:tcW w:w="80" w:type="dxa"/>
            <w:vAlign w:val="bottom"/>
          </w:tcPr>
          <w:p>
            <w:pPr>
              <w:spacing w:after="0"/>
              <w:rPr>
                <w:sz w:val="14"/>
                <w:szCs w:val="14"/>
                <w:color w:val="auto"/>
              </w:rPr>
            </w:pPr>
          </w:p>
        </w:tc>
        <w:tc>
          <w:tcPr>
            <w:tcW w:w="9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5"/>
              </w:rPr>
              <w:t>Weighted</w:t>
            </w:r>
          </w:p>
        </w:tc>
        <w:tc>
          <w:tcPr>
            <w:tcW w:w="10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Nonvested</w:t>
            </w:r>
          </w:p>
        </w:tc>
        <w:tc>
          <w:tcPr>
            <w:tcW w:w="100" w:type="dxa"/>
            <w:vAlign w:val="bottom"/>
          </w:tcPr>
          <w:p>
            <w:pPr>
              <w:spacing w:after="0"/>
              <w:rPr>
                <w:sz w:val="14"/>
                <w:szCs w:val="14"/>
                <w:color w:val="auto"/>
              </w:rPr>
            </w:pPr>
          </w:p>
        </w:tc>
        <w:tc>
          <w:tcPr>
            <w:tcW w:w="7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Weighted</w:t>
            </w:r>
          </w:p>
        </w:tc>
        <w:tc>
          <w:tcPr>
            <w:tcW w:w="0" w:type="dxa"/>
            <w:vAlign w:val="bottom"/>
          </w:tcPr>
          <w:p>
            <w:pPr>
              <w:spacing w:after="0"/>
              <w:rPr>
                <w:sz w:val="1"/>
                <w:szCs w:val="1"/>
                <w:color w:val="auto"/>
              </w:rPr>
            </w:pPr>
          </w:p>
        </w:tc>
      </w:tr>
      <w:tr>
        <w:trPr>
          <w:trHeight w:val="135"/>
        </w:trPr>
        <w:tc>
          <w:tcPr>
            <w:tcW w:w="246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4"/>
              </w:rPr>
              <w:t>Average</w:t>
            </w:r>
          </w:p>
        </w:tc>
        <w:tc>
          <w:tcPr>
            <w:tcW w:w="102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0"/>
              </w:rPr>
              <w:t>Restricted</w:t>
            </w:r>
          </w:p>
        </w:tc>
        <w:tc>
          <w:tcPr>
            <w:tcW w:w="100" w:type="dxa"/>
            <w:vAlign w:val="bottom"/>
          </w:tcPr>
          <w:p>
            <w:pPr>
              <w:spacing w:after="0"/>
              <w:rPr>
                <w:sz w:val="11"/>
                <w:szCs w:val="11"/>
                <w:color w:val="auto"/>
              </w:rPr>
            </w:pPr>
          </w:p>
        </w:tc>
        <w:tc>
          <w:tcPr>
            <w:tcW w:w="78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4"/>
              </w:rPr>
              <w:t>Average</w:t>
            </w:r>
          </w:p>
        </w:tc>
        <w:tc>
          <w:tcPr>
            <w:tcW w:w="0" w:type="dxa"/>
            <w:vAlign w:val="bottom"/>
          </w:tcPr>
          <w:p>
            <w:pPr>
              <w:spacing w:after="0"/>
              <w:rPr>
                <w:sz w:val="1"/>
                <w:szCs w:val="1"/>
                <w:color w:val="auto"/>
              </w:rPr>
            </w:pPr>
          </w:p>
        </w:tc>
      </w:tr>
      <w:tr>
        <w:trPr>
          <w:trHeight w:val="135"/>
        </w:trPr>
        <w:tc>
          <w:tcPr>
            <w:tcW w:w="2460" w:type="dxa"/>
            <w:vAlign w:val="bottom"/>
          </w:tcPr>
          <w:p>
            <w:pPr>
              <w:spacing w:after="0"/>
              <w:rPr>
                <w:sz w:val="11"/>
                <w:szCs w:val="11"/>
                <w:color w:val="auto"/>
              </w:rPr>
            </w:pPr>
          </w:p>
        </w:tc>
        <w:tc>
          <w:tcPr>
            <w:tcW w:w="10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Options</w:t>
            </w:r>
          </w:p>
        </w:tc>
        <w:tc>
          <w:tcPr>
            <w:tcW w:w="102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Grant Date</w:t>
            </w:r>
          </w:p>
        </w:tc>
        <w:tc>
          <w:tcPr>
            <w:tcW w:w="102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0"/>
              </w:rPr>
              <w:t>Stock Units</w:t>
            </w:r>
          </w:p>
        </w:tc>
        <w:tc>
          <w:tcPr>
            <w:tcW w:w="88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2460" w:type="dxa"/>
            <w:vAlign w:val="bottom"/>
          </w:tcPr>
          <w:p>
            <w:pPr>
              <w:spacing w:after="0"/>
              <w:rPr>
                <w:sz w:val="14"/>
                <w:szCs w:val="14"/>
                <w:color w:val="auto"/>
              </w:rPr>
            </w:pPr>
          </w:p>
        </w:tc>
        <w:tc>
          <w:tcPr>
            <w:tcW w:w="10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102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Fair Value</w:t>
            </w:r>
          </w:p>
        </w:tc>
        <w:tc>
          <w:tcPr>
            <w:tcW w:w="10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8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71,813</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60" w:type="dxa"/>
            <w:vAlign w:val="bottom"/>
          </w:tcPr>
          <w:p>
            <w:pPr>
              <w:ind w:left="1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spacing w:after="0"/>
              <w:rPr>
                <w:sz w:val="20"/>
                <w:szCs w:val="20"/>
                <w:color w:val="auto"/>
              </w:rPr>
            </w:pPr>
            <w:r>
              <w:rPr>
                <w:rFonts w:ascii="Arial" w:cs="Arial" w:eastAsia="Arial" w:hAnsi="Arial"/>
                <w:sz w:val="18"/>
                <w:szCs w:val="18"/>
                <w:color w:val="auto"/>
              </w:rPr>
              <w:t>17,569</w:t>
            </w:r>
          </w:p>
        </w:tc>
        <w:tc>
          <w:tcPr>
            <w:tcW w:w="2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14.87</w:t>
            </w: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144</w:t>
            </w:r>
          </w:p>
        </w:tc>
        <w:tc>
          <w:tcPr>
            <w:tcW w:w="2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32.12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(8,668)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46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(3,001)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8.59</w:t>
            </w:r>
          </w:p>
        </w:tc>
        <w:tc>
          <w:tcPr>
            <w:tcW w:w="220" w:type="dxa"/>
            <w:vAlign w:val="bottom"/>
          </w:tcPr>
          <w:p>
            <w:pPr>
              <w:spacing w:after="0"/>
              <w:rPr>
                <w:sz w:val="18"/>
                <w:szCs w:val="18"/>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4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July 29, 2006</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77,713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w:t>
            </w:r>
            <w:r>
              <w:rPr>
                <w:rFonts w:ascii="Arial" w:cs="Arial" w:eastAsia="Arial" w:hAnsi="Arial"/>
                <w:sz w:val="18"/>
                <w:szCs w:val="18"/>
                <w:u w:val="single" w:color="auto"/>
                <w:color w:val="auto"/>
              </w:rPr>
              <w:t>12</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46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As of July 29, 2006, there was $469.7 million of unrecognized compensation cost related to unvested stock options. The unamortized compensation expense for stock options and restricted stock units will be amortized on a straight-line basis and is expected to be recognized over a weighted-average period of 2.0 years and 4.8 years, respectively. The Company’s current practice is to issue new shares to satisfy share option exercises.</w:t>
      </w:r>
    </w:p>
    <w:p>
      <w:pPr>
        <w:spacing w:after="0" w:line="147"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was expected to last until the Company filed its delinquent SEC reports, to all option holders. As a result, the exercisability of all outstanding options, including vested awards held by certain separated employees, was modified. Incremental compensation costs, representing the excess of the fair value of the modified award over the fair value of the original award immediately before the filing of the Company’s delinquent SEC reports, on affected awards will be recognized in the second half of fiscal 2008.</w:t>
      </w:r>
    </w:p>
    <w:p>
      <w:pPr>
        <w:spacing w:after="0" w:line="193"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170"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Total tax benefit attributable to options exercised in the six months ended July 29, 2006 was $0.9 million. The excess tax benefits from stock-based compensation of $0.9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In the first six months of fiscal 2007, the Company granted 140,000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value of the restricted stock awards determined based on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six months ended July 29, 2006 is summarized below (in thousands, except per share amounts):</w:t>
      </w:r>
    </w:p>
    <w:p>
      <w:pPr>
        <w:spacing w:after="0" w:line="14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0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0"/>
              </w:rPr>
              <w:t>Restricted Stock</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5380" w:type="dxa"/>
            <w:vAlign w:val="bottom"/>
          </w:tcPr>
          <w:p>
            <w:pPr>
              <w:spacing w:after="0"/>
              <w:rPr>
                <w:sz w:val="14"/>
                <w:szCs w:val="14"/>
                <w:color w:val="auto"/>
              </w:rPr>
            </w:pPr>
          </w:p>
        </w:tc>
        <w:tc>
          <w:tcPr>
            <w:tcW w:w="1020" w:type="dxa"/>
            <w:vAlign w:val="bottom"/>
          </w:tcPr>
          <w:p>
            <w:pPr>
              <w:jc w:val="right"/>
              <w:ind w:right="35"/>
              <w:spacing w:after="0"/>
              <w:rPr>
                <w:sz w:val="20"/>
                <w:szCs w:val="20"/>
                <w:color w:val="auto"/>
              </w:rPr>
            </w:pPr>
            <w:r>
              <w:rPr>
                <w:rFonts w:ascii="Arial" w:cs="Arial" w:eastAsia="Arial" w:hAnsi="Arial"/>
                <w:sz w:val="14"/>
                <w:szCs w:val="14"/>
                <w:b w:val="1"/>
                <w:bCs w:val="1"/>
                <w:color w:val="auto"/>
              </w:rPr>
              <w:t>Outstanding</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538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80" w:type="dxa"/>
            <w:vAlign w:val="bottom"/>
          </w:tcPr>
          <w:p>
            <w:pPr>
              <w:ind w:left="180"/>
              <w:spacing w:after="0"/>
              <w:rPr>
                <w:sz w:val="20"/>
                <w:szCs w:val="20"/>
                <w:color w:val="auto"/>
              </w:rPr>
            </w:pPr>
            <w:r>
              <w:rPr>
                <w:rFonts w:ascii="Arial" w:cs="Arial" w:eastAsia="Arial" w:hAnsi="Arial"/>
                <w:sz w:val="18"/>
                <w:szCs w:val="18"/>
                <w:color w:val="auto"/>
              </w:rPr>
              <w:t>Restricted stock granted</w:t>
            </w:r>
          </w:p>
        </w:tc>
        <w:tc>
          <w:tcPr>
            <w:tcW w:w="1020" w:type="dxa"/>
            <w:vAlign w:val="bottom"/>
          </w:tcPr>
          <w:p>
            <w:pPr>
              <w:jc w:val="right"/>
              <w:spacing w:after="0"/>
              <w:rPr>
                <w:sz w:val="20"/>
                <w:szCs w:val="20"/>
                <w:color w:val="auto"/>
              </w:rPr>
            </w:pPr>
            <w:r>
              <w:rPr>
                <w:rFonts w:ascii="Arial" w:cs="Arial" w:eastAsia="Arial" w:hAnsi="Arial"/>
                <w:sz w:val="18"/>
                <w:szCs w:val="18"/>
                <w:color w:val="auto"/>
              </w:rPr>
              <w:t>140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Restricted stock forfeited</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Restricted stock vested</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00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53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July 29, 2006</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3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No restricted stock awards vested during the six months ended July 29, 2006. Based on the closing price of the Company’s stock of $18.31, on July 28, 2006, the total pretax intrinsic value of all outstanding restricted stock was $2.6 million.</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3"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62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02"/>
        </w:trPr>
        <w:tc>
          <w:tcPr>
            <w:tcW w:w="464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17"/>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40" w:type="dxa"/>
            <w:vAlign w:val="bottom"/>
            <w:tcBorders>
              <w:top w:val="single" w:sz="8" w:color="auto"/>
            </w:tcBorders>
            <w:gridSpan w:val="2"/>
          </w:tcPr>
          <w:p>
            <w:pPr>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jc w:val="center"/>
              <w:ind w:right="17"/>
              <w:spacing w:after="0" w:line="102" w:lineRule="exact"/>
              <w:rPr>
                <w:sz w:val="20"/>
                <w:szCs w:val="20"/>
                <w:color w:val="auto"/>
              </w:rPr>
            </w:pPr>
            <w:r>
              <w:rPr>
                <w:rFonts w:ascii="Arial" w:cs="Arial" w:eastAsia="Arial" w:hAnsi="Arial"/>
                <w:sz w:val="11"/>
                <w:szCs w:val="11"/>
                <w:b w:val="1"/>
                <w:bCs w:val="1"/>
                <w:color w:val="auto"/>
              </w:rPr>
              <w:t>July 30,</w:t>
            </w:r>
          </w:p>
        </w:tc>
        <w:tc>
          <w:tcPr>
            <w:tcW w:w="60" w:type="dxa"/>
            <w:vAlign w:val="bottom"/>
          </w:tcPr>
          <w:p>
            <w:pPr>
              <w:spacing w:after="0"/>
              <w:rPr>
                <w:sz w:val="8"/>
                <w:szCs w:val="8"/>
                <w:color w:val="auto"/>
              </w:rPr>
            </w:pPr>
          </w:p>
        </w:tc>
      </w:tr>
      <w:tr>
        <w:trPr>
          <w:trHeight w:val="162"/>
        </w:trPr>
        <w:tc>
          <w:tcPr>
            <w:tcW w:w="4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89"/>
              </w:rPr>
              <w:t>2005</w:t>
            </w:r>
          </w:p>
        </w:tc>
        <w:tc>
          <w:tcPr>
            <w:tcW w:w="60" w:type="dxa"/>
            <w:vAlign w:val="bottom"/>
          </w:tcPr>
          <w:p>
            <w:pPr>
              <w:spacing w:after="0"/>
              <w:rPr>
                <w:sz w:val="14"/>
                <w:szCs w:val="14"/>
                <w:color w:val="auto"/>
              </w:rPr>
            </w:pPr>
          </w:p>
        </w:tc>
      </w:tr>
      <w:tr>
        <w:trPr>
          <w:trHeight w:val="129"/>
        </w:trPr>
        <w:tc>
          <w:tcPr>
            <w:tcW w:w="4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2,346</w:t>
            </w:r>
          </w:p>
        </w:tc>
        <w:tc>
          <w:tcPr>
            <w:tcW w:w="60" w:type="dxa"/>
            <w:vAlign w:val="bottom"/>
            <w:shd w:val="clear" w:color="auto" w:fill="CCEEFF"/>
          </w:tcPr>
          <w:p>
            <w:pPr>
              <w:spacing w:after="0"/>
              <w:rPr>
                <w:sz w:val="18"/>
                <w:szCs w:val="18"/>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36,244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14,307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66,681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19,804</w:t>
            </w:r>
          </w:p>
        </w:tc>
        <w:tc>
          <w:tcPr>
            <w:tcW w:w="60" w:type="dxa"/>
            <w:vAlign w:val="bottom"/>
          </w:tcPr>
          <w:p>
            <w:pPr>
              <w:spacing w:after="0"/>
              <w:rPr>
                <w:sz w:val="18"/>
                <w:szCs w:val="18"/>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5,240</w:t>
            </w:r>
          </w:p>
        </w:tc>
        <w:tc>
          <w:tcPr>
            <w:tcW w:w="60" w:type="dxa"/>
            <w:vAlign w:val="bottom"/>
            <w:shd w:val="clear" w:color="auto" w:fill="CCEEFF"/>
          </w:tcPr>
          <w:p>
            <w:pPr>
              <w:spacing w:after="0"/>
              <w:rPr>
                <w:sz w:val="18"/>
                <w:szCs w:val="18"/>
                <w:color w:val="auto"/>
              </w:rPr>
            </w:pPr>
          </w:p>
        </w:tc>
      </w:tr>
      <w:tr>
        <w:trPr>
          <w:trHeight w:val="216"/>
        </w:trPr>
        <w:tc>
          <w:tcPr>
            <w:tcW w:w="46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7,437</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9,055</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15,094</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11,837</w:t>
            </w:r>
          </w:p>
        </w:tc>
        <w:tc>
          <w:tcPr>
            <w:tcW w:w="60" w:type="dxa"/>
            <w:vAlign w:val="bottom"/>
            <w:tcBorders>
              <w:bottom w:val="single" w:sz="8" w:color="CCEEFF"/>
            </w:tcBorders>
          </w:tcPr>
          <w:p>
            <w:pPr>
              <w:spacing w:after="0"/>
              <w:rPr>
                <w:sz w:val="18"/>
                <w:szCs w:val="18"/>
                <w:color w:val="auto"/>
              </w:rPr>
            </w:pPr>
          </w:p>
        </w:tc>
      </w:tr>
      <w:tr>
        <w:trPr>
          <w:trHeight w:val="210"/>
        </w:trPr>
        <w:tc>
          <w:tcPr>
            <w:tcW w:w="464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55,604</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29,637</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104,366</w:t>
            </w: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39,227</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46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2020" w:type="dxa"/>
            <w:vAlign w:val="bottom"/>
            <w:tcBorders>
              <w:bottom w:val="single" w:sz="8" w:color="auto"/>
            </w:tcBorders>
            <w:gridSpan w:val="4"/>
          </w:tcPr>
          <w:p>
            <w:pPr>
              <w:jc w:val="center"/>
              <w:ind w:left="173"/>
              <w:spacing w:after="0"/>
              <w:rPr>
                <w:sz w:val="20"/>
                <w:szCs w:val="20"/>
                <w:color w:val="auto"/>
              </w:rPr>
            </w:pPr>
            <w:r>
              <w:rPr>
                <w:rFonts w:ascii="Arial" w:cs="Arial" w:eastAsia="Arial" w:hAnsi="Arial"/>
                <w:sz w:val="14"/>
                <w:szCs w:val="14"/>
                <w:b w:val="1"/>
                <w:bCs w:val="1"/>
                <w:color w:val="auto"/>
                <w:w w:val="91"/>
              </w:rPr>
              <w:t>Stock Option Plans</w:t>
            </w:r>
          </w:p>
        </w:tc>
        <w:tc>
          <w:tcPr>
            <w:tcW w:w="2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440" w:type="dxa"/>
            <w:vAlign w:val="bottom"/>
            <w:tcBorders>
              <w:bottom w:val="single" w:sz="8" w:color="auto"/>
            </w:tcBorders>
            <w:gridSpan w:val="3"/>
          </w:tcPr>
          <w:p>
            <w:pPr>
              <w:ind w:left="980"/>
              <w:spacing w:after="0"/>
              <w:rPr>
                <w:sz w:val="20"/>
                <w:szCs w:val="20"/>
                <w:color w:val="auto"/>
              </w:rPr>
            </w:pPr>
            <w:r>
              <w:rPr>
                <w:rFonts w:ascii="Arial" w:cs="Arial" w:eastAsia="Arial" w:hAnsi="Arial"/>
                <w:sz w:val="14"/>
                <w:szCs w:val="14"/>
                <w:b w:val="1"/>
                <w:bCs w:val="1"/>
                <w:color w:val="auto"/>
              </w:rPr>
              <w:t>ESPP</w:t>
            </w:r>
          </w:p>
        </w:tc>
        <w:tc>
          <w:tcPr>
            <w:tcW w:w="88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r>
      <w:tr>
        <w:trPr>
          <w:trHeight w:val="129"/>
        </w:trPr>
        <w:tc>
          <w:tcPr>
            <w:tcW w:w="2300" w:type="dxa"/>
            <w:vAlign w:val="bottom"/>
          </w:tcPr>
          <w:p>
            <w:pPr>
              <w:spacing w:after="0"/>
              <w:rPr>
                <w:sz w:val="11"/>
                <w:szCs w:val="11"/>
                <w:color w:val="auto"/>
              </w:rPr>
            </w:pPr>
          </w:p>
        </w:tc>
        <w:tc>
          <w:tcPr>
            <w:tcW w:w="2020" w:type="dxa"/>
            <w:vAlign w:val="bottom"/>
            <w:tcBorders>
              <w:bottom w:val="single" w:sz="8" w:color="auto"/>
            </w:tcBorders>
            <w:gridSpan w:val="4"/>
          </w:tcPr>
          <w:p>
            <w:pPr>
              <w:jc w:val="center"/>
              <w:ind w:left="173"/>
              <w:spacing w:after="0" w:line="129" w:lineRule="exact"/>
              <w:rPr>
                <w:sz w:val="20"/>
                <w:szCs w:val="20"/>
                <w:color w:val="auto"/>
              </w:rPr>
            </w:pPr>
            <w:r>
              <w:rPr>
                <w:rFonts w:ascii="Arial" w:cs="Arial" w:eastAsia="Arial" w:hAnsi="Arial"/>
                <w:sz w:val="14"/>
                <w:szCs w:val="14"/>
                <w:b w:val="1"/>
                <w:bCs w:val="1"/>
                <w:color w:val="auto"/>
                <w:w w:val="93"/>
              </w:rPr>
              <w:t>Three Months Ended</w:t>
            </w:r>
          </w:p>
        </w:tc>
        <w:tc>
          <w:tcPr>
            <w:tcW w:w="240" w:type="dxa"/>
            <w:vAlign w:val="bottom"/>
            <w:tcBorders>
              <w:bottom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2320" w:type="dxa"/>
            <w:vAlign w:val="bottom"/>
            <w:tcBorders>
              <w:bottom w:val="single" w:sz="8" w:color="auto"/>
            </w:tcBorders>
            <w:gridSpan w:val="4"/>
          </w:tcPr>
          <w:p>
            <w:pPr>
              <w:jc w:val="right"/>
              <w:ind w:right="420"/>
              <w:spacing w:after="0" w:line="129" w:lineRule="exact"/>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1"/>
                <w:szCs w:val="11"/>
                <w:color w:val="auto"/>
              </w:rPr>
            </w:pPr>
          </w:p>
        </w:tc>
      </w:tr>
      <w:tr>
        <w:trPr>
          <w:trHeight w:val="102"/>
        </w:trPr>
        <w:tc>
          <w:tcPr>
            <w:tcW w:w="2300" w:type="dxa"/>
            <w:vAlign w:val="bottom"/>
          </w:tcPr>
          <w:p>
            <w:pPr>
              <w:spacing w:after="0"/>
              <w:rPr>
                <w:sz w:val="8"/>
                <w:szCs w:val="8"/>
                <w:color w:val="auto"/>
              </w:rPr>
            </w:pPr>
          </w:p>
        </w:tc>
        <w:tc>
          <w:tcPr>
            <w:tcW w:w="780" w:type="dxa"/>
            <w:vAlign w:val="bottom"/>
          </w:tcPr>
          <w:p>
            <w:pPr>
              <w:jc w:val="center"/>
              <w:ind w:left="193"/>
              <w:spacing w:after="0" w:line="102" w:lineRule="exact"/>
              <w:rPr>
                <w:sz w:val="20"/>
                <w:szCs w:val="20"/>
                <w:color w:val="auto"/>
              </w:rPr>
            </w:pPr>
            <w:r>
              <w:rPr>
                <w:rFonts w:ascii="Arial" w:cs="Arial" w:eastAsia="Arial" w:hAnsi="Arial"/>
                <w:sz w:val="11"/>
                <w:szCs w:val="11"/>
                <w:b w:val="1"/>
                <w:bCs w:val="1"/>
                <w:color w:val="auto"/>
              </w:rPr>
              <w:t>July 29.</w:t>
            </w: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780" w:type="dxa"/>
            <w:vAlign w:val="bottom"/>
          </w:tcPr>
          <w:p>
            <w:pPr>
              <w:jc w:val="center"/>
              <w:ind w:left="196"/>
              <w:spacing w:after="0" w:line="102" w:lineRule="exact"/>
              <w:rPr>
                <w:sz w:val="20"/>
                <w:szCs w:val="20"/>
                <w:color w:val="auto"/>
              </w:rPr>
            </w:pPr>
            <w:r>
              <w:rPr>
                <w:rFonts w:ascii="Arial" w:cs="Arial" w:eastAsia="Arial" w:hAnsi="Arial"/>
                <w:sz w:val="11"/>
                <w:szCs w:val="11"/>
                <w:b w:val="1"/>
                <w:bCs w:val="1"/>
                <w:color w:val="auto"/>
              </w:rPr>
              <w:t>July 30,</w:t>
            </w: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40" w:type="dxa"/>
            <w:vAlign w:val="bottom"/>
            <w:gridSpan w:val="3"/>
          </w:tcPr>
          <w:p>
            <w:pPr>
              <w:ind w:left="280"/>
              <w:spacing w:after="0" w:line="102" w:lineRule="exact"/>
              <w:rPr>
                <w:sz w:val="20"/>
                <w:szCs w:val="20"/>
                <w:color w:val="auto"/>
              </w:rPr>
            </w:pPr>
            <w:r>
              <w:rPr>
                <w:rFonts w:ascii="Arial" w:cs="Arial" w:eastAsia="Arial" w:hAnsi="Arial"/>
                <w:sz w:val="11"/>
                <w:szCs w:val="11"/>
                <w:b w:val="1"/>
                <w:bCs w:val="1"/>
                <w:color w:val="auto"/>
              </w:rPr>
              <w:t>July 29,</w:t>
            </w:r>
          </w:p>
        </w:tc>
        <w:tc>
          <w:tcPr>
            <w:tcW w:w="880" w:type="dxa"/>
            <w:vAlign w:val="bottom"/>
          </w:tcPr>
          <w:p>
            <w:pPr>
              <w:jc w:val="right"/>
              <w:ind w:right="220"/>
              <w:spacing w:after="0" w:line="102" w:lineRule="exact"/>
              <w:rPr>
                <w:sz w:val="20"/>
                <w:szCs w:val="20"/>
                <w:color w:val="auto"/>
              </w:rPr>
            </w:pPr>
            <w:r>
              <w:rPr>
                <w:rFonts w:ascii="Arial" w:cs="Arial" w:eastAsia="Arial" w:hAnsi="Arial"/>
                <w:sz w:val="11"/>
                <w:szCs w:val="11"/>
                <w:b w:val="1"/>
                <w:bCs w:val="1"/>
                <w:color w:val="auto"/>
              </w:rPr>
              <w:t>July 30,</w:t>
            </w:r>
          </w:p>
        </w:tc>
        <w:tc>
          <w:tcPr>
            <w:tcW w:w="180" w:type="dxa"/>
            <w:vAlign w:val="bottom"/>
          </w:tcPr>
          <w:p>
            <w:pPr>
              <w:spacing w:after="0"/>
              <w:rPr>
                <w:sz w:val="8"/>
                <w:szCs w:val="8"/>
                <w:color w:val="auto"/>
              </w:rPr>
            </w:pPr>
          </w:p>
        </w:tc>
      </w:tr>
      <w:tr>
        <w:trPr>
          <w:trHeight w:val="162"/>
        </w:trPr>
        <w:tc>
          <w:tcPr>
            <w:tcW w:w="3080" w:type="dxa"/>
            <w:vAlign w:val="bottom"/>
            <w:gridSpan w:val="2"/>
          </w:tcPr>
          <w:p>
            <w:pPr>
              <w:jc w:val="right"/>
              <w:ind w:right="53"/>
              <w:spacing w:after="0"/>
              <w:rPr>
                <w:sz w:val="20"/>
                <w:szCs w:val="20"/>
                <w:color w:val="auto"/>
              </w:rPr>
            </w:pPr>
            <w:r>
              <w:rPr>
                <w:rFonts w:ascii="Arial" w:cs="Arial" w:eastAsia="Arial" w:hAnsi="Arial"/>
                <w:sz w:val="14"/>
                <w:szCs w:val="14"/>
                <w:b w:val="1"/>
                <w:bCs w:val="1"/>
                <w:color w:val="auto"/>
              </w:rPr>
              <w:t>2006</w:t>
            </w:r>
          </w:p>
        </w:tc>
        <w:tc>
          <w:tcPr>
            <w:tcW w:w="1240" w:type="dxa"/>
            <w:vAlign w:val="bottom"/>
            <w:gridSpan w:val="3"/>
          </w:tcPr>
          <w:p>
            <w:pPr>
              <w:jc w:val="center"/>
              <w:ind w:left="614"/>
              <w:spacing w:after="0"/>
              <w:rPr>
                <w:sz w:val="20"/>
                <w:szCs w:val="20"/>
                <w:color w:val="auto"/>
              </w:rPr>
            </w:pPr>
            <w:r>
              <w:rPr>
                <w:rFonts w:ascii="Arial" w:cs="Arial" w:eastAsia="Arial" w:hAnsi="Arial"/>
                <w:sz w:val="14"/>
                <w:szCs w:val="14"/>
                <w:b w:val="1"/>
                <w:bCs w:val="1"/>
                <w:color w:val="auto"/>
                <w:w w:val="96"/>
              </w:rPr>
              <w:t>2005</w:t>
            </w: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jc w:val="right"/>
              <w:ind w:right="30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jc w:val="right"/>
              <w:ind w:right="320"/>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4"/>
                <w:szCs w:val="14"/>
                <w:color w:val="auto"/>
              </w:rPr>
            </w:pPr>
          </w:p>
        </w:tc>
      </w:tr>
      <w:tr>
        <w:trPr>
          <w:trHeight w:val="129"/>
        </w:trPr>
        <w:tc>
          <w:tcPr>
            <w:tcW w:w="230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r>
      <w:tr>
        <w:trPr>
          <w:trHeight w:val="216"/>
        </w:trPr>
        <w:tc>
          <w:tcPr>
            <w:tcW w:w="3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Volatility</w:t>
            </w: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78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w:t>
            </w: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73%</w:t>
            </w:r>
          </w:p>
        </w:tc>
      </w:tr>
      <w:tr>
        <w:trPr>
          <w:trHeight w:val="216"/>
        </w:trPr>
        <w:tc>
          <w:tcPr>
            <w:tcW w:w="3080" w:type="dxa"/>
            <w:vAlign w:val="bottom"/>
            <w:gridSpan w:val="2"/>
          </w:tcPr>
          <w:p>
            <w:pPr>
              <w:spacing w:after="0"/>
              <w:rPr>
                <w:sz w:val="20"/>
                <w:szCs w:val="20"/>
                <w:color w:val="auto"/>
              </w:rPr>
            </w:pPr>
            <w:r>
              <w:rPr>
                <w:rFonts w:ascii="Arial" w:cs="Arial" w:eastAsia="Arial" w:hAnsi="Arial"/>
                <w:sz w:val="18"/>
                <w:szCs w:val="18"/>
                <w:color w:val="auto"/>
              </w:rPr>
              <w:t>Expected life (in years)</w:t>
            </w:r>
          </w:p>
        </w:tc>
        <w:tc>
          <w:tcPr>
            <w:tcW w:w="240" w:type="dxa"/>
            <w:vAlign w:val="bottom"/>
          </w:tcPr>
          <w:p>
            <w:pPr>
              <w:jc w:val="right"/>
              <w:spacing w:after="0"/>
              <w:rPr>
                <w:sz w:val="20"/>
                <w:szCs w:val="20"/>
                <w:color w:val="auto"/>
              </w:rPr>
            </w:pPr>
            <w:r>
              <w:rPr>
                <w:rFonts w:ascii="Arial" w:cs="Arial" w:eastAsia="Arial" w:hAnsi="Arial"/>
                <w:sz w:val="18"/>
                <w:szCs w:val="18"/>
                <w:color w:val="auto"/>
                <w:w w:val="87"/>
              </w:rPr>
              <w:t>4.7</w:t>
            </w: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w w:val="87"/>
              </w:rPr>
              <w:t>4.8</w:t>
            </w:r>
          </w:p>
        </w:tc>
        <w:tc>
          <w:tcPr>
            <w:tcW w:w="2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180" w:type="dxa"/>
            <w:vAlign w:val="bottom"/>
          </w:tcPr>
          <w:p>
            <w:pPr>
              <w:spacing w:after="0"/>
              <w:rPr>
                <w:sz w:val="18"/>
                <w:szCs w:val="18"/>
                <w:color w:val="auto"/>
              </w:rPr>
            </w:pPr>
          </w:p>
        </w:tc>
      </w:tr>
      <w:tr>
        <w:trPr>
          <w:trHeight w:val="216"/>
        </w:trPr>
        <w:tc>
          <w:tcPr>
            <w:tcW w:w="3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4.7%</w:t>
            </w:r>
          </w:p>
        </w:tc>
        <w:tc>
          <w:tcPr>
            <w:tcW w:w="78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3.9%</w:t>
            </w: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w:t>
            </w:r>
          </w:p>
        </w:tc>
      </w:tr>
    </w:tbl>
    <w:p>
      <w:pPr>
        <w:sectPr>
          <w:pgSz w:w="11900" w:h="16838" w:orient="portrait"/>
          <w:cols w:equalWidth="0" w:num="1">
            <w:col w:w="11420"/>
          </w:cols>
          <w:pgMar w:left="240" w:top="87" w:right="239" w:bottom="0" w:gutter="0" w:footer="0" w:header="0"/>
        </w:sectPr>
      </w:pPr>
    </w:p>
    <w:bookmarkStart w:id="25" w:name="page26"/>
    <w:bookmarkEnd w:id="25"/>
    <w:p>
      <w:pPr>
        <w:spacing w:after="0" w:line="106" w:lineRule="exact"/>
        <w:rPr>
          <w:sz w:val="20"/>
          <w:szCs w:val="20"/>
          <w:color w:val="auto"/>
        </w:rPr>
      </w:pPr>
    </w:p>
    <w:tbl>
      <w:tblPr>
        <w:tblLayout w:type="fixed"/>
        <w:tblInd w:w="720" w:type="dxa"/>
        <w:tblCellMar>
          <w:top w:w="0" w:type="dxa"/>
          <w:left w:w="0" w:type="dxa"/>
          <w:bottom w:w="0" w:type="dxa"/>
          <w:right w:w="0" w:type="dxa"/>
        </w:tblCellMar>
      </w:tblPr>
      <w:tr>
        <w:trPr>
          <w:trHeight w:val="230"/>
        </w:trPr>
        <w:tc>
          <w:tcPr>
            <w:tcW w:w="2460" w:type="dxa"/>
            <w:vAlign w:val="bottom"/>
          </w:tcPr>
          <w:p>
            <w:pPr>
              <w:spacing w:after="0"/>
              <w:rPr>
                <w:sz w:val="20"/>
                <w:szCs w:val="20"/>
                <w:color w:val="auto"/>
              </w:rPr>
            </w:pPr>
            <w:r>
              <w:rPr>
                <w:rFonts w:ascii="Arial" w:cs="Arial" w:eastAsia="Arial" w:hAnsi="Arial"/>
                <w:sz w:val="18"/>
                <w:szCs w:val="18"/>
                <w:color w:val="auto"/>
              </w:rPr>
              <w:t>Dividend yield</w:t>
            </w: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40" w:type="dxa"/>
            <w:vAlign w:val="bottom"/>
            <w:gridSpan w:val="3"/>
          </w:tcPr>
          <w:p>
            <w:pPr>
              <w:jc w:val="right"/>
              <w:ind w:right="40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r>
      <w:tr>
        <w:trPr>
          <w:trHeight w:val="405"/>
        </w:trPr>
        <w:tc>
          <w:tcPr>
            <w:tcW w:w="2460" w:type="dxa"/>
            <w:vAlign w:val="bottom"/>
          </w:tcPr>
          <w:p>
            <w:pPr>
              <w:spacing w:after="0"/>
              <w:rPr>
                <w:sz w:val="24"/>
                <w:szCs w:val="24"/>
                <w:color w:val="auto"/>
              </w:rPr>
            </w:pPr>
          </w:p>
        </w:tc>
        <w:tc>
          <w:tcPr>
            <w:tcW w:w="2320" w:type="dxa"/>
            <w:vAlign w:val="bottom"/>
            <w:gridSpan w:val="4"/>
          </w:tcPr>
          <w:p>
            <w:pPr>
              <w:jc w:val="right"/>
              <w:ind w:right="680"/>
              <w:spacing w:after="0"/>
              <w:rPr>
                <w:sz w:val="20"/>
                <w:szCs w:val="20"/>
                <w:color w:val="auto"/>
              </w:rPr>
            </w:pPr>
            <w:r>
              <w:rPr>
                <w:rFonts w:ascii="Arial" w:cs="Arial" w:eastAsia="Arial" w:hAnsi="Arial"/>
                <w:sz w:val="14"/>
                <w:szCs w:val="14"/>
                <w:b w:val="1"/>
                <w:bCs w:val="1"/>
                <w:color w:val="auto"/>
              </w:rPr>
              <w:t>Stock Option Plans</w:t>
            </w:r>
          </w:p>
        </w:tc>
        <w:tc>
          <w:tcPr>
            <w:tcW w:w="1440" w:type="dxa"/>
            <w:vAlign w:val="bottom"/>
            <w:gridSpan w:val="3"/>
          </w:tcPr>
          <w:p>
            <w:pPr>
              <w:ind w:left="980"/>
              <w:spacing w:after="0"/>
              <w:rPr>
                <w:sz w:val="20"/>
                <w:szCs w:val="20"/>
                <w:color w:val="auto"/>
              </w:rPr>
            </w:pPr>
            <w:r>
              <w:rPr>
                <w:rFonts w:ascii="Arial" w:cs="Arial" w:eastAsia="Arial" w:hAnsi="Arial"/>
                <w:sz w:val="14"/>
                <w:szCs w:val="14"/>
                <w:b w:val="1"/>
                <w:bCs w:val="1"/>
                <w:color w:val="auto"/>
              </w:rPr>
              <w:t>ESPP</w:t>
            </w:r>
          </w:p>
        </w:tc>
        <w:tc>
          <w:tcPr>
            <w:tcW w:w="86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129"/>
        </w:trPr>
        <w:tc>
          <w:tcPr>
            <w:tcW w:w="2460" w:type="dxa"/>
            <w:vAlign w:val="bottom"/>
          </w:tcPr>
          <w:p>
            <w:pPr>
              <w:spacing w:after="0"/>
              <w:rPr>
                <w:sz w:val="11"/>
                <w:szCs w:val="11"/>
                <w:color w:val="auto"/>
              </w:rPr>
            </w:pPr>
          </w:p>
        </w:tc>
        <w:tc>
          <w:tcPr>
            <w:tcW w:w="2100" w:type="dxa"/>
            <w:vAlign w:val="bottom"/>
            <w:tcBorders>
              <w:top w:val="single" w:sz="8" w:color="auto"/>
              <w:bottom w:val="single" w:sz="8" w:color="auto"/>
            </w:tcBorders>
            <w:gridSpan w:val="3"/>
          </w:tcPr>
          <w:p>
            <w:pPr>
              <w:jc w:val="right"/>
              <w:ind w:right="398"/>
              <w:spacing w:after="0" w:line="129" w:lineRule="exact"/>
              <w:rPr>
                <w:sz w:val="20"/>
                <w:szCs w:val="20"/>
                <w:color w:val="auto"/>
              </w:rPr>
            </w:pPr>
            <w:r>
              <w:rPr>
                <w:rFonts w:ascii="Arial" w:cs="Arial" w:eastAsia="Arial" w:hAnsi="Arial"/>
                <w:sz w:val="14"/>
                <w:szCs w:val="14"/>
                <w:b w:val="1"/>
                <w:bCs w:val="1"/>
                <w:color w:val="auto"/>
              </w:rPr>
              <w:t>Six Months Ended</w:t>
            </w:r>
          </w:p>
        </w:tc>
        <w:tc>
          <w:tcPr>
            <w:tcW w:w="220" w:type="dxa"/>
            <w:vAlign w:val="bottom"/>
          </w:tcPr>
          <w:p>
            <w:pPr>
              <w:spacing w:after="0"/>
              <w:rPr>
                <w:sz w:val="11"/>
                <w:szCs w:val="11"/>
                <w:color w:val="auto"/>
              </w:rPr>
            </w:pPr>
          </w:p>
        </w:tc>
        <w:tc>
          <w:tcPr>
            <w:tcW w:w="2300" w:type="dxa"/>
            <w:vAlign w:val="bottom"/>
            <w:tcBorders>
              <w:top w:val="single" w:sz="8" w:color="auto"/>
              <w:bottom w:val="single" w:sz="8" w:color="auto"/>
            </w:tcBorders>
            <w:gridSpan w:val="4"/>
          </w:tcPr>
          <w:p>
            <w:pPr>
              <w:jc w:val="right"/>
              <w:ind w:right="496"/>
              <w:spacing w:after="0" w:line="129" w:lineRule="exact"/>
              <w:rPr>
                <w:sz w:val="20"/>
                <w:szCs w:val="20"/>
                <w:color w:val="auto"/>
              </w:rPr>
            </w:pPr>
            <w:r>
              <w:rPr>
                <w:rFonts w:ascii="Arial" w:cs="Arial" w:eastAsia="Arial" w:hAnsi="Arial"/>
                <w:sz w:val="14"/>
                <w:szCs w:val="14"/>
                <w:b w:val="1"/>
                <w:bCs w:val="1"/>
                <w:color w:val="auto"/>
              </w:rPr>
              <w:t>Six Months Ended</w:t>
            </w:r>
          </w:p>
        </w:tc>
        <w:tc>
          <w:tcPr>
            <w:tcW w:w="180" w:type="dxa"/>
            <w:vAlign w:val="bottom"/>
          </w:tcPr>
          <w:p>
            <w:pPr>
              <w:spacing w:after="0"/>
              <w:rPr>
                <w:sz w:val="11"/>
                <w:szCs w:val="11"/>
                <w:color w:val="auto"/>
              </w:rPr>
            </w:pPr>
          </w:p>
        </w:tc>
      </w:tr>
      <w:tr>
        <w:trPr>
          <w:trHeight w:val="102"/>
        </w:trPr>
        <w:tc>
          <w:tcPr>
            <w:tcW w:w="2460" w:type="dxa"/>
            <w:vAlign w:val="bottom"/>
          </w:tcPr>
          <w:p>
            <w:pPr>
              <w:spacing w:after="0"/>
              <w:rPr>
                <w:sz w:val="8"/>
                <w:szCs w:val="8"/>
                <w:color w:val="auto"/>
              </w:rPr>
            </w:pPr>
          </w:p>
        </w:tc>
        <w:tc>
          <w:tcPr>
            <w:tcW w:w="1080" w:type="dxa"/>
            <w:vAlign w:val="bottom"/>
            <w:gridSpan w:val="2"/>
          </w:tcPr>
          <w:p>
            <w:pPr>
              <w:jc w:val="center"/>
              <w:ind w:right="200"/>
              <w:spacing w:after="0" w:line="102" w:lineRule="exact"/>
              <w:rPr>
                <w:sz w:val="20"/>
                <w:szCs w:val="20"/>
                <w:color w:val="auto"/>
              </w:rPr>
            </w:pPr>
            <w:r>
              <w:rPr>
                <w:rFonts w:ascii="Arial" w:cs="Arial" w:eastAsia="Arial" w:hAnsi="Arial"/>
                <w:sz w:val="11"/>
                <w:szCs w:val="11"/>
                <w:b w:val="1"/>
                <w:bCs w:val="1"/>
                <w:color w:val="auto"/>
              </w:rPr>
              <w:t>July 29.</w:t>
            </w:r>
          </w:p>
        </w:tc>
        <w:tc>
          <w:tcPr>
            <w:tcW w:w="102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440" w:type="dxa"/>
            <w:vAlign w:val="bottom"/>
            <w:gridSpan w:val="3"/>
          </w:tcPr>
          <w:p>
            <w:pPr>
              <w:ind w:left="280"/>
              <w:spacing w:after="0" w:line="102" w:lineRule="exact"/>
              <w:rPr>
                <w:sz w:val="20"/>
                <w:szCs w:val="20"/>
                <w:color w:val="auto"/>
              </w:rPr>
            </w:pPr>
            <w:r>
              <w:rPr>
                <w:rFonts w:ascii="Arial" w:cs="Arial" w:eastAsia="Arial" w:hAnsi="Arial"/>
                <w:sz w:val="11"/>
                <w:szCs w:val="11"/>
                <w:b w:val="1"/>
                <w:bCs w:val="1"/>
                <w:color w:val="auto"/>
              </w:rPr>
              <w:t>July 29,</w:t>
            </w:r>
          </w:p>
        </w:tc>
        <w:tc>
          <w:tcPr>
            <w:tcW w:w="860" w:type="dxa"/>
            <w:vAlign w:val="bottom"/>
          </w:tcPr>
          <w:p>
            <w:pPr>
              <w:jc w:val="right"/>
              <w:ind w:right="196"/>
              <w:spacing w:after="0" w:line="102" w:lineRule="exact"/>
              <w:rPr>
                <w:sz w:val="20"/>
                <w:szCs w:val="20"/>
                <w:color w:val="auto"/>
              </w:rPr>
            </w:pPr>
            <w:r>
              <w:rPr>
                <w:rFonts w:ascii="Arial" w:cs="Arial" w:eastAsia="Arial" w:hAnsi="Arial"/>
                <w:sz w:val="11"/>
                <w:szCs w:val="11"/>
                <w:b w:val="1"/>
                <w:bCs w:val="1"/>
                <w:color w:val="auto"/>
              </w:rPr>
              <w:t>July 30,</w:t>
            </w:r>
          </w:p>
        </w:tc>
        <w:tc>
          <w:tcPr>
            <w:tcW w:w="180" w:type="dxa"/>
            <w:vAlign w:val="bottom"/>
          </w:tcPr>
          <w:p>
            <w:pPr>
              <w:spacing w:after="0"/>
              <w:rPr>
                <w:sz w:val="8"/>
                <w:szCs w:val="8"/>
                <w:color w:val="auto"/>
              </w:rPr>
            </w:pPr>
          </w:p>
        </w:tc>
      </w:tr>
      <w:tr>
        <w:trPr>
          <w:trHeight w:val="162"/>
        </w:trPr>
        <w:tc>
          <w:tcPr>
            <w:tcW w:w="2460" w:type="dxa"/>
            <w:vAlign w:val="bottom"/>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2006</w:t>
            </w:r>
          </w:p>
        </w:tc>
        <w:tc>
          <w:tcPr>
            <w:tcW w:w="220" w:type="dxa"/>
            <w:vAlign w:val="bottom"/>
          </w:tcPr>
          <w:p>
            <w:pPr>
              <w:spacing w:after="0"/>
              <w:rPr>
                <w:sz w:val="14"/>
                <w:szCs w:val="14"/>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040" w:type="dxa"/>
            <w:vAlign w:val="bottom"/>
            <w:tcBorders>
              <w:bottom w:val="single" w:sz="8" w:color="auto"/>
            </w:tcBorders>
          </w:tcPr>
          <w:p>
            <w:pPr>
              <w:jc w:val="right"/>
              <w:ind w:right="29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4"/>
                <w:szCs w:val="14"/>
                <w:color w:val="auto"/>
              </w:rPr>
            </w:pPr>
          </w:p>
        </w:tc>
      </w:tr>
      <w:tr>
        <w:trPr>
          <w:trHeight w:val="129"/>
        </w:trPr>
        <w:tc>
          <w:tcPr>
            <w:tcW w:w="2460" w:type="dxa"/>
            <w:vAlign w:val="bottom"/>
          </w:tcPr>
          <w:p>
            <w:pPr>
              <w:spacing w:after="0"/>
              <w:rPr>
                <w:sz w:val="11"/>
                <w:szCs w:val="11"/>
                <w:color w:val="auto"/>
              </w:rPr>
            </w:pPr>
          </w:p>
        </w:tc>
        <w:tc>
          <w:tcPr>
            <w:tcW w:w="8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0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216"/>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Volatility, range</w:t>
            </w: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 to 73%</w:t>
            </w: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73%</w:t>
            </w:r>
          </w:p>
        </w:tc>
      </w:tr>
      <w:tr>
        <w:trPr>
          <w:trHeight w:val="216"/>
        </w:trPr>
        <w:tc>
          <w:tcPr>
            <w:tcW w:w="2460" w:type="dxa"/>
            <w:vAlign w:val="bottom"/>
          </w:tcPr>
          <w:p>
            <w:pPr>
              <w:spacing w:after="0"/>
              <w:rPr>
                <w:sz w:val="20"/>
                <w:szCs w:val="20"/>
                <w:color w:val="auto"/>
              </w:rPr>
            </w:pPr>
            <w:r>
              <w:rPr>
                <w:rFonts w:ascii="Arial" w:cs="Arial" w:eastAsia="Arial" w:hAnsi="Arial"/>
                <w:sz w:val="18"/>
                <w:szCs w:val="18"/>
                <w:color w:val="auto"/>
              </w:rPr>
              <w:t>Volatility, weighted average</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59%</w:t>
            </w: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72%</w:t>
            </w: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41%</w:t>
            </w:r>
          </w:p>
        </w:tc>
        <w:tc>
          <w:tcPr>
            <w:tcW w:w="180" w:type="dxa"/>
            <w:vAlign w:val="bottom"/>
          </w:tcPr>
          <w:p>
            <w:pPr>
              <w:spacing w:after="0"/>
              <w:rPr>
                <w:sz w:val="18"/>
                <w:szCs w:val="18"/>
                <w:color w:val="auto"/>
              </w:rPr>
            </w:pP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r>
      <w:tr>
        <w:trPr>
          <w:trHeight w:val="216"/>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Expected life (in years)</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80" w:type="dxa"/>
            <w:vAlign w:val="bottom"/>
            <w:shd w:val="clear" w:color="auto" w:fill="CCEEFF"/>
          </w:tcPr>
          <w:p>
            <w:pPr>
              <w:spacing w:after="0"/>
              <w:rPr>
                <w:sz w:val="18"/>
                <w:szCs w:val="18"/>
                <w:color w:val="auto"/>
              </w:rPr>
            </w:pPr>
          </w:p>
        </w:tc>
      </w:tr>
      <w:tr>
        <w:trPr>
          <w:trHeight w:val="216"/>
        </w:trPr>
        <w:tc>
          <w:tcPr>
            <w:tcW w:w="2460" w:type="dxa"/>
            <w:vAlign w:val="bottom"/>
          </w:tcPr>
          <w:p>
            <w:pPr>
              <w:spacing w:after="0"/>
              <w:rPr>
                <w:sz w:val="20"/>
                <w:szCs w:val="20"/>
                <w:color w:val="auto"/>
              </w:rPr>
            </w:pPr>
            <w:r>
              <w:rPr>
                <w:rFonts w:ascii="Arial" w:cs="Arial" w:eastAsia="Arial" w:hAnsi="Arial"/>
                <w:sz w:val="18"/>
                <w:szCs w:val="18"/>
                <w:color w:val="auto"/>
              </w:rPr>
              <w:t>Risk-free interest rate, range</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4.7%</w:t>
            </w: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3.9% to 4.0%</w:t>
            </w: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5.0%</w:t>
            </w:r>
          </w:p>
        </w:tc>
        <w:tc>
          <w:tcPr>
            <w:tcW w:w="180" w:type="dxa"/>
            <w:vAlign w:val="bottom"/>
          </w:tcPr>
          <w:p>
            <w:pPr>
              <w:spacing w:after="0"/>
              <w:rPr>
                <w:sz w:val="18"/>
                <w:szCs w:val="18"/>
                <w:color w:val="auto"/>
              </w:rPr>
            </w:pP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3.3%</w:t>
            </w:r>
          </w:p>
        </w:tc>
      </w:tr>
      <w:tr>
        <w:trPr>
          <w:trHeight w:val="216"/>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4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r>
      <w:tr>
        <w:trPr>
          <w:trHeight w:val="702"/>
        </w:trPr>
        <w:tc>
          <w:tcPr>
            <w:tcW w:w="24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jc w:val="right"/>
              <w:ind w:right="658"/>
              <w:spacing w:after="0"/>
              <w:rPr>
                <w:sz w:val="20"/>
                <w:szCs w:val="20"/>
                <w:color w:val="auto"/>
              </w:rPr>
            </w:pPr>
            <w:r>
              <w:rPr>
                <w:rFonts w:ascii="Arial" w:cs="Arial" w:eastAsia="Arial" w:hAnsi="Arial"/>
                <w:sz w:val="18"/>
                <w:szCs w:val="18"/>
                <w:color w:val="auto"/>
              </w:rPr>
              <w:t>35</w:t>
            </w: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 w:firstLine="324"/>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540" w:firstLine="324"/>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Marvell’s historical daily stock price volatility and average implied volatility.</w:t>
      </w:r>
    </w:p>
    <w:p>
      <w:pPr>
        <w:spacing w:after="0" w:line="170"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weighted average fair values per share of the options granted in the three month period ended July 29, 2006 and July 30, 2005 was $14.27 and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$10.70, respectively. The weighted average fair values per share of the options granted in the six month period ended July 29, 2006 and July 30, 2005 was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$15.04 and $12.16, respectively.</w:t>
      </w:r>
    </w:p>
    <w:p>
      <w:pPr>
        <w:spacing w:after="0" w:line="211"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Company has granted performance based options to executives contingent upon achieving pro forma earnings per share targets (EPS). Pro forma EPS will be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including purchase accounting adjustments for inventory and other write-off related expenses by adding to GAAP EPS amortization and write-off of acquired intangible assets and other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recognized compensation expense is reversed.</w:t>
      </w:r>
    </w:p>
    <w:p>
      <w:pPr>
        <w:spacing w:after="0" w:line="167"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Prior to the adoption of SFAS 123R, the Company provided disclosures required under SFAS 123. The following table illustrates the effect on loss and net loss per share, net of tax effects for the first quarter of fiscal 2006 as if the Company had applied the fair value recognition provisions of SFAS 123 to stock based awards (in thousands, except for per share data):</w:t>
      </w:r>
    </w:p>
    <w:p>
      <w:pPr>
        <w:spacing w:after="0" w:line="143"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120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93"/>
              </w:rPr>
              <w:t>Three Months</w:t>
            </w:r>
          </w:p>
        </w:tc>
        <w:tc>
          <w:tcPr>
            <w:tcW w:w="120" w:type="dxa"/>
            <w:vAlign w:val="bottom"/>
          </w:tcPr>
          <w:p>
            <w:pPr>
              <w:spacing w:after="0"/>
              <w:rPr>
                <w:sz w:val="14"/>
                <w:szCs w:val="14"/>
                <w:color w:val="auto"/>
              </w:rPr>
            </w:pP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5440" w:type="dxa"/>
            <w:vAlign w:val="bottom"/>
          </w:tcPr>
          <w:p>
            <w:pPr>
              <w:spacing w:after="0"/>
              <w:rPr>
                <w:sz w:val="11"/>
                <w:szCs w:val="11"/>
                <w:color w:val="auto"/>
              </w:rPr>
            </w:pPr>
          </w:p>
        </w:tc>
        <w:tc>
          <w:tcPr>
            <w:tcW w:w="120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1"/>
              </w:rPr>
              <w:t>Ended July 30,</w:t>
            </w:r>
          </w:p>
        </w:tc>
        <w:tc>
          <w:tcPr>
            <w:tcW w:w="112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Ended July 30,</w:t>
            </w:r>
          </w:p>
        </w:tc>
      </w:tr>
      <w:tr>
        <w:trPr>
          <w:trHeight w:val="162"/>
        </w:trPr>
        <w:tc>
          <w:tcPr>
            <w:tcW w:w="5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96"/>
              </w:rPr>
              <w:t>2005</w:t>
            </w:r>
          </w:p>
        </w:tc>
        <w:tc>
          <w:tcPr>
            <w:tcW w:w="100" w:type="dxa"/>
            <w:vAlign w:val="bottom"/>
          </w:tcPr>
          <w:p>
            <w:pPr>
              <w:spacing w:after="0"/>
              <w:rPr>
                <w:sz w:val="14"/>
                <w:szCs w:val="14"/>
                <w:color w:val="auto"/>
              </w:rPr>
            </w:pPr>
          </w:p>
        </w:tc>
      </w:tr>
      <w:tr>
        <w:trPr>
          <w:trHeight w:val="129"/>
        </w:trPr>
        <w:tc>
          <w:tcPr>
            <w:tcW w:w="5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Pr>
          <w:p>
            <w:pPr>
              <w:jc w:val="center"/>
              <w:ind w:right="74"/>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jc w:val="center"/>
              <w:ind w:right="35"/>
              <w:spacing w:after="0" w:line="129" w:lineRule="exact"/>
              <w:rPr>
                <w:sz w:val="20"/>
                <w:szCs w:val="20"/>
                <w:color w:val="auto"/>
              </w:rPr>
            </w:pPr>
            <w:r>
              <w:rPr>
                <w:rFonts w:ascii="Arial" w:cs="Arial" w:eastAsia="Arial" w:hAnsi="Arial"/>
                <w:sz w:val="14"/>
                <w:szCs w:val="14"/>
                <w:b w:val="1"/>
                <w:bCs w:val="1"/>
                <w:color w:val="auto"/>
                <w:w w:val="90"/>
              </w:rPr>
              <w:t>(restated)</w:t>
            </w:r>
          </w:p>
        </w:tc>
        <w:tc>
          <w:tcPr>
            <w:tcW w:w="100" w:type="dxa"/>
            <w:vAlign w:val="bottom"/>
          </w:tcPr>
          <w:p>
            <w:pPr>
              <w:spacing w:after="0"/>
              <w:rPr>
                <w:sz w:val="11"/>
                <w:szCs w:val="11"/>
                <w:color w:val="auto"/>
              </w:rPr>
            </w:pPr>
          </w:p>
        </w:tc>
      </w:tr>
      <w:tr>
        <w:trPr>
          <w:trHeight w:val="216"/>
        </w:trPr>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4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47,099</w:t>
            </w:r>
          </w:p>
        </w:tc>
        <w:tc>
          <w:tcPr>
            <w:tcW w:w="20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101,046</w:t>
            </w:r>
          </w:p>
        </w:tc>
        <w:tc>
          <w:tcPr>
            <w:tcW w:w="100" w:type="dxa"/>
            <w:vAlign w:val="bottom"/>
          </w:tcPr>
          <w:p>
            <w:pPr>
              <w:spacing w:after="0"/>
              <w:rPr>
                <w:sz w:val="18"/>
                <w:szCs w:val="18"/>
                <w:color w:val="auto"/>
              </w:rPr>
            </w:pPr>
          </w:p>
        </w:tc>
      </w:tr>
      <w:tr>
        <w:trPr>
          <w:trHeight w:val="216"/>
        </w:trPr>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2"/>
        </w:trPr>
        <w:tc>
          <w:tcPr>
            <w:tcW w:w="5440" w:type="dxa"/>
            <w:vAlign w:val="bottom"/>
          </w:tcPr>
          <w:p>
            <w:pPr>
              <w:spacing w:after="0" w:line="201" w:lineRule="exact"/>
              <w:rPr>
                <w:sz w:val="20"/>
                <w:szCs w:val="20"/>
                <w:color w:val="auto"/>
              </w:rPr>
            </w:pPr>
            <w:r>
              <w:rPr>
                <w:rFonts w:ascii="Arial" w:cs="Arial" w:eastAsia="Arial" w:hAnsi="Arial"/>
                <w:sz w:val="18"/>
                <w:szCs w:val="18"/>
                <w:color w:val="auto"/>
                <w:w w:val="95"/>
              </w:rPr>
              <w:t>Stock-based employee compensation expense included in reported net</w:t>
            </w: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5440" w:type="dxa"/>
            <w:vAlign w:val="bottom"/>
          </w:tcPr>
          <w:p>
            <w:pPr>
              <w:ind w:left="180"/>
              <w:spacing w:after="0"/>
              <w:rPr>
                <w:sz w:val="20"/>
                <w:szCs w:val="20"/>
                <w:color w:val="auto"/>
              </w:rPr>
            </w:pPr>
            <w:r>
              <w:rPr>
                <w:rFonts w:ascii="Arial" w:cs="Arial" w:eastAsia="Arial" w:hAnsi="Arial"/>
                <w:sz w:val="18"/>
                <w:szCs w:val="18"/>
                <w:color w:val="auto"/>
              </w:rPr>
              <w:t>income, net of tax effects</w:t>
            </w:r>
          </w:p>
        </w:tc>
        <w:tc>
          <w:tcPr>
            <w:tcW w:w="14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29,637</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39,227</w:t>
            </w:r>
          </w:p>
        </w:tc>
        <w:tc>
          <w:tcPr>
            <w:tcW w:w="100" w:type="dxa"/>
            <w:vAlign w:val="bottom"/>
          </w:tcPr>
          <w:p>
            <w:pPr>
              <w:spacing w:after="0"/>
              <w:rPr>
                <w:sz w:val="20"/>
                <w:szCs w:val="20"/>
                <w:color w:val="auto"/>
              </w:rPr>
            </w:pPr>
          </w:p>
        </w:tc>
      </w:tr>
      <w:tr>
        <w:trPr>
          <w:trHeight w:val="202"/>
        </w:trPr>
        <w:tc>
          <w:tcPr>
            <w:tcW w:w="5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8"/>
              </w:rPr>
              <w:t>Stock-based employee compensation expense determined under fair</w:t>
            </w: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5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value based method for all awards, net of tax effects</w:t>
            </w:r>
          </w:p>
        </w:tc>
        <w:tc>
          <w:tcPr>
            <w:tcW w:w="14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(46,055)</w:t>
            </w:r>
          </w:p>
        </w:tc>
        <w:tc>
          <w:tcPr>
            <w:tcW w:w="1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(88,648)</w:t>
            </w:r>
          </w:p>
        </w:tc>
      </w:tr>
      <w:tr>
        <w:trPr>
          <w:trHeight w:val="250"/>
        </w:trPr>
        <w:tc>
          <w:tcPr>
            <w:tcW w:w="54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30,681</w:t>
            </w:r>
          </w:p>
        </w:tc>
        <w:tc>
          <w:tcPr>
            <w:tcW w:w="20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51,625</w:t>
            </w:r>
          </w:p>
        </w:tc>
        <w:tc>
          <w:tcPr>
            <w:tcW w:w="100" w:type="dxa"/>
            <w:vAlign w:val="bottom"/>
            <w:tcBorders>
              <w:bottom w:val="single" w:sz="8" w:color="CCEEFF"/>
            </w:tcBorders>
          </w:tcPr>
          <w:p>
            <w:pPr>
              <w:spacing w:after="0"/>
              <w:rPr>
                <w:sz w:val="21"/>
                <w:szCs w:val="21"/>
                <w:color w:val="auto"/>
              </w:rPr>
            </w:pPr>
          </w:p>
        </w:tc>
      </w:tr>
      <w:tr>
        <w:trPr>
          <w:trHeight w:val="170"/>
        </w:trPr>
        <w:tc>
          <w:tcPr>
            <w:tcW w:w="544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Basic net income per share:</w:t>
            </w:r>
          </w:p>
        </w:tc>
        <w:tc>
          <w:tcPr>
            <w:tcW w:w="14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r>
      <w:tr>
        <w:trPr>
          <w:trHeight w:val="216"/>
        </w:trPr>
        <w:tc>
          <w:tcPr>
            <w:tcW w:w="54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0.18</w:t>
            </w:r>
          </w:p>
        </w:tc>
        <w:tc>
          <w:tcPr>
            <w:tcW w:w="100" w:type="dxa"/>
            <w:vAlign w:val="bottom"/>
          </w:tcPr>
          <w:p>
            <w:pPr>
              <w:spacing w:after="0"/>
              <w:rPr>
                <w:sz w:val="18"/>
                <w:szCs w:val="18"/>
                <w:color w:val="auto"/>
              </w:rPr>
            </w:pPr>
          </w:p>
        </w:tc>
      </w:tr>
      <w:tr>
        <w:trPr>
          <w:trHeight w:val="216"/>
        </w:trPr>
        <w:tc>
          <w:tcPr>
            <w:tcW w:w="5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00" w:type="dxa"/>
            <w:vAlign w:val="bottom"/>
            <w:shd w:val="clear" w:color="auto" w:fill="CCEEFF"/>
          </w:tcPr>
          <w:p>
            <w:pPr>
              <w:spacing w:after="0"/>
              <w:rPr>
                <w:sz w:val="18"/>
                <w:szCs w:val="18"/>
                <w:color w:val="auto"/>
              </w:rPr>
            </w:pPr>
          </w:p>
        </w:tc>
      </w:tr>
      <w:tr>
        <w:trPr>
          <w:trHeight w:val="216"/>
        </w:trPr>
        <w:tc>
          <w:tcPr>
            <w:tcW w:w="544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CCEEFF"/>
          </w:tcPr>
          <w:p>
            <w:pPr>
              <w:spacing w:after="0"/>
              <w:rPr>
                <w:sz w:val="18"/>
                <w:szCs w:val="18"/>
                <w:color w:val="auto"/>
              </w:rPr>
            </w:pPr>
          </w:p>
        </w:tc>
      </w:tr>
      <w:tr>
        <w:trPr>
          <w:trHeight w:val="230"/>
        </w:trPr>
        <w:tc>
          <w:tcPr>
            <w:tcW w:w="544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0.05</w:t>
            </w:r>
          </w:p>
        </w:tc>
        <w:tc>
          <w:tcPr>
            <w:tcW w:w="200" w:type="dxa"/>
            <w:vAlign w:val="bottom"/>
          </w:tcPr>
          <w:p>
            <w:pPr>
              <w:spacing w:after="0"/>
              <w:rPr>
                <w:sz w:val="20"/>
                <w:szCs w:val="20"/>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20"/>
                <w:szCs w:val="20"/>
                <w:color w:val="auto"/>
              </w:rPr>
            </w:pPr>
          </w:p>
        </w:tc>
      </w:tr>
      <w:tr>
        <w:trPr>
          <w:trHeight w:val="688"/>
        </w:trPr>
        <w:tc>
          <w:tcPr>
            <w:tcW w:w="5440" w:type="dxa"/>
            <w:vAlign w:val="bottom"/>
          </w:tcPr>
          <w:p>
            <w:pPr>
              <w:ind w:left="4900"/>
              <w:spacing w:after="0"/>
              <w:rPr>
                <w:sz w:val="20"/>
                <w:szCs w:val="20"/>
                <w:color w:val="auto"/>
              </w:rPr>
            </w:pPr>
            <w:r>
              <w:rPr>
                <w:rFonts w:ascii="Arial" w:cs="Arial" w:eastAsia="Arial" w:hAnsi="Arial"/>
                <w:sz w:val="18"/>
                <w:szCs w:val="18"/>
                <w:color w:val="auto"/>
              </w:rPr>
              <w:t>36</w:t>
            </w:r>
          </w:p>
        </w:tc>
        <w:tc>
          <w:tcPr>
            <w:tcW w:w="1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Related Party Transactions</w:t>
      </w:r>
    </w:p>
    <w:p>
      <w:pPr>
        <w:spacing w:after="0" w:line="229" w:lineRule="exact"/>
        <w:rPr>
          <w:sz w:val="20"/>
          <w:szCs w:val="20"/>
          <w:color w:val="auto"/>
        </w:rPr>
      </w:pPr>
    </w:p>
    <w:p>
      <w:pPr>
        <w:jc w:val="both"/>
        <w:ind w:right="80" w:firstLine="324"/>
        <w:spacing w:after="0" w:line="302" w:lineRule="auto"/>
        <w:rPr>
          <w:sz w:val="20"/>
          <w:szCs w:val="20"/>
          <w:color w:val="auto"/>
        </w:rPr>
      </w:pPr>
      <w:r>
        <w:rPr>
          <w:rFonts w:ascii="Arial" w:cs="Arial" w:eastAsia="Arial" w:hAnsi="Arial"/>
          <w:sz w:val="16"/>
          <w:szCs w:val="16"/>
          <w:color w:val="auto"/>
        </w:rPr>
        <w:t>During the second quarters of fiscal 2007 and 2006, the Company incurred approximately $0.1 million of expenses from an unrelated third-party entity, ACM Aviation, Inc. (“ACM”), for charter aircraft services provided to MSI for Estopia Air LLC (“Estopia Air”). During the first six months of fiscal 2007 and 2006, the Company incurred approximately $0.5 million and $0.4 million, respectively, of expenses from ACM, for charter aircraft services provided to MSI. The aircraft provided by ACM to the Company for such services is owned by Estopia Air. The Company’s President and Chief Executive Officer,</w:t>
      </w:r>
    </w:p>
    <w:p>
      <w:pPr>
        <w:sectPr>
          <w:pgSz w:w="11900" w:h="16945" w:orient="portrait"/>
          <w:cols w:equalWidth="0" w:num="1">
            <w:col w:w="11320"/>
          </w:cols>
          <w:pgMar w:left="240" w:top="125" w:right="339" w:bottom="0" w:gutter="0" w:footer="0" w:header="0"/>
        </w:sectPr>
      </w:pPr>
    </w:p>
    <w:bookmarkStart w:id="26" w:name="page27"/>
    <w:bookmarkEnd w:id="26"/>
    <w:p>
      <w:pPr>
        <w:spacing w:after="0" w:line="50"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Dr. Sehat Sutardja and the Company’s Executive Vice President and Chief Operating Officer, Weili Dai, through their control and ownership of Estopia Air, own the aircraft provided by ACM. The expenses incurred were the result of the Company’s use of the aircraft for business travel purposes. The cost of such usage was determined based on market prices.</w:t>
      </w:r>
    </w:p>
    <w:p>
      <w:pPr>
        <w:spacing w:after="0" w:line="181" w:lineRule="exact"/>
        <w:rPr>
          <w:sz w:val="20"/>
          <w:szCs w:val="20"/>
          <w:color w:val="auto"/>
        </w:rPr>
      </w:pPr>
    </w:p>
    <w:p>
      <w:pPr>
        <w:ind w:right="200" w:firstLine="324"/>
        <w:spacing w:after="0" w:line="273" w:lineRule="auto"/>
        <w:rPr>
          <w:sz w:val="20"/>
          <w:szCs w:val="20"/>
          <w:color w:val="auto"/>
        </w:rPr>
      </w:pPr>
      <w:r>
        <w:rPr>
          <w:rFonts w:ascii="Arial" w:cs="Arial" w:eastAsia="Arial" w:hAnsi="Arial"/>
          <w:sz w:val="17"/>
          <w:szCs w:val="17"/>
          <w:color w:val="auto"/>
        </w:rPr>
        <w:t>On February 19, 2005, the Company, through its subsidiaries MSI and Marvell Asia Pte. Ltd. (“MAPL”), entered into a development agreement with MagnetoX Inc. (“MagnetoX”). The development agreement is substantially on similar terms as other development agreements with other third parties. The Company did not recognize any revenue from the development agreement or product revenue during the first six months of fiscal 2007. Total revenue expected to be recognized from the development agreement is $1.0 million. Herbert Chang, one of the Company’s directors, is a shareholder of MagnetoX and its Chairman of the Board, President and Chief Executive Officer. Estopia LLC (“Estopia”) is also a shareholder of MagnetoX. Dr. Sehat Sutardja and Weili Dai, through their ownership and control of Estopia, are indirect shareholders of MagnetoX.</w:t>
      </w:r>
    </w:p>
    <w:p>
      <w:pPr>
        <w:spacing w:after="0" w:line="178"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recognized $93,000 of revenue from the License Agreement with C2Micro during the second quarter of fiscal 2007 and recognized $0.3 million of revenue from the License Agreement with C2Micro during the first six months of fiscal 2007. Dr. Sehat Sutardja and Weili Dai, through their ownership and control of Estopia, are indirect shareholders of C2Micro. The Company had recorded a receivable of $154,000 and deferred revenue of $42,000 from C2Micro as of July 29, 2006. Herbert Chang, through his ownership and control of C-Squared venture entities, is also an indirect shareholder of C2Micro. Dr. Pantas Sutardja, the Company’s Chief Technology Officer, is also a shareholder of C2Micro.</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Subsequent Events</w:t>
      </w:r>
    </w:p>
    <w:p>
      <w:pPr>
        <w:spacing w:after="0" w:line="229"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On November 8, 2006, the Company completed its acquisition of the communications and application processor business of Intel Corporation (“ICAP Business”) and paid $600.0 million in cash upon closing of the transaction. The Company recorded a one-time charge for purchased in-process research and development expenses related to the acquisition of $77.8 million in the fourth fiscal quarter of fiscal 2007. In addition to the asset purchase, Marvell and Intel entered into certain additional agreements, including a supply agreement. Under the terms of the agreement the Company has committed to purchase and Intel has agreed to supply through June 2008 a minimum number of wafers at fixed prices.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supply agreement requires the Company to prepay for certain wafers six months in advance of delivery and requires it to issue non cancellable purchase orders at least six months in advance of requested delivery dates for all purchases under the supply agreement.</w:t>
      </w:r>
    </w:p>
    <w:p>
      <w:pPr>
        <w:spacing w:after="0" w:line="18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In November 2006, the Company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 loans, amounts borrowed bear interest at a rate equal to Adjusted LIBOR plus 2% margin. Such margins are subject to reductions or increases depending on the Company’s credit rating. The credit agreement also contains customary covenants, including financial covenants. The Company may repay the term loans at any time without premium or penalty. The Company must also prepay the term loans depending on certain specified events. Certain of the Company’s subsidiaries have guaranteed the obligations under the credit agreement. In connection with the credit agreement, the Company and three of its subsidiaries entered into pledge agreements with the lender to which each such entity has granted the lender a security interest in the equity interests held by such entity in certain affiliates.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20" w:firstLine="324"/>
        <w:spacing w:after="0" w:line="284" w:lineRule="auto"/>
        <w:rPr>
          <w:sz w:val="20"/>
          <w:szCs w:val="20"/>
          <w:color w:val="auto"/>
        </w:rPr>
      </w:pPr>
      <w:r>
        <w:rPr>
          <w:rFonts w:ascii="Arial" w:cs="Arial" w:eastAsia="Arial" w:hAnsi="Arial"/>
          <w:sz w:val="16"/>
          <w:szCs w:val="16"/>
          <w:i w:val="1"/>
          <w:iCs w:val="1"/>
          <w:color w:val="auto"/>
        </w:rPr>
        <w:t>The statements contained in this Quarterly Report on Form 10-Q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remediation of 2007 material weaknesses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our remediation efforts will be insufficient to address our material weaknesses in internal controls; and the</w:t>
      </w:r>
    </w:p>
    <w:p>
      <w:pPr>
        <w:sectPr>
          <w:pgSz w:w="11900" w:h="16888" w:orient="portrait"/>
          <w:cols w:equalWidth="0" w:num="1">
            <w:col w:w="11420"/>
          </w:cols>
          <w:pgMar w:left="240" w:top="125" w:right="239" w:bottom="0" w:gutter="0" w:footer="0" w:header="0"/>
        </w:sectPr>
      </w:pPr>
    </w:p>
    <w:bookmarkStart w:id="27" w:name="page28"/>
    <w:bookmarkEnd w:id="27"/>
    <w:p>
      <w:pPr>
        <w:ind w:right="60"/>
        <w:spacing w:after="0" w:line="264" w:lineRule="auto"/>
        <w:rPr>
          <w:sz w:val="20"/>
          <w:szCs w:val="20"/>
          <w:color w:val="auto"/>
        </w:rPr>
      </w:pPr>
      <w:r>
        <w:rPr>
          <w:rFonts w:ascii="Arial" w:cs="Arial" w:eastAsia="Arial" w:hAnsi="Arial"/>
          <w:sz w:val="18"/>
          <w:szCs w:val="18"/>
          <w:i w:val="1"/>
          <w:iCs w:val="1"/>
          <w:color w:val="auto"/>
        </w:rPr>
        <w:t>outcome of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324"/>
        <w:spacing w:after="0" w:line="293"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to date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$24.8 million. The semiconductor design business of UTStarcom designs and supplies chipsets for cellular phone applications. In May 2006, we acquired the printer semiconductor business of Avago Technologies Limited for $254.9 million and potential additional earnout payments. This business designs and develops system-on-chip and system level solutions for both inkjet and laser jet printer systems.</w:t>
      </w:r>
    </w:p>
    <w:p>
      <w:pPr>
        <w:spacing w:after="0" w:line="179"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On June 27, 2006, we announced the signing of a definitive agreement to acquire the communications and processor business of Intel Corporation. Under the agreement, we will pay $600.0 million plus the assumption of certain liabilities. Intel has the option to take up to $100.0 million of the $600.0 million purchase price in Marvell common stock. We may also record a one-time charge for purchased in-process research and development expenses related to the acquisition.</w:t>
      </w:r>
    </w:p>
    <w:p>
      <w:pPr>
        <w:spacing w:after="0" w:line="187"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and shipment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The additional week in a 53-week year is added to the fourth quarter, making such quarter consist of 14 weeks. Fiscal year 2007 comprised 52 weeks.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Restatement Adjustments - Stock Based Compensation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Background</w:t>
      </w:r>
    </w:p>
    <w:p>
      <w:pPr>
        <w:spacing w:after="0" w:line="225"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On about May 23, 2006, our Chief Executive Officer initiated a review of our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our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we were also named as a nominal defendant, and a number of our current and former directors and officers were named as defendants, in purported shareholder derivative actions.</w:t>
      </w:r>
    </w:p>
    <w:p>
      <w:pPr>
        <w:spacing w:after="0" w:line="178"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During this time, we were informed that our outside legal at the time counsel could not represent both the independent committee and the Company,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302" w:lineRule="auto"/>
        <w:rPr>
          <w:sz w:val="20"/>
          <w:szCs w:val="20"/>
          <w:color w:val="auto"/>
        </w:rPr>
      </w:pPr>
      <w:r>
        <w:rPr>
          <w:rFonts w:ascii="Arial" w:cs="Arial" w:eastAsia="Arial" w:hAnsi="Arial"/>
          <w:sz w:val="16"/>
          <w:szCs w:val="16"/>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we would need to restate our historical financial statements to record additional non-cash charges for stock-based compensation expense related to past option grants and that the historical financial statements and all earnings press releases and similar communications issued by us relating to periods beginning on or</w:t>
      </w:r>
    </w:p>
    <w:p>
      <w:pPr>
        <w:sectPr>
          <w:pgSz w:w="11900" w:h="16838" w:orient="portrait"/>
          <w:cols w:equalWidth="0" w:num="1">
            <w:col w:w="11420"/>
          </w:cols>
          <w:pgMar w:left="240" w:top="125" w:right="239" w:bottom="0" w:gutter="0" w:footer="0" w:header="0"/>
        </w:sectPr>
      </w:pPr>
    </w:p>
    <w:bookmarkStart w:id="28" w:name="page29"/>
    <w:bookmarkEnd w:id="28"/>
    <w:p>
      <w:pPr>
        <w:spacing w:after="0" w:line="62"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after our initial public offering in June 2000 should no longer be relied upon. We reported these conclusions in a current report on Form 8-K filed on the same day.</w:t>
      </w:r>
    </w:p>
    <w:p>
      <w:pPr>
        <w:spacing w:after="0" w:line="170"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On February 7, 2007, the former General Counsel of our U.S. subsidiary, Marvell Semiconductor, Inc. (“MSI”), who was a subject of the internal review, raised allegations regarding the independence of the sole member of the Special Committee. Our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their credibility,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our Code of Ethics and Business Conduct for not reporting the allegations timely. The subcommittee accepted the findings of the independent reviewer. We have since terminated the General Counsel for the violation. On March 30, 2007, the independent director resigned from the Special Committee and the Board appointed two independent non-director members to the Special Committee to continue the review of our historical stock option practices and related accounting matters, which action is permitted under our bye-laws. As a result, the Special Committee thereafter comprised two non-directors.</w:t>
      </w:r>
    </w:p>
    <w:p>
      <w:pPr>
        <w:spacing w:after="0" w:line="173"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we disclosed on Form 8-K the completion of the independent review.</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Findings of the Special Committee</w:t>
      </w:r>
    </w:p>
    <w:p>
      <w:pPr>
        <w:spacing w:after="0" w:line="225"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From our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193"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173" w:lineRule="exact"/>
        <w:rPr>
          <w:sz w:val="20"/>
          <w:szCs w:val="20"/>
          <w:color w:val="auto"/>
        </w:rPr>
      </w:pPr>
    </w:p>
    <w:p>
      <w:pPr>
        <w:ind w:right="500" w:firstLine="324"/>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with the benefit of hindsight, so as to provide exercise prices lower than the fair market value on the actual measurement date.</w:t>
      </w:r>
    </w:p>
    <w:p>
      <w:pPr>
        <w:spacing w:after="0" w:line="170"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In addition to the foregoing, the review determined that false documentation supporting new hires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From our initial public offering in June 2000 through February 28, 2002, grants to our former Chief Financial Officer were awarded only by the Stock Option Committee. The Stock Option Committee was not advised that it lacked the authority to make such awards. Furthermore, the first award made to our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93"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Special Committee found evidence of recommendations made by representatives of Human Resources and Finance and our external auditors between 2000 and 2004 to grant options on fixed grant dates. In August 2004, we implemented revisions to our stock option grant processes and procedures for new hire and secondary grants that generally followed a fixed grant date schedule.</w:t>
      </w:r>
    </w:p>
    <w:p>
      <w:pPr>
        <w:spacing w:after="0" w:line="181"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For the period from our initial public offering in June 2000 through June 2006, the Special Committee found a systemic failure in controls over the stock option process, and that corporate documents, including our SEC filings on Form 10-K and Form 10-Q and proxy statements, were false in relation to the accounting and related disclosure covering stock option matters.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211" w:lineRule="exact"/>
        <w:rPr>
          <w:sz w:val="20"/>
          <w:szCs w:val="20"/>
          <w:color w:val="auto"/>
        </w:rPr>
      </w:pPr>
    </w:p>
    <w:p>
      <w:pPr>
        <w:ind w:right="80" w:firstLine="324"/>
        <w:spacing w:after="0" w:line="297" w:lineRule="auto"/>
        <w:rPr>
          <w:sz w:val="20"/>
          <w:szCs w:val="20"/>
          <w:color w:val="auto"/>
        </w:rPr>
      </w:pPr>
      <w:r>
        <w:rPr>
          <w:rFonts w:ascii="Arial" w:cs="Arial" w:eastAsia="Arial" w:hAnsi="Arial"/>
          <w:sz w:val="16"/>
          <w:szCs w:val="16"/>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w:t>
      </w:r>
    </w:p>
    <w:p>
      <w:pPr>
        <w:sectPr>
          <w:pgSz w:w="11900" w:h="16901" w:orient="portrait"/>
          <w:cols w:equalWidth="0" w:num="1">
            <w:col w:w="11400"/>
          </w:cols>
          <w:pgMar w:left="240" w:top="125" w:right="259" w:bottom="0" w:gutter="0" w:footer="0" w:header="0"/>
        </w:sectPr>
      </w:pPr>
    </w:p>
    <w:bookmarkStart w:id="29" w:name="page30"/>
    <w:bookmarkEnd w:id="29"/>
    <w:p>
      <w:pPr>
        <w:spacing w:after="0" w:line="5"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minutes that were incomplete, inaccurate or misleading. He also failed to establish proper controls over the stock option process despite being on notice of various control problems.</w:t>
      </w:r>
    </w:p>
    <w:p>
      <w:pPr>
        <w:spacing w:after="0" w:line="170"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George A. Hervey, Marvell’s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our SEC filings and financial statements.</w:t>
      </w:r>
    </w:p>
    <w:p>
      <w:pPr>
        <w:spacing w:after="0" w:line="188" w:lineRule="exact"/>
        <w:rPr>
          <w:sz w:val="20"/>
          <w:szCs w:val="20"/>
          <w:color w:val="auto"/>
        </w:rPr>
      </w:pPr>
    </w:p>
    <w:p>
      <w:pPr>
        <w:ind w:right="200" w:firstLine="324"/>
        <w:spacing w:after="0" w:line="293" w:lineRule="auto"/>
        <w:rPr>
          <w:sz w:val="20"/>
          <w:szCs w:val="20"/>
          <w:color w:val="auto"/>
        </w:rPr>
      </w:pPr>
      <w:r>
        <w:rPr>
          <w:rFonts w:ascii="Arial" w:cs="Arial" w:eastAsia="Arial" w:hAnsi="Arial"/>
          <w:sz w:val="16"/>
          <w:szCs w:val="16"/>
          <w:color w:val="auto"/>
        </w:rPr>
        <w:t>Weili Dai, Marvell’s former Board member, who served as our Executive Vice President and General Manager of the Communications Business Group from 1999 to April 2006 and thereafter also as our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165"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Dr. Sehat Sutardja, Marvell’s Chairman of the Board, President and Chief Executive Officer, was found to have had a limited role in the stock option process and to have participated in only a few instances in awards with incorrect measurement dates with respect to which he had received no or inadequate advice. He signed inaccurate external documents, including our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Remediation</w:t>
      </w:r>
    </w:p>
    <w:p>
      <w:pPr>
        <w:spacing w:after="0" w:line="225"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7"/>
          <w:szCs w:val="17"/>
          <w:color w:val="auto"/>
        </w:rPr>
        <w:t>Marvell accepted the resignation of George A. Hervey on May 2, 2007. All unvested stock options previously awarded to him were canceled.</w:t>
      </w:r>
    </w:p>
    <w:p>
      <w:pPr>
        <w:spacing w:after="0" w:line="200" w:lineRule="exact"/>
        <w:rPr>
          <w:sz w:val="20"/>
          <w:szCs w:val="20"/>
          <w:color w:val="auto"/>
        </w:rPr>
      </w:pPr>
    </w:p>
    <w:p>
      <w:pPr>
        <w:spacing w:after="0" w:line="2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The Implementation Committee of our Board of Directors determined, contrary to the recommendation of the Special Committee, that Ms. Dai has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and provide periodic compliance updates to our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189"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Dr. Sehat Sutardja will remain as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187"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0" w:firstLine="324"/>
        <w:spacing w:after="0" w:line="312" w:lineRule="auto"/>
        <w:rPr>
          <w:sz w:val="20"/>
          <w:szCs w:val="20"/>
          <w:color w:val="auto"/>
        </w:rPr>
      </w:pPr>
      <w:r>
        <w:rPr>
          <w:rFonts w:ascii="Arial" w:cs="Arial" w:eastAsia="Arial" w:hAnsi="Arial"/>
          <w:sz w:val="16"/>
          <w:szCs w:val="16"/>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APB 25.</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firstLine="324"/>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5"/>
              </w:rPr>
              <w:t>Cumulative</w:t>
            </w: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Pr>
          <w:p>
            <w:pPr>
              <w:spacing w:after="0"/>
              <w:rPr>
                <w:sz w:val="13"/>
                <w:szCs w:val="13"/>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Pr>
          <w:p>
            <w:pPr>
              <w:spacing w:after="0"/>
              <w:rPr>
                <w:sz w:val="13"/>
                <w:szCs w:val="13"/>
                <w:color w:val="auto"/>
              </w:rPr>
            </w:pPr>
          </w:p>
        </w:tc>
        <w:tc>
          <w:tcPr>
            <w:tcW w:w="9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82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Pr>
          <w:p>
            <w:pPr>
              <w:spacing w:after="0"/>
              <w:rPr>
                <w:sz w:val="13"/>
                <w:szCs w:val="13"/>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Pr>
          <w:p>
            <w:pPr>
              <w:spacing w:after="0"/>
              <w:rPr>
                <w:sz w:val="13"/>
                <w:szCs w:val="13"/>
                <w:color w:val="auto"/>
              </w:rPr>
            </w:pPr>
          </w:p>
        </w:tc>
        <w:tc>
          <w:tcPr>
            <w:tcW w:w="9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4"/>
              </w:rPr>
              <w:t>through</w:t>
            </w:r>
          </w:p>
        </w:tc>
        <w:tc>
          <w:tcPr>
            <w:tcW w:w="80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3"/>
            <w:vMerge w:val="continue"/>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January 28,</w:t>
            </w: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5"/>
              </w:rPr>
              <w:t>January 28,</w:t>
            </w:r>
          </w:p>
        </w:tc>
        <w:tc>
          <w:tcPr>
            <w:tcW w:w="100" w:type="dxa"/>
            <w:vAlign w:val="bottom"/>
          </w:tcPr>
          <w:p>
            <w:pPr>
              <w:spacing w:after="0"/>
              <w:rPr>
                <w:sz w:val="11"/>
                <w:szCs w:val="11"/>
                <w:color w:val="auto"/>
              </w:rPr>
            </w:pP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5"/>
              </w:rPr>
              <w:t>January 29,</w:t>
            </w:r>
          </w:p>
        </w:tc>
        <w:tc>
          <w:tcPr>
            <w:tcW w:w="100" w:type="dxa"/>
            <w:vAlign w:val="bottom"/>
          </w:tcPr>
          <w:p>
            <w:pPr>
              <w:spacing w:after="0"/>
              <w:rPr>
                <w:sz w:val="11"/>
                <w:szCs w:val="11"/>
                <w:color w:val="auto"/>
              </w:rPr>
            </w:pPr>
          </w:p>
        </w:tc>
        <w:tc>
          <w:tcPr>
            <w:tcW w:w="9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January 31,</w:t>
            </w:r>
          </w:p>
        </w:tc>
        <w:tc>
          <w:tcPr>
            <w:tcW w:w="82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7"/>
              </w:rPr>
              <w:t>February 1,</w:t>
            </w:r>
          </w:p>
        </w:tc>
        <w:tc>
          <w:tcPr>
            <w:tcW w:w="100" w:type="dxa"/>
            <w:vAlign w:val="bottom"/>
          </w:tcPr>
          <w:p>
            <w:pPr>
              <w:spacing w:after="0"/>
              <w:rPr>
                <w:sz w:val="11"/>
                <w:szCs w:val="11"/>
                <w:color w:val="auto"/>
              </w:rPr>
            </w:pPr>
          </w:p>
        </w:tc>
        <w:tc>
          <w:tcPr>
            <w:tcW w:w="82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7"/>
              </w:rPr>
              <w:t>February 2,</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1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tcPr>
          <w:p>
            <w:pPr>
              <w:jc w:val="center"/>
              <w:ind w:right="62"/>
              <w:spacing w:after="0"/>
              <w:rPr>
                <w:sz w:val="20"/>
                <w:szCs w:val="20"/>
                <w:color w:val="auto"/>
              </w:rPr>
            </w:pPr>
            <w:r>
              <w:rPr>
                <w:rFonts w:ascii="Arial" w:cs="Arial" w:eastAsia="Arial" w:hAnsi="Arial"/>
                <w:sz w:val="14"/>
                <w:szCs w:val="14"/>
                <w:b w:val="1"/>
                <w:bCs w:val="1"/>
                <w:color w:val="auto"/>
                <w:w w:val="89"/>
              </w:rPr>
              <w:t>2006</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2005</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99"/>
              <w:spacing w:after="0"/>
              <w:rPr>
                <w:sz w:val="20"/>
                <w:szCs w:val="20"/>
                <w:color w:val="auto"/>
              </w:rPr>
            </w:pPr>
            <w:r>
              <w:rPr>
                <w:rFonts w:ascii="Arial" w:cs="Arial" w:eastAsia="Arial" w:hAnsi="Arial"/>
                <w:sz w:val="14"/>
                <w:szCs w:val="14"/>
                <w:b w:val="1"/>
                <w:bCs w:val="1"/>
                <w:color w:val="auto"/>
                <w:w w:val="89"/>
              </w:rPr>
              <w:t>2004</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4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2003</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4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2002</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82"/>
        </w:trPr>
        <w:tc>
          <w:tcPr>
            <w:tcW w:w="17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Board of Director</w:t>
            </w:r>
          </w:p>
        </w:tc>
        <w:tc>
          <w:tcPr>
            <w:tcW w:w="4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(a)</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6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9"/>
              </w:rPr>
              <w:t>—</w:t>
            </w:r>
          </w:p>
        </w:tc>
        <w:tc>
          <w:tcPr>
            <w:tcW w:w="28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9"/>
              </w:rPr>
              <w:t>—</w:t>
            </w:r>
          </w:p>
        </w:tc>
        <w:tc>
          <w:tcPr>
            <w:tcW w:w="28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9"/>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ectPr>
          <w:pgSz w:w="11900" w:h="16843" w:orient="portrait"/>
          <w:cols w:equalWidth="0" w:num="1">
            <w:col w:w="11420"/>
          </w:cols>
          <w:pgMar w:left="240" w:top="125" w:right="239" w:bottom="0" w:gutter="0" w:footer="0" w:header="0"/>
        </w:sectPr>
      </w:pPr>
    </w:p>
    <w:bookmarkStart w:id="30" w:name="page31"/>
    <w:bookmarkEnd w:id="30"/>
    <w:p>
      <w:pPr>
        <w:spacing w:after="0" w:line="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360" w:type="dxa"/>
            <w:vAlign w:val="bottom"/>
            <w:gridSpan w:val="2"/>
          </w:tcPr>
          <w:p>
            <w:pPr>
              <w:spacing w:after="0"/>
              <w:rPr>
                <w:sz w:val="20"/>
                <w:szCs w:val="20"/>
                <w:color w:val="auto"/>
              </w:rPr>
            </w:pPr>
            <w:r>
              <w:rPr>
                <w:rFonts w:ascii="Arial" w:cs="Arial" w:eastAsia="Arial" w:hAnsi="Arial"/>
                <w:sz w:val="18"/>
                <w:szCs w:val="18"/>
                <w:color w:val="auto"/>
              </w:rPr>
              <w:t>Officer Grants (b)</w:t>
            </w:r>
          </w:p>
        </w:tc>
        <w:tc>
          <w:tcPr>
            <w:tcW w:w="680" w:type="dxa"/>
            <w:vAlign w:val="bottom"/>
          </w:tcPr>
          <w:p>
            <w:pPr>
              <w:jc w:val="right"/>
              <w:spacing w:after="0"/>
              <w:rPr>
                <w:sz w:val="20"/>
                <w:szCs w:val="20"/>
                <w:color w:val="auto"/>
              </w:rPr>
            </w:pPr>
            <w:r>
              <w:rPr>
                <w:rFonts w:ascii="Arial" w:cs="Arial" w:eastAsia="Arial" w:hAnsi="Arial"/>
                <w:sz w:val="18"/>
                <w:szCs w:val="18"/>
                <w:color w:val="auto"/>
              </w:rPr>
              <w:t>19,577</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6,317</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836</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270</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127</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w:t>
            </w:r>
          </w:p>
        </w:tc>
        <w:tc>
          <w:tcPr>
            <w:tcW w:w="120" w:type="dxa"/>
            <w:vAlign w:val="bottom"/>
          </w:tcPr>
          <w:p>
            <w:pPr>
              <w:spacing w:after="0"/>
              <w:rPr>
                <w:sz w:val="20"/>
                <w:szCs w:val="20"/>
                <w:color w:val="auto"/>
              </w:rPr>
            </w:pPr>
          </w:p>
        </w:tc>
      </w:tr>
      <w:tr>
        <w:trPr>
          <w:trHeight w:val="202"/>
        </w:trPr>
        <w:tc>
          <w:tcPr>
            <w:tcW w:w="236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Re-priced Officer</w:t>
            </w: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23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Grants (c)</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02"/>
        </w:trPr>
        <w:tc>
          <w:tcPr>
            <w:tcW w:w="2360" w:type="dxa"/>
            <w:vAlign w:val="bottom"/>
            <w:gridSpan w:val="2"/>
          </w:tcPr>
          <w:p>
            <w:pPr>
              <w:spacing w:after="0" w:line="201" w:lineRule="exact"/>
              <w:rPr>
                <w:sz w:val="20"/>
                <w:szCs w:val="20"/>
                <w:color w:val="auto"/>
              </w:rPr>
            </w:pPr>
            <w:r>
              <w:rPr>
                <w:rFonts w:ascii="Arial" w:cs="Arial" w:eastAsia="Arial" w:hAnsi="Arial"/>
                <w:sz w:val="18"/>
                <w:szCs w:val="18"/>
                <w:color w:val="auto"/>
              </w:rPr>
              <w:t>New Hire Grants – effective</w:t>
            </w: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2360" w:type="dxa"/>
            <w:vAlign w:val="bottom"/>
            <w:gridSpan w:val="2"/>
          </w:tcPr>
          <w:p>
            <w:pPr>
              <w:ind w:left="180"/>
              <w:spacing w:after="0"/>
              <w:rPr>
                <w:sz w:val="20"/>
                <w:szCs w:val="20"/>
                <w:color w:val="auto"/>
              </w:rPr>
            </w:pPr>
            <w:r>
              <w:rPr>
                <w:rFonts w:ascii="Arial" w:cs="Arial" w:eastAsia="Arial" w:hAnsi="Arial"/>
                <w:sz w:val="18"/>
                <w:szCs w:val="18"/>
                <w:color w:val="auto"/>
              </w:rPr>
              <w:t>hire dates (d)</w:t>
            </w:r>
          </w:p>
        </w:tc>
        <w:tc>
          <w:tcPr>
            <w:tcW w:w="680" w:type="dxa"/>
            <w:vAlign w:val="bottom"/>
          </w:tcPr>
          <w:p>
            <w:pPr>
              <w:jc w:val="right"/>
              <w:spacing w:after="0"/>
              <w:rPr>
                <w:sz w:val="20"/>
                <w:szCs w:val="20"/>
                <w:color w:val="auto"/>
              </w:rPr>
            </w:pPr>
            <w:r>
              <w:rPr>
                <w:rFonts w:ascii="Arial" w:cs="Arial" w:eastAsia="Arial" w:hAnsi="Arial"/>
                <w:sz w:val="18"/>
                <w:szCs w:val="18"/>
                <w:color w:val="auto"/>
              </w:rPr>
              <w:t>19,879</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249</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2,729</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4,754</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7,278</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3,339</w:t>
            </w:r>
          </w:p>
        </w:tc>
        <w:tc>
          <w:tcPr>
            <w:tcW w:w="120" w:type="dxa"/>
            <w:vAlign w:val="bottom"/>
          </w:tcPr>
          <w:p>
            <w:pPr>
              <w:spacing w:after="0"/>
              <w:rPr>
                <w:sz w:val="20"/>
                <w:szCs w:val="20"/>
                <w:color w:val="auto"/>
              </w:rPr>
            </w:pPr>
          </w:p>
        </w:tc>
      </w:tr>
      <w:tr>
        <w:trPr>
          <w:trHeight w:val="216"/>
        </w:trPr>
        <w:tc>
          <w:tcPr>
            <w:tcW w:w="2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120" w:type="dxa"/>
            <w:vAlign w:val="bottom"/>
            <w:shd w:val="clear" w:color="auto" w:fill="CCEEFF"/>
          </w:tcPr>
          <w:p>
            <w:pPr>
              <w:spacing w:after="0"/>
              <w:rPr>
                <w:sz w:val="18"/>
                <w:szCs w:val="18"/>
                <w:color w:val="auto"/>
              </w:rPr>
            </w:pPr>
          </w:p>
        </w:tc>
      </w:tr>
      <w:tr>
        <w:trPr>
          <w:trHeight w:val="216"/>
        </w:trPr>
        <w:tc>
          <w:tcPr>
            <w:tcW w:w="2360" w:type="dxa"/>
            <w:vAlign w:val="bottom"/>
            <w:gridSpan w:val="2"/>
          </w:tcPr>
          <w:p>
            <w:pPr>
              <w:spacing w:after="0"/>
              <w:rPr>
                <w:sz w:val="20"/>
                <w:szCs w:val="20"/>
                <w:color w:val="auto"/>
              </w:rPr>
            </w:pPr>
            <w:r>
              <w:rPr>
                <w:rFonts w:ascii="Arial" w:cs="Arial" w:eastAsia="Arial" w:hAnsi="Arial"/>
                <w:sz w:val="18"/>
                <w:szCs w:val="18"/>
                <w:color w:val="auto"/>
              </w:rPr>
              <w:t>Secondary Grants (e)</w:t>
            </w:r>
          </w:p>
        </w:tc>
        <w:tc>
          <w:tcPr>
            <w:tcW w:w="680" w:type="dxa"/>
            <w:vAlign w:val="bottom"/>
          </w:tcPr>
          <w:p>
            <w:pPr>
              <w:jc w:val="right"/>
              <w:spacing w:after="0"/>
              <w:rPr>
                <w:sz w:val="20"/>
                <w:szCs w:val="20"/>
                <w:color w:val="auto"/>
              </w:rPr>
            </w:pPr>
            <w:r>
              <w:rPr>
                <w:rFonts w:ascii="Arial" w:cs="Arial" w:eastAsia="Arial" w:hAnsi="Arial"/>
                <w:sz w:val="18"/>
                <w:szCs w:val="18"/>
                <w:color w:val="auto"/>
              </w:rPr>
              <w:t>18,165</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2,360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3,016</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4,432</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3,975</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669</w:t>
            </w:r>
          </w:p>
        </w:tc>
        <w:tc>
          <w:tcPr>
            <w:tcW w:w="120" w:type="dxa"/>
            <w:vAlign w:val="bottom"/>
          </w:tcPr>
          <w:p>
            <w:pPr>
              <w:spacing w:after="0"/>
              <w:rPr>
                <w:sz w:val="18"/>
                <w:szCs w:val="18"/>
                <w:color w:val="auto"/>
              </w:rPr>
            </w:pPr>
          </w:p>
        </w:tc>
      </w:tr>
      <w:tr>
        <w:trPr>
          <w:trHeight w:val="202"/>
        </w:trPr>
        <w:tc>
          <w:tcPr>
            <w:tcW w:w="236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Re-priced New Hire</w:t>
            </w: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23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Grants (f)</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100,575</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(1,885)</w:t>
            </w:r>
          </w:p>
        </w:tc>
        <w:tc>
          <w:tcPr>
            <w:tcW w:w="2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2360" w:type="dxa"/>
            <w:vAlign w:val="bottom"/>
            <w:gridSpan w:val="2"/>
          </w:tcPr>
          <w:p>
            <w:pPr>
              <w:spacing w:after="0"/>
              <w:rPr>
                <w:sz w:val="20"/>
                <w:szCs w:val="20"/>
                <w:color w:val="auto"/>
              </w:rPr>
            </w:pPr>
            <w:r>
              <w:rPr>
                <w:rFonts w:ascii="Arial" w:cs="Arial" w:eastAsia="Arial" w:hAnsi="Arial"/>
                <w:sz w:val="18"/>
                <w:szCs w:val="18"/>
                <w:color w:val="auto"/>
              </w:rPr>
              <w:t>Evergreen Grants (g)</w:t>
            </w:r>
          </w:p>
        </w:tc>
        <w:tc>
          <w:tcPr>
            <w:tcW w:w="680" w:type="dxa"/>
            <w:vAlign w:val="bottom"/>
          </w:tcPr>
          <w:p>
            <w:pPr>
              <w:jc w:val="right"/>
              <w:spacing w:after="0"/>
              <w:rPr>
                <w:sz w:val="20"/>
                <w:szCs w:val="20"/>
                <w:color w:val="auto"/>
              </w:rPr>
            </w:pPr>
            <w:r>
              <w:rPr>
                <w:rFonts w:ascii="Arial" w:cs="Arial" w:eastAsia="Arial" w:hAnsi="Arial"/>
                <w:sz w:val="18"/>
                <w:szCs w:val="18"/>
                <w:color w:val="auto"/>
              </w:rPr>
              <w:t>60,838</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9,870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11,082</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12,634</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17,911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9,312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29</w:t>
            </w:r>
          </w:p>
        </w:tc>
        <w:tc>
          <w:tcPr>
            <w:tcW w:w="120" w:type="dxa"/>
            <w:vAlign w:val="bottom"/>
          </w:tcPr>
          <w:p>
            <w:pPr>
              <w:spacing w:after="0"/>
              <w:rPr>
                <w:sz w:val="18"/>
                <w:szCs w:val="18"/>
                <w:color w:val="auto"/>
              </w:rPr>
            </w:pPr>
          </w:p>
        </w:tc>
      </w:tr>
      <w:tr>
        <w:trPr>
          <w:trHeight w:val="216"/>
        </w:trPr>
        <w:tc>
          <w:tcPr>
            <w:tcW w:w="2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Non-employee Grants * (h)</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(264)</w:t>
            </w: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120" w:type="dxa"/>
            <w:vAlign w:val="bottom"/>
            <w:shd w:val="clear" w:color="auto" w:fill="CCEEFF"/>
          </w:tcPr>
          <w:p>
            <w:pPr>
              <w:spacing w:after="0"/>
              <w:rPr>
                <w:sz w:val="18"/>
                <w:szCs w:val="18"/>
                <w:color w:val="auto"/>
              </w:rPr>
            </w:pPr>
          </w:p>
        </w:tc>
      </w:tr>
      <w:tr>
        <w:trPr>
          <w:trHeight w:val="202"/>
        </w:trPr>
        <w:tc>
          <w:tcPr>
            <w:tcW w:w="2360" w:type="dxa"/>
            <w:vAlign w:val="bottom"/>
            <w:gridSpan w:val="2"/>
          </w:tcPr>
          <w:p>
            <w:pPr>
              <w:spacing w:after="0" w:line="201" w:lineRule="exact"/>
              <w:rPr>
                <w:sz w:val="20"/>
                <w:szCs w:val="20"/>
                <w:color w:val="auto"/>
              </w:rPr>
            </w:pPr>
            <w:r>
              <w:rPr>
                <w:rFonts w:ascii="Arial" w:cs="Arial" w:eastAsia="Arial" w:hAnsi="Arial"/>
                <w:sz w:val="18"/>
                <w:szCs w:val="18"/>
                <w:color w:val="auto"/>
              </w:rPr>
              <w:t>Termination related charges</w:t>
            </w: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2360" w:type="dxa"/>
            <w:vAlign w:val="bottom"/>
            <w:gridSpan w:val="2"/>
          </w:tcPr>
          <w:p>
            <w:pPr>
              <w:ind w:left="180"/>
              <w:spacing w:after="0"/>
              <w:rPr>
                <w:sz w:val="20"/>
                <w:szCs w:val="20"/>
                <w:color w:val="auto"/>
              </w:rPr>
            </w:pPr>
            <w:r>
              <w:rPr>
                <w:rFonts w:ascii="Arial" w:cs="Arial" w:eastAsia="Arial" w:hAnsi="Arial"/>
                <w:sz w:val="18"/>
                <w:szCs w:val="18"/>
                <w:color w:val="auto"/>
              </w:rPr>
              <w:t>(i)</w:t>
            </w:r>
          </w:p>
        </w:tc>
        <w:tc>
          <w:tcPr>
            <w:tcW w:w="680" w:type="dxa"/>
            <w:vAlign w:val="bottom"/>
          </w:tcPr>
          <w:p>
            <w:pPr>
              <w:jc w:val="right"/>
              <w:spacing w:after="0"/>
              <w:rPr>
                <w:sz w:val="20"/>
                <w:szCs w:val="20"/>
                <w:color w:val="auto"/>
              </w:rPr>
            </w:pPr>
            <w:r>
              <w:rPr>
                <w:rFonts w:ascii="Arial" w:cs="Arial" w:eastAsia="Arial" w:hAnsi="Arial"/>
                <w:sz w:val="18"/>
                <w:szCs w:val="18"/>
                <w:color w:val="auto"/>
              </w:rPr>
              <w:t>10,006</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10,006</w:t>
            </w:r>
          </w:p>
        </w:tc>
        <w:tc>
          <w:tcPr>
            <w:tcW w:w="120" w:type="dxa"/>
            <w:vAlign w:val="bottom"/>
          </w:tcPr>
          <w:p>
            <w:pPr>
              <w:spacing w:after="0"/>
              <w:rPr>
                <w:sz w:val="20"/>
                <w:szCs w:val="20"/>
                <w:color w:val="auto"/>
              </w:rPr>
            </w:pPr>
          </w:p>
        </w:tc>
      </w:tr>
      <w:tr>
        <w:trPr>
          <w:trHeight w:val="210"/>
        </w:trPr>
        <w:tc>
          <w:tcPr>
            <w:tcW w:w="21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327,375</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98,856</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75,684</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21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80" w:right="40" w:hanging="172"/>
        <w:spacing w:after="0" w:line="277" w:lineRule="auto"/>
        <w:tabs>
          <w:tab w:leader="none" w:pos="1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340" w:hanging="332"/>
        <w:spacing w:after="0" w:line="259" w:lineRule="auto"/>
        <w:tabs>
          <w:tab w:leader="none" w:pos="320" w:val="left"/>
        </w:tabs>
        <w:numPr>
          <w:ilvl w:val="0"/>
          <w:numId w:val="1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 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our stock price at the date of the Board’s ratification.</w:t>
      </w:r>
    </w:p>
    <w:p>
      <w:pPr>
        <w:spacing w:after="0" w:line="186" w:lineRule="exact"/>
        <w:rPr>
          <w:rFonts w:ascii="Arial" w:cs="Arial" w:eastAsia="Arial" w:hAnsi="Arial"/>
          <w:sz w:val="18"/>
          <w:szCs w:val="18"/>
          <w:i w:val="1"/>
          <w:iCs w:val="1"/>
          <w:color w:val="auto"/>
        </w:rPr>
      </w:pPr>
    </w:p>
    <w:p>
      <w:pPr>
        <w:ind w:left="340"/>
        <w:spacing w:after="0"/>
        <w:rPr>
          <w:rFonts w:ascii="Arial" w:cs="Arial" w:eastAsia="Arial" w:hAnsi="Arial"/>
          <w:sz w:val="18"/>
          <w:szCs w:val="18"/>
          <w:i w:val="1"/>
          <w:iCs w:val="1"/>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rFonts w:ascii="Arial" w:cs="Arial" w:eastAsia="Arial" w:hAnsi="Arial"/>
          <w:sz w:val="18"/>
          <w:szCs w:val="18"/>
          <w:i w:val="1"/>
          <w:iCs w:val="1"/>
          <w:color w:val="auto"/>
        </w:rPr>
      </w:pPr>
    </w:p>
    <w:p>
      <w:pPr>
        <w:ind w:left="340" w:right="60" w:hanging="332"/>
        <w:spacing w:after="0" w:line="272" w:lineRule="auto"/>
        <w:tabs>
          <w:tab w:leader="none" w:pos="320" w:val="left"/>
        </w:tabs>
        <w:numPr>
          <w:ilvl w:val="0"/>
          <w:numId w:val="13"/>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Officer Grants: </w:t>
      </w:r>
      <w:r>
        <w:rPr>
          <w:rFonts w:ascii="Arial" w:cs="Arial" w:eastAsia="Arial" w:hAnsi="Arial"/>
          <w:sz w:val="17"/>
          <w:szCs w:val="17"/>
          <w:color w:val="auto"/>
        </w:rPr>
        <w:t>During the Relevant Period, we granted options on 13 different dates (including the Re-priced Officer Grants) to the then-Section 16</w:t>
      </w:r>
      <w:r>
        <w:rPr>
          <w:rFonts w:ascii="Arial" w:cs="Arial" w:eastAsia="Arial" w:hAnsi="Arial"/>
          <w:sz w:val="17"/>
          <w:szCs w:val="17"/>
          <w:i w:val="1"/>
          <w:iCs w:val="1"/>
          <w:color w:val="auto"/>
        </w:rPr>
        <w:t xml:space="preserve"> </w:t>
      </w:r>
      <w:r>
        <w:rPr>
          <w:rFonts w:ascii="Arial" w:cs="Arial" w:eastAsia="Arial" w:hAnsi="Arial"/>
          <w:sz w:val="17"/>
          <w:szCs w:val="17"/>
          <w:color w:val="auto"/>
        </w:rPr>
        <w:t>Officers — Dr. Sehat Sutardja, Weili Dai, Dr. Pantas Sutardja and George Hervey. We recorded additional compensation costs for one grant on December 26, 2003 which represented 75% of options granted for three of the Officers who were also our founders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 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177" w:lineRule="exact"/>
        <w:rPr>
          <w:rFonts w:ascii="Arial" w:cs="Arial" w:eastAsia="Arial" w:hAnsi="Arial"/>
          <w:sz w:val="17"/>
          <w:szCs w:val="17"/>
          <w:i w:val="1"/>
          <w:iCs w:val="1"/>
          <w:color w:val="auto"/>
        </w:rPr>
      </w:pPr>
    </w:p>
    <w:p>
      <w:pPr>
        <w:ind w:left="340" w:right="20"/>
        <w:spacing w:after="0" w:line="259" w:lineRule="auto"/>
        <w:rPr>
          <w:rFonts w:ascii="Arial" w:cs="Arial" w:eastAsia="Arial" w:hAnsi="Arial"/>
          <w:sz w:val="17"/>
          <w:szCs w:val="17"/>
          <w:i w:val="1"/>
          <w:iCs w:val="1"/>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we received from the Officers the incremental exercise prices for the portion of these options which had previously been exercised totaling $9.6 million. The reformation of these options did not result in incrementel compensation cost in the fourth quarter of fiscal 2007.</w:t>
      </w:r>
    </w:p>
    <w:p>
      <w:pPr>
        <w:spacing w:after="0" w:line="186" w:lineRule="exact"/>
        <w:rPr>
          <w:rFonts w:ascii="Arial" w:cs="Arial" w:eastAsia="Arial" w:hAnsi="Arial"/>
          <w:sz w:val="17"/>
          <w:szCs w:val="17"/>
          <w:i w:val="1"/>
          <w:iCs w:val="1"/>
          <w:color w:val="auto"/>
        </w:rPr>
      </w:pPr>
    </w:p>
    <w:p>
      <w:pPr>
        <w:ind w:left="340" w:right="220"/>
        <w:spacing w:after="0" w:line="277" w:lineRule="auto"/>
        <w:rPr>
          <w:rFonts w:ascii="Arial" w:cs="Arial" w:eastAsia="Arial" w:hAnsi="Arial"/>
          <w:sz w:val="17"/>
          <w:szCs w:val="17"/>
          <w:i w:val="1"/>
          <w:iCs w:val="1"/>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rFonts w:ascii="Arial" w:cs="Arial" w:eastAsia="Arial" w:hAnsi="Arial"/>
          <w:sz w:val="17"/>
          <w:szCs w:val="17"/>
          <w:i w:val="1"/>
          <w:iCs w:val="1"/>
          <w:color w:val="auto"/>
        </w:rPr>
      </w:pPr>
    </w:p>
    <w:p>
      <w:pPr>
        <w:ind w:left="340" w:right="20" w:hanging="332"/>
        <w:spacing w:after="0" w:line="289" w:lineRule="auto"/>
        <w:tabs>
          <w:tab w:leader="none" w:pos="324" w:val="left"/>
        </w:tabs>
        <w:numPr>
          <w:ilvl w:val="0"/>
          <w:numId w:val="13"/>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Committee’s approval of a grant to</w:t>
      </w:r>
      <w:r>
        <w:rPr>
          <w:rFonts w:ascii="Arial" w:cs="Arial" w:eastAsia="Arial" w:hAnsi="Arial"/>
          <w:sz w:val="16"/>
          <w:szCs w:val="16"/>
          <w:i w:val="1"/>
          <w:iCs w:val="1"/>
          <w:color w:val="auto"/>
        </w:rPr>
        <w:t xml:space="preserve"> </w:t>
      </w:r>
      <w:r>
        <w:rPr>
          <w:rFonts w:ascii="Arial" w:cs="Arial" w:eastAsia="Arial" w:hAnsi="Arial"/>
          <w:sz w:val="16"/>
          <w:szCs w:val="16"/>
          <w:color w:val="auto"/>
        </w:rPr>
        <w:t>the Founder Officers totaling 1.6 million shares, to be effective on the execution of a unanimous written consent. In June 2002, the Executive Compensation Committee members executed a unanimous written consent dated June 6, 2002 and effective as of May 22, 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our adoption of Statement of Financial Accounting Standards No. 123 (revised 2004), “Share-Based Payment” (“SFAS 123R”) at the beginning of fiscal 2007.</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20" w:hanging="332"/>
        <w:spacing w:after="0" w:line="286" w:lineRule="auto"/>
        <w:tabs>
          <w:tab w:leader="none" w:pos="320" w:val="left"/>
        </w:tabs>
        <w:numPr>
          <w:ilvl w:val="0"/>
          <w:numId w:val="14"/>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New Hire Grants – effective hire dates: </w:t>
      </w:r>
      <w:r>
        <w:rPr>
          <w:rFonts w:ascii="Arial" w:cs="Arial" w:eastAsia="Arial" w:hAnsi="Arial"/>
          <w:sz w:val="17"/>
          <w:szCs w:val="17"/>
          <w:color w:val="auto"/>
        </w:rPr>
        <w:t>The internal review identified 4,669,200 options to 30 new hire recipients which required revision to reflect a</w:t>
      </w:r>
      <w:r>
        <w:rPr>
          <w:rFonts w:ascii="Arial" w:cs="Arial" w:eastAsia="Arial" w:hAnsi="Arial"/>
          <w:sz w:val="17"/>
          <w:szCs w:val="17"/>
          <w:i w:val="1"/>
          <w:iCs w:val="1"/>
          <w:color w:val="auto"/>
        </w:rPr>
        <w:t xml:space="preserve"> </w:t>
      </w:r>
      <w:r>
        <w:rPr>
          <w:rFonts w:ascii="Arial" w:cs="Arial" w:eastAsia="Arial" w:hAnsi="Arial"/>
          <w:sz w:val="17"/>
          <w:szCs w:val="17"/>
          <w:color w:val="auto"/>
        </w:rPr>
        <w:t>later date.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165" w:lineRule="exact"/>
        <w:rPr>
          <w:rFonts w:ascii="Arial" w:cs="Arial" w:eastAsia="Arial" w:hAnsi="Arial"/>
          <w:sz w:val="17"/>
          <w:szCs w:val="17"/>
          <w:i w:val="1"/>
          <w:iCs w:val="1"/>
          <w:color w:val="auto"/>
        </w:rPr>
      </w:pPr>
    </w:p>
    <w:p>
      <w:pPr>
        <w:ind w:left="340" w:right="40" w:hanging="332"/>
        <w:spacing w:after="0" w:line="268" w:lineRule="auto"/>
        <w:tabs>
          <w:tab w:leader="none" w:pos="324" w:val="left"/>
        </w:tabs>
        <w:numPr>
          <w:ilvl w:val="0"/>
          <w:numId w:val="14"/>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Other New Hire and Secondary Grants: </w:t>
      </w:r>
      <w:r>
        <w:rPr>
          <w:rFonts w:ascii="Arial" w:cs="Arial" w:eastAsia="Arial" w:hAnsi="Arial"/>
          <w:sz w:val="17"/>
          <w:szCs w:val="17"/>
          <w:color w:val="auto"/>
        </w:rPr>
        <w:t>In addition to grants issued to new hires at the commencement of their employment, we occasionally issue</w:t>
      </w:r>
      <w:r>
        <w:rPr>
          <w:rFonts w:ascii="Arial" w:cs="Arial" w:eastAsia="Arial" w:hAnsi="Arial"/>
          <w:sz w:val="17"/>
          <w:szCs w:val="17"/>
          <w:i w:val="1"/>
          <w:iCs w:val="1"/>
          <w:color w:val="auto"/>
        </w:rPr>
        <w:t xml:space="preserve"> </w:t>
      </w:r>
      <w:r>
        <w:rPr>
          <w:rFonts w:ascii="Arial" w:cs="Arial" w:eastAsia="Arial" w:hAnsi="Arial"/>
          <w:sz w:val="17"/>
          <w:szCs w:val="17"/>
          <w:color w:val="auto"/>
        </w:rPr>
        <w:t>secondary grants to employees for outstanding performance, retention or other discretionary reasons outside of the annual performance review cycle. During the Relevant Period, we granted new hire and secondary options on 86 different dates, excluding assumption of acquisition-related options. These dates included grants made from August 2004 onwards when a fixed grant date schedule was set on the first Friday of each month. As a result of the internal investigation, we recorded additional compensation costs for grants relating to 37 different grant dates, impacting approximately two-thirds of our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we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we used the date the grant entry was created in our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ectPr>
          <w:pgSz w:w="11900" w:h="16889" w:orient="portrait"/>
          <w:cols w:equalWidth="0" w:num="1">
            <w:col w:w="11400"/>
          </w:cols>
          <w:pgMar w:left="240" w:top="125" w:right="259" w:bottom="0" w:gutter="0" w:footer="0" w:header="0"/>
        </w:sectPr>
      </w:pPr>
    </w:p>
    <w:bookmarkStart w:id="31" w:name="page32"/>
    <w:bookmarkEnd w:id="31"/>
    <w:p>
      <w:pPr>
        <w:ind w:left="340" w:right="120" w:hanging="332"/>
        <w:spacing w:after="0" w:line="264" w:lineRule="auto"/>
        <w:tabs>
          <w:tab w:leader="none" w:pos="334" w:val="left"/>
        </w:tabs>
        <w:numPr>
          <w:ilvl w:val="0"/>
          <w:numId w:val="15"/>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Re-priced New Hire Grants: </w:t>
      </w:r>
      <w:r>
        <w:rPr>
          <w:rFonts w:ascii="Arial" w:cs="Arial" w:eastAsia="Arial" w:hAnsi="Arial"/>
          <w:sz w:val="18"/>
          <w:szCs w:val="18"/>
          <w:color w:val="auto"/>
        </w:rPr>
        <w:t>Of the new hire grants in the Relevant Period, grant prices were re-set for a segment of grants on three grant dates.</w:t>
      </w:r>
      <w:r>
        <w:rPr>
          <w:rFonts w:ascii="Arial" w:cs="Arial" w:eastAsia="Arial" w:hAnsi="Arial"/>
          <w:sz w:val="18"/>
          <w:szCs w:val="18"/>
          <w:i w:val="1"/>
          <w:iCs w:val="1"/>
          <w:color w:val="auto"/>
        </w:rPr>
        <w:t xml:space="preserve"> </w:t>
      </w:r>
      <w:r>
        <w:rPr>
          <w:rFonts w:ascii="Arial" w:cs="Arial" w:eastAsia="Arial" w:hAnsi="Arial"/>
          <w:sz w:val="18"/>
          <w:szCs w:val="18"/>
          <w:color w:val="auto"/>
        </w:rPr>
        <w:t>Consequently, affected awards totaling 6,224,200 options were subject to variable accounting until our adoption of SFAS 123R. The re-pricing resulted from the Stock Option Committee’s originally designated grant date being modified to a later grant date.</w:t>
      </w:r>
    </w:p>
    <w:p>
      <w:pPr>
        <w:spacing w:after="0" w:line="181" w:lineRule="exact"/>
        <w:rPr>
          <w:rFonts w:ascii="Arial" w:cs="Arial" w:eastAsia="Arial" w:hAnsi="Arial"/>
          <w:sz w:val="18"/>
          <w:szCs w:val="18"/>
          <w:i w:val="1"/>
          <w:iCs w:val="1"/>
          <w:color w:val="auto"/>
        </w:rPr>
      </w:pPr>
    </w:p>
    <w:p>
      <w:pPr>
        <w:ind w:left="340" w:right="40" w:hanging="332"/>
        <w:spacing w:after="0" w:line="288" w:lineRule="auto"/>
        <w:tabs>
          <w:tab w:leader="none" w:pos="320" w:val="left"/>
        </w:tabs>
        <w:numPr>
          <w:ilvl w:val="0"/>
          <w:numId w:val="15"/>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Evergreen Grants: </w:t>
      </w:r>
      <w:r>
        <w:rPr>
          <w:rFonts w:ascii="Arial" w:cs="Arial" w:eastAsia="Arial" w:hAnsi="Arial"/>
          <w:sz w:val="16"/>
          <w:szCs w:val="16"/>
          <w:color w:val="auto"/>
        </w:rPr>
        <w:t>During the Relevant Period, there were eight Evergreen grant dates. Substantially all employees are entitled to these grants for</w:t>
      </w:r>
      <w:r>
        <w:rPr>
          <w:rFonts w:ascii="Arial" w:cs="Arial" w:eastAsia="Arial" w:hAnsi="Arial"/>
          <w:sz w:val="16"/>
          <w:szCs w:val="16"/>
          <w:i w:val="1"/>
          <w:iCs w:val="1"/>
          <w:color w:val="auto"/>
        </w:rPr>
        <w:t xml:space="preserve"> </w:t>
      </w:r>
      <w:r>
        <w:rPr>
          <w:rFonts w:ascii="Arial" w:cs="Arial" w:eastAsia="Arial" w:hAnsi="Arial"/>
          <w:sz w:val="16"/>
          <w:szCs w:val="16"/>
          <w:color w:val="auto"/>
        </w:rPr>
        <w:t>retention purposes. There were two Evergreen grant dates in both fiscal 2003 and 2004. There was evidence of amendments to the recipients and/or the number of options subsequent to the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we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our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9" w:lineRule="exact"/>
        <w:rPr>
          <w:rFonts w:ascii="Arial" w:cs="Arial" w:eastAsia="Arial" w:hAnsi="Arial"/>
          <w:sz w:val="16"/>
          <w:szCs w:val="16"/>
          <w:i w:val="1"/>
          <w:iCs w:val="1"/>
          <w:color w:val="auto"/>
        </w:rPr>
      </w:pPr>
    </w:p>
    <w:p>
      <w:pPr>
        <w:ind w:left="340" w:right="20" w:hanging="332"/>
        <w:spacing w:after="0" w:line="259" w:lineRule="auto"/>
        <w:tabs>
          <w:tab w:leader="none" w:pos="320" w:val="left"/>
        </w:tabs>
        <w:numPr>
          <w:ilvl w:val="0"/>
          <w:numId w:val="15"/>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Non-employee Grants: </w:t>
      </w:r>
      <w:r>
        <w:rPr>
          <w:rFonts w:ascii="Arial" w:cs="Arial" w:eastAsia="Arial" w:hAnsi="Arial"/>
          <w:sz w:val="18"/>
          <w:szCs w:val="18"/>
          <w:color w:val="auto"/>
        </w:rPr>
        <w:t>Since our inception, 3,819,000 options were granted to 13 recipients who were not employees or directors. These grants were</w:t>
      </w:r>
      <w:r>
        <w:rPr>
          <w:rFonts w:ascii="Arial" w:cs="Arial" w:eastAsia="Arial" w:hAnsi="Arial"/>
          <w:sz w:val="18"/>
          <w:szCs w:val="18"/>
          <w:i w:val="1"/>
          <w:iCs w:val="1"/>
          <w:color w:val="auto"/>
        </w:rPr>
        <w:t xml:space="preserve"> </w:t>
      </w:r>
      <w:r>
        <w:rPr>
          <w:rFonts w:ascii="Arial" w:cs="Arial" w:eastAsia="Arial" w:hAnsi="Arial"/>
          <w:sz w:val="18"/>
          <w:szCs w:val="18"/>
          <w:color w:val="auto"/>
        </w:rPr>
        <w:t>erroneously accounted for under APB 25 as if they had been made to employees. Of these, four recipients that were granted a total of 1,483,000 options subsequently became employees or directors. As a result, the affected awards were accounted for as non-employee grants under EITF 96-18, Accounting for Equity Instruments That Are Issued to Other Than</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20"/>
        <w:spacing w:after="0" w:line="286" w:lineRule="auto"/>
        <w:rPr>
          <w:sz w:val="20"/>
          <w:szCs w:val="20"/>
          <w:color w:val="auto"/>
        </w:rPr>
      </w:pPr>
      <w:r>
        <w:rPr>
          <w:rFonts w:ascii="Arial" w:cs="Arial" w:eastAsia="Arial" w:hAnsi="Arial"/>
          <w:sz w:val="17"/>
          <w:szCs w:val="17"/>
          <w:color w:val="auto"/>
        </w:rPr>
        <w:t>Employees for Acquiring, or in Conjunction with Selling, Goods or Services, which resulted in the application of variable accounting on these options until exercised or cancelled. Options held by consultants who became employees or directors have been accounted for under FASB Interpretation No. 44, Accounting for Certain Transactions involving Stock Compensation, which addresses a change in grantee status.</w:t>
      </w:r>
    </w:p>
    <w:p>
      <w:pPr>
        <w:spacing w:after="0" w:line="166" w:lineRule="exact"/>
        <w:rPr>
          <w:sz w:val="20"/>
          <w:szCs w:val="20"/>
          <w:color w:val="auto"/>
        </w:rPr>
      </w:pPr>
    </w:p>
    <w:p>
      <w:pPr>
        <w:ind w:left="340" w:right="80" w:hanging="332"/>
        <w:spacing w:after="0" w:line="259" w:lineRule="auto"/>
        <w:tabs>
          <w:tab w:leader="none" w:pos="321" w:val="left"/>
        </w:tabs>
        <w:numPr>
          <w:ilvl w:val="0"/>
          <w:numId w:val="1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We applied APB 25 as if the leave of absence arrangement was a constructive modification extending the exercise period of vested awards. We recorded $10.0 million in additional deferred compensation charges in fiscal 2001.</w:t>
      </w:r>
    </w:p>
    <w:p>
      <w:pPr>
        <w:spacing w:after="0" w:line="187"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Notwithstanding the foregoing, the lack of conclusive evidence in the case of certain grants required our management to apply significant judgment in establishing revised measurement dates. We determined that the total cumulative, pre-tax, non-cash, stock-based compensation expense resulting from revised measurement dates under APB 25 was $327.4 million for periods through fiscal 2006. There was no impact on revenue. We adopted SFAS 123R at the beginning of fiscal 2007.</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jc w:val="both"/>
        <w:ind w:firstLine="324"/>
        <w:spacing w:after="0" w:line="288" w:lineRule="auto"/>
        <w:rPr>
          <w:sz w:val="20"/>
          <w:szCs w:val="20"/>
          <w:color w:val="auto"/>
        </w:rPr>
      </w:pPr>
      <w:r>
        <w:rPr>
          <w:rFonts w:ascii="Arial" w:cs="Arial" w:eastAsia="Arial" w:hAnsi="Arial"/>
          <w:sz w:val="16"/>
          <w:szCs w:val="16"/>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w:t>
      </w:r>
    </w:p>
    <w:p>
      <w:pPr>
        <w:ind w:right="80"/>
        <w:spacing w:after="0" w:line="261" w:lineRule="auto"/>
        <w:rPr>
          <w:sz w:val="20"/>
          <w:szCs w:val="20"/>
          <w:color w:val="auto"/>
        </w:rPr>
      </w:pPr>
      <w:r>
        <w:rPr>
          <w:rFonts w:ascii="Arial" w:cs="Arial" w:eastAsia="Arial" w:hAnsi="Arial"/>
          <w:sz w:val="18"/>
          <w:szCs w:val="18"/>
          <w:color w:val="auto"/>
        </w:rPr>
        <w:t>$2.5 million as of January 28, 2006 and a deferred provision benefit of $4.8 million. The tax impact of the adjustments arising from the equity award review is summarized as follows (in thousands):</w:t>
      </w:r>
    </w:p>
    <w:p>
      <w:pPr>
        <w:spacing w:after="0" w:line="1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5"/>
              </w:rPr>
              <w:t>Cumulative</w:t>
            </w: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8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20" w:type="dxa"/>
            <w:vAlign w:val="bottom"/>
          </w:tcPr>
          <w:p>
            <w:pPr>
              <w:spacing w:after="0"/>
              <w:rPr>
                <w:sz w:val="14"/>
                <w:szCs w:val="14"/>
                <w:color w:val="auto"/>
              </w:rPr>
            </w:pPr>
          </w:p>
        </w:tc>
        <w:tc>
          <w:tcPr>
            <w:tcW w:w="88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6"/>
              </w:rPr>
              <w:t>Year Ended</w:t>
            </w:r>
          </w:p>
        </w:tc>
        <w:tc>
          <w:tcPr>
            <w:tcW w:w="20" w:type="dxa"/>
            <w:vAlign w:val="bottom"/>
          </w:tcPr>
          <w:p>
            <w:pPr>
              <w:spacing w:after="0"/>
              <w:rPr>
                <w:sz w:val="14"/>
                <w:szCs w:val="14"/>
                <w:color w:val="auto"/>
              </w:rPr>
            </w:pPr>
          </w:p>
        </w:tc>
        <w:tc>
          <w:tcPr>
            <w:tcW w:w="9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20" w:type="dxa"/>
            <w:vAlign w:val="bottom"/>
          </w:tcPr>
          <w:p>
            <w:pPr>
              <w:spacing w:after="0"/>
              <w:rPr>
                <w:sz w:val="14"/>
                <w:szCs w:val="14"/>
                <w:color w:val="auto"/>
              </w:rPr>
            </w:pPr>
          </w:p>
        </w:tc>
        <w:tc>
          <w:tcPr>
            <w:tcW w:w="9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20" w:type="dxa"/>
            <w:vAlign w:val="bottom"/>
          </w:tcPr>
          <w:p>
            <w:pPr>
              <w:spacing w:after="0"/>
              <w:rPr>
                <w:sz w:val="14"/>
                <w:szCs w:val="14"/>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through</w:t>
            </w:r>
          </w:p>
        </w:tc>
        <w:tc>
          <w:tcPr>
            <w:tcW w:w="920" w:type="dxa"/>
            <w:vAlign w:val="bottom"/>
            <w:gridSpan w:val="3"/>
            <w:vMerge w:val="continue"/>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92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January 28,</w:t>
            </w:r>
          </w:p>
        </w:tc>
        <w:tc>
          <w:tcPr>
            <w:tcW w:w="88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29,</w:t>
            </w:r>
          </w:p>
        </w:tc>
        <w:tc>
          <w:tcPr>
            <w:tcW w:w="20" w:type="dxa"/>
            <w:vAlign w:val="bottom"/>
          </w:tcPr>
          <w:p>
            <w:pPr>
              <w:spacing w:after="0"/>
              <w:rPr>
                <w:sz w:val="11"/>
                <w:szCs w:val="11"/>
                <w:color w:val="auto"/>
              </w:rPr>
            </w:pPr>
          </w:p>
        </w:tc>
        <w:tc>
          <w:tcPr>
            <w:tcW w:w="88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5"/>
              </w:rPr>
              <w:t>January 31,</w:t>
            </w:r>
          </w:p>
        </w:tc>
        <w:tc>
          <w:tcPr>
            <w:tcW w:w="20" w:type="dxa"/>
            <w:vAlign w:val="bottom"/>
          </w:tcPr>
          <w:p>
            <w:pPr>
              <w:spacing w:after="0"/>
              <w:rPr>
                <w:sz w:val="11"/>
                <w:szCs w:val="11"/>
                <w:color w:val="auto"/>
              </w:rPr>
            </w:pPr>
          </w:p>
        </w:tc>
        <w:tc>
          <w:tcPr>
            <w:tcW w:w="9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5"/>
              </w:rPr>
              <w:t>February 1,</w:t>
            </w:r>
          </w:p>
        </w:tc>
        <w:tc>
          <w:tcPr>
            <w:tcW w:w="20" w:type="dxa"/>
            <w:vAlign w:val="bottom"/>
          </w:tcPr>
          <w:p>
            <w:pPr>
              <w:spacing w:after="0"/>
              <w:rPr>
                <w:sz w:val="11"/>
                <w:szCs w:val="11"/>
                <w:color w:val="auto"/>
              </w:rPr>
            </w:pPr>
          </w:p>
        </w:tc>
        <w:tc>
          <w:tcPr>
            <w:tcW w:w="9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5"/>
              </w:rPr>
              <w:t>February 2,</w:t>
            </w:r>
          </w:p>
        </w:tc>
        <w:tc>
          <w:tcPr>
            <w:tcW w:w="20" w:type="dxa"/>
            <w:vAlign w:val="bottom"/>
          </w:tcPr>
          <w:p>
            <w:pPr>
              <w:spacing w:after="0"/>
              <w:rPr>
                <w:sz w:val="11"/>
                <w:szCs w:val="11"/>
                <w:color w:val="auto"/>
              </w:rPr>
            </w:pPr>
          </w:p>
        </w:tc>
        <w:tc>
          <w:tcPr>
            <w:tcW w:w="96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21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89"/>
              </w:rPr>
              <w:t>2006</w:t>
            </w:r>
          </w:p>
        </w:tc>
        <w:tc>
          <w:tcPr>
            <w:tcW w:w="1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89"/>
              </w:rPr>
              <w:t>2006</w:t>
            </w:r>
          </w:p>
        </w:tc>
        <w:tc>
          <w:tcPr>
            <w:tcW w:w="1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2004</w:t>
            </w: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13"/>
              <w:spacing w:after="0"/>
              <w:rPr>
                <w:sz w:val="20"/>
                <w:szCs w:val="20"/>
                <w:color w:val="auto"/>
              </w:rPr>
            </w:pPr>
            <w:r>
              <w:rPr>
                <w:rFonts w:ascii="Arial" w:cs="Arial" w:eastAsia="Arial" w:hAnsi="Arial"/>
                <w:sz w:val="14"/>
                <w:szCs w:val="14"/>
                <w:b w:val="1"/>
                <w:bCs w:val="1"/>
                <w:color w:val="auto"/>
                <w:w w:val="89"/>
              </w:rPr>
              <w:t>2003</w:t>
            </w: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13"/>
              <w:spacing w:after="0"/>
              <w:rPr>
                <w:sz w:val="20"/>
                <w:szCs w:val="20"/>
                <w:color w:val="auto"/>
              </w:rPr>
            </w:pPr>
            <w:r>
              <w:rPr>
                <w:rFonts w:ascii="Arial" w:cs="Arial" w:eastAsia="Arial" w:hAnsi="Arial"/>
                <w:sz w:val="14"/>
                <w:szCs w:val="14"/>
                <w:b w:val="1"/>
                <w:bCs w:val="1"/>
                <w:color w:val="auto"/>
                <w:w w:val="89"/>
              </w:rPr>
              <w:t>2002</w:t>
            </w: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113"/>
              <w:spacing w:after="0"/>
              <w:rPr>
                <w:sz w:val="20"/>
                <w:szCs w:val="20"/>
                <w:color w:val="auto"/>
              </w:rPr>
            </w:pPr>
            <w:r>
              <w:rPr>
                <w:rFonts w:ascii="Arial" w:cs="Arial" w:eastAsia="Arial" w:hAnsi="Arial"/>
                <w:sz w:val="14"/>
                <w:szCs w:val="14"/>
                <w:b w:val="1"/>
                <w:bCs w:val="1"/>
                <w:color w:val="auto"/>
                <w:w w:val="96"/>
              </w:rPr>
              <w:t>2001</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12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1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 tax *</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00" w:type="dxa"/>
            <w:vAlign w:val="bottom"/>
            <w:shd w:val="clear" w:color="auto" w:fill="CCEEFF"/>
          </w:tcPr>
          <w:p>
            <w:pPr>
              <w:spacing w:after="0"/>
              <w:rPr>
                <w:sz w:val="20"/>
                <w:szCs w:val="20"/>
                <w:color w:val="auto"/>
              </w:rPr>
            </w:pPr>
          </w:p>
        </w:tc>
        <w:tc>
          <w:tcPr>
            <w:tcW w:w="18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8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8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20" w:type="dxa"/>
            <w:vAlign w:val="bottom"/>
          </w:tcPr>
          <w:p>
            <w:pPr>
              <w:spacing w:after="0" w:line="201" w:lineRule="exact"/>
              <w:rPr>
                <w:sz w:val="20"/>
                <w:szCs w:val="20"/>
                <w:color w:val="auto"/>
              </w:rPr>
            </w:pPr>
            <w:r>
              <w:rPr>
                <w:rFonts w:ascii="Arial" w:cs="Arial" w:eastAsia="Arial" w:hAnsi="Arial"/>
                <w:sz w:val="18"/>
                <w:szCs w:val="18"/>
                <w:color w:val="auto"/>
              </w:rPr>
              <w:t>Provision for income tax –</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20" w:type="dxa"/>
            <w:vAlign w:val="bottom"/>
          </w:tcPr>
          <w:p>
            <w:pPr>
              <w:ind w:left="180"/>
              <w:spacing w:after="0"/>
              <w:rPr>
                <w:sz w:val="20"/>
                <w:szCs w:val="20"/>
                <w:color w:val="auto"/>
              </w:rPr>
            </w:pPr>
            <w:r>
              <w:rPr>
                <w:rFonts w:ascii="Arial" w:cs="Arial" w:eastAsia="Arial" w:hAnsi="Arial"/>
                <w:sz w:val="18"/>
                <w:szCs w:val="18"/>
                <w:color w:val="auto"/>
              </w:rPr>
              <w:t>Deferred Income Tax</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20" w:type="dxa"/>
            <w:vAlign w:val="bottom"/>
          </w:tcPr>
          <w:p>
            <w:pPr>
              <w:ind w:left="180"/>
              <w:spacing w:after="0"/>
              <w:rPr>
                <w:sz w:val="20"/>
                <w:szCs w:val="20"/>
                <w:color w:val="auto"/>
              </w:rPr>
            </w:pPr>
            <w:r>
              <w:rPr>
                <w:rFonts w:ascii="Arial" w:cs="Arial" w:eastAsia="Arial" w:hAnsi="Arial"/>
                <w:sz w:val="18"/>
                <w:szCs w:val="18"/>
                <w:color w:val="auto"/>
              </w:rPr>
              <w:t>Benefit (b)</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(4,806)</w:t>
            </w:r>
          </w:p>
        </w:tc>
        <w:tc>
          <w:tcPr>
            <w:tcW w:w="180" w:type="dxa"/>
            <w:vAlign w:val="bottom"/>
          </w:tcPr>
          <w:p>
            <w:pPr>
              <w:spacing w:after="0"/>
              <w:rPr>
                <w:sz w:val="20"/>
                <w:szCs w:val="20"/>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(1,822)</w:t>
            </w:r>
          </w:p>
        </w:tc>
        <w:tc>
          <w:tcPr>
            <w:tcW w:w="160" w:type="dxa"/>
            <w:vAlign w:val="bottom"/>
          </w:tcPr>
          <w:p>
            <w:pPr>
              <w:spacing w:after="0"/>
              <w:rPr>
                <w:sz w:val="20"/>
                <w:szCs w:val="20"/>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(1,150)</w:t>
            </w: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(1,170)</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(405)</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(259)</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8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 tax –</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Section 162(m) and</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7"/>
              </w:rPr>
              <w:t>utilization of deferred tax</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 **(c)</w:t>
            </w:r>
          </w:p>
        </w:tc>
        <w:tc>
          <w:tcPr>
            <w:tcW w:w="10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0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2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120" w:type="dxa"/>
            <w:vAlign w:val="bottom"/>
          </w:tcPr>
          <w:p>
            <w:pPr>
              <w:spacing w:after="0" w:line="182" w:lineRule="exact"/>
              <w:rPr>
                <w:sz w:val="20"/>
                <w:szCs w:val="20"/>
                <w:color w:val="auto"/>
              </w:rPr>
            </w:pPr>
            <w:r>
              <w:rPr>
                <w:rFonts w:ascii="Arial" w:cs="Arial" w:eastAsia="Arial" w:hAnsi="Arial"/>
                <w:sz w:val="18"/>
                <w:szCs w:val="18"/>
                <w:color w:val="auto"/>
              </w:rPr>
              <w:t>Tax impact of the equity</w:t>
            </w:r>
          </w:p>
        </w:tc>
        <w:tc>
          <w:tcPr>
            <w:tcW w:w="220" w:type="dxa"/>
            <w:vAlign w:val="bottom"/>
            <w:gridSpan w:val="2"/>
            <w:vMerge w:val="restart"/>
          </w:tcPr>
          <w:p>
            <w:pPr>
              <w:ind w:left="100"/>
              <w:spacing w:after="0"/>
              <w:rPr>
                <w:sz w:val="20"/>
                <w:szCs w:val="20"/>
                <w:color w:val="auto"/>
              </w:rPr>
            </w:pPr>
            <w:r>
              <w:rPr>
                <w:rFonts w:ascii="Arial" w:cs="Arial" w:eastAsia="Arial" w:hAnsi="Arial"/>
                <w:sz w:val="18"/>
                <w:szCs w:val="18"/>
                <w:color w:val="auto"/>
                <w:w w:val="99"/>
              </w:rPr>
              <w:t>$</w:t>
            </w:r>
          </w:p>
        </w:tc>
        <w:tc>
          <w:tcPr>
            <w:tcW w:w="68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100" w:type="dxa"/>
            <w:vAlign w:val="bottom"/>
          </w:tcPr>
          <w:p>
            <w:pPr>
              <w:spacing w:after="0"/>
              <w:rPr>
                <w:sz w:val="15"/>
                <w:szCs w:val="15"/>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120" w:type="dxa"/>
            <w:vAlign w:val="bottom"/>
          </w:tcPr>
          <w:p>
            <w:pPr>
              <w:spacing w:after="0"/>
              <w:rPr>
                <w:sz w:val="15"/>
                <w:szCs w:val="15"/>
                <w:color w:val="auto"/>
              </w:rPr>
            </w:pP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100" w:type="dxa"/>
            <w:vAlign w:val="bottom"/>
          </w:tcPr>
          <w:p>
            <w:pPr>
              <w:spacing w:after="0"/>
              <w:rPr>
                <w:sz w:val="15"/>
                <w:szCs w:val="15"/>
                <w:color w:val="auto"/>
              </w:rPr>
            </w:pPr>
          </w:p>
        </w:tc>
        <w:tc>
          <w:tcPr>
            <w:tcW w:w="18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w w:val="79"/>
              </w:rPr>
              <w:t>$</w:t>
            </w:r>
          </w:p>
        </w:tc>
        <w:tc>
          <w:tcPr>
            <w:tcW w:w="72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(249)</w:t>
            </w:r>
          </w:p>
        </w:tc>
        <w:tc>
          <w:tcPr>
            <w:tcW w:w="20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w w:val="99"/>
              </w:rPr>
              <w:t>$</w:t>
            </w:r>
          </w:p>
        </w:tc>
        <w:tc>
          <w:tcPr>
            <w:tcW w:w="72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(388)</w:t>
            </w:r>
          </w:p>
        </w:tc>
        <w:tc>
          <w:tcPr>
            <w:tcW w:w="20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w w:val="99"/>
              </w:rPr>
              <w:t>$</w:t>
            </w:r>
          </w:p>
        </w:tc>
        <w:tc>
          <w:tcPr>
            <w:tcW w:w="72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(259)</w:t>
            </w:r>
          </w:p>
        </w:tc>
        <w:tc>
          <w:tcPr>
            <w:tcW w:w="200" w:type="dxa"/>
            <w:vAlign w:val="bottom"/>
            <w:gridSpan w:val="2"/>
            <w:vMerge w:val="restart"/>
          </w:tcPr>
          <w:p>
            <w:pPr>
              <w:jc w:val="right"/>
              <w:ind w:right="28"/>
              <w:spacing w:after="0"/>
              <w:rPr>
                <w:sz w:val="20"/>
                <w:szCs w:val="20"/>
                <w:color w:val="auto"/>
              </w:rPr>
            </w:pPr>
            <w:r>
              <w:rPr>
                <w:rFonts w:ascii="Arial" w:cs="Arial" w:eastAsia="Arial" w:hAnsi="Arial"/>
                <w:sz w:val="18"/>
                <w:szCs w:val="18"/>
                <w:color w:val="auto"/>
                <w:w w:val="79"/>
              </w:rPr>
              <w:t>$</w:t>
            </w:r>
          </w:p>
        </w:tc>
        <w:tc>
          <w:tcPr>
            <w:tcW w:w="780" w:type="dxa"/>
            <w:vAlign w:val="bottom"/>
            <w:gridSpan w:val="2"/>
            <w:vMerge w:val="restart"/>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2120" w:type="dxa"/>
            <w:vAlign w:val="bottom"/>
          </w:tcPr>
          <w:p>
            <w:pPr>
              <w:ind w:left="180"/>
              <w:spacing w:after="0"/>
              <w:rPr>
                <w:sz w:val="20"/>
                <w:szCs w:val="20"/>
                <w:color w:val="auto"/>
              </w:rPr>
            </w:pPr>
            <w:r>
              <w:rPr>
                <w:rFonts w:ascii="Arial" w:cs="Arial" w:eastAsia="Arial" w:hAnsi="Arial"/>
                <w:sz w:val="18"/>
                <w:szCs w:val="18"/>
                <w:color w:val="auto"/>
              </w:rPr>
              <w:t>award review</w:t>
            </w:r>
          </w:p>
        </w:tc>
        <w:tc>
          <w:tcPr>
            <w:tcW w:w="220" w:type="dxa"/>
            <w:vAlign w:val="bottom"/>
            <w:gridSpan w:val="2"/>
            <w:vMerge w:val="continue"/>
          </w:tcPr>
          <w:p>
            <w:pPr>
              <w:spacing w:after="0"/>
              <w:rPr>
                <w:sz w:val="22"/>
                <w:szCs w:val="22"/>
                <w:color w:val="auto"/>
              </w:rPr>
            </w:pPr>
          </w:p>
        </w:tc>
        <w:tc>
          <w:tcPr>
            <w:tcW w:w="680" w:type="dxa"/>
            <w:vAlign w:val="bottom"/>
            <w:vMerge w:val="continue"/>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vMerge w:val="continue"/>
          </w:tcPr>
          <w:p>
            <w:pPr>
              <w:spacing w:after="0"/>
              <w:rPr>
                <w:sz w:val="22"/>
                <w:szCs w:val="22"/>
                <w:color w:val="auto"/>
              </w:rPr>
            </w:pPr>
          </w:p>
        </w:tc>
        <w:tc>
          <w:tcPr>
            <w:tcW w:w="620" w:type="dxa"/>
            <w:vAlign w:val="bottom"/>
            <w:vMerge w:val="continue"/>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vMerge w:val="continue"/>
          </w:tcPr>
          <w:p>
            <w:pPr>
              <w:spacing w:after="0"/>
              <w:rPr>
                <w:sz w:val="22"/>
                <w:szCs w:val="22"/>
                <w:color w:val="auto"/>
              </w:rPr>
            </w:pPr>
          </w:p>
        </w:tc>
        <w:tc>
          <w:tcPr>
            <w:tcW w:w="620" w:type="dxa"/>
            <w:vAlign w:val="bottom"/>
            <w:vMerge w:val="continue"/>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gridSpan w:val="2"/>
            <w:vMerge w:val="continue"/>
          </w:tcPr>
          <w:p>
            <w:pPr>
              <w:spacing w:after="0"/>
              <w:rPr>
                <w:sz w:val="22"/>
                <w:szCs w:val="22"/>
                <w:color w:val="auto"/>
              </w:rPr>
            </w:pPr>
          </w:p>
        </w:tc>
        <w:tc>
          <w:tcPr>
            <w:tcW w:w="720" w:type="dxa"/>
            <w:vAlign w:val="bottom"/>
            <w:gridSpan w:val="2"/>
            <w:vMerge w:val="continue"/>
          </w:tcPr>
          <w:p>
            <w:pPr>
              <w:spacing w:after="0"/>
              <w:rPr>
                <w:sz w:val="22"/>
                <w:szCs w:val="22"/>
                <w:color w:val="auto"/>
              </w:rPr>
            </w:pPr>
          </w:p>
        </w:tc>
        <w:tc>
          <w:tcPr>
            <w:tcW w:w="200" w:type="dxa"/>
            <w:vAlign w:val="bottom"/>
            <w:gridSpan w:val="2"/>
            <w:vMerge w:val="continue"/>
          </w:tcPr>
          <w:p>
            <w:pPr>
              <w:spacing w:after="0"/>
              <w:rPr>
                <w:sz w:val="22"/>
                <w:szCs w:val="22"/>
                <w:color w:val="auto"/>
              </w:rPr>
            </w:pPr>
          </w:p>
        </w:tc>
        <w:tc>
          <w:tcPr>
            <w:tcW w:w="720" w:type="dxa"/>
            <w:vAlign w:val="bottom"/>
            <w:gridSpan w:val="2"/>
            <w:vMerge w:val="continue"/>
          </w:tcPr>
          <w:p>
            <w:pPr>
              <w:spacing w:after="0"/>
              <w:rPr>
                <w:sz w:val="22"/>
                <w:szCs w:val="22"/>
                <w:color w:val="auto"/>
              </w:rPr>
            </w:pPr>
          </w:p>
        </w:tc>
        <w:tc>
          <w:tcPr>
            <w:tcW w:w="200" w:type="dxa"/>
            <w:vAlign w:val="bottom"/>
            <w:gridSpan w:val="2"/>
            <w:vMerge w:val="continue"/>
          </w:tcPr>
          <w:p>
            <w:pPr>
              <w:spacing w:after="0"/>
              <w:rPr>
                <w:sz w:val="22"/>
                <w:szCs w:val="22"/>
                <w:color w:val="auto"/>
              </w:rPr>
            </w:pPr>
          </w:p>
        </w:tc>
        <w:tc>
          <w:tcPr>
            <w:tcW w:w="720" w:type="dxa"/>
            <w:vAlign w:val="bottom"/>
            <w:gridSpan w:val="2"/>
            <w:vMerge w:val="continue"/>
          </w:tcPr>
          <w:p>
            <w:pPr>
              <w:spacing w:after="0"/>
              <w:rPr>
                <w:sz w:val="22"/>
                <w:szCs w:val="22"/>
                <w:color w:val="auto"/>
              </w:rPr>
            </w:pPr>
          </w:p>
        </w:tc>
        <w:tc>
          <w:tcPr>
            <w:tcW w:w="200" w:type="dxa"/>
            <w:vAlign w:val="bottom"/>
            <w:gridSpan w:val="2"/>
            <w:vMerge w:val="continue"/>
          </w:tcPr>
          <w:p>
            <w:pPr>
              <w:spacing w:after="0"/>
              <w:rPr>
                <w:sz w:val="22"/>
                <w:szCs w:val="22"/>
                <w:color w:val="auto"/>
              </w:rPr>
            </w:pPr>
          </w:p>
        </w:tc>
        <w:tc>
          <w:tcPr>
            <w:tcW w:w="78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212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 tax</w:t>
            </w:r>
          </w:p>
        </w:tc>
        <w:tc>
          <w:tcPr>
            <w:tcW w:w="1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auto"/>
            </w:tcBorders>
            <w:shd w:val="clear" w:color="auto" w:fill="CCEEFF"/>
          </w:tcPr>
          <w:p>
            <w:pPr>
              <w:spacing w:after="0"/>
              <w:rPr>
                <w:sz w:val="13"/>
                <w:szCs w:val="13"/>
                <w:color w:val="auto"/>
              </w:rPr>
            </w:pPr>
          </w:p>
        </w:tc>
        <w:tc>
          <w:tcPr>
            <w:tcW w:w="68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6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 for exemption</w:t>
            </w:r>
          </w:p>
        </w:tc>
        <w:tc>
          <w:tcPr>
            <w:tcW w:w="220" w:type="dxa"/>
            <w:vAlign w:val="bottom"/>
            <w:gridSpan w:val="2"/>
            <w:vMerge w:val="restart"/>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100" w:type="dxa"/>
            <w:vAlign w:val="bottom"/>
            <w:shd w:val="clear" w:color="auto" w:fill="CCEEFF"/>
          </w:tcPr>
          <w:p>
            <w:pPr>
              <w:spacing w:after="0"/>
              <w:rPr>
                <w:sz w:val="18"/>
                <w:szCs w:val="18"/>
                <w:color w:val="auto"/>
              </w:rPr>
            </w:pP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20" w:type="dxa"/>
            <w:vAlign w:val="bottom"/>
            <w:shd w:val="clear" w:color="auto" w:fill="CCEEFF"/>
          </w:tcPr>
          <w:p>
            <w:pPr>
              <w:spacing w:after="0"/>
              <w:rPr>
                <w:sz w:val="18"/>
                <w:szCs w:val="18"/>
                <w:color w:val="auto"/>
              </w:rPr>
            </w:pPr>
          </w:p>
        </w:tc>
        <w:tc>
          <w:tcPr>
            <w:tcW w:w="16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benefit (d)</w:t>
            </w:r>
          </w:p>
        </w:tc>
        <w:tc>
          <w:tcPr>
            <w:tcW w:w="220" w:type="dxa"/>
            <w:vAlign w:val="bottom"/>
            <w:gridSpan w:val="2"/>
            <w:vMerge w:val="continue"/>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vMerge w:val="continue"/>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vMerge w:val="continue"/>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vMerge w:val="continue"/>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280" w:right="720" w:hanging="272"/>
        <w:spacing w:after="0" w:line="308" w:lineRule="auto"/>
        <w:tabs>
          <w:tab w:leader="none" w:pos="280" w:val="left"/>
        </w:tabs>
        <w:numPr>
          <w:ilvl w:val="0"/>
          <w:numId w:val="17"/>
        </w:numPr>
        <w:rPr>
          <w:rFonts w:ascii="Arial" w:cs="Arial" w:eastAsia="Arial" w:hAnsi="Arial"/>
          <w:sz w:val="17"/>
          <w:szCs w:val="17"/>
          <w:color w:val="auto"/>
        </w:rPr>
      </w:pPr>
      <w:r>
        <w:rPr>
          <w:rFonts w:ascii="Arial" w:cs="Arial" w:eastAsia="Arial" w:hAnsi="Arial"/>
          <w:sz w:val="17"/>
          <w:szCs w:val="17"/>
          <w:color w:val="auto"/>
        </w:rPr>
        <w:t>$3.0 million of additional employer and employee withholding taxes relating to exercises of affected options, including penalty and interest, and $24.2 million of Section 409A expenses of employees, including penalties and interest was also recorded in fiscal 2007.</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$4.9 million of penalty and interest associated with Section 162(m) liability was also recorded in fiscal 2007.</w:t>
      </w:r>
    </w:p>
    <w:p>
      <w:pPr>
        <w:spacing w:after="0" w:line="225" w:lineRule="exact"/>
        <w:rPr>
          <w:sz w:val="20"/>
          <w:szCs w:val="20"/>
          <w:color w:val="auto"/>
        </w:rPr>
      </w:pPr>
    </w:p>
    <w:p>
      <w:pPr>
        <w:ind w:left="280" w:right="100" w:hanging="272"/>
        <w:spacing w:after="0" w:line="264" w:lineRule="auto"/>
        <w:tabs>
          <w:tab w:leader="none" w:pos="260" w:val="left"/>
        </w:tabs>
        <w:numPr>
          <w:ilvl w:val="0"/>
          <w:numId w:val="18"/>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Payroll Tax - </w:t>
      </w:r>
      <w:r>
        <w:rPr>
          <w:rFonts w:ascii="Arial" w:cs="Arial" w:eastAsia="Arial" w:hAnsi="Arial"/>
          <w:sz w:val="18"/>
          <w:szCs w:val="18"/>
          <w:color w:val="auto"/>
        </w:rPr>
        <w:t>The federal and state revised measurement dates for certain stock options as discussed in this filing may result in adverse tax consequences</w:t>
      </w:r>
      <w:r>
        <w:rPr>
          <w:rFonts w:ascii="Arial" w:cs="Arial" w:eastAsia="Arial" w:hAnsi="Arial"/>
          <w:sz w:val="18"/>
          <w:szCs w:val="18"/>
          <w:i w:val="1"/>
          <w:iCs w:val="1"/>
          <w:color w:val="auto"/>
        </w:rPr>
        <w:t xml:space="preserve"> </w:t>
      </w:r>
      <w:r>
        <w:rPr>
          <w:rFonts w:ascii="Arial" w:cs="Arial" w:eastAsia="Arial" w:hAnsi="Arial"/>
          <w:sz w:val="18"/>
          <w:szCs w:val="18"/>
          <w:color w:val="auto"/>
        </w:rPr>
        <w:t>to holders of those options under IRC Section 409A which was enacted in 2004 to impose certain restrictions on deferred compensation arrangements. The adverse tax consequences are that Section 409A may subject the option holder of the</w:t>
      </w:r>
    </w:p>
    <w:p>
      <w:pPr>
        <w:sectPr>
          <w:pgSz w:w="11900" w:h="16838" w:orient="portrait"/>
          <w:cols w:equalWidth="0" w:num="1">
            <w:col w:w="11400"/>
          </w:cols>
          <w:pgMar w:left="240" w:top="125" w:right="259" w:bottom="0" w:gutter="0" w:footer="0" w:header="0"/>
        </w:sectPr>
      </w:pPr>
    </w:p>
    <w:bookmarkStart w:id="32" w:name="page33"/>
    <w:bookmarkEnd w:id="32"/>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280" w:right="160"/>
        <w:spacing w:after="0" w:line="308" w:lineRule="auto"/>
        <w:rPr>
          <w:sz w:val="20"/>
          <w:szCs w:val="20"/>
          <w:color w:val="auto"/>
        </w:rPr>
      </w:pPr>
      <w:r>
        <w:rPr>
          <w:rFonts w:ascii="Arial" w:cs="Arial" w:eastAsia="Arial" w:hAnsi="Arial"/>
          <w:sz w:val="17"/>
          <w:szCs w:val="17"/>
          <w:color w:val="auto"/>
        </w:rPr>
        <w:t>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pacing w:after="0" w:line="147" w:lineRule="exact"/>
        <w:rPr>
          <w:sz w:val="20"/>
          <w:szCs w:val="20"/>
          <w:color w:val="auto"/>
        </w:rPr>
      </w:pPr>
    </w:p>
    <w:p>
      <w:pPr>
        <w:ind w:left="660" w:right="80" w:hanging="328"/>
        <w:spacing w:after="0" w:line="271" w:lineRule="auto"/>
        <w:tabs>
          <w:tab w:leader="none" w:pos="624" w:val="left"/>
        </w:tabs>
        <w:numPr>
          <w:ilvl w:val="0"/>
          <w:numId w:val="19"/>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issued as incentive stock options. Due to the re-measurement caused by the re-pricing, they have</w:t>
      </w:r>
      <w:r>
        <w:rPr>
          <w:rFonts w:ascii="Arial" w:cs="Arial" w:eastAsia="Arial" w:hAnsi="Arial"/>
          <w:sz w:val="17"/>
          <w:szCs w:val="17"/>
          <w:i w:val="1"/>
          <w:iCs w:val="1"/>
          <w:color w:val="auto"/>
        </w:rPr>
        <w:t xml:space="preserve"> </w:t>
      </w:r>
      <w:r>
        <w:rPr>
          <w:rFonts w:ascii="Arial" w:cs="Arial" w:eastAsia="Arial" w:hAnsi="Arial"/>
          <w:sz w:val="17"/>
          <w:szCs w:val="17"/>
          <w:color w:val="auto"/>
        </w:rPr>
        <w:t>originally become non-statutory stock options. We have accrued employment taxes for the exercise in each of the years due to the conversion of the options from incentive to non-statutory. Included in the restated results are additional employer and employee withholding taxes relating to exercises of affected options through fiscal 2006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20" w:hanging="288"/>
        <w:spacing w:after="0"/>
        <w:tabs>
          <w:tab w:leader="none" w:pos="62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220"/>
        <w:spacing w:after="0" w:line="257" w:lineRule="auto"/>
        <w:rPr>
          <w:sz w:val="20"/>
          <w:szCs w:val="20"/>
          <w:color w:val="auto"/>
        </w:rPr>
      </w:pPr>
      <w:r>
        <w:rPr>
          <w:rFonts w:ascii="Arial" w:cs="Arial" w:eastAsia="Arial" w:hAnsi="Arial"/>
          <w:sz w:val="18"/>
          <w:szCs w:val="18"/>
          <w:color w:val="auto"/>
        </w:rPr>
        <w:t>We have informed employees who exercised options in 2006 that any additional tax costs accruing to such employees from Section 409A, ISO disqualification, and employment taxes will be reimbursed by us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188" w:lineRule="exact"/>
        <w:rPr>
          <w:sz w:val="20"/>
          <w:szCs w:val="20"/>
          <w:color w:val="auto"/>
        </w:rPr>
      </w:pPr>
    </w:p>
    <w:p>
      <w:pPr>
        <w:ind w:left="660" w:right="80"/>
        <w:spacing w:after="0" w:line="273" w:lineRule="auto"/>
        <w:rPr>
          <w:sz w:val="20"/>
          <w:szCs w:val="20"/>
          <w:color w:val="auto"/>
        </w:rPr>
      </w:pPr>
      <w:r>
        <w:rPr>
          <w:rFonts w:ascii="Arial" w:cs="Arial" w:eastAsia="Arial" w:hAnsi="Arial"/>
          <w:sz w:val="17"/>
          <w:szCs w:val="17"/>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 2007. Therefore, we recorded in the last quarter of fiscal 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We have sent timely notices to the IRS and the California Franchise Tax Board that we have elected to participate in these programs.</w:t>
      </w:r>
    </w:p>
    <w:p>
      <w:pPr>
        <w:spacing w:after="0" w:line="178" w:lineRule="exact"/>
        <w:rPr>
          <w:sz w:val="20"/>
          <w:szCs w:val="20"/>
          <w:color w:val="auto"/>
        </w:rPr>
      </w:pPr>
    </w:p>
    <w:p>
      <w:pPr>
        <w:ind w:left="660" w:right="140" w:hanging="328"/>
        <w:spacing w:after="0" w:line="259" w:lineRule="auto"/>
        <w:tabs>
          <w:tab w:leader="none" w:pos="624" w:val="left"/>
        </w:tabs>
        <w:numPr>
          <w:ilvl w:val="1"/>
          <w:numId w:val="20"/>
        </w:numPr>
        <w:rPr>
          <w:rFonts w:ascii="Arial" w:cs="Arial" w:eastAsia="Arial" w:hAnsi="Arial"/>
          <w:sz w:val="18"/>
          <w:szCs w:val="18"/>
          <w:color w:val="auto"/>
        </w:rPr>
      </w:pPr>
      <w:r>
        <w:rPr>
          <w:rFonts w:ascii="Arial" w:cs="Arial" w:eastAsia="Arial" w:hAnsi="Arial"/>
          <w:sz w:val="18"/>
          <w:szCs w:val="18"/>
          <w:i w:val="1"/>
          <w:iCs w:val="1"/>
          <w:color w:val="auto"/>
        </w:rPr>
        <w:t>Unexercised options</w:t>
      </w:r>
      <w:r>
        <w:rPr>
          <w:rFonts w:ascii="Arial" w:cs="Arial" w:eastAsia="Arial" w:hAnsi="Arial"/>
          <w:sz w:val="18"/>
          <w:szCs w:val="18"/>
          <w:color w:val="auto"/>
        </w:rPr>
        <w:t>. The IRS has provided taxpayers with the following two ways of correcting unexercised discounted stock options: 1) setting a</w:t>
      </w:r>
      <w:r>
        <w:rPr>
          <w:rFonts w:ascii="Arial" w:cs="Arial" w:eastAsia="Arial" w:hAnsi="Arial"/>
          <w:sz w:val="18"/>
          <w:szCs w:val="18"/>
          <w:i w:val="1"/>
          <w:iCs w:val="1"/>
          <w:color w:val="auto"/>
        </w:rPr>
        <w:t xml:space="preserve"> </w:t>
      </w:r>
      <w:r>
        <w:rPr>
          <w:rFonts w:ascii="Arial" w:cs="Arial" w:eastAsia="Arial" w:hAnsi="Arial"/>
          <w:sz w:val="18"/>
          <w:szCs w:val="18"/>
          <w:color w:val="auto"/>
        </w:rPr>
        <w:t>fixed exercise date; or 2) increasing the exercise price of the option up to the fair market price on the date of grant. We are actively evaluating these options. The discount associated with unexercised stock options outstanding as of January 27, 2007 amounted to $51.7 million. We have not determined the tax consequences associated with these potential future remedies.</w:t>
      </w:r>
    </w:p>
    <w:p>
      <w:pPr>
        <w:spacing w:after="0" w:line="186" w:lineRule="exact"/>
        <w:rPr>
          <w:rFonts w:ascii="Arial" w:cs="Arial" w:eastAsia="Arial" w:hAnsi="Arial"/>
          <w:sz w:val="18"/>
          <w:szCs w:val="18"/>
          <w:color w:val="auto"/>
        </w:rPr>
      </w:pPr>
    </w:p>
    <w:p>
      <w:pPr>
        <w:ind w:left="340" w:right="180" w:hanging="332"/>
        <w:spacing w:after="0" w:line="276" w:lineRule="auto"/>
        <w:tabs>
          <w:tab w:leader="none" w:pos="320" w:val="left"/>
        </w:tabs>
        <w:numPr>
          <w:ilvl w:val="0"/>
          <w:numId w:val="20"/>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Deferred Tax Asset for Stock Based Compensation: </w:t>
      </w:r>
      <w:r>
        <w:rPr>
          <w:rFonts w:ascii="Arial" w:cs="Arial" w:eastAsia="Arial" w:hAnsi="Arial"/>
          <w:sz w:val="17"/>
          <w:szCs w:val="17"/>
          <w:color w:val="auto"/>
        </w:rPr>
        <w:t>We recorded adjustments for the creation of additional deferred tax asset for stock based</w:t>
      </w:r>
      <w:r>
        <w:rPr>
          <w:rFonts w:ascii="Arial" w:cs="Arial" w:eastAsia="Arial" w:hAnsi="Arial"/>
          <w:sz w:val="17"/>
          <w:szCs w:val="17"/>
          <w:i w:val="1"/>
          <w:iCs w:val="1"/>
          <w:color w:val="auto"/>
        </w:rPr>
        <w:t xml:space="preserve"> </w:t>
      </w:r>
      <w:r>
        <w:rPr>
          <w:rFonts w:ascii="Arial" w:cs="Arial" w:eastAsia="Arial" w:hAnsi="Arial"/>
          <w:sz w:val="17"/>
          <w:szCs w:val="17"/>
          <w:color w:val="auto"/>
        </w:rPr>
        <w:t>compensation that is deductible at later periods for U.S. income tax purposes on our balance sheets for year end dates of each of fiscal 2002 through fiscal 2006. As a result, additional benefits for income tax arising from stock based compensation was recognized in fiscal 2006 of $1.8 million, fiscal 2005 of $1.1 million, fiscal 2004 of $1.2 million, fiscal 2003 of $0.4 million and fiscal 2002 of $0.3 million. The total gross stock-based compensation cost that results in a deferred tax benefit is $12.0 million of the total expense of $327.4 million.</w:t>
      </w:r>
    </w:p>
    <w:p>
      <w:pPr>
        <w:spacing w:after="0" w:line="172" w:lineRule="exact"/>
        <w:rPr>
          <w:rFonts w:ascii="Arial" w:cs="Arial" w:eastAsia="Arial" w:hAnsi="Arial"/>
          <w:sz w:val="17"/>
          <w:szCs w:val="17"/>
          <w:i w:val="1"/>
          <w:iCs w:val="1"/>
          <w:color w:val="auto"/>
        </w:rPr>
      </w:pPr>
    </w:p>
    <w:p>
      <w:pPr>
        <w:ind w:left="340" w:right="80"/>
        <w:spacing w:after="0" w:line="302" w:lineRule="auto"/>
        <w:rPr>
          <w:rFonts w:ascii="Arial" w:cs="Arial" w:eastAsia="Arial" w:hAnsi="Arial"/>
          <w:sz w:val="17"/>
          <w:szCs w:val="17"/>
          <w:i w:val="1"/>
          <w:iCs w:val="1"/>
          <w:color w:val="auto"/>
        </w:rPr>
      </w:pPr>
      <w:r>
        <w:rPr>
          <w:rFonts w:ascii="Arial" w:cs="Arial" w:eastAsia="Arial" w:hAnsi="Arial"/>
          <w:sz w:val="16"/>
          <w:szCs w:val="16"/>
          <w:color w:val="auto"/>
        </w:rPr>
        <w:t>In addition, we evaluated the impact of the restatement on our global tax provision. Our parent company and its subsidiaries file tax returns in multiple tax jurisdictions around the world. In the U.S. jurisdiction one of our subsidiaries claims a tax deduction relative to stock options with regard to the U.S. distributor business. In accordance with FAS 123R for this jurisdiction where the deduction is claimed during fiscal 2007, we have recorded a deferred tax asset totaling $3.5 million at January 27, 2007, to reflect future tax deductions to the extent we believe such asset is recoverable.</w:t>
      </w:r>
    </w:p>
    <w:p>
      <w:pPr>
        <w:spacing w:after="0" w:line="154" w:lineRule="exact"/>
        <w:rPr>
          <w:rFonts w:ascii="Arial" w:cs="Arial" w:eastAsia="Arial" w:hAnsi="Arial"/>
          <w:sz w:val="17"/>
          <w:szCs w:val="17"/>
          <w:i w:val="1"/>
          <w:iCs w:val="1"/>
          <w:color w:val="auto"/>
        </w:rPr>
      </w:pPr>
    </w:p>
    <w:p>
      <w:pPr>
        <w:ind w:left="340" w:right="20" w:hanging="332"/>
        <w:spacing w:after="0" w:line="293" w:lineRule="auto"/>
        <w:tabs>
          <w:tab w:leader="none" w:pos="324" w:val="left"/>
        </w:tabs>
        <w:numPr>
          <w:ilvl w:val="0"/>
          <w:numId w:val="20"/>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Income Tax - Section 162(m) and utilization of deferred tax assets: </w:t>
      </w:r>
      <w:r>
        <w:rPr>
          <w:rFonts w:ascii="Arial" w:cs="Arial" w:eastAsia="Arial" w:hAnsi="Arial"/>
          <w:sz w:val="16"/>
          <w:szCs w:val="16"/>
          <w:color w:val="auto"/>
        </w:rPr>
        <w:t>We have accrued for the current and deferred tax impact of $104.5 million of non-deductible officer compensation related to Internal Revenue Section 162(m) (“Section 162(m)”) in fiscal 2006. Section 162(m) limits the deductibility of compensation in excess of one million dollars, but exempts stock option compensation where the option was issued at fair market value on the date of grant. We have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We have accrued the penalty and interest totaling $4.9 million associated with this liability in fiscal 2007.</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120" w:hanging="332"/>
        <w:spacing w:after="0" w:line="277" w:lineRule="auto"/>
        <w:tabs>
          <w:tab w:leader="none" w:pos="320" w:val="left"/>
        </w:tabs>
        <w:numPr>
          <w:ilvl w:val="0"/>
          <w:numId w:val="21"/>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We recorded adjustments to correct an overstatement of deferred tax asset related to the Singapore entity. The original deferred tax asset had not</w:t>
      </w:r>
      <w:r>
        <w:rPr>
          <w:rFonts w:ascii="Arial" w:cs="Arial" w:eastAsia="Arial" w:hAnsi="Arial"/>
          <w:sz w:val="18"/>
          <w:szCs w:val="18"/>
          <w:i w:val="1"/>
          <w:iCs w:val="1"/>
          <w:color w:val="auto"/>
        </w:rPr>
        <w:t xml:space="preserve"> </w:t>
      </w:r>
      <w:r>
        <w:rPr>
          <w:rFonts w:ascii="Arial" w:cs="Arial" w:eastAsia="Arial" w:hAnsi="Arial"/>
          <w:sz w:val="18"/>
          <w:szCs w:val="18"/>
          <w:color w:val="auto"/>
        </w:rPr>
        <w:t>reflected the benefit of the Pioneer status of this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8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Our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5"/>
              </w:rPr>
              <w:t>Cummulative</w:t>
            </w:r>
          </w:p>
        </w:tc>
        <w:tc>
          <w:tcPr>
            <w:tcW w:w="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86"/>
              </w:rPr>
              <w:t>Section</w:t>
            </w:r>
          </w:p>
        </w:tc>
        <w:tc>
          <w:tcPr>
            <w:tcW w:w="120" w:type="dxa"/>
            <w:vAlign w:val="bottom"/>
          </w:tcPr>
          <w:p>
            <w:pPr>
              <w:spacing w:after="0"/>
              <w:rPr>
                <w:sz w:val="11"/>
                <w:szCs w:val="11"/>
                <w:color w:val="auto"/>
              </w:rPr>
            </w:pPr>
          </w:p>
        </w:tc>
        <w:tc>
          <w:tcPr>
            <w:tcW w:w="100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effect of</w:t>
            </w:r>
          </w:p>
        </w:tc>
        <w:tc>
          <w:tcPr>
            <w:tcW w:w="1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60" w:type="dxa"/>
            <w:vAlign w:val="bottom"/>
            <w:gridSpan w:val="3"/>
            <w:vMerge w:val="restart"/>
          </w:tcPr>
          <w:p>
            <w:pPr>
              <w:jc w:val="center"/>
              <w:ind w:right="400"/>
              <w:spacing w:after="0"/>
              <w:rPr>
                <w:sz w:val="20"/>
                <w:szCs w:val="20"/>
                <w:color w:val="auto"/>
              </w:rPr>
            </w:pPr>
            <w:r>
              <w:rPr>
                <w:rFonts w:ascii="Arial" w:cs="Arial" w:eastAsia="Arial" w:hAnsi="Arial"/>
                <w:sz w:val="14"/>
                <w:szCs w:val="14"/>
                <w:b w:val="1"/>
                <w:bCs w:val="1"/>
                <w:color w:val="auto"/>
                <w:w w:val="95"/>
              </w:rPr>
              <w:t>Estimated</w:t>
            </w:r>
          </w:p>
        </w:tc>
        <w:tc>
          <w:tcPr>
            <w:tcW w:w="1120" w:type="dxa"/>
            <w:vAlign w:val="bottom"/>
            <w:gridSpan w:val="3"/>
            <w:vMerge w:val="restart"/>
          </w:tcPr>
          <w:p>
            <w:pPr>
              <w:jc w:val="center"/>
              <w:ind w:right="420"/>
              <w:spacing w:after="0"/>
              <w:rPr>
                <w:sz w:val="20"/>
                <w:szCs w:val="20"/>
                <w:color w:val="auto"/>
              </w:rPr>
            </w:pPr>
            <w:r>
              <w:rPr>
                <w:rFonts w:ascii="Arial" w:cs="Arial" w:eastAsia="Arial" w:hAnsi="Arial"/>
                <w:sz w:val="14"/>
                <w:szCs w:val="14"/>
                <w:b w:val="1"/>
                <w:bCs w:val="1"/>
                <w:color w:val="auto"/>
                <w:w w:val="96"/>
              </w:rPr>
              <w:t>Additional</w:t>
            </w:r>
          </w:p>
        </w:tc>
        <w:tc>
          <w:tcPr>
            <w:tcW w:w="1120" w:type="dxa"/>
            <w:vAlign w:val="bottom"/>
            <w:gridSpan w:val="3"/>
            <w:vMerge w:val="restart"/>
          </w:tcPr>
          <w:p>
            <w:pPr>
              <w:jc w:val="center"/>
              <w:ind w:right="380"/>
              <w:spacing w:after="0"/>
              <w:rPr>
                <w:sz w:val="20"/>
                <w:szCs w:val="20"/>
                <w:color w:val="auto"/>
              </w:rPr>
            </w:pPr>
            <w:r>
              <w:rPr>
                <w:rFonts w:ascii="Arial" w:cs="Arial" w:eastAsia="Arial" w:hAnsi="Arial"/>
                <w:sz w:val="14"/>
                <w:szCs w:val="14"/>
                <w:b w:val="1"/>
                <w:bCs w:val="1"/>
                <w:color w:val="auto"/>
                <w:w w:val="96"/>
              </w:rPr>
              <w:t>Additional</w:t>
            </w:r>
          </w:p>
        </w:tc>
        <w:tc>
          <w:tcPr>
            <w:tcW w:w="102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88"/>
              </w:rPr>
              <w:t>change in</w:t>
            </w:r>
          </w:p>
        </w:tc>
        <w:tc>
          <w:tcPr>
            <w:tcW w:w="1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vMerge w:val="restart"/>
          </w:tcPr>
          <w:p>
            <w:pPr>
              <w:jc w:val="center"/>
              <w:ind w:right="39"/>
              <w:spacing w:after="0"/>
              <w:rPr>
                <w:sz w:val="20"/>
                <w:szCs w:val="20"/>
                <w:color w:val="auto"/>
              </w:rPr>
            </w:pPr>
            <w:r>
              <w:rPr>
                <w:rFonts w:ascii="Arial" w:cs="Arial" w:eastAsia="Arial" w:hAnsi="Arial"/>
                <w:sz w:val="14"/>
                <w:szCs w:val="14"/>
                <w:b w:val="1"/>
                <w:bCs w:val="1"/>
                <w:color w:val="auto"/>
                <w:w w:val="91"/>
              </w:rPr>
              <w:t>Stock-based</w:t>
            </w: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60" w:type="dxa"/>
            <w:vAlign w:val="bottom"/>
            <w:gridSpan w:val="3"/>
            <w:vMerge w:val="continue"/>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1120" w:type="dxa"/>
            <w:vAlign w:val="bottom"/>
            <w:gridSpan w:val="3"/>
            <w:vMerge w:val="continue"/>
          </w:tcPr>
          <w:p>
            <w:pPr>
              <w:spacing w:after="0"/>
              <w:rPr>
                <w:sz w:val="11"/>
                <w:szCs w:val="11"/>
                <w:color w:val="auto"/>
              </w:rPr>
            </w:pPr>
          </w:p>
        </w:tc>
        <w:tc>
          <w:tcPr>
            <w:tcW w:w="102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4"/>
              </w:rPr>
              <w:t>162(m) and</w:t>
            </w:r>
          </w:p>
        </w:tc>
        <w:tc>
          <w:tcPr>
            <w:tcW w:w="120" w:type="dxa"/>
            <w:vAlign w:val="bottom"/>
          </w:tcPr>
          <w:p>
            <w:pPr>
              <w:spacing w:after="0"/>
              <w:rPr>
                <w:sz w:val="11"/>
                <w:szCs w:val="11"/>
                <w:color w:val="auto"/>
              </w:rPr>
            </w:pPr>
          </w:p>
        </w:tc>
        <w:tc>
          <w:tcPr>
            <w:tcW w:w="10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0"/>
              </w:rPr>
              <w:t>accounting</w:t>
            </w:r>
          </w:p>
        </w:tc>
        <w:tc>
          <w:tcPr>
            <w:tcW w:w="140" w:type="dxa"/>
            <w:vAlign w:val="bottom"/>
          </w:tcPr>
          <w:p>
            <w:pPr>
              <w:spacing w:after="0"/>
              <w:rPr>
                <w:sz w:val="11"/>
                <w:szCs w:val="11"/>
                <w:color w:val="auto"/>
              </w:rPr>
            </w:pPr>
          </w:p>
        </w:tc>
        <w:tc>
          <w:tcPr>
            <w:tcW w:w="2040" w:type="dxa"/>
            <w:vAlign w:val="bottom"/>
            <w:gridSpan w:val="2"/>
            <w:vMerge w:val="restart"/>
          </w:tcPr>
          <w:p>
            <w:pPr>
              <w:jc w:val="center"/>
              <w:ind w:right="138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60" w:type="dxa"/>
            <w:vAlign w:val="bottom"/>
            <w:gridSpan w:val="3"/>
          </w:tcPr>
          <w:p>
            <w:pPr>
              <w:jc w:val="center"/>
              <w:ind w:right="420"/>
              <w:spacing w:after="0" w:line="135" w:lineRule="exact"/>
              <w:rPr>
                <w:sz w:val="20"/>
                <w:szCs w:val="20"/>
                <w:color w:val="auto"/>
              </w:rPr>
            </w:pPr>
            <w:r>
              <w:rPr>
                <w:rFonts w:ascii="Arial" w:cs="Arial" w:eastAsia="Arial" w:hAnsi="Arial"/>
                <w:sz w:val="14"/>
                <w:szCs w:val="14"/>
                <w:b w:val="1"/>
                <w:bCs w:val="1"/>
                <w:color w:val="auto"/>
                <w:w w:val="93"/>
              </w:rPr>
              <w:t>additional</w:t>
            </w:r>
          </w:p>
        </w:tc>
        <w:tc>
          <w:tcPr>
            <w:tcW w:w="1120" w:type="dxa"/>
            <w:vAlign w:val="bottom"/>
            <w:gridSpan w:val="3"/>
          </w:tcPr>
          <w:p>
            <w:pPr>
              <w:jc w:val="center"/>
              <w:ind w:right="400"/>
              <w:spacing w:after="0" w:line="135" w:lineRule="exact"/>
              <w:rPr>
                <w:sz w:val="20"/>
                <w:szCs w:val="20"/>
                <w:color w:val="auto"/>
              </w:rPr>
            </w:pPr>
            <w:r>
              <w:rPr>
                <w:rFonts w:ascii="Arial" w:cs="Arial" w:eastAsia="Arial" w:hAnsi="Arial"/>
                <w:sz w:val="14"/>
                <w:szCs w:val="14"/>
                <w:b w:val="1"/>
                <w:bCs w:val="1"/>
                <w:color w:val="auto"/>
                <w:w w:val="92"/>
              </w:rPr>
              <w:t>deferred</w:t>
            </w:r>
          </w:p>
        </w:tc>
        <w:tc>
          <w:tcPr>
            <w:tcW w:w="1120" w:type="dxa"/>
            <w:vAlign w:val="bottom"/>
            <w:gridSpan w:val="3"/>
          </w:tcPr>
          <w:p>
            <w:pPr>
              <w:jc w:val="center"/>
              <w:ind w:right="400"/>
              <w:spacing w:after="0" w:line="135" w:lineRule="exact"/>
              <w:rPr>
                <w:sz w:val="20"/>
                <w:szCs w:val="20"/>
                <w:color w:val="auto"/>
              </w:rPr>
            </w:pPr>
            <w:r>
              <w:rPr>
                <w:rFonts w:ascii="Arial" w:cs="Arial" w:eastAsia="Arial" w:hAnsi="Arial"/>
                <w:sz w:val="14"/>
                <w:szCs w:val="14"/>
                <w:b w:val="1"/>
                <w:bCs w:val="1"/>
                <w:color w:val="auto"/>
                <w:w w:val="92"/>
              </w:rPr>
              <w:t>deferred</w:t>
            </w:r>
          </w:p>
        </w:tc>
        <w:tc>
          <w:tcPr>
            <w:tcW w:w="10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4"/>
              </w:rPr>
              <w:t>utilization</w:t>
            </w: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principle,</w:t>
            </w:r>
          </w:p>
        </w:tc>
        <w:tc>
          <w:tcPr>
            <w:tcW w:w="140" w:type="dxa"/>
            <w:vAlign w:val="bottom"/>
          </w:tcPr>
          <w:p>
            <w:pPr>
              <w:spacing w:after="0"/>
              <w:rPr>
                <w:sz w:val="11"/>
                <w:szCs w:val="11"/>
                <w:color w:val="auto"/>
              </w:rPr>
            </w:pPr>
          </w:p>
        </w:tc>
        <w:tc>
          <w:tcPr>
            <w:tcW w:w="20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02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88"/>
              </w:rPr>
              <w:t>compensation</w:t>
            </w: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60" w:type="dxa"/>
            <w:vAlign w:val="bottom"/>
            <w:gridSpan w:val="3"/>
          </w:tcPr>
          <w:p>
            <w:pPr>
              <w:jc w:val="center"/>
              <w:ind w:right="420"/>
              <w:spacing w:after="0" w:line="135" w:lineRule="exact"/>
              <w:rPr>
                <w:sz w:val="20"/>
                <w:szCs w:val="20"/>
                <w:color w:val="auto"/>
              </w:rPr>
            </w:pPr>
            <w:r>
              <w:rPr>
                <w:rFonts w:ascii="Arial" w:cs="Arial" w:eastAsia="Arial" w:hAnsi="Arial"/>
                <w:sz w:val="14"/>
                <w:szCs w:val="14"/>
                <w:b w:val="1"/>
                <w:bCs w:val="1"/>
                <w:color w:val="auto"/>
                <w:w w:val="94"/>
              </w:rPr>
              <w:t>payroll tax</w:t>
            </w:r>
          </w:p>
        </w:tc>
        <w:tc>
          <w:tcPr>
            <w:tcW w:w="1120" w:type="dxa"/>
            <w:vAlign w:val="bottom"/>
            <w:gridSpan w:val="3"/>
          </w:tcPr>
          <w:p>
            <w:pPr>
              <w:jc w:val="center"/>
              <w:ind w:right="400"/>
              <w:spacing w:after="0" w:line="135" w:lineRule="exact"/>
              <w:rPr>
                <w:sz w:val="20"/>
                <w:szCs w:val="20"/>
                <w:color w:val="auto"/>
              </w:rPr>
            </w:pPr>
            <w:r>
              <w:rPr>
                <w:rFonts w:ascii="Arial" w:cs="Arial" w:eastAsia="Arial" w:hAnsi="Arial"/>
                <w:sz w:val="14"/>
                <w:szCs w:val="14"/>
                <w:b w:val="1"/>
                <w:bCs w:val="1"/>
                <w:color w:val="auto"/>
                <w:w w:val="92"/>
              </w:rPr>
              <w:t>income tax</w:t>
            </w:r>
          </w:p>
        </w:tc>
        <w:tc>
          <w:tcPr>
            <w:tcW w:w="1120" w:type="dxa"/>
            <w:vAlign w:val="bottom"/>
            <w:gridSpan w:val="3"/>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income tax</w:t>
            </w:r>
          </w:p>
        </w:tc>
        <w:tc>
          <w:tcPr>
            <w:tcW w:w="10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2"/>
              </w:rPr>
              <w:t>of deferred</w:t>
            </w:r>
          </w:p>
        </w:tc>
        <w:tc>
          <w:tcPr>
            <w:tcW w:w="12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net of tax</w:t>
            </w:r>
          </w:p>
        </w:tc>
        <w:tc>
          <w:tcPr>
            <w:tcW w:w="2180" w:type="dxa"/>
            <w:vAlign w:val="bottom"/>
            <w:gridSpan w:val="3"/>
          </w:tcPr>
          <w:p>
            <w:pPr>
              <w:jc w:val="center"/>
              <w:ind w:right="1200"/>
              <w:spacing w:after="0" w:line="135" w:lineRule="exact"/>
              <w:rPr>
                <w:sz w:val="20"/>
                <w:szCs w:val="20"/>
                <w:color w:val="auto"/>
              </w:rPr>
            </w:pPr>
            <w:r>
              <w:rPr>
                <w:rFonts w:ascii="Arial" w:cs="Arial" w:eastAsia="Arial" w:hAnsi="Arial"/>
                <w:sz w:val="14"/>
                <w:szCs w:val="14"/>
                <w:b w:val="1"/>
                <w:bCs w:val="1"/>
                <w:color w:val="auto"/>
                <w:w w:val="92"/>
              </w:rPr>
              <w:t>Adjustments,</w:t>
            </w:r>
          </w:p>
        </w:tc>
        <w:tc>
          <w:tcPr>
            <w:tcW w:w="0" w:type="dxa"/>
            <w:vAlign w:val="bottom"/>
          </w:tcPr>
          <w:p>
            <w:pPr>
              <w:spacing w:after="0"/>
              <w:rPr>
                <w:sz w:val="1"/>
                <w:szCs w:val="1"/>
                <w:color w:val="auto"/>
              </w:rPr>
            </w:pPr>
          </w:p>
        </w:tc>
      </w:tr>
      <w:tr>
        <w:trPr>
          <w:trHeight w:val="162"/>
        </w:trPr>
        <w:tc>
          <w:tcPr>
            <w:tcW w:w="2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jc w:val="center"/>
              <w:ind w:right="39"/>
              <w:spacing w:after="0"/>
              <w:rPr>
                <w:sz w:val="20"/>
                <w:szCs w:val="20"/>
                <w:color w:val="auto"/>
              </w:rPr>
            </w:pPr>
            <w:r>
              <w:rPr>
                <w:rFonts w:ascii="Arial" w:cs="Arial" w:eastAsia="Arial" w:hAnsi="Arial"/>
                <w:sz w:val="14"/>
                <w:szCs w:val="14"/>
                <w:b w:val="1"/>
                <w:bCs w:val="1"/>
                <w:color w:val="auto"/>
                <w:w w:val="85"/>
              </w:rPr>
              <w:t>expense</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5"/>
              </w:rPr>
              <w:t>expense</w:t>
            </w:r>
          </w:p>
        </w:tc>
        <w:tc>
          <w:tcPr>
            <w:tcW w:w="112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91"/>
              </w:rPr>
              <w:t>benefit</w:t>
            </w:r>
          </w:p>
        </w:tc>
        <w:tc>
          <w:tcPr>
            <w:tcW w:w="112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88"/>
              </w:rPr>
              <w:t>provision</w:t>
            </w: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tax assets</w:t>
            </w:r>
          </w:p>
        </w:tc>
        <w:tc>
          <w:tcPr>
            <w:tcW w:w="120" w:type="dxa"/>
            <w:vAlign w:val="bottom"/>
          </w:tcPr>
          <w:p>
            <w:pPr>
              <w:spacing w:after="0"/>
              <w:rPr>
                <w:sz w:val="14"/>
                <w:szCs w:val="14"/>
                <w:color w:val="auto"/>
              </w:rPr>
            </w:pP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effect</w:t>
            </w:r>
          </w:p>
        </w:tc>
        <w:tc>
          <w:tcPr>
            <w:tcW w:w="140" w:type="dxa"/>
            <w:vAlign w:val="bottom"/>
          </w:tcPr>
          <w:p>
            <w:pPr>
              <w:spacing w:after="0"/>
              <w:rPr>
                <w:sz w:val="14"/>
                <w:szCs w:val="14"/>
                <w:color w:val="auto"/>
              </w:rPr>
            </w:pPr>
          </w:p>
        </w:tc>
        <w:tc>
          <w:tcPr>
            <w:tcW w:w="2040" w:type="dxa"/>
            <w:vAlign w:val="bottom"/>
            <w:gridSpan w:val="2"/>
          </w:tcPr>
          <w:p>
            <w:pPr>
              <w:jc w:val="center"/>
              <w:ind w:right="1340"/>
              <w:spacing w:after="0"/>
              <w:rPr>
                <w:sz w:val="20"/>
                <w:szCs w:val="20"/>
                <w:color w:val="auto"/>
              </w:rPr>
            </w:pPr>
            <w:r>
              <w:rPr>
                <w:rFonts w:ascii="Arial" w:cs="Arial" w:eastAsia="Arial" w:hAnsi="Arial"/>
                <w:sz w:val="14"/>
                <w:szCs w:val="14"/>
                <w:b w:val="1"/>
                <w:bCs w:val="1"/>
                <w:color w:val="auto"/>
                <w:w w:val="93"/>
              </w:rPr>
              <w:t>net of tax</w:t>
            </w:r>
          </w:p>
        </w:tc>
        <w:tc>
          <w:tcPr>
            <w:tcW w:w="0" w:type="dxa"/>
            <w:vAlign w:val="bottom"/>
          </w:tcPr>
          <w:p>
            <w:pPr>
              <w:spacing w:after="0"/>
              <w:rPr>
                <w:sz w:val="1"/>
                <w:szCs w:val="1"/>
                <w:color w:val="auto"/>
              </w:rPr>
            </w:pPr>
          </w:p>
        </w:tc>
      </w:tr>
      <w:tr>
        <w:trPr>
          <w:trHeight w:val="182"/>
        </w:trPr>
        <w:tc>
          <w:tcPr>
            <w:tcW w:w="24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Fiscal 2000</w:t>
            </w:r>
          </w:p>
        </w:tc>
        <w:tc>
          <w:tcPr>
            <w:tcW w:w="100" w:type="dxa"/>
            <w:vAlign w:val="bottom"/>
            <w:tcBorders>
              <w:top w:val="single" w:sz="8" w:color="auto"/>
            </w:tcBorders>
            <w:shd w:val="clear" w:color="auto" w:fill="CCEEFF"/>
          </w:tcPr>
          <w:p>
            <w:pPr>
              <w:spacing w:after="0"/>
              <w:rPr>
                <w:sz w:val="15"/>
                <w:szCs w:val="15"/>
                <w:color w:val="auto"/>
              </w:rPr>
            </w:pPr>
          </w:p>
        </w:tc>
        <w:tc>
          <w:tcPr>
            <w:tcW w:w="92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118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prior *</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ind w:left="700"/>
              <w:spacing w:after="0"/>
              <w:rPr>
                <w:sz w:val="20"/>
                <w:szCs w:val="20"/>
                <w:color w:val="auto"/>
              </w:rPr>
            </w:pPr>
            <w:r>
              <w:rPr>
                <w:rFonts w:ascii="Arial" w:cs="Arial" w:eastAsia="Arial" w:hAnsi="Arial"/>
                <w:sz w:val="18"/>
                <w:szCs w:val="18"/>
                <w:color w:val="auto"/>
              </w:rPr>
              <w:t>—  $</w:t>
            </w:r>
          </w:p>
        </w:tc>
        <w:tc>
          <w:tcPr>
            <w:tcW w:w="1120" w:type="dxa"/>
            <w:vAlign w:val="bottom"/>
            <w:gridSpan w:val="3"/>
            <w:shd w:val="clear" w:color="auto" w:fill="CCEEFF"/>
          </w:tcPr>
          <w:p>
            <w:pPr>
              <w:ind w:left="700"/>
              <w:spacing w:after="0"/>
              <w:rPr>
                <w:sz w:val="20"/>
                <w:szCs w:val="20"/>
                <w:color w:val="auto"/>
              </w:rPr>
            </w:pPr>
            <w:r>
              <w:rPr>
                <w:rFonts w:ascii="Arial" w:cs="Arial" w:eastAsia="Arial" w:hAnsi="Arial"/>
                <w:sz w:val="18"/>
                <w:szCs w:val="18"/>
                <w:color w:val="auto"/>
              </w:rPr>
              <w:t>—  $</w:t>
            </w:r>
          </w:p>
        </w:tc>
        <w:tc>
          <w:tcPr>
            <w:tcW w:w="1120" w:type="dxa"/>
            <w:vAlign w:val="bottom"/>
            <w:gridSpan w:val="3"/>
            <w:shd w:val="clear" w:color="auto" w:fill="CCEEFF"/>
          </w:tcPr>
          <w:p>
            <w:pPr>
              <w:ind w:left="700"/>
              <w:spacing w:after="0"/>
              <w:rPr>
                <w:sz w:val="20"/>
                <w:szCs w:val="20"/>
                <w:color w:val="auto"/>
              </w:rPr>
            </w:pPr>
            <w:r>
              <w:rPr>
                <w:rFonts w:ascii="Arial" w:cs="Arial" w:eastAsia="Arial" w:hAnsi="Arial"/>
                <w:sz w:val="18"/>
                <w:szCs w:val="18"/>
                <w:color w:val="auto"/>
              </w:rPr>
              <w:t>—  $</w:t>
            </w:r>
          </w:p>
        </w:tc>
        <w:tc>
          <w:tcPr>
            <w:tcW w:w="10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11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r>
              <w:rPr>
                <w:rFonts w:ascii="Arial" w:cs="Arial" w:eastAsia="Arial" w:hAnsi="Arial"/>
                <w:sz w:val="18"/>
                <w:szCs w:val="18"/>
                <w:color w:val="auto"/>
              </w:rPr>
              <w:t>Fiscal 2001</w:t>
            </w: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18,707</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60" w:type="dxa"/>
            <w:vAlign w:val="bottom"/>
            <w:gridSpan w:val="3"/>
          </w:tcPr>
          <w:p>
            <w:pPr>
              <w:ind w:left="7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ind w:left="700"/>
              <w:spacing w:after="0"/>
              <w:rPr>
                <w:sz w:val="20"/>
                <w:szCs w:val="20"/>
                <w:color w:val="auto"/>
              </w:rPr>
            </w:pPr>
            <w:r>
              <w:rPr>
                <w:rFonts w:ascii="Arial" w:cs="Arial" w:eastAsia="Arial" w:hAnsi="Arial"/>
                <w:sz w:val="18"/>
                <w:szCs w:val="18"/>
                <w:color w:val="auto"/>
              </w:rPr>
              <w:t>—</w:t>
            </w:r>
          </w:p>
        </w:tc>
        <w:tc>
          <w:tcPr>
            <w:tcW w:w="1120" w:type="dxa"/>
            <w:vAlign w:val="bottom"/>
            <w:gridSpan w:val="3"/>
          </w:tcPr>
          <w:p>
            <w:pPr>
              <w:ind w:left="700"/>
              <w:spacing w:after="0"/>
              <w:rPr>
                <w:sz w:val="20"/>
                <w:szCs w:val="20"/>
                <w:color w:val="auto"/>
              </w:rPr>
            </w:pPr>
            <w:r>
              <w:rPr>
                <w:rFonts w:ascii="Arial" w:cs="Arial" w:eastAsia="Arial" w:hAnsi="Arial"/>
                <w:sz w:val="18"/>
                <w:szCs w:val="18"/>
                <w:color w:val="auto"/>
              </w:rPr>
              <w:t>—</w:t>
            </w:r>
          </w:p>
        </w:tc>
        <w:tc>
          <w:tcPr>
            <w:tcW w:w="102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0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18,707</w:t>
            </w:r>
          </w:p>
        </w:tc>
        <w:tc>
          <w:tcPr>
            <w:tcW w:w="1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33" w:name="page34"/>
    <w:bookmarkEnd w:id="3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Fiscal 2002</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(259)</w:t>
            </w: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33,059</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Fiscal 2003</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35,540</w:t>
            </w: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17</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(405)</w:t>
            </w:r>
          </w:p>
        </w:tc>
        <w:tc>
          <w:tcPr>
            <w:tcW w:w="3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35,152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Fiscal 2004</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(1,170)</w:t>
            </w: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63,766</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1260" w:type="dxa"/>
            <w:vAlign w:val="bottom"/>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40" w:type="dxa"/>
            <w:vAlign w:val="bottom"/>
            <w:tcBorders>
              <w:top w:val="single" w:sz="8" w:color="auto"/>
            </w:tcBorders>
          </w:tcPr>
          <w:p>
            <w:pPr>
              <w:spacing w:after="0"/>
              <w:rPr>
                <w:sz w:val="15"/>
                <w:szCs w:val="15"/>
                <w:color w:val="auto"/>
              </w:rPr>
            </w:pPr>
          </w:p>
        </w:tc>
        <w:tc>
          <w:tcPr>
            <w:tcW w:w="6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340" w:type="dxa"/>
            <w:vAlign w:val="bottom"/>
            <w:tcBorders>
              <w:top w:val="single" w:sz="8" w:color="auto"/>
            </w:tcBorders>
          </w:tcPr>
          <w:p>
            <w:pPr>
              <w:spacing w:after="0"/>
              <w:rPr>
                <w:sz w:val="15"/>
                <w:szCs w:val="15"/>
                <w:color w:val="auto"/>
              </w:rPr>
            </w:pPr>
          </w:p>
        </w:tc>
        <w:tc>
          <w:tcPr>
            <w:tcW w:w="66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January 31,</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2004</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152,835</w:t>
            </w: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938</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(1,834)</w:t>
            </w:r>
          </w:p>
        </w:tc>
        <w:tc>
          <w:tcPr>
            <w:tcW w:w="3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151,939</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26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1320" w:type="dxa"/>
            <w:vAlign w:val="bottom"/>
            <w:gridSpan w:val="3"/>
            <w:shd w:val="clear" w:color="auto" w:fill="CCEEFF"/>
          </w:tcPr>
          <w:p>
            <w:pPr>
              <w:ind w:left="40"/>
              <w:spacing w:after="0" w:line="108" w:lineRule="exact"/>
              <w:rPr>
                <w:sz w:val="20"/>
                <w:szCs w:val="20"/>
                <w:color w:val="auto"/>
              </w:rPr>
            </w:pPr>
            <w:r>
              <w:rPr>
                <w:rFonts w:ascii="Arial" w:cs="Arial" w:eastAsia="Arial" w:hAnsi="Arial"/>
                <w:sz w:val="12"/>
                <w:szCs w:val="12"/>
                <w:b w:val="1"/>
                <w:bCs w:val="1"/>
                <w:color w:val="auto"/>
              </w:rPr>
              <w:t>Net income</w:t>
            </w:r>
          </w:p>
        </w:tc>
        <w:tc>
          <w:tcPr>
            <w:tcW w:w="760" w:type="dxa"/>
            <w:vAlign w:val="bottom"/>
            <w:shd w:val="clear" w:color="auto" w:fill="CCEEFF"/>
          </w:tcPr>
          <w:p>
            <w:pPr>
              <w:spacing w:after="0"/>
              <w:rPr>
                <w:sz w:val="9"/>
                <w:szCs w:val="9"/>
                <w:color w:val="auto"/>
              </w:rPr>
            </w:pPr>
          </w:p>
        </w:tc>
        <w:tc>
          <w:tcPr>
            <w:tcW w:w="14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680" w:type="dxa"/>
            <w:vAlign w:val="bottom"/>
            <w:shd w:val="clear" w:color="auto" w:fill="CCEEFF"/>
          </w:tcPr>
          <w:p>
            <w:pPr>
              <w:spacing w:after="0"/>
              <w:rPr>
                <w:sz w:val="9"/>
                <w:szCs w:val="9"/>
                <w:color w:val="auto"/>
              </w:rPr>
            </w:pPr>
          </w:p>
        </w:tc>
        <w:tc>
          <w:tcPr>
            <w:tcW w:w="14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7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340" w:type="dxa"/>
            <w:vAlign w:val="bottom"/>
            <w:shd w:val="clear" w:color="auto" w:fill="CCEEFF"/>
          </w:tcPr>
          <w:p>
            <w:pPr>
              <w:spacing w:after="0"/>
              <w:rPr>
                <w:sz w:val="9"/>
                <w:szCs w:val="9"/>
                <w:color w:val="auto"/>
              </w:rPr>
            </w:pPr>
          </w:p>
        </w:tc>
        <w:tc>
          <w:tcPr>
            <w:tcW w:w="660" w:type="dxa"/>
            <w:vAlign w:val="bottom"/>
            <w:shd w:val="clear" w:color="auto" w:fill="CCEEFF"/>
          </w:tcPr>
          <w:p>
            <w:pPr>
              <w:spacing w:after="0"/>
              <w:rPr>
                <w:sz w:val="9"/>
                <w:szCs w:val="9"/>
                <w:color w:val="auto"/>
              </w:rPr>
            </w:pPr>
          </w:p>
        </w:tc>
        <w:tc>
          <w:tcPr>
            <w:tcW w:w="140" w:type="dxa"/>
            <w:vAlign w:val="bottom"/>
            <w:shd w:val="clear" w:color="auto" w:fill="CCEEFF"/>
          </w:tcPr>
          <w:p>
            <w:pPr>
              <w:spacing w:after="0"/>
              <w:rPr>
                <w:sz w:val="9"/>
                <w:szCs w:val="9"/>
                <w:color w:val="auto"/>
              </w:rPr>
            </w:pPr>
          </w:p>
        </w:tc>
        <w:tc>
          <w:tcPr>
            <w:tcW w:w="280" w:type="dxa"/>
            <w:vAlign w:val="bottom"/>
            <w:shd w:val="clear" w:color="auto" w:fill="CCEEFF"/>
          </w:tcPr>
          <w:p>
            <w:pPr>
              <w:spacing w:after="0"/>
              <w:rPr>
                <w:sz w:val="9"/>
                <w:szCs w:val="9"/>
                <w:color w:val="auto"/>
              </w:rPr>
            </w:pPr>
          </w:p>
        </w:tc>
        <w:tc>
          <w:tcPr>
            <w:tcW w:w="700" w:type="dxa"/>
            <w:vAlign w:val="bottom"/>
            <w:shd w:val="clear" w:color="auto" w:fill="CCEEFF"/>
          </w:tcPr>
          <w:p>
            <w:pPr>
              <w:spacing w:after="0"/>
              <w:rPr>
                <w:sz w:val="9"/>
                <w:szCs w:val="9"/>
                <w:color w:val="auto"/>
              </w:rPr>
            </w:pPr>
          </w:p>
        </w:tc>
        <w:tc>
          <w:tcPr>
            <w:tcW w:w="140" w:type="dxa"/>
            <w:vAlign w:val="bottom"/>
            <w:shd w:val="clear" w:color="auto" w:fill="CCEEFF"/>
          </w:tcPr>
          <w:p>
            <w:pPr>
              <w:spacing w:after="0"/>
              <w:rPr>
                <w:sz w:val="9"/>
                <w:szCs w:val="9"/>
                <w:color w:val="auto"/>
              </w:rPr>
            </w:pPr>
          </w:p>
        </w:tc>
        <w:tc>
          <w:tcPr>
            <w:tcW w:w="300" w:type="dxa"/>
            <w:vAlign w:val="bottom"/>
            <w:shd w:val="clear" w:color="auto" w:fill="CCEEFF"/>
          </w:tcPr>
          <w:p>
            <w:pPr>
              <w:spacing w:after="0"/>
              <w:rPr>
                <w:sz w:val="9"/>
                <w:szCs w:val="9"/>
                <w:color w:val="auto"/>
              </w:rPr>
            </w:pPr>
          </w:p>
        </w:tc>
        <w:tc>
          <w:tcPr>
            <w:tcW w:w="700" w:type="dxa"/>
            <w:vAlign w:val="bottom"/>
            <w:shd w:val="clear" w:color="auto" w:fill="CCEEFF"/>
          </w:tcPr>
          <w:p>
            <w:pPr>
              <w:spacing w:after="0"/>
              <w:rPr>
                <w:sz w:val="9"/>
                <w:szCs w:val="9"/>
                <w:color w:val="auto"/>
              </w:rPr>
            </w:pPr>
          </w:p>
        </w:tc>
        <w:tc>
          <w:tcPr>
            <w:tcW w:w="120" w:type="dxa"/>
            <w:vAlign w:val="bottom"/>
            <w:shd w:val="clear" w:color="auto" w:fill="CCEEFF"/>
          </w:tcPr>
          <w:p>
            <w:pPr>
              <w:spacing w:after="0"/>
              <w:rPr>
                <w:sz w:val="9"/>
                <w:szCs w:val="9"/>
                <w:color w:val="auto"/>
              </w:rPr>
            </w:pPr>
          </w:p>
        </w:tc>
        <w:tc>
          <w:tcPr>
            <w:tcW w:w="240" w:type="dxa"/>
            <w:vAlign w:val="bottom"/>
            <w:shd w:val="clear" w:color="auto" w:fill="CCEEFF"/>
          </w:tcPr>
          <w:p>
            <w:pPr>
              <w:spacing w:after="0"/>
              <w:rPr>
                <w:sz w:val="9"/>
                <w:szCs w:val="9"/>
                <w:color w:val="auto"/>
              </w:rPr>
            </w:pPr>
          </w:p>
        </w:tc>
        <w:tc>
          <w:tcPr>
            <w:tcW w:w="760" w:type="dxa"/>
            <w:vAlign w:val="bottom"/>
            <w:shd w:val="clear" w:color="auto" w:fill="CCEEFF"/>
          </w:tcPr>
          <w:p>
            <w:pPr>
              <w:spacing w:after="0"/>
              <w:rPr>
                <w:sz w:val="9"/>
                <w:szCs w:val="9"/>
                <w:color w:val="auto"/>
              </w:rPr>
            </w:pPr>
          </w:p>
        </w:tc>
        <w:tc>
          <w:tcPr>
            <w:tcW w:w="80" w:type="dxa"/>
            <w:vAlign w:val="bottom"/>
            <w:shd w:val="clear" w:color="auto" w:fill="CCEEFF"/>
          </w:tcPr>
          <w:p>
            <w:pPr>
              <w:spacing w:after="0"/>
              <w:rPr>
                <w:sz w:val="9"/>
                <w:szCs w:val="9"/>
                <w:color w:val="auto"/>
              </w:rPr>
            </w:pPr>
          </w:p>
        </w:tc>
        <w:tc>
          <w:tcPr>
            <w:tcW w:w="40" w:type="dxa"/>
            <w:vAlign w:val="bottom"/>
            <w:shd w:val="clear" w:color="auto" w:fill="CCEEFF"/>
          </w:tcPr>
          <w:p>
            <w:pPr>
              <w:spacing w:after="0"/>
              <w:rPr>
                <w:sz w:val="9"/>
                <w:szCs w:val="9"/>
                <w:color w:val="auto"/>
              </w:rPr>
            </w:pPr>
          </w:p>
        </w:tc>
        <w:tc>
          <w:tcPr>
            <w:tcW w:w="100" w:type="dxa"/>
            <w:vAlign w:val="bottom"/>
            <w:shd w:val="clear" w:color="auto" w:fill="CCEEFF"/>
          </w:tcPr>
          <w:p>
            <w:pPr>
              <w:spacing w:after="0"/>
              <w:rPr>
                <w:sz w:val="9"/>
                <w:szCs w:val="9"/>
                <w:color w:val="auto"/>
              </w:rPr>
            </w:pPr>
          </w:p>
        </w:tc>
        <w:tc>
          <w:tcPr>
            <w:tcW w:w="960" w:type="dxa"/>
            <w:vAlign w:val="bottom"/>
            <w:gridSpan w:val="2"/>
            <w:shd w:val="clear" w:color="auto" w:fill="CCEEFF"/>
          </w:tcPr>
          <w:p>
            <w:pPr>
              <w:jc w:val="right"/>
              <w:ind w:right="240"/>
              <w:spacing w:after="0" w:line="108" w:lineRule="exact"/>
              <w:rPr>
                <w:sz w:val="20"/>
                <w:szCs w:val="20"/>
                <w:color w:val="auto"/>
              </w:rPr>
            </w:pPr>
            <w:r>
              <w:rPr>
                <w:rFonts w:ascii="Arial" w:cs="Arial" w:eastAsia="Arial" w:hAnsi="Arial"/>
                <w:sz w:val="12"/>
                <w:szCs w:val="12"/>
                <w:b w:val="1"/>
                <w:bCs w:val="1"/>
                <w:color w:val="auto"/>
              </w:rPr>
              <w:t>Net income</w:t>
            </w:r>
          </w:p>
        </w:tc>
        <w:tc>
          <w:tcPr>
            <w:tcW w:w="0" w:type="dxa"/>
            <w:vAlign w:val="bottom"/>
          </w:tcPr>
          <w:p>
            <w:pPr>
              <w:spacing w:after="0"/>
              <w:rPr>
                <w:sz w:val="1"/>
                <w:szCs w:val="1"/>
                <w:color w:val="auto"/>
              </w:rPr>
            </w:pPr>
          </w:p>
        </w:tc>
      </w:tr>
      <w:tr>
        <w:trPr>
          <w:trHeight w:val="162"/>
        </w:trPr>
        <w:tc>
          <w:tcPr>
            <w:tcW w:w="12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320" w:type="dxa"/>
            <w:vAlign w:val="bottom"/>
            <w:gridSpan w:val="3"/>
            <w:shd w:val="clear" w:color="auto" w:fill="CCEEFF"/>
          </w:tcPr>
          <w:p>
            <w:pPr>
              <w:ind w:left="40"/>
              <w:spacing w:after="0"/>
              <w:rPr>
                <w:sz w:val="20"/>
                <w:szCs w:val="20"/>
                <w:color w:val="auto"/>
              </w:rPr>
            </w:pPr>
            <w:r>
              <w:rPr>
                <w:rFonts w:ascii="Arial" w:cs="Arial" w:eastAsia="Arial" w:hAnsi="Arial"/>
                <w:sz w:val="14"/>
                <w:szCs w:val="14"/>
                <w:b w:val="1"/>
                <w:bCs w:val="1"/>
                <w:color w:val="auto"/>
              </w:rPr>
              <w:t>as reported</w:t>
            </w:r>
          </w:p>
        </w:tc>
        <w:tc>
          <w:tcPr>
            <w:tcW w:w="7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6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b w:val="1"/>
                <w:bCs w:val="1"/>
                <w:color w:val="auto"/>
                <w:w w:val="94"/>
              </w:rPr>
              <w:t>as restated</w:t>
            </w:r>
          </w:p>
        </w:tc>
        <w:tc>
          <w:tcPr>
            <w:tcW w:w="0" w:type="dxa"/>
            <w:vAlign w:val="bottom"/>
          </w:tcPr>
          <w:p>
            <w:pPr>
              <w:spacing w:after="0"/>
              <w:rPr>
                <w:sz w:val="1"/>
                <w:szCs w:val="1"/>
                <w:color w:val="auto"/>
              </w:rPr>
            </w:pPr>
          </w:p>
        </w:tc>
      </w:tr>
      <w:tr>
        <w:trPr>
          <w:trHeight w:val="210"/>
        </w:trPr>
        <w:tc>
          <w:tcPr>
            <w:tcW w:w="1260" w:type="dxa"/>
            <w:vAlign w:val="bottom"/>
          </w:tcPr>
          <w:p>
            <w:pPr>
              <w:spacing w:after="0"/>
              <w:rPr>
                <w:sz w:val="20"/>
                <w:szCs w:val="20"/>
                <w:color w:val="auto"/>
              </w:rPr>
            </w:pPr>
            <w:r>
              <w:rPr>
                <w:rFonts w:ascii="Arial" w:cs="Arial" w:eastAsia="Arial" w:hAnsi="Arial"/>
                <w:sz w:val="18"/>
                <w:szCs w:val="18"/>
                <w:color w:val="auto"/>
              </w:rPr>
              <w:t>Fiscal 2005</w:t>
            </w: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141,661</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75,684</w:t>
            </w: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2,306</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(1,150)</w:t>
            </w:r>
          </w:p>
        </w:tc>
        <w:tc>
          <w:tcPr>
            <w:tcW w:w="3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2,026</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78,866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62,795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Fiscal 2006:</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ended April</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30, 2005</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8,719</w:t>
            </w: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866</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9,585</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ended July</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30, 2005</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29,120</w:t>
            </w:r>
          </w:p>
        </w:tc>
        <w:tc>
          <w:tcPr>
            <w:tcW w:w="14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1,083</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30,203</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ended</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October 29,</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2005</w:t>
            </w: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9,102</w:t>
            </w: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589</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9,691</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ended</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January 28,</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2006</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51,915</w:t>
            </w:r>
          </w:p>
        </w:tc>
        <w:tc>
          <w:tcPr>
            <w:tcW w:w="14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1,846</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(1,822)</w:t>
            </w:r>
          </w:p>
        </w:tc>
        <w:tc>
          <w:tcPr>
            <w:tcW w:w="34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82,394</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Pr>
          <w:p>
            <w:pPr>
              <w:spacing w:after="0" w:line="182" w:lineRule="exact"/>
              <w:rPr>
                <w:sz w:val="20"/>
                <w:szCs w:val="20"/>
                <w:color w:val="auto"/>
              </w:rPr>
            </w:pPr>
            <w:r>
              <w:rPr>
                <w:rFonts w:ascii="Arial" w:cs="Arial" w:eastAsia="Arial" w:hAnsi="Arial"/>
                <w:sz w:val="18"/>
                <w:szCs w:val="18"/>
                <w:color w:val="auto"/>
              </w:rPr>
              <w:t>Total for</w:t>
            </w:r>
          </w:p>
        </w:tc>
        <w:tc>
          <w:tcPr>
            <w:tcW w:w="1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40" w:type="dxa"/>
            <w:vAlign w:val="bottom"/>
            <w:tcBorders>
              <w:top w:val="single" w:sz="8" w:color="auto"/>
            </w:tcBorders>
          </w:tcPr>
          <w:p>
            <w:pPr>
              <w:spacing w:after="0"/>
              <w:rPr>
                <w:sz w:val="15"/>
                <w:szCs w:val="15"/>
                <w:color w:val="auto"/>
              </w:rPr>
            </w:pPr>
          </w:p>
        </w:tc>
        <w:tc>
          <w:tcPr>
            <w:tcW w:w="6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340" w:type="dxa"/>
            <w:vAlign w:val="bottom"/>
            <w:tcBorders>
              <w:top w:val="single" w:sz="8" w:color="auto"/>
            </w:tcBorders>
          </w:tcPr>
          <w:p>
            <w:pPr>
              <w:spacing w:after="0"/>
              <w:rPr>
                <w:sz w:val="15"/>
                <w:szCs w:val="15"/>
                <w:color w:val="auto"/>
              </w:rPr>
            </w:pPr>
          </w:p>
        </w:tc>
        <w:tc>
          <w:tcPr>
            <w:tcW w:w="66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Fiscal 2006</w:t>
            </w: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331,363</w:t>
            </w: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98,856</w:t>
            </w: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4,384</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(1,822)</w:t>
            </w:r>
          </w:p>
        </w:tc>
        <w:tc>
          <w:tcPr>
            <w:tcW w:w="3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3,249</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131,873</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199,490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Borders>
              <w:top w:val="single" w:sz="8" w:color="CCEEFF"/>
            </w:tcBorders>
            <w:shd w:val="clear" w:color="auto" w:fill="CCEEFF"/>
          </w:tcPr>
          <w:p>
            <w:pPr>
              <w:spacing w:after="0"/>
              <w:rPr>
                <w:sz w:val="15"/>
                <w:szCs w:val="15"/>
                <w:color w:val="auto"/>
              </w:rPr>
            </w:pPr>
          </w:p>
        </w:tc>
        <w:tc>
          <w:tcPr>
            <w:tcW w:w="9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2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24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90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January 28,</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2006</w:t>
            </w:r>
          </w:p>
        </w:tc>
        <w:tc>
          <w:tcPr>
            <w:tcW w:w="1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327,375</w:t>
            </w:r>
          </w:p>
        </w:tc>
        <w:tc>
          <w:tcPr>
            <w:tcW w:w="14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(4,806)</w:t>
            </w:r>
          </w:p>
        </w:tc>
        <w:tc>
          <w:tcPr>
            <w:tcW w:w="34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1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362,678</w:t>
            </w:r>
          </w:p>
        </w:tc>
        <w:tc>
          <w:tcPr>
            <w:tcW w:w="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Three months</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ind w:left="180"/>
              <w:spacing w:after="0"/>
              <w:rPr>
                <w:sz w:val="20"/>
                <w:szCs w:val="20"/>
                <w:color w:val="auto"/>
              </w:rPr>
            </w:pPr>
            <w:r>
              <w:rPr>
                <w:rFonts w:ascii="Arial" w:cs="Arial" w:eastAsia="Arial" w:hAnsi="Arial"/>
                <w:sz w:val="18"/>
                <w:szCs w:val="18"/>
                <w:color w:val="auto"/>
              </w:rPr>
              <w:t>ended April</w:t>
            </w: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29, 2006</w:t>
            </w:r>
          </w:p>
        </w:tc>
        <w:tc>
          <w:tcPr>
            <w:tcW w:w="1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75,297</w:t>
            </w: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4,225</w:t>
            </w: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2,170</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(3,325)</w:t>
            </w:r>
          </w:p>
        </w:tc>
        <w:tc>
          <w:tcPr>
            <w:tcW w:w="34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3,510</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(8,846)</w:t>
            </w:r>
          </w:p>
        </w:tc>
        <w:tc>
          <w:tcPr>
            <w:tcW w:w="24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(2,266)</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77,563</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2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Cumulative</w:t>
            </w:r>
          </w:p>
        </w:tc>
        <w:tc>
          <w:tcPr>
            <w:tcW w:w="100" w:type="dxa"/>
            <w:vAlign w:val="bottom"/>
            <w:tcBorders>
              <w:top w:val="single" w:sz="8" w:color="CCEEFF"/>
            </w:tcBorders>
            <w:shd w:val="clear" w:color="auto" w:fill="CCEEFF"/>
          </w:tcPr>
          <w:p>
            <w:pPr>
              <w:spacing w:after="0"/>
              <w:rPr>
                <w:sz w:val="15"/>
                <w:szCs w:val="15"/>
                <w:color w:val="auto"/>
              </w:rPr>
            </w:pPr>
          </w:p>
        </w:tc>
        <w:tc>
          <w:tcPr>
            <w:tcW w:w="9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2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3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24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90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 at</w:t>
            </w: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April 29,</w:t>
            </w:r>
          </w:p>
        </w:tc>
        <w:tc>
          <w:tcPr>
            <w:tcW w:w="100" w:type="dxa"/>
            <w:vAlign w:val="bottom"/>
            <w:shd w:val="clear" w:color="auto" w:fill="CCEEFF"/>
          </w:tcPr>
          <w:p>
            <w:pPr>
              <w:spacing w:after="0"/>
              <w:rPr>
                <w:sz w:val="18"/>
                <w:szCs w:val="18"/>
                <w:color w:val="auto"/>
              </w:rPr>
            </w:pPr>
          </w:p>
        </w:tc>
        <w:tc>
          <w:tcPr>
            <w:tcW w:w="1320" w:type="dxa"/>
            <w:vAlign w:val="bottom"/>
            <w:gridSpan w:val="3"/>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331,600</w:t>
            </w:r>
          </w:p>
        </w:tc>
        <w:tc>
          <w:tcPr>
            <w:tcW w:w="48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9,798</w:t>
            </w:r>
          </w:p>
        </w:tc>
        <w:tc>
          <w:tcPr>
            <w:tcW w:w="4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20" w:type="dxa"/>
            <w:vAlign w:val="bottom"/>
            <w:gridSpan w:val="2"/>
            <w:vMerge w:val="restart"/>
            <w:shd w:val="clear" w:color="auto" w:fill="CCEEFF"/>
          </w:tcPr>
          <w:p>
            <w:pPr>
              <w:jc w:val="right"/>
              <w:ind w:right="60"/>
              <w:spacing w:after="0"/>
              <w:rPr>
                <w:sz w:val="20"/>
                <w:szCs w:val="20"/>
                <w:color w:val="auto"/>
              </w:rPr>
            </w:pPr>
            <w:r>
              <w:rPr>
                <w:rFonts w:ascii="Arial" w:cs="Arial" w:eastAsia="Arial" w:hAnsi="Arial"/>
                <w:sz w:val="18"/>
                <w:szCs w:val="18"/>
                <w:color w:val="auto"/>
              </w:rPr>
              <w:t>(8,131)</w:t>
            </w:r>
          </w:p>
        </w:tc>
        <w:tc>
          <w:tcPr>
            <w:tcW w:w="340" w:type="dxa"/>
            <w:vAlign w:val="bottom"/>
            <w:vMerge w:val="restart"/>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4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30,716</w:t>
            </w:r>
          </w:p>
        </w:tc>
        <w:tc>
          <w:tcPr>
            <w:tcW w:w="140" w:type="dxa"/>
            <w:vAlign w:val="bottom"/>
            <w:shd w:val="clear" w:color="auto" w:fill="CCEEFF"/>
          </w:tcPr>
          <w:p>
            <w:pPr>
              <w:spacing w:after="0"/>
              <w:rPr>
                <w:sz w:val="18"/>
                <w:szCs w:val="18"/>
                <w:color w:val="auto"/>
              </w:rPr>
            </w:pPr>
          </w:p>
        </w:tc>
        <w:tc>
          <w:tcPr>
            <w:tcW w:w="300" w:type="dxa"/>
            <w:vAlign w:val="bottom"/>
            <w:vMerge w:val="restart"/>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820" w:type="dxa"/>
            <w:vAlign w:val="bottom"/>
            <w:gridSpan w:val="2"/>
            <w:vMerge w:val="restart"/>
            <w:shd w:val="clear" w:color="auto" w:fill="CCEEFF"/>
          </w:tcPr>
          <w:p>
            <w:pPr>
              <w:jc w:val="right"/>
              <w:ind w:right="60"/>
              <w:spacing w:after="0"/>
              <w:rPr>
                <w:sz w:val="20"/>
                <w:szCs w:val="20"/>
                <w:color w:val="auto"/>
              </w:rPr>
            </w:pPr>
            <w:r>
              <w:rPr>
                <w:rFonts w:ascii="Arial" w:cs="Arial" w:eastAsia="Arial" w:hAnsi="Arial"/>
                <w:sz w:val="18"/>
                <w:szCs w:val="18"/>
                <w:color w:val="auto"/>
              </w:rPr>
              <w:t>(8,846)</w:t>
            </w:r>
          </w:p>
        </w:tc>
        <w:tc>
          <w:tcPr>
            <w:tcW w:w="240" w:type="dxa"/>
            <w:vAlign w:val="bottom"/>
            <w:vMerge w:val="restart"/>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360,412</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2006</w:t>
            </w:r>
          </w:p>
        </w:tc>
        <w:tc>
          <w:tcPr>
            <w:tcW w:w="100" w:type="dxa"/>
            <w:vAlign w:val="bottom"/>
            <w:shd w:val="clear" w:color="auto" w:fill="CCEEFF"/>
          </w:tcPr>
          <w:p>
            <w:pPr>
              <w:spacing w:after="0"/>
              <w:rPr>
                <w:sz w:val="18"/>
                <w:szCs w:val="18"/>
                <w:color w:val="auto"/>
              </w:rPr>
            </w:pPr>
          </w:p>
        </w:tc>
        <w:tc>
          <w:tcPr>
            <w:tcW w:w="1320" w:type="dxa"/>
            <w:vAlign w:val="bottom"/>
            <w:gridSpan w:val="3"/>
            <w:vMerge w:val="continue"/>
            <w:shd w:val="clear" w:color="auto" w:fill="CCEEFF"/>
          </w:tcPr>
          <w:p>
            <w:pPr>
              <w:spacing w:after="0"/>
              <w:rPr>
                <w:sz w:val="18"/>
                <w:szCs w:val="18"/>
                <w:color w:val="auto"/>
              </w:rPr>
            </w:pPr>
          </w:p>
        </w:tc>
        <w:tc>
          <w:tcPr>
            <w:tcW w:w="760" w:type="dxa"/>
            <w:vAlign w:val="bottom"/>
            <w:vMerge w:val="continue"/>
            <w:shd w:val="clear" w:color="auto" w:fill="CCEEFF"/>
          </w:tcPr>
          <w:p>
            <w:pPr>
              <w:spacing w:after="0"/>
              <w:rPr>
                <w:sz w:val="18"/>
                <w:szCs w:val="18"/>
                <w:color w:val="auto"/>
              </w:rPr>
            </w:pPr>
          </w:p>
        </w:tc>
        <w:tc>
          <w:tcPr>
            <w:tcW w:w="480" w:type="dxa"/>
            <w:vAlign w:val="bottom"/>
            <w:gridSpan w:val="2"/>
            <w:vMerge w:val="continue"/>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440" w:type="dxa"/>
            <w:vAlign w:val="bottom"/>
            <w:gridSpan w:val="2"/>
            <w:vMerge w:val="continue"/>
            <w:shd w:val="clear" w:color="auto" w:fill="CCEEFF"/>
          </w:tcPr>
          <w:p>
            <w:pPr>
              <w:spacing w:after="0"/>
              <w:rPr>
                <w:sz w:val="18"/>
                <w:szCs w:val="18"/>
                <w:color w:val="auto"/>
              </w:rPr>
            </w:pPr>
          </w:p>
        </w:tc>
        <w:tc>
          <w:tcPr>
            <w:tcW w:w="820" w:type="dxa"/>
            <w:vAlign w:val="bottom"/>
            <w:gridSpan w:val="2"/>
            <w:vMerge w:val="continue"/>
            <w:shd w:val="clear" w:color="auto" w:fill="CCEEFF"/>
          </w:tcPr>
          <w:p>
            <w:pPr>
              <w:spacing w:after="0"/>
              <w:rPr>
                <w:sz w:val="18"/>
                <w:szCs w:val="18"/>
                <w:color w:val="auto"/>
              </w:rPr>
            </w:pPr>
          </w:p>
        </w:tc>
        <w:tc>
          <w:tcPr>
            <w:tcW w:w="340" w:type="dxa"/>
            <w:vAlign w:val="bottom"/>
            <w:vMerge w:val="continue"/>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420" w:type="dxa"/>
            <w:vAlign w:val="bottom"/>
            <w:gridSpan w:val="2"/>
            <w:vMerge w:val="continue"/>
            <w:shd w:val="clear" w:color="auto" w:fill="CCEEFF"/>
          </w:tcPr>
          <w:p>
            <w:pPr>
              <w:spacing w:after="0"/>
              <w:rPr>
                <w:sz w:val="18"/>
                <w:szCs w:val="18"/>
                <w:color w:val="auto"/>
              </w:rPr>
            </w:pPr>
          </w:p>
        </w:tc>
        <w:tc>
          <w:tcPr>
            <w:tcW w:w="700" w:type="dxa"/>
            <w:vAlign w:val="bottom"/>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vMerge w:val="continue"/>
            <w:shd w:val="clear" w:color="auto" w:fill="CCEEFF"/>
          </w:tcPr>
          <w:p>
            <w:pPr>
              <w:spacing w:after="0"/>
              <w:rPr>
                <w:sz w:val="18"/>
                <w:szCs w:val="18"/>
                <w:color w:val="auto"/>
              </w:rPr>
            </w:pPr>
          </w:p>
        </w:tc>
        <w:tc>
          <w:tcPr>
            <w:tcW w:w="820" w:type="dxa"/>
            <w:vAlign w:val="bottom"/>
            <w:gridSpan w:val="2"/>
            <w:vMerge w:val="continue"/>
            <w:shd w:val="clear" w:color="auto" w:fill="CCEEFF"/>
          </w:tcPr>
          <w:p>
            <w:pPr>
              <w:spacing w:after="0"/>
              <w:rPr>
                <w:sz w:val="18"/>
                <w:szCs w:val="18"/>
                <w:color w:val="auto"/>
              </w:rPr>
            </w:pPr>
          </w:p>
        </w:tc>
        <w:tc>
          <w:tcPr>
            <w:tcW w:w="240" w:type="dxa"/>
            <w:vAlign w:val="bottom"/>
            <w:vMerge w:val="continue"/>
            <w:shd w:val="clear" w:color="auto" w:fill="CCEEFF"/>
          </w:tcPr>
          <w:p>
            <w:pPr>
              <w:spacing w:after="0"/>
              <w:rPr>
                <w:sz w:val="18"/>
                <w:szCs w:val="18"/>
                <w:color w:val="auto"/>
              </w:rPr>
            </w:pPr>
          </w:p>
        </w:tc>
        <w:tc>
          <w:tcPr>
            <w:tcW w:w="76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2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jc w:val="center"/>
        <w:ind w:left="5620" w:right="880" w:hanging="5612"/>
        <w:spacing w:after="0" w:line="778" w:lineRule="auto"/>
        <w:tabs>
          <w:tab w:leader="none" w:pos="409" w:val="left"/>
        </w:tabs>
        <w:numPr>
          <w:ilvl w:val="0"/>
          <w:numId w:val="22"/>
        </w:numPr>
        <w:rPr>
          <w:rFonts w:ascii="Arial" w:cs="Arial" w:eastAsia="Arial" w:hAnsi="Arial"/>
          <w:sz w:val="18"/>
          <w:szCs w:val="18"/>
          <w:color w:val="auto"/>
        </w:rPr>
      </w:pPr>
      <w:r>
        <w:rPr>
          <w:rFonts w:ascii="Arial" w:cs="Arial" w:eastAsia="Arial" w:hAnsi="Arial"/>
          <w:sz w:val="18"/>
          <w:szCs w:val="18"/>
          <w:color w:val="auto"/>
        </w:rPr>
        <w:t>Comprised $1,062,000 for fiscal 2000, $139,000 for fiscal 1999, $41,000 for fiscal 1998, $12,000 for fiscal 1997 and $1,000 for fiscal 1996. 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45"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restatement adjustments decreased previously reported basic net income per share by $0.24 and $0.14 for fiscal 2006 and 2005, respectively and diluted net income per share by $0.20 and $0.13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jc w:val="both"/>
        <w:ind w:right="160"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pacing w:after="0" w:line="166"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three and six months ended July 30,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9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500" w:type="dxa"/>
            <w:vAlign w:val="bottom"/>
            <w:tcBorders>
              <w:bottom w:val="single" w:sz="8" w:color="auto"/>
            </w:tcBorders>
            <w:gridSpan w:val="8"/>
          </w:tcPr>
          <w:p>
            <w:pPr>
              <w:jc w:val="right"/>
              <w:ind w:right="653"/>
              <w:spacing w:after="0"/>
              <w:rPr>
                <w:sz w:val="20"/>
                <w:szCs w:val="20"/>
                <w:color w:val="auto"/>
              </w:rPr>
            </w:pPr>
            <w:r>
              <w:rPr>
                <w:rFonts w:ascii="Arial" w:cs="Arial" w:eastAsia="Arial" w:hAnsi="Arial"/>
                <w:sz w:val="14"/>
                <w:szCs w:val="14"/>
                <w:b w:val="1"/>
                <w:bCs w:val="1"/>
                <w:color w:val="auto"/>
              </w:rPr>
              <w:t>Three Months Ended July 30, 2005</w:t>
            </w: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70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Six Months Ended July 30, 2005</w:t>
            </w:r>
          </w:p>
        </w:tc>
        <w:tc>
          <w:tcPr>
            <w:tcW w:w="8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9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4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8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89"/>
              </w:rPr>
              <w:t>As</w:t>
            </w:r>
          </w:p>
        </w:tc>
        <w:tc>
          <w:tcPr>
            <w:tcW w:w="120" w:type="dxa"/>
            <w:vAlign w:val="bottom"/>
          </w:tcPr>
          <w:p>
            <w:pPr>
              <w:spacing w:after="0"/>
              <w:rPr>
                <w:sz w:val="8"/>
                <w:szCs w:val="8"/>
                <w:color w:val="auto"/>
              </w:rPr>
            </w:pPr>
          </w:p>
        </w:tc>
        <w:tc>
          <w:tcPr>
            <w:tcW w:w="104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90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39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260" w:type="dxa"/>
            <w:vAlign w:val="bottom"/>
            <w:gridSpan w:val="2"/>
            <w:vMerge w:val="restart"/>
          </w:tcPr>
          <w:p>
            <w:pPr>
              <w:jc w:val="right"/>
              <w:ind w:right="408"/>
              <w:spacing w:after="0"/>
              <w:rPr>
                <w:sz w:val="20"/>
                <w:szCs w:val="20"/>
                <w:color w:val="auto"/>
              </w:rPr>
            </w:pPr>
            <w:r>
              <w:rPr>
                <w:rFonts w:ascii="Arial" w:cs="Arial" w:eastAsia="Arial" w:hAnsi="Arial"/>
                <w:sz w:val="14"/>
                <w:szCs w:val="14"/>
                <w:b w:val="1"/>
                <w:bCs w:val="1"/>
                <w:color w:val="auto"/>
                <w:w w:val="89"/>
              </w:rPr>
              <w:t>Adjustments</w:t>
            </w: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0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380" w:type="dxa"/>
            <w:vAlign w:val="bottom"/>
            <w:gridSpan w:val="2"/>
            <w:vMerge w:val="restart"/>
          </w:tcPr>
          <w:p>
            <w:pPr>
              <w:jc w:val="right"/>
              <w:ind w:right="580"/>
              <w:spacing w:after="0"/>
              <w:rPr>
                <w:sz w:val="20"/>
                <w:szCs w:val="20"/>
                <w:color w:val="auto"/>
              </w:rPr>
            </w:pPr>
            <w:r>
              <w:rPr>
                <w:rFonts w:ascii="Arial" w:cs="Arial" w:eastAsia="Arial" w:hAnsi="Arial"/>
                <w:sz w:val="14"/>
                <w:szCs w:val="14"/>
                <w:b w:val="1"/>
                <w:bCs w:val="1"/>
                <w:color w:val="auto"/>
                <w:w w:val="91"/>
              </w:rPr>
              <w:t>Adjustments</w:t>
            </w:r>
          </w:p>
        </w:tc>
        <w:tc>
          <w:tcPr>
            <w:tcW w:w="18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1"/>
              </w:rPr>
              <w:t>Restated</w:t>
            </w:r>
          </w:p>
        </w:tc>
        <w:tc>
          <w:tcPr>
            <w:tcW w:w="120" w:type="dxa"/>
            <w:vAlign w:val="bottom"/>
          </w:tcPr>
          <w:p>
            <w:pPr>
              <w:spacing w:after="0"/>
              <w:rPr>
                <w:sz w:val="14"/>
                <w:szCs w:val="14"/>
                <w:color w:val="auto"/>
              </w:rPr>
            </w:pPr>
          </w:p>
        </w:tc>
        <w:tc>
          <w:tcPr>
            <w:tcW w:w="10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38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Restated</w:t>
            </w:r>
          </w:p>
        </w:tc>
        <w:tc>
          <w:tcPr>
            <w:tcW w:w="0" w:type="dxa"/>
            <w:vAlign w:val="bottom"/>
          </w:tcPr>
          <w:p>
            <w:pPr>
              <w:spacing w:after="0"/>
              <w:rPr>
                <w:sz w:val="1"/>
                <w:szCs w:val="1"/>
                <w:color w:val="auto"/>
              </w:rPr>
            </w:pPr>
          </w:p>
        </w:tc>
      </w:tr>
      <w:tr>
        <w:trPr>
          <w:trHeight w:val="129"/>
        </w:trPr>
        <w:tc>
          <w:tcPr>
            <w:tcW w:w="39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820" w:type="dxa"/>
            <w:vAlign w:val="bottom"/>
            <w:tcBorders>
              <w:top w:val="single" w:sz="8" w:color="auto"/>
            </w:tcBorders>
            <w:gridSpan w:val="8"/>
          </w:tcPr>
          <w:p>
            <w:pPr>
              <w:ind w:left="300"/>
              <w:spacing w:after="0" w:line="129" w:lineRule="exact"/>
              <w:rPr>
                <w:sz w:val="20"/>
                <w:szCs w:val="20"/>
                <w:color w:val="auto"/>
              </w:rPr>
            </w:pPr>
            <w:r>
              <w:rPr>
                <w:rFonts w:ascii="Arial" w:cs="Arial" w:eastAsia="Arial" w:hAnsi="Arial"/>
                <w:sz w:val="14"/>
                <w:szCs w:val="14"/>
                <w:b w:val="1"/>
                <w:bCs w:val="1"/>
                <w:color w:val="auto"/>
                <w:w w:val="89"/>
              </w:rPr>
              <w:t>(In thousands, except per share amounts)</w:t>
            </w: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308"/>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390,454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755,224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183,646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1,805(A)</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185,451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358,890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2,346(A)</w:t>
            </w: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73,164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
              <w:spacing w:after="0"/>
              <w:rPr>
                <w:sz w:val="20"/>
                <w:szCs w:val="20"/>
                <w:color w:val="auto"/>
              </w:rPr>
            </w:pPr>
            <w:r>
              <w:rPr>
                <w:rFonts w:ascii="Arial" w:cs="Arial" w:eastAsia="Arial" w:hAnsi="Arial"/>
                <w:sz w:val="18"/>
                <w:szCs w:val="18"/>
                <w:color w:val="auto"/>
              </w:rPr>
              <w:t>14,941(A)</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88,105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145,062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20,993(A)</w:t>
            </w:r>
          </w:p>
        </w:tc>
        <w:tc>
          <w:tcPr>
            <w:tcW w:w="1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166,055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21,275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4,864(A)</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26,139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42,264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5,897(A)</w:t>
            </w: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8,340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
              <w:spacing w:after="0"/>
              <w:rPr>
                <w:sz w:val="20"/>
                <w:szCs w:val="20"/>
                <w:color w:val="auto"/>
              </w:rPr>
            </w:pPr>
            <w:r>
              <w:rPr>
                <w:rFonts w:ascii="Arial" w:cs="Arial" w:eastAsia="Arial" w:hAnsi="Arial"/>
                <w:sz w:val="18"/>
                <w:szCs w:val="18"/>
                <w:color w:val="auto"/>
              </w:rPr>
              <w:t>9,110(A)</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17,450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15,078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11,940(A)</w:t>
            </w:r>
          </w:p>
        </w:tc>
        <w:tc>
          <w:tcPr>
            <w:tcW w:w="1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27,018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(517)(A)</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(1,388)(A)</w:t>
            </w: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900" w:type="dxa"/>
            <w:vAlign w:val="bottom"/>
          </w:tcPr>
          <w:p>
            <w:pPr>
              <w:ind w:left="180"/>
              <w:spacing w:after="0" w:line="201" w:lineRule="exact"/>
              <w:rPr>
                <w:sz w:val="20"/>
                <w:szCs w:val="20"/>
                <w:color w:val="auto"/>
              </w:rPr>
            </w:pPr>
            <w:r>
              <w:rPr>
                <w:rFonts w:ascii="Arial" w:cs="Arial" w:eastAsia="Arial" w:hAnsi="Arial"/>
                <w:sz w:val="18"/>
                <w:szCs w:val="18"/>
                <w:color w:val="auto"/>
              </w:rPr>
              <w:t>Amortization and write-off of goodwill and</w:t>
            </w:r>
          </w:p>
        </w:tc>
        <w:tc>
          <w:tcPr>
            <w:tcW w:w="1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00" w:type="dxa"/>
            <w:vAlign w:val="bottom"/>
          </w:tcPr>
          <w:p>
            <w:pPr>
              <w:ind w:left="360"/>
              <w:spacing w:after="0"/>
              <w:rPr>
                <w:sz w:val="20"/>
                <w:szCs w:val="20"/>
                <w:color w:val="auto"/>
              </w:rPr>
            </w:pPr>
            <w:r>
              <w:rPr>
                <w:rFonts w:ascii="Arial" w:cs="Arial" w:eastAsia="Arial" w:hAnsi="Arial"/>
                <w:sz w:val="18"/>
                <w:szCs w:val="18"/>
                <w:color w:val="auto"/>
              </w:rPr>
              <w:t>acquired intangible assets and other</w:t>
            </w:r>
          </w:p>
        </w:tc>
        <w:tc>
          <w:tcPr>
            <w:tcW w:w="12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19,753</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60" w:type="dxa"/>
            <w:vAlign w:val="bottom"/>
            <w:gridSpan w:val="2"/>
          </w:tcPr>
          <w:p>
            <w:pPr>
              <w:jc w:val="right"/>
              <w:ind w:right="308"/>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19,753</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39,512</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39,512</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90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306,695</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30,203</w:t>
            </w:r>
          </w:p>
        </w:tc>
        <w:tc>
          <w:tcPr>
            <w:tcW w:w="3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336,898</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602,194</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641,982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900" w:type="dxa"/>
            <w:vAlign w:val="bottom"/>
          </w:tcPr>
          <w:p>
            <w:pPr>
              <w:spacing w:after="0"/>
              <w:rPr>
                <w:sz w:val="20"/>
                <w:szCs w:val="20"/>
                <w:color w:val="auto"/>
              </w:rPr>
            </w:pPr>
            <w:r>
              <w:rPr>
                <w:rFonts w:ascii="Arial" w:cs="Arial" w:eastAsia="Arial" w:hAnsi="Arial"/>
                <w:sz w:val="18"/>
                <w:szCs w:val="18"/>
                <w:color w:val="auto"/>
              </w:rPr>
              <w:t>Operating income (loss)</w:t>
            </w: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83,759</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(30,203)</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53,556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153,030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113,242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0" w:gutter="0" w:footer="0" w:header="0"/>
        </w:sectPr>
      </w:pPr>
    </w:p>
    <w:bookmarkStart w:id="34" w:name="page35"/>
    <w:bookmarkEnd w:id="3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90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24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88,143</w:t>
            </w:r>
          </w:p>
        </w:tc>
        <w:tc>
          <w:tcPr>
            <w:tcW w:w="18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57,940</w:t>
            </w:r>
          </w:p>
        </w:tc>
        <w:tc>
          <w:tcPr>
            <w:tcW w:w="18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161,026</w:t>
            </w:r>
          </w:p>
        </w:tc>
        <w:tc>
          <w:tcPr>
            <w:tcW w:w="16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121,238</w:t>
            </w:r>
          </w:p>
        </w:tc>
        <w:tc>
          <w:tcPr>
            <w:tcW w:w="100" w:type="dxa"/>
            <w:vAlign w:val="bottom"/>
          </w:tcPr>
          <w:p>
            <w:pPr>
              <w:spacing w:after="0"/>
              <w:rPr>
                <w:sz w:val="19"/>
                <w:szCs w:val="19"/>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100" w:type="dxa"/>
            <w:vAlign w:val="bottom"/>
            <w:shd w:val="clear" w:color="auto" w:fill="CCEEFF"/>
          </w:tcPr>
          <w:p>
            <w:pPr>
              <w:spacing w:after="0"/>
              <w:rPr>
                <w:sz w:val="18"/>
                <w:szCs w:val="18"/>
                <w:color w:val="auto"/>
              </w:rPr>
            </w:pPr>
          </w:p>
        </w:tc>
      </w:tr>
      <w:tr>
        <w:trPr>
          <w:trHeight w:val="250"/>
        </w:trPr>
        <w:tc>
          <w:tcPr>
            <w:tcW w:w="39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77,302</w:t>
            </w:r>
          </w:p>
        </w:tc>
        <w:tc>
          <w:tcPr>
            <w:tcW w:w="18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(30,203)</w:t>
            </w:r>
          </w:p>
        </w:tc>
        <w:tc>
          <w:tcPr>
            <w:tcW w:w="260" w:type="dxa"/>
            <w:vAlign w:val="bottom"/>
            <w:tcBorders>
              <w:bottom w:val="single" w:sz="8" w:color="CCEEFF"/>
            </w:tcBorders>
          </w:tcPr>
          <w:p>
            <w:pPr>
              <w:spacing w:after="0"/>
              <w:rPr>
                <w:sz w:val="21"/>
                <w:szCs w:val="21"/>
                <w:color w:val="auto"/>
              </w:rPr>
            </w:pPr>
          </w:p>
        </w:tc>
        <w:tc>
          <w:tcPr>
            <w:tcW w:w="2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47,099</w:t>
            </w:r>
          </w:p>
        </w:tc>
        <w:tc>
          <w:tcPr>
            <w:tcW w:w="18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140,834</w:t>
            </w:r>
          </w:p>
        </w:tc>
        <w:tc>
          <w:tcPr>
            <w:tcW w:w="16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(39,788)</w:t>
            </w:r>
          </w:p>
        </w:tc>
        <w:tc>
          <w:tcPr>
            <w:tcW w:w="48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101,046</w:t>
            </w:r>
          </w:p>
        </w:tc>
        <w:tc>
          <w:tcPr>
            <w:tcW w:w="100" w:type="dxa"/>
            <w:vAlign w:val="bottom"/>
            <w:tcBorders>
              <w:bottom w:val="single" w:sz="8" w:color="CCEEFF"/>
            </w:tcBorders>
          </w:tcPr>
          <w:p>
            <w:pPr>
              <w:spacing w:after="0"/>
              <w:rPr>
                <w:sz w:val="21"/>
                <w:szCs w:val="21"/>
                <w:color w:val="auto"/>
              </w:rPr>
            </w:pPr>
          </w:p>
        </w:tc>
      </w:tr>
      <w:tr>
        <w:trPr>
          <w:trHeight w:val="197"/>
        </w:trPr>
        <w:tc>
          <w:tcPr>
            <w:tcW w:w="390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Basic net income (loss) per share</w:t>
            </w: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0.14</w:t>
            </w:r>
          </w:p>
        </w:tc>
        <w:tc>
          <w:tcPr>
            <w:tcW w:w="18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(0.06)</w:t>
            </w: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0.08</w:t>
            </w:r>
          </w:p>
        </w:tc>
        <w:tc>
          <w:tcPr>
            <w:tcW w:w="180" w:type="dxa"/>
            <w:vAlign w:val="bottom"/>
            <w:shd w:val="clear" w:color="auto" w:fill="CCEEFF"/>
          </w:tcPr>
          <w:p>
            <w:pPr>
              <w:spacing w:after="0"/>
              <w:rPr>
                <w:sz w:val="17"/>
                <w:szCs w:val="17"/>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0.25</w:t>
            </w:r>
          </w:p>
        </w:tc>
        <w:tc>
          <w:tcPr>
            <w:tcW w:w="16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(0.07)</w:t>
            </w:r>
          </w:p>
        </w:tc>
        <w:tc>
          <w:tcPr>
            <w:tcW w:w="480" w:type="dxa"/>
            <w:vAlign w:val="bottom"/>
            <w:shd w:val="clear" w:color="auto" w:fill="CCEEFF"/>
          </w:tcPr>
          <w:p>
            <w:pPr>
              <w:spacing w:after="0"/>
              <w:rPr>
                <w:sz w:val="17"/>
                <w:szCs w:val="17"/>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17"/>
                <w:szCs w:val="17"/>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0.12</w:t>
            </w:r>
          </w:p>
        </w:tc>
        <w:tc>
          <w:tcPr>
            <w:tcW w:w="180" w:type="dxa"/>
            <w:vAlign w:val="bottom"/>
          </w:tcPr>
          <w:p>
            <w:pPr>
              <w:spacing w:after="0"/>
              <w:rPr>
                <w:sz w:val="18"/>
                <w:szCs w:val="18"/>
                <w:color w:val="auto"/>
              </w:rPr>
            </w:pP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(0.04)</w:t>
            </w:r>
          </w:p>
        </w:tc>
        <w:tc>
          <w:tcPr>
            <w:tcW w:w="4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0.08</w:t>
            </w:r>
          </w:p>
        </w:tc>
        <w:tc>
          <w:tcPr>
            <w:tcW w:w="180" w:type="dxa"/>
            <w:vAlign w:val="bottom"/>
          </w:tcPr>
          <w:p>
            <w:pPr>
              <w:spacing w:after="0"/>
              <w:rPr>
                <w:sz w:val="18"/>
                <w:szCs w:val="18"/>
                <w:color w:val="auto"/>
              </w:rPr>
            </w:pP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0.23</w:t>
            </w:r>
          </w:p>
        </w:tc>
        <w:tc>
          <w:tcPr>
            <w:tcW w:w="42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420"/>
              <w:spacing w:after="0"/>
              <w:rPr>
                <w:sz w:val="20"/>
                <w:szCs w:val="20"/>
                <w:color w:val="auto"/>
              </w:rPr>
            </w:pPr>
            <w:r>
              <w:rPr>
                <w:rFonts w:ascii="Arial" w:cs="Arial" w:eastAsia="Arial" w:hAnsi="Arial"/>
                <w:sz w:val="18"/>
                <w:szCs w:val="18"/>
                <w:color w:val="auto"/>
              </w:rPr>
              <w:t>(0.07)</w:t>
            </w: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561,832</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561,832</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559,709</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559,709</w:t>
            </w:r>
          </w:p>
        </w:tc>
        <w:tc>
          <w:tcPr>
            <w:tcW w:w="100" w:type="dxa"/>
            <w:vAlign w:val="bottom"/>
            <w:shd w:val="clear" w:color="auto" w:fill="CCEEFF"/>
          </w:tcPr>
          <w:p>
            <w:pPr>
              <w:spacing w:after="0"/>
              <w:rPr>
                <w:sz w:val="18"/>
                <w:szCs w:val="18"/>
                <w:color w:val="auto"/>
              </w:rPr>
            </w:pPr>
          </w:p>
        </w:tc>
      </w:tr>
      <w:tr>
        <w:trPr>
          <w:trHeight w:val="230"/>
        </w:trPr>
        <w:tc>
          <w:tcPr>
            <w:tcW w:w="390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24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626,205</w:t>
            </w: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626,205</w:t>
            </w:r>
          </w:p>
        </w:tc>
        <w:tc>
          <w:tcPr>
            <w:tcW w:w="1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623,798</w:t>
            </w:r>
          </w:p>
        </w:tc>
        <w:tc>
          <w:tcPr>
            <w:tcW w:w="1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623,798</w:t>
            </w:r>
          </w:p>
        </w:tc>
        <w:tc>
          <w:tcPr>
            <w:tcW w:w="10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162560</wp:posOffset>
            </wp:positionV>
            <wp:extent cx="13893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43" w:lineRule="exact"/>
        <w:rPr>
          <w:sz w:val="20"/>
          <w:szCs w:val="20"/>
          <w:color w:val="auto"/>
        </w:rPr>
      </w:pPr>
    </w:p>
    <w:p>
      <w:pPr>
        <w:ind w:left="360" w:right="80" w:hanging="352"/>
        <w:spacing w:after="0" w:line="277" w:lineRule="auto"/>
        <w:tabs>
          <w:tab w:leader="none" w:pos="344" w:val="left"/>
        </w:tabs>
        <w:numPr>
          <w:ilvl w:val="0"/>
          <w:numId w:val="23"/>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and reclassification of previously reported stock-based compensation expenses to the respective functional cost and expense line items.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2"/>
          </w:tcPr>
          <w:p>
            <w:pPr>
              <w:jc w:val="right"/>
              <w:ind w:right="300"/>
              <w:spacing w:after="0"/>
              <w:rPr>
                <w:sz w:val="20"/>
                <w:szCs w:val="20"/>
                <w:color w:val="auto"/>
              </w:rPr>
            </w:pPr>
            <w:r>
              <w:rPr>
                <w:rFonts w:ascii="Arial" w:cs="Arial" w:eastAsia="Arial" w:hAnsi="Arial"/>
                <w:sz w:val="14"/>
                <w:szCs w:val="14"/>
                <w:b w:val="1"/>
                <w:bCs w:val="1"/>
                <w:color w:val="auto"/>
                <w:w w:val="94"/>
              </w:rPr>
              <w:t>January 28, 2006</w:t>
            </w:r>
          </w:p>
        </w:tc>
        <w:tc>
          <w:tcPr>
            <w:tcW w:w="18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6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140" w:type="dxa"/>
            <w:vAlign w:val="bottom"/>
          </w:tcPr>
          <w:p>
            <w:pPr>
              <w:spacing w:after="0"/>
              <w:rPr>
                <w:sz w:val="8"/>
                <w:szCs w:val="8"/>
                <w:color w:val="auto"/>
              </w:rPr>
            </w:pPr>
          </w:p>
        </w:tc>
        <w:tc>
          <w:tcPr>
            <w:tcW w:w="9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20" w:type="dxa"/>
            <w:vAlign w:val="bottom"/>
            <w:gridSpan w:val="2"/>
            <w:vMerge w:val="restart"/>
          </w:tcPr>
          <w:p>
            <w:pPr>
              <w:jc w:val="right"/>
              <w:ind w:right="58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40" w:type="dxa"/>
            <w:vAlign w:val="bottom"/>
          </w:tcPr>
          <w:p>
            <w:pPr>
              <w:spacing w:after="0"/>
              <w:rPr>
                <w:sz w:val="11"/>
                <w:szCs w:val="11"/>
                <w:color w:val="auto"/>
              </w:rPr>
            </w:pPr>
          </w:p>
        </w:tc>
        <w:tc>
          <w:tcPr>
            <w:tcW w:w="1460" w:type="dxa"/>
            <w:vAlign w:val="bottom"/>
            <w:gridSpan w:val="2"/>
            <w:vMerge w:val="restart"/>
          </w:tcPr>
          <w:p>
            <w:pPr>
              <w:jc w:val="right"/>
              <w:ind w:right="560"/>
              <w:spacing w:after="0"/>
              <w:rPr>
                <w:sz w:val="20"/>
                <w:szCs w:val="20"/>
                <w:color w:val="auto"/>
              </w:rPr>
            </w:pPr>
            <w:r>
              <w:rPr>
                <w:rFonts w:ascii="Arial" w:cs="Arial" w:eastAsia="Arial" w:hAnsi="Arial"/>
                <w:sz w:val="14"/>
                <w:szCs w:val="14"/>
                <w:b w:val="1"/>
                <w:bCs w:val="1"/>
                <w:color w:val="auto"/>
                <w:w w:val="94"/>
              </w:rPr>
              <w:t>Adjustments</w:t>
            </w:r>
          </w:p>
        </w:tc>
        <w:tc>
          <w:tcPr>
            <w:tcW w:w="18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Reported</w:t>
            </w:r>
          </w:p>
        </w:tc>
        <w:tc>
          <w:tcPr>
            <w:tcW w:w="14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3880" w:type="dxa"/>
            <w:vAlign w:val="bottom"/>
            <w:tcBorders>
              <w:top w:val="single" w:sz="8" w:color="auto"/>
            </w:tcBorders>
            <w:gridSpan w:val="7"/>
          </w:tcPr>
          <w:p>
            <w:pPr>
              <w:jc w:val="right"/>
              <w:ind w:right="671"/>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572,591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 of $3,028</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211,374</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18,007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ind w:left="420"/>
              <w:spacing w:after="0"/>
              <w:rPr>
                <w:sz w:val="20"/>
                <w:szCs w:val="20"/>
                <w:color w:val="auto"/>
              </w:rPr>
            </w:pPr>
            <w:r>
              <w:rPr>
                <w:rFonts w:ascii="Arial" w:cs="Arial" w:eastAsia="Arial" w:hAnsi="Arial"/>
                <w:sz w:val="18"/>
                <w:szCs w:val="18"/>
                <w:color w:val="auto"/>
              </w:rPr>
              <w:t>(14,062)(B)</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3,945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4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4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260,921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111,973</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5,279(B)</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7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18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(8,783)</w:t>
            </w:r>
          </w:p>
        </w:tc>
        <w:tc>
          <w:tcPr>
            <w:tcW w:w="48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7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196,606</w:t>
            </w:r>
          </w:p>
        </w:tc>
        <w:tc>
          <w:tcPr>
            <w:tcW w:w="18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51,549</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160"/>
              <w:spacing w:after="0"/>
              <w:rPr>
                <w:sz w:val="20"/>
                <w:szCs w:val="20"/>
                <w:color w:val="auto"/>
              </w:rPr>
            </w:pPr>
            <w:r>
              <w:rPr>
                <w:rFonts w:ascii="Arial" w:cs="Arial" w:eastAsia="Arial" w:hAnsi="Arial"/>
                <w:sz w:val="18"/>
                <w:szCs w:val="18"/>
                <w:color w:val="auto"/>
              </w:rPr>
              <w:t>7,628(C)</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59,177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21,042(B)</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29,773</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29,773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1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48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Capital lease obligations, net of current portion</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Non-current income taxes payable</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85,126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160"/>
              <w:spacing w:after="0"/>
              <w:rPr>
                <w:sz w:val="20"/>
                <w:szCs w:val="20"/>
                <w:color w:val="auto"/>
              </w:rPr>
            </w:pPr>
            <w:r>
              <w:rPr>
                <w:rFonts w:ascii="Arial" w:cs="Arial" w:eastAsia="Arial" w:hAnsi="Arial"/>
                <w:sz w:val="18"/>
                <w:szCs w:val="18"/>
                <w:color w:val="auto"/>
              </w:rPr>
              <w:t>1,419(B)</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86,545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Other long-term liabilities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18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48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3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w w:val="95"/>
              </w:rPr>
              <w:t>Preferred stock, $0.002 par value; 8,000 shares authorized; no shares issued and outstanding</w:t>
            </w:r>
          </w:p>
        </w:tc>
        <w:tc>
          <w:tcPr>
            <w:tcW w:w="140" w:type="dxa"/>
            <w:vAlign w:val="bottom"/>
          </w:tcPr>
          <w:p>
            <w:pPr>
              <w:spacing w:after="0"/>
              <w:rPr>
                <w:sz w:val="18"/>
                <w:szCs w:val="18"/>
                <w:color w:val="auto"/>
              </w:rPr>
            </w:pPr>
          </w:p>
        </w:tc>
        <w:tc>
          <w:tcPr>
            <w:tcW w:w="11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30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9"/>
              </w:rPr>
              <w:t>Common stock, $0.002 par value; 992,000 shares authorized; 582,776 shares issued and</w:t>
            </w: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outstanding</w:t>
            </w:r>
          </w:p>
        </w:tc>
        <w:tc>
          <w:tcPr>
            <w:tcW w:w="140" w:type="dxa"/>
            <w:vAlign w:val="bottom"/>
            <w:shd w:val="clear" w:color="auto" w:fill="CCEEFF"/>
          </w:tcPr>
          <w:p>
            <w:pPr>
              <w:spacing w:after="0"/>
              <w:rPr>
                <w:sz w:val="20"/>
                <w:szCs w:val="20"/>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4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3,249,587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60" w:type="dxa"/>
            <w:vAlign w:val="bottom"/>
            <w:gridSpan w:val="2"/>
          </w:tcPr>
          <w:p>
            <w:pPr>
              <w:jc w:val="right"/>
              <w:ind w:right="140"/>
              <w:spacing w:after="0"/>
              <w:rPr>
                <w:sz w:val="20"/>
                <w:szCs w:val="20"/>
                <w:color w:val="auto"/>
              </w:rPr>
            </w:pPr>
            <w:r>
              <w:rPr>
                <w:rFonts w:ascii="Arial" w:cs="Arial" w:eastAsia="Arial" w:hAnsi="Arial"/>
                <w:sz w:val="18"/>
                <w:szCs w:val="18"/>
                <w:color w:val="auto"/>
              </w:rPr>
              <w:t>384,652(A)</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3,634,239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(1,141)</w:t>
            </w: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(60,846)(A)</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(61,987)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60"/>
              <w:spacing w:after="0"/>
              <w:rPr>
                <w:sz w:val="20"/>
                <w:szCs w:val="20"/>
                <w:color w:val="auto"/>
              </w:rPr>
            </w:pPr>
            <w:r>
              <w:rPr>
                <w:rFonts w:ascii="Arial" w:cs="Arial" w:eastAsia="Arial" w:hAnsi="Arial"/>
                <w:sz w:val="18"/>
                <w:szCs w:val="18"/>
                <w:color w:val="auto"/>
              </w:rPr>
              <w:t>Accumulated other comprehensive loss</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(1,759)</w:t>
            </w:r>
          </w:p>
        </w:tc>
        <w:tc>
          <w:tcPr>
            <w:tcW w:w="140" w:type="dxa"/>
            <w:vAlign w:val="bottom"/>
          </w:tcPr>
          <w:p>
            <w:pPr>
              <w:spacing w:after="0"/>
              <w:rPr>
                <w:sz w:val="18"/>
                <w:szCs w:val="18"/>
                <w:color w:val="auto"/>
              </w:rPr>
            </w:pP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(201,755)</w:t>
            </w:r>
          </w:p>
        </w:tc>
        <w:tc>
          <w:tcPr>
            <w:tcW w:w="14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(362,678)</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(564,433)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18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48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18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(8,783</w:t>
            </w:r>
          </w:p>
        </w:tc>
        <w:tc>
          <w:tcPr>
            <w:tcW w:w="480" w:type="dxa"/>
            <w:vAlign w:val="bottom"/>
            <w:tcBorders>
              <w:bottom w:val="single" w:sz="8" w:color="CCEEFF"/>
            </w:tcBorders>
            <w:shd w:val="clear" w:color="auto" w:fill="CCEEFF"/>
          </w:tcPr>
          <w:p>
            <w:pPr>
              <w:jc w:val="right"/>
              <w:ind w:right="340"/>
              <w:spacing w:after="0"/>
              <w:rPr>
                <w:sz w:val="20"/>
                <w:szCs w:val="20"/>
                <w:color w:val="auto"/>
              </w:rPr>
            </w:pPr>
            <w:r>
              <w:rPr>
                <w:rFonts w:ascii="Arial" w:cs="Arial" w:eastAsia="Arial" w:hAnsi="Arial"/>
                <w:sz w:val="16"/>
                <w:szCs w:val="16"/>
                <w:color w:val="auto"/>
                <w:w w:val="74"/>
              </w:rPr>
              <w:t>)</w:t>
            </w: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3,504,506</w:t>
            </w:r>
          </w:p>
        </w:tc>
        <w:tc>
          <w:tcPr>
            <w:tcW w:w="8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(A.) Adjustments for additional stock-based compensation expense pursuant to APB 25, net of tax benefit from employee stock transactions.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 Adjustments to deferred tax assets arising from the stock-based compensation charge.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Adjustments for additional payroll taxes.</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the three and six months ended July 29, 2005:</w:t>
      </w:r>
    </w:p>
    <w:p>
      <w:pPr>
        <w:sectPr>
          <w:pgSz w:w="11900" w:h="16838" w:orient="portrait"/>
          <w:cols w:equalWidth="0" w:num="1">
            <w:col w:w="11420"/>
          </w:cols>
          <w:pgMar w:left="240" w:top="120" w:right="239" w:bottom="0" w:gutter="0" w:footer="0" w:header="0"/>
        </w:sectPr>
      </w:pPr>
    </w:p>
    <w:bookmarkStart w:id="35" w:name="page36"/>
    <w:bookmarkEnd w:id="35"/>
    <w:tbl>
      <w:tblPr>
        <w:tblLayout w:type="fixed"/>
        <w:tblInd w:w="0" w:type="dxa"/>
        <w:tblCellMar>
          <w:top w:w="0" w:type="dxa"/>
          <w:left w:w="0" w:type="dxa"/>
          <w:bottom w:w="0" w:type="dxa"/>
          <w:right w:w="0" w:type="dxa"/>
        </w:tblCellMar>
      </w:tblPr>
      <w:tr>
        <w:trPr>
          <w:trHeight w:val="171"/>
        </w:trPr>
        <w:tc>
          <w:tcPr>
            <w:tcW w:w="73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90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Six Months Ended July 29, 2005</w:t>
            </w:r>
          </w:p>
        </w:tc>
        <w:tc>
          <w:tcPr>
            <w:tcW w:w="9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3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60" w:type="dxa"/>
            <w:vAlign w:val="bottom"/>
            <w:gridSpan w:val="2"/>
          </w:tcPr>
          <w:p>
            <w:pPr>
              <w:jc w:val="center"/>
              <w:ind w:right="360"/>
              <w:spacing w:after="0" w:line="102" w:lineRule="exact"/>
              <w:rPr>
                <w:sz w:val="20"/>
                <w:szCs w:val="20"/>
                <w:color w:val="auto"/>
              </w:rPr>
            </w:pPr>
            <w:r>
              <w:rPr>
                <w:rFonts w:ascii="Arial" w:cs="Arial" w:eastAsia="Arial" w:hAnsi="Arial"/>
                <w:sz w:val="11"/>
                <w:szCs w:val="11"/>
                <w:b w:val="1"/>
                <w:bCs w:val="1"/>
                <w:color w:val="auto"/>
              </w:rPr>
              <w:t>As</w:t>
            </w:r>
          </w:p>
        </w:tc>
        <w:tc>
          <w:tcPr>
            <w:tcW w:w="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14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7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20" w:type="dxa"/>
            <w:vAlign w:val="bottom"/>
          </w:tcPr>
          <w:p>
            <w:pPr>
              <w:spacing w:after="0"/>
              <w:rPr>
                <w:sz w:val="11"/>
                <w:szCs w:val="11"/>
                <w:color w:val="auto"/>
              </w:rPr>
            </w:pPr>
          </w:p>
        </w:tc>
        <w:tc>
          <w:tcPr>
            <w:tcW w:w="1480" w:type="dxa"/>
            <w:vAlign w:val="bottom"/>
            <w:gridSpan w:val="2"/>
            <w:vMerge w:val="restart"/>
          </w:tcPr>
          <w:p>
            <w:pPr>
              <w:jc w:val="right"/>
              <w:ind w:right="600"/>
              <w:spacing w:after="0"/>
              <w:rPr>
                <w:sz w:val="20"/>
                <w:szCs w:val="20"/>
                <w:color w:val="auto"/>
              </w:rPr>
            </w:pPr>
            <w:r>
              <w:rPr>
                <w:rFonts w:ascii="Arial" w:cs="Arial" w:eastAsia="Arial" w:hAnsi="Arial"/>
                <w:sz w:val="14"/>
                <w:szCs w:val="14"/>
                <w:b w:val="1"/>
                <w:bCs w:val="1"/>
                <w:color w:val="auto"/>
              </w:rPr>
              <w:t>Adjustments</w:t>
            </w:r>
          </w:p>
        </w:tc>
        <w:tc>
          <w:tcPr>
            <w:tcW w:w="140" w:type="dxa"/>
            <w:vAlign w:val="bottom"/>
          </w:tcPr>
          <w:p>
            <w:pPr>
              <w:spacing w:after="0"/>
              <w:rPr>
                <w:sz w:val="11"/>
                <w:szCs w:val="11"/>
                <w:color w:val="auto"/>
              </w:rPr>
            </w:pPr>
          </w:p>
        </w:tc>
        <w:tc>
          <w:tcPr>
            <w:tcW w:w="1060" w:type="dxa"/>
            <w:vAlign w:val="bottom"/>
            <w:gridSpan w:val="2"/>
            <w:vMerge w:val="restart"/>
          </w:tcPr>
          <w:p>
            <w:pPr>
              <w:jc w:val="right"/>
              <w:ind w:right="280"/>
              <w:spacing w:after="0"/>
              <w:rPr>
                <w:sz w:val="20"/>
                <w:szCs w:val="20"/>
                <w:color w:val="auto"/>
              </w:rPr>
            </w:pPr>
            <w:r>
              <w:rPr>
                <w:rFonts w:ascii="Arial" w:cs="Arial" w:eastAsia="Arial" w:hAnsi="Arial"/>
                <w:sz w:val="14"/>
                <w:szCs w:val="14"/>
                <w:b w:val="1"/>
                <w:bCs w:val="1"/>
                <w:color w:val="auto"/>
                <w:w w:val="93"/>
              </w:rPr>
              <w:t>As Restated</w:t>
            </w:r>
          </w:p>
        </w:tc>
        <w:tc>
          <w:tcPr>
            <w:tcW w:w="0" w:type="dxa"/>
            <w:vAlign w:val="bottom"/>
          </w:tcPr>
          <w:p>
            <w:pPr>
              <w:spacing w:after="0"/>
              <w:rPr>
                <w:sz w:val="1"/>
                <w:szCs w:val="1"/>
                <w:color w:val="auto"/>
              </w:rPr>
            </w:pPr>
          </w:p>
        </w:tc>
      </w:tr>
      <w:tr>
        <w:trPr>
          <w:trHeight w:val="162"/>
        </w:trPr>
        <w:tc>
          <w:tcPr>
            <w:tcW w:w="7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Reported</w:t>
            </w:r>
          </w:p>
        </w:tc>
        <w:tc>
          <w:tcPr>
            <w:tcW w:w="120" w:type="dxa"/>
            <w:vAlign w:val="bottom"/>
          </w:tcPr>
          <w:p>
            <w:pPr>
              <w:spacing w:after="0"/>
              <w:rPr>
                <w:sz w:val="14"/>
                <w:szCs w:val="14"/>
                <w:color w:val="auto"/>
              </w:rPr>
            </w:pPr>
          </w:p>
        </w:tc>
        <w:tc>
          <w:tcPr>
            <w:tcW w:w="14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3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71"/>
              <w:spacing w:after="0" w:line="129" w:lineRule="exact"/>
              <w:rPr>
                <w:sz w:val="20"/>
                <w:szCs w:val="20"/>
                <w:color w:val="auto"/>
              </w:rPr>
            </w:pPr>
            <w:r>
              <w:rPr>
                <w:rFonts w:ascii="Arial" w:cs="Arial" w:eastAsia="Arial" w:hAnsi="Arial"/>
                <w:sz w:val="14"/>
                <w:szCs w:val="14"/>
                <w:b w:val="1"/>
                <w:bCs w:val="1"/>
                <w:color w:val="auto"/>
                <w:w w:val="95"/>
              </w:rPr>
              <w:t>(In thousands)</w:t>
            </w:r>
          </w:p>
        </w:tc>
        <w:tc>
          <w:tcPr>
            <w:tcW w:w="38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140,834</w:t>
            </w:r>
          </w:p>
        </w:tc>
        <w:tc>
          <w:tcPr>
            <w:tcW w:w="1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80" w:type="dxa"/>
            <w:vAlign w:val="bottom"/>
            <w:gridSpan w:val="2"/>
          </w:tcPr>
          <w:p>
            <w:pPr>
              <w:jc w:val="right"/>
              <w:ind w:right="320"/>
              <w:spacing w:after="0"/>
              <w:rPr>
                <w:sz w:val="20"/>
                <w:szCs w:val="20"/>
                <w:color w:val="auto"/>
              </w:rPr>
            </w:pPr>
            <w:r>
              <w:rPr>
                <w:rFonts w:ascii="Arial" w:cs="Arial" w:eastAsia="Arial" w:hAnsi="Arial"/>
                <w:sz w:val="18"/>
                <w:szCs w:val="18"/>
                <w:color w:val="auto"/>
              </w:rPr>
              <w:t>(39,788)</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101,046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540"/>
              <w:spacing w:after="0"/>
              <w:rPr>
                <w:sz w:val="20"/>
                <w:szCs w:val="20"/>
                <w:color w:val="auto"/>
              </w:rPr>
            </w:pPr>
            <w:r>
              <w:rPr>
                <w:rFonts w:ascii="Arial" w:cs="Arial" w:eastAsia="Arial" w:hAnsi="Arial"/>
                <w:sz w:val="18"/>
                <w:szCs w:val="18"/>
                <w:color w:val="auto"/>
              </w:rPr>
              <w:t>Depreciation and amortization</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27,589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27,589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Stock-based compensation</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37,839(A)</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39,227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39,512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39,512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Changes in assets and liabilities, net of acquisition:</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540"/>
              <w:spacing w:after="0"/>
              <w:rPr>
                <w:sz w:val="20"/>
                <w:szCs w:val="20"/>
                <w:color w:val="auto"/>
              </w:rPr>
            </w:pPr>
            <w:r>
              <w:rPr>
                <w:rFonts w:ascii="Arial" w:cs="Arial" w:eastAsia="Arial" w:hAnsi="Arial"/>
                <w:sz w:val="18"/>
                <w:szCs w:val="18"/>
                <w:color w:val="auto"/>
              </w:rPr>
              <w:t>Accounts receivable</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(9,255)</w:t>
            </w: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(9,255)</w:t>
            </w: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Inventories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540"/>
              <w:spacing w:after="0"/>
              <w:rPr>
                <w:sz w:val="20"/>
                <w:szCs w:val="20"/>
                <w:color w:val="auto"/>
              </w:rPr>
            </w:pPr>
            <w:r>
              <w:rPr>
                <w:rFonts w:ascii="Arial" w:cs="Arial" w:eastAsia="Arial" w:hAnsi="Arial"/>
                <w:sz w:val="18"/>
                <w:szCs w:val="18"/>
                <w:color w:val="auto"/>
              </w:rPr>
              <w:t>Prepaid expenses and other assets</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(63,308)</w:t>
            </w: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(65,308)</w:t>
            </w: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Accounts payable</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540"/>
              <w:spacing w:after="0"/>
              <w:rPr>
                <w:sz w:val="20"/>
                <w:szCs w:val="20"/>
                <w:color w:val="auto"/>
              </w:rPr>
            </w:pPr>
            <w:r>
              <w:rPr>
                <w:rFonts w:ascii="Arial" w:cs="Arial" w:eastAsia="Arial" w:hAnsi="Arial"/>
                <w:sz w:val="18"/>
                <w:szCs w:val="18"/>
                <w:color w:val="auto"/>
              </w:rPr>
              <w:t>Accrued liabilities and other</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1,048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Accrued employee compensation</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1,949(B)</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540"/>
              <w:spacing w:after="0"/>
              <w:rPr>
                <w:sz w:val="20"/>
                <w:szCs w:val="20"/>
                <w:color w:val="auto"/>
              </w:rPr>
            </w:pPr>
            <w:r>
              <w:rPr>
                <w:rFonts w:ascii="Arial" w:cs="Arial" w:eastAsia="Arial" w:hAnsi="Arial"/>
                <w:sz w:val="18"/>
                <w:szCs w:val="18"/>
                <w:color w:val="auto"/>
              </w:rPr>
              <w:t>Income taxes payable</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18,148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18,148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Deferred income</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32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Net cash provided by operating activities</w:t>
            </w: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18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181,034</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(253,023)</w:t>
            </w: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(253,023)</w:t>
            </w: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150,524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150,524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(37,841)</w:t>
            </w: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(37,841)</w:t>
            </w:r>
          </w:p>
        </w:tc>
        <w:tc>
          <w:tcPr>
            <w:tcW w:w="0" w:type="dxa"/>
            <w:vAlign w:val="bottom"/>
          </w:tcPr>
          <w:p>
            <w:pPr>
              <w:spacing w:after="0"/>
              <w:rPr>
                <w:sz w:val="1"/>
                <w:szCs w:val="1"/>
                <w:color w:val="auto"/>
              </w:rPr>
            </w:pPr>
          </w:p>
        </w:tc>
      </w:tr>
      <w:tr>
        <w:trPr>
          <w:trHeight w:val="210"/>
        </w:trPr>
        <w:tc>
          <w:tcPr>
            <w:tcW w:w="7320" w:type="dxa"/>
            <w:vAlign w:val="bottom"/>
            <w:tcBorders>
              <w:top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Net cash provided by (used in) investing activities</w:t>
            </w: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(140,340)</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(140,340)</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32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40" w:type="dxa"/>
            <w:vAlign w:val="bottom"/>
          </w:tcPr>
          <w:p>
            <w:pPr>
              <w:spacing w:after="0"/>
              <w:rPr>
                <w:sz w:val="18"/>
                <w:szCs w:val="18"/>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(6,784)</w:t>
            </w:r>
          </w:p>
        </w:tc>
        <w:tc>
          <w:tcPr>
            <w:tcW w:w="120" w:type="dxa"/>
            <w:vAlign w:val="bottom"/>
          </w:tcPr>
          <w:p>
            <w:pPr>
              <w:spacing w:after="0"/>
              <w:rPr>
                <w:sz w:val="18"/>
                <w:szCs w:val="18"/>
                <w:color w:val="auto"/>
              </w:rPr>
            </w:pPr>
          </w:p>
        </w:tc>
        <w:tc>
          <w:tcPr>
            <w:tcW w:w="14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(6,784)</w:t>
            </w:r>
          </w:p>
        </w:tc>
        <w:tc>
          <w:tcPr>
            <w:tcW w:w="0" w:type="dxa"/>
            <w:vAlign w:val="bottom"/>
          </w:tcPr>
          <w:p>
            <w:pPr>
              <w:spacing w:after="0"/>
              <w:rPr>
                <w:sz w:val="1"/>
                <w:szCs w:val="1"/>
                <w:color w:val="auto"/>
              </w:rPr>
            </w:pPr>
          </w:p>
        </w:tc>
      </w:tr>
      <w:tr>
        <w:trPr>
          <w:trHeight w:val="210"/>
        </w:trPr>
        <w:tc>
          <w:tcPr>
            <w:tcW w:w="7320" w:type="dxa"/>
            <w:vAlign w:val="bottom"/>
            <w:tcBorders>
              <w:top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Net cash provided by financing activities</w:t>
            </w: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44,822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44,822</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320" w:type="dxa"/>
            <w:vAlign w:val="bottom"/>
          </w:tcPr>
          <w:p>
            <w:pPr>
              <w:spacing w:after="0"/>
              <w:rPr>
                <w:sz w:val="20"/>
                <w:szCs w:val="20"/>
                <w:color w:val="auto"/>
              </w:rPr>
            </w:pPr>
            <w:r>
              <w:rPr>
                <w:rFonts w:ascii="Arial" w:cs="Arial" w:eastAsia="Arial" w:hAnsi="Arial"/>
                <w:sz w:val="18"/>
                <w:szCs w:val="18"/>
                <w:color w:val="auto"/>
              </w:rPr>
              <w:t>Net increase (decrease) in cash and cash equivalents</w:t>
            </w: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85,516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85,516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3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32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251,987</w:t>
            </w:r>
          </w:p>
        </w:tc>
        <w:tc>
          <w:tcPr>
            <w:tcW w:w="1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251,987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(A.) Adjustments for additional stock-based compensation expense pursuant to APB 25.</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 Adjustments for additional payroll tax.</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27, 2007, as filed concurrently with this Form 10-Q with the U.S. Securities and Exchange Commission. There have been no material changes in any of our accounting policies during fiscal 2007.</w:t>
      </w:r>
    </w:p>
    <w:p>
      <w:pPr>
        <w:spacing w:after="0" w:line="167"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Effective January 29, 2006, we adopted FASB Statement of Financial Accounting Standards No. 123 (revised 2004), “Share</w:t>
      </w:r>
      <w:r>
        <w:rPr>
          <w:rFonts w:ascii="Arial" w:cs="Arial" w:eastAsia="Arial" w:hAnsi="Arial"/>
          <w:sz w:val="16"/>
          <w:szCs w:val="16"/>
          <w:i w:val="1"/>
          <w:iCs w:val="1"/>
          <w:color w:val="auto"/>
        </w:rPr>
        <w:t xml:space="preserve"> </w:t>
      </w:r>
      <w:r>
        <w:rPr>
          <w:rFonts w:ascii="Arial" w:cs="Arial" w:eastAsia="Arial" w:hAnsi="Arial"/>
          <w:sz w:val="16"/>
          <w:szCs w:val="16"/>
          <w:color w:val="auto"/>
        </w:rPr>
        <w:t>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We have applied the provisions of SAB 107 in our adoption of SFAS 123R.</w:t>
      </w:r>
    </w:p>
    <w:p>
      <w:pPr>
        <w:spacing w:after="0" w:line="166"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Prior to January 29, 2006, we accounted for our stock based compensation plans using the intrinsic value method under the provisions of APB 25 and related guidance, under the accelerated method of amortization. We adopted SFAS 123R using the modified prospective method. Under the modified prospective method, our results of operations include compensation costs of unvested options granted prior to January 29, 2006, and options granted subsequent to that date. For grants prior to January 29, 2006, we amortize stock-based compensation expense under the accelerated method. For grants from January 29, 2006, we amortize stock-based compensation expense ratably over the vest term.</w:t>
      </w:r>
    </w:p>
    <w:p>
      <w:pPr>
        <w:spacing w:after="0" w:line="188"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As a result of the adoption of SFAS 123R, our stock-based compensation increased from $29.6 million and $39.2 million in the three and six months ended July 30, 2005, respectively, to $55.6 million and $104.4 million in the three and six months ended July 29, 2006, respectively. In accordance with the modified prospective method, the consolidated financial statements for prior periods have not been restated to reflect, and do not include, the impact of SFAS 123R.</w:t>
      </w:r>
    </w:p>
    <w:p>
      <w:pPr>
        <w:spacing w:after="0" w:line="187" w:lineRule="exact"/>
        <w:rPr>
          <w:sz w:val="20"/>
          <w:szCs w:val="20"/>
          <w:color w:val="auto"/>
        </w:rPr>
      </w:pPr>
    </w:p>
    <w:p>
      <w:pPr>
        <w:ind w:right="100" w:firstLine="324"/>
        <w:spacing w:after="0" w:line="302" w:lineRule="auto"/>
        <w:rPr>
          <w:sz w:val="20"/>
          <w:szCs w:val="20"/>
          <w:color w:val="auto"/>
        </w:rPr>
      </w:pPr>
      <w:r>
        <w:rPr>
          <w:rFonts w:ascii="Arial" w:cs="Arial" w:eastAsia="Arial" w:hAnsi="Arial"/>
          <w:sz w:val="16"/>
          <w:szCs w:val="16"/>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The Black-Scholes model considers, among other factors, the expected life of the award and the</w:t>
      </w:r>
    </w:p>
    <w:p>
      <w:pPr>
        <w:sectPr>
          <w:pgSz w:w="11900" w:h="16838" w:orient="portrait"/>
          <w:cols w:equalWidth="0" w:num="1">
            <w:col w:w="11420"/>
          </w:cols>
          <w:pgMar w:left="240" w:top="104" w:right="239" w:bottom="0" w:gutter="0" w:footer="0" w:header="0"/>
        </w:sectPr>
      </w:pPr>
    </w:p>
    <w:bookmarkStart w:id="36" w:name="page37"/>
    <w:bookmarkEnd w:id="36"/>
    <w:p>
      <w:pPr>
        <w:jc w:val="both"/>
        <w:ind w:right="140"/>
        <w:spacing w:after="0" w:line="264" w:lineRule="auto"/>
        <w:rPr>
          <w:sz w:val="20"/>
          <w:szCs w:val="20"/>
          <w:color w:val="auto"/>
        </w:rPr>
      </w:pPr>
      <w:r>
        <w:rPr>
          <w:rFonts w:ascii="Arial" w:cs="Arial" w:eastAsia="Arial" w:hAnsi="Arial"/>
          <w:sz w:val="18"/>
          <w:szCs w:val="18"/>
          <w:color w:val="auto"/>
        </w:rPr>
        <w:t>expected volatility of our stock price. Although the Black-Scholes model meets the requirements of SFAS 123R and SAB 107,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181"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187"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Prior to the adoption of SFAS 123R, we presented deferred compensation as a separate component of shareholders’ equity. In accordance with the provisions of SFAS 123R, on January 29, 2006, we eliminated unamortized deferred compensation totaling $62.0 million on that date with a corresponding reduction in additional paid-in capital.</w:t>
      </w:r>
    </w:p>
    <w:p>
      <w:pPr>
        <w:spacing w:after="0" w:line="3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88"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Significant management judgment is required in determining current and long-term tax payable, deferred tax assets and liabilities and any valuation allowance recorded against net deferred tax assets. We have recorded a valuation allowance against our net deferred tax assets due to uncertainties related to our ability to realize some of our deferred tax assets before the underlying tax attributes expire primarily related to our ability to utilize research and development tax credits and certain acquired net operating losses. The valuation allowance determination is based on an evaluation of all available positive and negative evidence in determining our estimates of taxable income in the jurisdictions in which we operate and the period over which our deferred tax assets will be recoverable.</w:t>
      </w:r>
    </w:p>
    <w:p>
      <w:pPr>
        <w:spacing w:after="0" w:line="193" w:lineRule="exact"/>
        <w:rPr>
          <w:sz w:val="20"/>
          <w:szCs w:val="20"/>
          <w:color w:val="auto"/>
        </w:rPr>
      </w:pPr>
    </w:p>
    <w:p>
      <w:pPr>
        <w:ind w:firstLine="324"/>
        <w:spacing w:after="0" w:line="276" w:lineRule="auto"/>
        <w:rPr>
          <w:sz w:val="20"/>
          <w:szCs w:val="20"/>
          <w:color w:val="auto"/>
        </w:rPr>
      </w:pPr>
      <w:r>
        <w:rPr>
          <w:rFonts w:ascii="Arial" w:cs="Arial" w:eastAsia="Arial" w:hAnsi="Arial"/>
          <w:sz w:val="17"/>
          <w:szCs w:val="17"/>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73" w:lineRule="exact"/>
        <w:rPr>
          <w:sz w:val="20"/>
          <w:szCs w:val="20"/>
          <w:color w:val="auto"/>
        </w:rPr>
      </w:pPr>
    </w:p>
    <w:p>
      <w:pPr>
        <w:ind w:right="280" w:firstLine="324"/>
        <w:spacing w:after="0" w:line="308" w:lineRule="auto"/>
        <w:rPr>
          <w:sz w:val="20"/>
          <w:szCs w:val="20"/>
          <w:color w:val="auto"/>
        </w:rPr>
      </w:pPr>
      <w:r>
        <w:rPr>
          <w:rFonts w:ascii="Arial" w:cs="Arial" w:eastAsia="Arial" w:hAnsi="Arial"/>
          <w:sz w:val="17"/>
          <w:szCs w:val="17"/>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4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49"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2080" w:type="dxa"/>
            <w:vAlign w:val="bottom"/>
            <w:gridSpan w:val="4"/>
          </w:tcPr>
          <w:p>
            <w:pPr>
              <w:jc w:val="right"/>
              <w:ind w:right="410"/>
              <w:spacing w:after="0"/>
              <w:rPr>
                <w:sz w:val="20"/>
                <w:szCs w:val="20"/>
                <w:color w:val="auto"/>
              </w:rPr>
            </w:pPr>
            <w:r>
              <w:rPr>
                <w:rFonts w:ascii="Arial" w:cs="Arial" w:eastAsia="Arial" w:hAnsi="Arial"/>
                <w:sz w:val="14"/>
                <w:szCs w:val="14"/>
                <w:b w:val="1"/>
                <w:bCs w:val="1"/>
                <w:color w:val="auto"/>
              </w:rPr>
              <w:t>Three Months Ended</w:t>
            </w:r>
          </w:p>
        </w:tc>
        <w:tc>
          <w:tcPr>
            <w:tcW w:w="2060" w:type="dxa"/>
            <w:vAlign w:val="bottom"/>
            <w:gridSpan w:val="4"/>
          </w:tcPr>
          <w:p>
            <w:pPr>
              <w:jc w:val="right"/>
              <w:ind w:right="470"/>
              <w:spacing w:after="0"/>
              <w:rPr>
                <w:sz w:val="20"/>
                <w:szCs w:val="20"/>
                <w:color w:val="auto"/>
              </w:rPr>
            </w:pPr>
            <w:r>
              <w:rPr>
                <w:rFonts w:ascii="Arial" w:cs="Arial" w:eastAsia="Arial" w:hAnsi="Arial"/>
                <w:sz w:val="14"/>
                <w:szCs w:val="14"/>
                <w:b w:val="1"/>
                <w:bCs w:val="1"/>
                <w:color w:val="auto"/>
              </w:rPr>
              <w:t>Six Months Ended</w:t>
            </w:r>
          </w:p>
        </w:tc>
      </w:tr>
      <w:tr>
        <w:trPr>
          <w:trHeight w:val="102"/>
        </w:trPr>
        <w:tc>
          <w:tcPr>
            <w:tcW w:w="20" w:type="dxa"/>
            <w:vAlign w:val="bottom"/>
          </w:tcPr>
          <w:p>
            <w:pPr>
              <w:spacing w:after="0"/>
              <w:rPr>
                <w:sz w:val="8"/>
                <w:szCs w:val="8"/>
                <w:color w:val="auto"/>
              </w:rPr>
            </w:pPr>
          </w:p>
        </w:tc>
        <w:tc>
          <w:tcPr>
            <w:tcW w:w="4360" w:type="dxa"/>
            <w:vAlign w:val="bottom"/>
          </w:tcPr>
          <w:p>
            <w:pPr>
              <w:spacing w:after="0"/>
              <w:rPr>
                <w:sz w:val="8"/>
                <w:szCs w:val="8"/>
                <w:color w:val="auto"/>
              </w:rPr>
            </w:pPr>
          </w:p>
        </w:tc>
        <w:tc>
          <w:tcPr>
            <w:tcW w:w="1040" w:type="dxa"/>
            <w:vAlign w:val="bottom"/>
            <w:tcBorders>
              <w:top w:val="single" w:sz="8" w:color="auto"/>
            </w:tcBorders>
            <w:gridSpan w:val="2"/>
          </w:tcPr>
          <w:p>
            <w:pPr>
              <w:jc w:val="right"/>
              <w:ind w:right="310"/>
              <w:spacing w:after="0" w:line="102" w:lineRule="exact"/>
              <w:rPr>
                <w:sz w:val="20"/>
                <w:szCs w:val="20"/>
                <w:color w:val="auto"/>
              </w:rPr>
            </w:pPr>
            <w:r>
              <w:rPr>
                <w:rFonts w:ascii="Arial" w:cs="Arial" w:eastAsia="Arial" w:hAnsi="Arial"/>
                <w:sz w:val="11"/>
                <w:szCs w:val="11"/>
                <w:b w:val="1"/>
                <w:bCs w:val="1"/>
                <w:color w:val="auto"/>
              </w:rPr>
              <w:t>July 29,</w:t>
            </w:r>
          </w:p>
        </w:tc>
        <w:tc>
          <w:tcPr>
            <w:tcW w:w="82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40" w:type="dxa"/>
            <w:vAlign w:val="bottom"/>
            <w:tcBorders>
              <w:top w:val="single" w:sz="8" w:color="auto"/>
            </w:tcBorders>
            <w:gridSpan w:val="2"/>
          </w:tcPr>
          <w:p>
            <w:pPr>
              <w:jc w:val="right"/>
              <w:ind w:right="310"/>
              <w:spacing w:after="0" w:line="102" w:lineRule="exact"/>
              <w:rPr>
                <w:sz w:val="20"/>
                <w:szCs w:val="20"/>
                <w:color w:val="auto"/>
              </w:rPr>
            </w:pPr>
            <w:r>
              <w:rPr>
                <w:rFonts w:ascii="Arial" w:cs="Arial" w:eastAsia="Arial" w:hAnsi="Arial"/>
                <w:sz w:val="11"/>
                <w:szCs w:val="11"/>
                <w:b w:val="1"/>
                <w:bCs w:val="1"/>
                <w:color w:val="auto"/>
              </w:rPr>
              <w:t>July 29,</w:t>
            </w:r>
          </w:p>
        </w:tc>
        <w:tc>
          <w:tcPr>
            <w:tcW w:w="8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180" w:type="dxa"/>
            <w:vAlign w:val="bottom"/>
          </w:tcPr>
          <w:p>
            <w:pPr>
              <w:spacing w:after="0"/>
              <w:rPr>
                <w:sz w:val="8"/>
                <w:szCs w:val="8"/>
                <w:color w:val="auto"/>
              </w:rPr>
            </w:pPr>
          </w:p>
        </w:tc>
      </w:tr>
      <w:tr>
        <w:trPr>
          <w:trHeight w:val="162"/>
        </w:trPr>
        <w:tc>
          <w:tcPr>
            <w:tcW w:w="2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8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8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43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47.4</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47.8</w:t>
            </w:r>
          </w:p>
        </w:tc>
        <w:tc>
          <w:tcPr>
            <w:tcW w:w="1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820" w:type="dxa"/>
            <w:vAlign w:val="bottom"/>
          </w:tcPr>
          <w:p>
            <w:pPr>
              <w:jc w:val="right"/>
              <w:spacing w:after="0"/>
              <w:rPr>
                <w:sz w:val="20"/>
                <w:szCs w:val="20"/>
                <w:color w:val="auto"/>
              </w:rPr>
            </w:pPr>
            <w:r>
              <w:rPr>
                <w:rFonts w:ascii="Arial" w:cs="Arial" w:eastAsia="Arial" w:hAnsi="Arial"/>
                <w:sz w:val="18"/>
                <w:szCs w:val="18"/>
                <w:color w:val="auto"/>
              </w:rPr>
              <w:t>26.6</w:t>
            </w: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22.5</w:t>
            </w: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25.8</w:t>
            </w:r>
          </w:p>
        </w:tc>
        <w:tc>
          <w:tcPr>
            <w:tcW w:w="22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22.0</w:t>
            </w:r>
          </w:p>
        </w:tc>
        <w:tc>
          <w:tcPr>
            <w:tcW w:w="1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1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820" w:type="dxa"/>
            <w:vAlign w:val="bottom"/>
          </w:tcPr>
          <w:p>
            <w:pPr>
              <w:jc w:val="right"/>
              <w:spacing w:after="0"/>
              <w:rPr>
                <w:sz w:val="20"/>
                <w:szCs w:val="20"/>
                <w:color w:val="auto"/>
              </w:rPr>
            </w:pPr>
            <w:r>
              <w:rPr>
                <w:rFonts w:ascii="Arial" w:cs="Arial" w:eastAsia="Arial" w:hAnsi="Arial"/>
                <w:sz w:val="18"/>
                <w:szCs w:val="18"/>
                <w:color w:val="auto"/>
              </w:rPr>
              <w:t>3.4</w:t>
            </w: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4.5</w:t>
            </w:r>
          </w:p>
        </w:tc>
        <w:tc>
          <w:tcPr>
            <w:tcW w:w="2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3.5</w:t>
            </w:r>
          </w:p>
        </w:tc>
        <w:tc>
          <w:tcPr>
            <w:tcW w:w="22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3.6</w:t>
            </w:r>
          </w:p>
        </w:tc>
        <w:tc>
          <w:tcPr>
            <w:tcW w:w="1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22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22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220" w:type="dxa"/>
            <w:vAlign w:val="bottom"/>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18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6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costs and expenses</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90.3</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86.3</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87.9</w:t>
            </w:r>
          </w:p>
        </w:tc>
        <w:tc>
          <w:tcPr>
            <w:tcW w:w="220" w:type="dxa"/>
            <w:vAlign w:val="bottom"/>
            <w:tcBorders>
              <w:bottom w:val="single" w:sz="8" w:color="CCEEFF"/>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85.0</w:t>
            </w:r>
          </w:p>
        </w:tc>
        <w:tc>
          <w:tcPr>
            <w:tcW w:w="18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w:t>
            </w:r>
          </w:p>
        </w:tc>
        <w:tc>
          <w:tcPr>
            <w:tcW w:w="220" w:type="dxa"/>
            <w:vAlign w:val="bottom"/>
            <w:tcBorders>
              <w:bottom w:val="single" w:sz="8" w:color="CCEEFF"/>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8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1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220" w:type="dxa"/>
            <w:vAlign w:val="bottom"/>
            <w:tcBorders>
              <w:bottom w:val="single" w:sz="8" w:color="CCEEFF"/>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w:t>
            </w:r>
          </w:p>
        </w:tc>
        <w:tc>
          <w:tcPr>
            <w:tcW w:w="18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18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4360" w:type="dxa"/>
            <w:vAlign w:val="bottom"/>
          </w:tcPr>
          <w:p>
            <w:pPr>
              <w:spacing w:after="0" w:line="201" w:lineRule="exact"/>
              <w:rPr>
                <w:sz w:val="20"/>
                <w:szCs w:val="20"/>
                <w:color w:val="auto"/>
              </w:rPr>
            </w:pPr>
            <w:r>
              <w:rPr>
                <w:rFonts w:ascii="Arial" w:cs="Arial" w:eastAsia="Arial" w:hAnsi="Arial"/>
                <w:sz w:val="18"/>
                <w:szCs w:val="18"/>
                <w:color w:val="auto"/>
                <w:w w:val="98"/>
              </w:rPr>
              <w:t>Cumulative effect of change in accounting principle, net</w:t>
            </w:r>
          </w:p>
        </w:tc>
        <w:tc>
          <w:tcPr>
            <w:tcW w:w="8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8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of tax effect</w:t>
            </w:r>
          </w:p>
        </w:tc>
        <w:tc>
          <w:tcPr>
            <w:tcW w:w="1040" w:type="dxa"/>
            <w:vAlign w:val="bottom"/>
            <w:gridSpan w:val="2"/>
          </w:tcPr>
          <w:p>
            <w:pPr>
              <w:jc w:val="right"/>
              <w:ind w:right="15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15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0.8</w:t>
            </w:r>
          </w:p>
        </w:tc>
        <w:tc>
          <w:tcPr>
            <w:tcW w:w="220" w:type="dxa"/>
            <w:vAlign w:val="bottom"/>
          </w:tcPr>
          <w:p>
            <w:pPr>
              <w:spacing w:after="0"/>
              <w:rPr>
                <w:sz w:val="20"/>
                <w:szCs w:val="20"/>
                <w:color w:val="auto"/>
              </w:rPr>
            </w:pPr>
          </w:p>
        </w:tc>
        <w:tc>
          <w:tcPr>
            <w:tcW w:w="102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43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1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29, 2006 and July 30, 2005</w:t>
      </w:r>
    </w:p>
    <w:p>
      <w:pPr>
        <w:spacing w:after="0" w:line="229" w:lineRule="exact"/>
        <w:rPr>
          <w:sz w:val="20"/>
          <w:szCs w:val="20"/>
          <w:color w:val="auto"/>
        </w:rPr>
      </w:pPr>
    </w:p>
    <w:p>
      <w:pPr>
        <w:ind w:left="100"/>
        <w:spacing w:after="0"/>
        <w:rPr>
          <w:sz w:val="20"/>
          <w:szCs w:val="20"/>
          <w:color w:val="auto"/>
        </w:rPr>
      </w:pPr>
      <w:r>
        <w:rPr>
          <w:rFonts w:ascii="Arial" w:cs="Arial" w:eastAsia="Arial" w:hAnsi="Arial"/>
          <w:sz w:val="18"/>
          <w:szCs w:val="18"/>
          <w:i w:val="1"/>
          <w:iCs w:val="1"/>
          <w:color w:val="auto"/>
        </w:rPr>
        <w:t>Net Revenue</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100" w:type="dxa"/>
            <w:vAlign w:val="bottom"/>
            <w:gridSpan w:val="4"/>
          </w:tcPr>
          <w:p>
            <w:pPr>
              <w:ind w:left="28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2160" w:type="dxa"/>
            <w:vAlign w:val="bottom"/>
            <w:gridSpan w:val="4"/>
          </w:tcPr>
          <w:p>
            <w:pPr>
              <w:ind w:left="400"/>
              <w:spacing w:after="0"/>
              <w:rPr>
                <w:sz w:val="20"/>
                <w:szCs w:val="20"/>
                <w:color w:val="auto"/>
              </w:rPr>
            </w:pPr>
            <w:r>
              <w:rPr>
                <w:rFonts w:ascii="Arial" w:cs="Arial" w:eastAsia="Arial" w:hAnsi="Arial"/>
                <w:sz w:val="14"/>
                <w:szCs w:val="14"/>
                <w:b w:val="1"/>
                <w:bCs w:val="1"/>
                <w:color w:val="auto"/>
              </w:rPr>
              <w:t>Six Months Ended</w:t>
            </w:r>
          </w:p>
        </w:tc>
        <w:tc>
          <w:tcPr>
            <w:tcW w:w="108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740" w:type="dxa"/>
            <w:vAlign w:val="bottom"/>
          </w:tcPr>
          <w:p>
            <w:pPr>
              <w:spacing w:after="0"/>
              <w:rPr>
                <w:sz w:val="8"/>
                <w:szCs w:val="8"/>
                <w:color w:val="auto"/>
              </w:rPr>
            </w:pPr>
          </w:p>
        </w:tc>
        <w:tc>
          <w:tcPr>
            <w:tcW w:w="900" w:type="dxa"/>
            <w:vAlign w:val="bottom"/>
          </w:tcPr>
          <w:p>
            <w:pPr>
              <w:spacing w:after="0"/>
              <w:rPr>
                <w:sz w:val="8"/>
                <w:szCs w:val="8"/>
                <w:color w:val="auto"/>
              </w:rPr>
            </w:pPr>
          </w:p>
        </w:tc>
        <w:tc>
          <w:tcPr>
            <w:tcW w:w="840" w:type="dxa"/>
            <w:vAlign w:val="bottom"/>
            <w:tcBorders>
              <w:top w:val="single" w:sz="8" w:color="auto"/>
            </w:tcBorders>
          </w:tcPr>
          <w:p>
            <w:pPr>
              <w:ind w:left="160"/>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Borders>
              <w:top w:val="single" w:sz="8" w:color="auto"/>
            </w:tcBorders>
          </w:tcPr>
          <w:p>
            <w:pPr>
              <w:spacing w:after="0"/>
              <w:rPr>
                <w:sz w:val="8"/>
                <w:szCs w:val="8"/>
                <w:color w:val="auto"/>
              </w:rPr>
            </w:pPr>
          </w:p>
        </w:tc>
        <w:tc>
          <w:tcPr>
            <w:tcW w:w="8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880" w:type="dxa"/>
            <w:vAlign w:val="bottom"/>
            <w:tcBorders>
              <w:top w:val="single" w:sz="8" w:color="auto"/>
            </w:tcBorders>
          </w:tcPr>
          <w:p>
            <w:pPr>
              <w:ind w:left="180"/>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ind w:left="180"/>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7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right"/>
              <w:ind w:right="228"/>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right"/>
              <w:ind w:right="227"/>
              <w:spacing w:after="0"/>
              <w:rPr>
                <w:sz w:val="20"/>
                <w:szCs w:val="20"/>
                <w:color w:val="auto"/>
              </w:rPr>
            </w:pPr>
            <w:r>
              <w:rPr>
                <w:rFonts w:ascii="Arial" w:cs="Arial" w:eastAsia="Arial" w:hAnsi="Arial"/>
                <w:sz w:val="14"/>
                <w:szCs w:val="14"/>
                <w:b w:val="1"/>
                <w:bCs w:val="1"/>
                <w:color w:val="auto"/>
              </w:rPr>
              <w:t>2006</w:t>
            </w:r>
          </w:p>
        </w:tc>
        <w:tc>
          <w:tcPr>
            <w:tcW w:w="200" w:type="dxa"/>
            <w:vAlign w:val="bottom"/>
            <w:tcBorders>
              <w:bottom w:val="single" w:sz="8" w:color="CCEEFF"/>
            </w:tcBorders>
          </w:tcPr>
          <w:p>
            <w:pPr>
              <w:spacing w:after="0"/>
              <w:rPr>
                <w:sz w:val="14"/>
                <w:szCs w:val="14"/>
                <w:color w:val="auto"/>
              </w:rPr>
            </w:pPr>
          </w:p>
        </w:tc>
        <w:tc>
          <w:tcPr>
            <w:tcW w:w="860" w:type="dxa"/>
            <w:vAlign w:val="bottom"/>
            <w:tcBorders>
              <w:bottom w:val="single" w:sz="8" w:color="auto"/>
            </w:tcBorders>
          </w:tcPr>
          <w:p>
            <w:pPr>
              <w:jc w:val="right"/>
              <w:ind w:right="229"/>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90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7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573,985</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6"/>
              </w:rPr>
              <w:t>$  390,454</w:t>
            </w: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$ 1,095,181</w:t>
            </w: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  755,224</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60"/>
          </w:cols>
          <w:pgMar w:left="240" w:top="125" w:right="299" w:bottom="0" w:gutter="0" w:footer="0" w:header="0"/>
        </w:sectPr>
      </w:pPr>
    </w:p>
    <w:p>
      <w:pPr>
        <w:spacing w:after="0" w:line="272"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52</w:t>
      </w:r>
    </w:p>
    <w:p>
      <w:pPr>
        <w:sectPr>
          <w:pgSz w:w="11900" w:h="16838" w:orient="portrait"/>
          <w:cols w:equalWidth="0" w:num="1">
            <w:col w:w="11360"/>
          </w:cols>
          <w:pgMar w:left="240" w:top="125" w:right="299" w:bottom="0" w:gutter="0" w:footer="0" w:header="0"/>
          <w:type w:val="continuous"/>
        </w:sectPr>
      </w:pPr>
    </w:p>
    <w:bookmarkStart w:id="37" w:name="page38"/>
    <w:bookmarkEnd w:id="37"/>
    <w:p>
      <w:pPr>
        <w:ind w:right="20" w:firstLine="324"/>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the second quarter of fiscal 2007 compared to the second quarter of fiscal 2006 reflected a significant increase in volume shipments of our storage System-on-Chips, or SOCs, which increased $79.2 million, printer semiconductor solutions and wireless products, which increased $63.2 million and hard disk drive controller products, which increased $25.0 million. The increase in net revenue in the first six months of fiscal 2007 compared to the first six months of fiscal 2006 reflected a significant increase in volume shipments of our storage SOCs, which increased $165.0 million, printer semiconductor solutions and wireless products, which increased $77.1 million, hard disk drive controller products, which increased $47.6 million, and system controllers, which increased $17.7 million. The increases in net revenue were primarily due to increased acceptance of our storage SOC products, increased market share gains in the PC desktop segment with our storage SOC products and volume shipments of our wireless products from new design wins. The increase in net revenue for the printer semiconductor solutions was due to the incremental revenue from the acquisition of the printer semiconductor business of Avago Technologies Limited. Revenue derived from development contracts increased in absolute dollars during the second quarter and first six months of fiscal 2007 as compared to the second quarter and first six months of fiscal 2006, but represented less than 10% of net revenue for each period.</w:t>
      </w:r>
    </w:p>
    <w:p>
      <w:pPr>
        <w:spacing w:after="0" w:line="169"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We expect that revenue for fiscal 2007 will increase from the level of revenue we reported in fiscal 2006 due to increases in shipments and volume production of our storage SOCs into the PC desktop segment and consumer storage electronics. Also, we expect additional growth in fiscal 2007 compared to fiscal 2006 due to increases in shipments of our WLAN products from new design wins, our Gigabit Ethernet products as well as incremental revenue from the products acquired from QLogic, UTStarcom and Avago Technologies.</w:t>
      </w:r>
    </w:p>
    <w:p>
      <w:pPr>
        <w:spacing w:after="0" w:line="187" w:lineRule="exact"/>
        <w:rPr>
          <w:sz w:val="20"/>
          <w:szCs w:val="20"/>
          <w:color w:val="auto"/>
        </w:rPr>
      </w:pPr>
    </w:p>
    <w:p>
      <w:pPr>
        <w:ind w:right="20" w:firstLine="324"/>
        <w:spacing w:after="0" w:line="293"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July 29, 2006, three customers each represented more than 10% of our net revenue, for a combined total of 40% of our net revenue. For the six months ended July 29, 2006, four customers each represented more than 10% of our net revenue, for a combined total of 51% of our net revenue. For the three months ended July 30, 2005, three customers combined for a total of 46% of our net revenue while for the six months ended July 30, 2005, three customers accounted for a total of 45% of our net revenue. In addition, no distributor accounted for more than 10% of our net revenue in the three and six months ended July 29, 2006 but one distributor accounted for approximately 11% of our net revenue in the three and six months ended July 30, 2005.</w:t>
      </w:r>
    </w:p>
    <w:p>
      <w:pPr>
        <w:spacing w:after="0" w:line="165"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92% and 94% of our net revenue for the three months ended July 29, 2006 and July 30, 2005, respectively. Sales to customers located in Asia represented 93% and 94% of our net revenue for the six months ended July 29, 2006 and July 30, 2005,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9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680" w:type="dxa"/>
            <w:vAlign w:val="bottom"/>
          </w:tcPr>
          <w:p>
            <w:pPr>
              <w:spacing w:after="0"/>
              <w:rPr>
                <w:sz w:val="14"/>
                <w:szCs w:val="14"/>
                <w:color w:val="auto"/>
              </w:rPr>
            </w:pPr>
          </w:p>
        </w:tc>
        <w:tc>
          <w:tcPr>
            <w:tcW w:w="210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19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680" w:type="dxa"/>
            <w:vAlign w:val="bottom"/>
          </w:tcPr>
          <w:p>
            <w:pPr>
              <w:spacing w:after="0"/>
              <w:rPr>
                <w:sz w:val="8"/>
                <w:szCs w:val="8"/>
                <w:color w:val="auto"/>
              </w:rPr>
            </w:pPr>
          </w:p>
        </w:tc>
        <w:tc>
          <w:tcPr>
            <w:tcW w:w="106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8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1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680" w:type="dxa"/>
            <w:vAlign w:val="bottom"/>
          </w:tcPr>
          <w:p>
            <w:pPr>
              <w:spacing w:after="0"/>
              <w:rPr>
                <w:sz w:val="14"/>
                <w:szCs w:val="14"/>
                <w:color w:val="auto"/>
              </w:rPr>
            </w:pPr>
          </w:p>
        </w:tc>
        <w:tc>
          <w:tcPr>
            <w:tcW w:w="840" w:type="dxa"/>
            <w:vAlign w:val="bottom"/>
          </w:tcPr>
          <w:p>
            <w:pPr>
              <w:jc w:val="right"/>
              <w:ind w:right="22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200" w:type="dxa"/>
            <w:vAlign w:val="bottom"/>
          </w:tcPr>
          <w:p>
            <w:pPr>
              <w:spacing w:after="0"/>
              <w:rPr>
                <w:sz w:val="14"/>
                <w:szCs w:val="14"/>
                <w:color w:val="auto"/>
              </w:rPr>
            </w:pPr>
          </w:p>
        </w:tc>
        <w:tc>
          <w:tcPr>
            <w:tcW w:w="1180" w:type="dxa"/>
            <w:vAlign w:val="bottom"/>
            <w:gridSpan w:val="3"/>
          </w:tcPr>
          <w:p>
            <w:pPr>
              <w:ind w:left="180"/>
              <w:spacing w:after="0"/>
              <w:rPr>
                <w:sz w:val="20"/>
                <w:szCs w:val="20"/>
                <w:color w:val="auto"/>
              </w:rPr>
            </w:pPr>
            <w:r>
              <w:rPr>
                <w:rFonts w:ascii="Arial" w:cs="Arial" w:eastAsia="Arial" w:hAnsi="Arial"/>
                <w:sz w:val="14"/>
                <w:szCs w:val="14"/>
                <w:b w:val="1"/>
                <w:bCs w:val="1"/>
                <w:color w:val="auto"/>
              </w:rPr>
              <w:t>Change</w:t>
            </w:r>
          </w:p>
        </w:tc>
        <w:tc>
          <w:tcPr>
            <w:tcW w:w="700" w:type="dxa"/>
            <w:vAlign w:val="bottom"/>
          </w:tcPr>
          <w:p>
            <w:pPr>
              <w:jc w:val="right"/>
              <w:ind w:right="2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9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120" w:type="dxa"/>
            <w:vAlign w:val="bottom"/>
            <w:gridSpan w:val="2"/>
          </w:tcPr>
          <w:p>
            <w:pPr>
              <w:ind w:left="2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68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279,075</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185,451</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50.5% $</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519,308</w:t>
            </w: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361,236</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43.8%</w:t>
            </w:r>
          </w:p>
        </w:tc>
        <w:tc>
          <w:tcPr>
            <w:tcW w:w="0" w:type="dxa"/>
            <w:vAlign w:val="bottom"/>
          </w:tcPr>
          <w:p>
            <w:pPr>
              <w:spacing w:after="0"/>
              <w:rPr>
                <w:sz w:val="1"/>
                <w:szCs w:val="1"/>
                <w:color w:val="auto"/>
              </w:rPr>
            </w:pPr>
          </w:p>
        </w:tc>
      </w:tr>
      <w:tr>
        <w:trPr>
          <w:trHeight w:val="216"/>
        </w:trPr>
        <w:tc>
          <w:tcPr>
            <w:tcW w:w="268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gridSpan w:val="2"/>
          </w:tcPr>
          <w:p>
            <w:pPr>
              <w:jc w:val="right"/>
              <w:ind w:right="80"/>
              <w:spacing w:after="0"/>
              <w:rPr>
                <w:sz w:val="20"/>
                <w:szCs w:val="20"/>
                <w:color w:val="auto"/>
              </w:rPr>
            </w:pPr>
            <w:r>
              <w:rPr>
                <w:rFonts w:ascii="Arial" w:cs="Arial" w:eastAsia="Arial" w:hAnsi="Arial"/>
                <w:sz w:val="18"/>
                <w:szCs w:val="18"/>
                <w:color w:val="auto"/>
              </w:rPr>
              <w:t>48.6%</w:t>
            </w: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47.5%</w:t>
            </w:r>
          </w:p>
        </w:tc>
        <w:tc>
          <w:tcPr>
            <w:tcW w:w="8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47.4%</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47.8%</w:t>
            </w:r>
          </w:p>
        </w:tc>
        <w:tc>
          <w:tcPr>
            <w:tcW w:w="9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0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51.4%</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52.5%</w:t>
            </w:r>
          </w:p>
        </w:tc>
        <w:tc>
          <w:tcPr>
            <w:tcW w:w="8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52.6%</w:t>
            </w: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52.2%</w:t>
            </w:r>
          </w:p>
        </w:tc>
        <w:tc>
          <w:tcPr>
            <w:tcW w:w="9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decrease in gross margin percentage for the three months ended July 29, 2006 compared to the three months ended July 30, 2005 was primarily due to higher product costs associated with inventory that was acquired from our acquisitions, increased stock-based compensation costs of $1.7 million and higher royalties of $2.2 million. Partially offsetting the decrease in gross margins were manufacturing efficiencies and product cost savings resulting from the benefits of decreased foundry pricing. In addition, lower inventory excess and obsolescence provisions of $3.7 million recorded in the three months ended July 29, 2006 compared to the three months ended July 30, 2005 contributed to an increase in gross margins. The</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increase in stock-based compensation expense was a result of our adoption of SFAS 123R. The increase in royalties in the second quarter of fiscal 2007 compared to the second quarter of fiscal 2006 was due to higher sales of products that integrated licensed technology. The decrease in inventory excess and obsolescence provisions was due to lower requirements based on the mix and quantities of products on hand. Gross margin percentage remained consistent in the first six months of fiscal 2007 compared to the first six months of fiscal 2006. The costs associated with contracted development work are included in research and development expense. Our 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79"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680" w:type="dxa"/>
            <w:vAlign w:val="bottom"/>
          </w:tcPr>
          <w:p>
            <w:pPr>
              <w:spacing w:after="0"/>
              <w:rPr>
                <w:sz w:val="14"/>
                <w:szCs w:val="14"/>
                <w:color w:val="auto"/>
              </w:rPr>
            </w:pPr>
          </w:p>
        </w:tc>
        <w:tc>
          <w:tcPr>
            <w:tcW w:w="210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19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680" w:type="dxa"/>
            <w:vAlign w:val="bottom"/>
          </w:tcPr>
          <w:p>
            <w:pPr>
              <w:spacing w:after="0"/>
              <w:rPr>
                <w:sz w:val="8"/>
                <w:szCs w:val="8"/>
                <w:color w:val="auto"/>
              </w:rPr>
            </w:pPr>
          </w:p>
        </w:tc>
        <w:tc>
          <w:tcPr>
            <w:tcW w:w="106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65"/>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1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68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45"/>
              <w:spacing w:after="0"/>
              <w:rPr>
                <w:sz w:val="20"/>
                <w:szCs w:val="20"/>
                <w:color w:val="auto"/>
              </w:rPr>
            </w:pPr>
            <w:r>
              <w:rPr>
                <w:rFonts w:ascii="Arial" w:cs="Arial" w:eastAsia="Arial" w:hAnsi="Arial"/>
                <w:sz w:val="14"/>
                <w:szCs w:val="14"/>
                <w:b w:val="1"/>
                <w:bCs w:val="1"/>
                <w:color w:val="auto"/>
                <w:w w:val="83"/>
              </w:rPr>
              <w:t>2005</w:t>
            </w:r>
          </w:p>
        </w:tc>
        <w:tc>
          <w:tcPr>
            <w:tcW w:w="200" w:type="dxa"/>
            <w:vAlign w:val="bottom"/>
          </w:tcPr>
          <w:p>
            <w:pPr>
              <w:spacing w:after="0"/>
              <w:rPr>
                <w:sz w:val="14"/>
                <w:szCs w:val="14"/>
                <w:color w:val="auto"/>
              </w:rPr>
            </w:pPr>
          </w:p>
        </w:tc>
        <w:tc>
          <w:tcPr>
            <w:tcW w:w="1180" w:type="dxa"/>
            <w:vAlign w:val="bottom"/>
            <w:gridSpan w:val="3"/>
          </w:tcPr>
          <w:p>
            <w:pPr>
              <w:ind w:left="180"/>
              <w:spacing w:after="0"/>
              <w:rPr>
                <w:sz w:val="20"/>
                <w:szCs w:val="20"/>
                <w:color w:val="auto"/>
              </w:rPr>
            </w:pPr>
            <w:r>
              <w:rPr>
                <w:rFonts w:ascii="Arial" w:cs="Arial" w:eastAsia="Arial" w:hAnsi="Arial"/>
                <w:sz w:val="14"/>
                <w:szCs w:val="14"/>
                <w:b w:val="1"/>
                <w:bCs w:val="1"/>
                <w:color w:val="auto"/>
              </w:rPr>
              <w:t>Change</w:t>
            </w:r>
          </w:p>
        </w:tc>
        <w:tc>
          <w:tcPr>
            <w:tcW w:w="700" w:type="dxa"/>
            <w:vAlign w:val="bottom"/>
          </w:tcPr>
          <w:p>
            <w:pPr>
              <w:jc w:val="right"/>
              <w:ind w:right="20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9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120" w:type="dxa"/>
            <w:vAlign w:val="bottom"/>
            <w:gridSpan w:val="2"/>
          </w:tcPr>
          <w:p>
            <w:pPr>
              <w:ind w:left="2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68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6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Research and development and</w:t>
            </w:r>
          </w:p>
        </w:tc>
        <w:tc>
          <w:tcPr>
            <w:tcW w:w="8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152,645</w:t>
            </w: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88,105</w:t>
            </w:r>
          </w:p>
        </w:tc>
        <w:tc>
          <w:tcPr>
            <w:tcW w:w="200" w:type="dxa"/>
            <w:vAlign w:val="bottom"/>
            <w:shd w:val="clear" w:color="auto" w:fill="CCEEFF"/>
          </w:tcPr>
          <w:p>
            <w:pPr>
              <w:spacing w:after="0"/>
              <w:rPr>
                <w:sz w:val="20"/>
                <w:szCs w:val="20"/>
                <w:color w:val="auto"/>
              </w:rPr>
            </w:pPr>
          </w:p>
        </w:tc>
        <w:tc>
          <w:tcPr>
            <w:tcW w:w="11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73.3% $</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281,873</w:t>
            </w:r>
          </w:p>
        </w:tc>
        <w:tc>
          <w:tcPr>
            <w:tcW w:w="18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166,055</w:t>
            </w:r>
          </w:p>
        </w:tc>
        <w:tc>
          <w:tcPr>
            <w:tcW w:w="20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69.7%</w:t>
            </w:r>
          </w:p>
        </w:tc>
        <w:tc>
          <w:tcPr>
            <w:tcW w:w="0" w:type="dxa"/>
            <w:vAlign w:val="bottom"/>
          </w:tcPr>
          <w:p>
            <w:pPr>
              <w:spacing w:after="0"/>
              <w:rPr>
                <w:sz w:val="1"/>
                <w:szCs w:val="1"/>
                <w:color w:val="auto"/>
              </w:rPr>
            </w:pPr>
          </w:p>
        </w:tc>
      </w:tr>
      <w:tr>
        <w:trPr>
          <w:trHeight w:val="230"/>
        </w:trPr>
        <w:tc>
          <w:tcPr>
            <w:tcW w:w="268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gridSpan w:val="2"/>
          </w:tcPr>
          <w:p>
            <w:pPr>
              <w:jc w:val="right"/>
              <w:ind w:right="80"/>
              <w:spacing w:after="0"/>
              <w:rPr>
                <w:sz w:val="20"/>
                <w:szCs w:val="20"/>
                <w:color w:val="auto"/>
              </w:rPr>
            </w:pPr>
            <w:r>
              <w:rPr>
                <w:rFonts w:ascii="Arial" w:cs="Arial" w:eastAsia="Arial" w:hAnsi="Arial"/>
                <w:sz w:val="18"/>
                <w:szCs w:val="18"/>
                <w:color w:val="auto"/>
              </w:rPr>
              <w:t>26.6%</w:t>
            </w:r>
          </w:p>
        </w:tc>
        <w:tc>
          <w:tcPr>
            <w:tcW w:w="100" w:type="dxa"/>
            <w:vAlign w:val="bottom"/>
          </w:tcPr>
          <w:p>
            <w:pPr>
              <w:spacing w:after="0"/>
              <w:rPr>
                <w:sz w:val="20"/>
                <w:szCs w:val="20"/>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22.5%</w:t>
            </w:r>
          </w:p>
        </w:tc>
        <w:tc>
          <w:tcPr>
            <w:tcW w:w="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25.8%</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22.0%</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868" w:right="259" w:bottom="0" w:gutter="0" w:footer="0" w:header="0"/>
        </w:sectPr>
      </w:pPr>
    </w:p>
    <w:bookmarkStart w:id="38" w:name="page39"/>
    <w:bookmarkEnd w:id="38"/>
    <w:p>
      <w:pPr>
        <w:ind w:firstLine="324"/>
        <w:spacing w:after="0" w:line="269" w:lineRule="auto"/>
        <w:rPr>
          <w:sz w:val="20"/>
          <w:szCs w:val="20"/>
          <w:color w:val="auto"/>
        </w:rPr>
      </w:pPr>
      <w:r>
        <w:rPr>
          <w:rFonts w:ascii="Arial" w:cs="Arial" w:eastAsia="Arial" w:hAnsi="Arial"/>
          <w:sz w:val="17"/>
          <w:szCs w:val="17"/>
          <w:color w:val="auto"/>
        </w:rPr>
        <w:t>Research and development expense consists primarily of compensation and associated costs relating to development personnel, including stock-based compensation expenses, prototype costs, depreciation and amortization expense, patent investigation and filing fees and allocated occupancy costs for these operations. The increase in research and development expense in absolute dollars in the second quarter of fiscal 2007 compared to the second quarter of fiscal 2006 was primarily due to stock-based compensation expenses of $36.2 million as a result of our adoption of SFAS 123R. In addition, research and development expenses increased due to the net hiring of additional development personnel, including personnel related to our acquisitions of the hard disk and tape drive controller business of QLogic Corporation in November 2005, the semiconductor division of UTStarcom, Inc. in February 2006 and the printer semiconductor business of Avago Technologies Limited in May 2006, which resulted in an increase in salary and related costs of $25.2 million. Additionally, we incurred increased costs for depreciation and amortization expense of $1.3 million arising from purchases of property, equipment and technology licenses, increased costs of $5.2 million for prototype and related product tape-out costs for new product initiatives, increased costs of $1.9 million for evaluation boards and supplies arising from an increase in new product initiatives and other allocated expenses of $4.2 million related to our expanding operations. Research and development related costs for the three month period ended July 29, 2006 was $149.9 million, as compared to $85.9 million for the three month period ended July 30, 2005, an increase of $64.0 million or 74.5%.</w:t>
      </w:r>
    </w:p>
    <w:p>
      <w:pPr>
        <w:spacing w:after="0" w:line="180" w:lineRule="exact"/>
        <w:rPr>
          <w:sz w:val="20"/>
          <w:szCs w:val="20"/>
          <w:color w:val="auto"/>
        </w:rPr>
      </w:pPr>
    </w:p>
    <w:p>
      <w:pPr>
        <w:ind w:firstLine="324"/>
        <w:spacing w:after="0" w:line="269" w:lineRule="auto"/>
        <w:rPr>
          <w:sz w:val="20"/>
          <w:szCs w:val="20"/>
          <w:color w:val="auto"/>
        </w:rPr>
      </w:pPr>
      <w:r>
        <w:rPr>
          <w:rFonts w:ascii="Arial" w:cs="Arial" w:eastAsia="Arial" w:hAnsi="Arial"/>
          <w:sz w:val="17"/>
          <w:szCs w:val="17"/>
          <w:color w:val="auto"/>
        </w:rPr>
        <w:t>The increase in research and development expense in absolute dollars in the first six months of fiscal 2007 compared to the first six months of fiscal 2006 was primarily due to stock-based compensation expenses of $66.7 million as a result of our adoption of SFAS 123R. In addition, research and development expenses increased due to the net hiring of additional development personnel, including personnel related to our acquisitions of the hard disk and tape drive controller business of QLogic Corporation in November 2005, the semiconductor division of UTStarcom, Inc. in February 2006 and the printer semiconductor business of Avago Technologies Limited in May 2006, which contributed to an increase in salary and related costs of $41.5 million. Additionally, we incurred increased costs for depreciation and amortization expense of $2.6 million arising from purchases of property, equipment and technology licenses, increased costs of $6.4 million for prototype and related product tape-out costs for new product initiatives, increased costs of $1.8 million for patent filing fees to protect newly developed intellectual property, increased costs of $2.7 million for evaluation boards and supplies arising from an increase in new product initiatives, and other allocated expenses of $6.8 million related to our expanding operations. Research and development and other costs for the six month period ended July 29, 2006 was $276.8 million, as compared to $162.8 million for the six month period ended July 30, 2005, an increase of $114.0 million, or 70.0%.</w:t>
      </w:r>
    </w:p>
    <w:p>
      <w:pPr>
        <w:spacing w:after="0" w:line="183"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 including those from our acquisitions.</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680" w:type="dxa"/>
            <w:vAlign w:val="bottom"/>
          </w:tcPr>
          <w:p>
            <w:pPr>
              <w:spacing w:after="0"/>
              <w:rPr>
                <w:sz w:val="14"/>
                <w:szCs w:val="14"/>
                <w:color w:val="auto"/>
              </w:rPr>
            </w:pPr>
          </w:p>
        </w:tc>
        <w:tc>
          <w:tcPr>
            <w:tcW w:w="210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198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680" w:type="dxa"/>
            <w:vAlign w:val="bottom"/>
          </w:tcPr>
          <w:p>
            <w:pPr>
              <w:spacing w:after="0"/>
              <w:rPr>
                <w:sz w:val="8"/>
                <w:szCs w:val="8"/>
                <w:color w:val="auto"/>
              </w:rPr>
            </w:pPr>
          </w:p>
        </w:tc>
        <w:tc>
          <w:tcPr>
            <w:tcW w:w="106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65"/>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88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center"/>
              <w:ind w:right="45"/>
              <w:spacing w:after="0" w:line="102" w:lineRule="exact"/>
              <w:rPr>
                <w:sz w:val="20"/>
                <w:szCs w:val="20"/>
                <w:color w:val="auto"/>
              </w:rPr>
            </w:pPr>
            <w:r>
              <w:rPr>
                <w:rFonts w:ascii="Arial" w:cs="Arial" w:eastAsia="Arial" w:hAnsi="Arial"/>
                <w:sz w:val="11"/>
                <w:szCs w:val="11"/>
                <w:b w:val="1"/>
                <w:bCs w:val="1"/>
                <w:color w:val="auto"/>
              </w:rPr>
              <w:t>July 30,</w:t>
            </w:r>
          </w:p>
        </w:tc>
        <w:tc>
          <w:tcPr>
            <w:tcW w:w="200" w:type="dxa"/>
            <w:vAlign w:val="bottom"/>
          </w:tcPr>
          <w:p>
            <w:pPr>
              <w:spacing w:after="0"/>
              <w:rPr>
                <w:sz w:val="8"/>
                <w:szCs w:val="8"/>
                <w:color w:val="auto"/>
              </w:rPr>
            </w:pPr>
          </w:p>
        </w:tc>
        <w:tc>
          <w:tcPr>
            <w:tcW w:w="11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68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45"/>
              <w:spacing w:after="0"/>
              <w:rPr>
                <w:sz w:val="20"/>
                <w:szCs w:val="20"/>
                <w:color w:val="auto"/>
              </w:rPr>
            </w:pPr>
            <w:r>
              <w:rPr>
                <w:rFonts w:ascii="Arial" w:cs="Arial" w:eastAsia="Arial" w:hAnsi="Arial"/>
                <w:sz w:val="14"/>
                <w:szCs w:val="14"/>
                <w:b w:val="1"/>
                <w:bCs w:val="1"/>
                <w:color w:val="auto"/>
                <w:w w:val="83"/>
              </w:rPr>
              <w:t>2005</w:t>
            </w:r>
          </w:p>
        </w:tc>
        <w:tc>
          <w:tcPr>
            <w:tcW w:w="200" w:type="dxa"/>
            <w:vAlign w:val="bottom"/>
          </w:tcPr>
          <w:p>
            <w:pPr>
              <w:spacing w:after="0"/>
              <w:rPr>
                <w:sz w:val="14"/>
                <w:szCs w:val="14"/>
                <w:color w:val="auto"/>
              </w:rPr>
            </w:pPr>
          </w:p>
        </w:tc>
        <w:tc>
          <w:tcPr>
            <w:tcW w:w="1180" w:type="dxa"/>
            <w:vAlign w:val="bottom"/>
            <w:gridSpan w:val="3"/>
          </w:tcPr>
          <w:p>
            <w:pPr>
              <w:ind w:left="180"/>
              <w:spacing w:after="0"/>
              <w:rPr>
                <w:sz w:val="20"/>
                <w:szCs w:val="20"/>
                <w:color w:val="auto"/>
              </w:rPr>
            </w:pPr>
            <w:r>
              <w:rPr>
                <w:rFonts w:ascii="Arial" w:cs="Arial" w:eastAsia="Arial" w:hAnsi="Arial"/>
                <w:sz w:val="14"/>
                <w:szCs w:val="14"/>
                <w:b w:val="1"/>
                <w:bCs w:val="1"/>
                <w:color w:val="auto"/>
              </w:rPr>
              <w:t>Change</w:t>
            </w:r>
          </w:p>
        </w:tc>
        <w:tc>
          <w:tcPr>
            <w:tcW w:w="700" w:type="dxa"/>
            <w:vAlign w:val="bottom"/>
          </w:tcPr>
          <w:p>
            <w:pPr>
              <w:jc w:val="right"/>
              <w:ind w:right="20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center"/>
              <w:ind w:right="45"/>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120" w:type="dxa"/>
            <w:vAlign w:val="bottom"/>
            <w:gridSpan w:val="2"/>
          </w:tcPr>
          <w:p>
            <w:pPr>
              <w:ind w:left="2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68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   39,267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26,139</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ind w:left="500"/>
              <w:spacing w:after="0"/>
              <w:rPr>
                <w:sz w:val="20"/>
                <w:szCs w:val="20"/>
                <w:color w:val="auto"/>
              </w:rPr>
            </w:pPr>
            <w:r>
              <w:rPr>
                <w:rFonts w:ascii="Arial" w:cs="Arial" w:eastAsia="Arial" w:hAnsi="Arial"/>
                <w:sz w:val="18"/>
                <w:szCs w:val="18"/>
                <w:color w:val="auto"/>
                <w:w w:val="99"/>
              </w:rPr>
              <w:t>50.2% $</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78,129</w:t>
            </w:r>
          </w:p>
        </w:tc>
        <w:tc>
          <w:tcPr>
            <w:tcW w:w="1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48,161</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62.2%</w:t>
            </w:r>
          </w:p>
        </w:tc>
        <w:tc>
          <w:tcPr>
            <w:tcW w:w="0" w:type="dxa"/>
            <w:vAlign w:val="bottom"/>
          </w:tcPr>
          <w:p>
            <w:pPr>
              <w:spacing w:after="0"/>
              <w:rPr>
                <w:sz w:val="1"/>
                <w:szCs w:val="1"/>
                <w:color w:val="auto"/>
              </w:rPr>
            </w:pPr>
          </w:p>
        </w:tc>
      </w:tr>
      <w:tr>
        <w:trPr>
          <w:trHeight w:val="230"/>
        </w:trPr>
        <w:tc>
          <w:tcPr>
            <w:tcW w:w="268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gridSpan w:val="2"/>
          </w:tcPr>
          <w:p>
            <w:pPr>
              <w:jc w:val="right"/>
              <w:ind w:right="80"/>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20"/>
                <w:szCs w:val="20"/>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6.7%</w:t>
            </w:r>
          </w:p>
        </w:tc>
        <w:tc>
          <w:tcPr>
            <w:tcW w:w="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7.1%</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6.4%</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ind w:left="500"/>
              <w:spacing w:after="0"/>
              <w:rPr>
                <w:sz w:val="20"/>
                <w:szCs w:val="20"/>
                <w:color w:val="auto"/>
              </w:rPr>
            </w:pPr>
            <w:r>
              <w:rPr>
                <w:rFonts w:ascii="Arial" w:cs="Arial" w:eastAsia="Arial" w:hAnsi="Arial"/>
                <w:sz w:val="18"/>
                <w:szCs w:val="18"/>
                <w:color w:val="auto"/>
              </w:rPr>
              <w:t>54</w:t>
            </w: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20" w:firstLine="324"/>
        <w:spacing w:after="0" w:line="272" w:lineRule="auto"/>
        <w:rPr>
          <w:sz w:val="20"/>
          <w:szCs w:val="20"/>
          <w:color w:val="auto"/>
        </w:rPr>
      </w:pPr>
      <w:r>
        <w:rPr>
          <w:rFonts w:ascii="Arial" w:cs="Arial" w:eastAsia="Arial" w:hAnsi="Arial"/>
          <w:sz w:val="17"/>
          <w:szCs w:val="17"/>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second quarter of fiscal 2007 compared to the second quarter of fiscal 2006 was primarily due to stock-based compensation expenses of $8.5 million as a result of our adoption of SFAS 123R. In addition, selling and marketing expenses increased due to the net hiring of additional sales and marketing personnel, which resulted in an increase in salary and related costs of $3.8 million. Additionally, we incurred other variable sales and marketing costs of $2.3 million related to expanding our sales and marketing activities as we broadened our customer and product base and increased commission costs of $1.6 million due to the increase in sales.</w:t>
      </w:r>
    </w:p>
    <w:p>
      <w:pPr>
        <w:spacing w:after="0" w:line="178" w:lineRule="exact"/>
        <w:rPr>
          <w:sz w:val="20"/>
          <w:szCs w:val="20"/>
          <w:color w:val="auto"/>
        </w:rPr>
      </w:pPr>
    </w:p>
    <w:p>
      <w:pPr>
        <w:ind w:firstLine="324"/>
        <w:spacing w:after="0" w:line="276" w:lineRule="auto"/>
        <w:rPr>
          <w:sz w:val="20"/>
          <w:szCs w:val="20"/>
          <w:color w:val="auto"/>
        </w:rPr>
      </w:pPr>
      <w:r>
        <w:rPr>
          <w:rFonts w:ascii="Arial" w:cs="Arial" w:eastAsia="Arial" w:hAnsi="Arial"/>
          <w:sz w:val="17"/>
          <w:szCs w:val="17"/>
          <w:color w:val="auto"/>
        </w:rPr>
        <w:t>The increase in selling and marketing expense in absolute dollars in the first six months of fiscal 2007 compared to the first six months of fiscal 2006 was primarily due to stock-based compensation expenses of $16.7 million as a result of our adoption of SFAS 123R. In addition, selling and marketing expenses increased due to the net hiring of additional sales and marketing personnel, which contributed to an increase in salary and related costs of $7.9 million. Additionally, we incurred other variable sales and marketing costs of $5.6 million related to expanding our sales and marketing activities as we broadened our customer and product base and increased commission costs of $2.3 million due to the increase in sales.</w:t>
      </w:r>
    </w:p>
    <w:p>
      <w:pPr>
        <w:spacing w:after="0" w:line="173" w:lineRule="exact"/>
        <w:rPr>
          <w:sz w:val="20"/>
          <w:szCs w:val="20"/>
          <w:color w:val="auto"/>
        </w:rPr>
      </w:pPr>
    </w:p>
    <w:p>
      <w:pPr>
        <w:ind w:right="160" w:firstLine="324"/>
        <w:spacing w:after="0" w:line="308" w:lineRule="auto"/>
        <w:rPr>
          <w:sz w:val="20"/>
          <w:szCs w:val="20"/>
          <w:color w:val="auto"/>
        </w:rPr>
      </w:pPr>
      <w:r>
        <w:rPr>
          <w:rFonts w:ascii="Arial" w:cs="Arial" w:eastAsia="Arial" w:hAnsi="Arial"/>
          <w:sz w:val="17"/>
          <w:szCs w:val="17"/>
          <w:color w:val="auto"/>
        </w:rPr>
        <w:t>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3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10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19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20" w:type="dxa"/>
            <w:vAlign w:val="bottom"/>
            <w:tcBorders>
              <w:top w:val="single" w:sz="8" w:color="auto"/>
            </w:tcBorders>
            <w:gridSpan w:val="2"/>
          </w:tcPr>
          <w:p>
            <w:pPr>
              <w:jc w:val="right"/>
              <w:ind w:right="380"/>
              <w:spacing w:after="0" w:line="102" w:lineRule="exact"/>
              <w:rPr>
                <w:sz w:val="20"/>
                <w:szCs w:val="20"/>
                <w:color w:val="auto"/>
              </w:rPr>
            </w:pPr>
            <w:r>
              <w:rPr>
                <w:rFonts w:ascii="Arial" w:cs="Arial" w:eastAsia="Arial" w:hAnsi="Arial"/>
                <w:sz w:val="11"/>
                <w:szCs w:val="11"/>
                <w:b w:val="1"/>
                <w:bCs w:val="1"/>
                <w:color w:val="auto"/>
              </w:rPr>
              <w:t>July 29,</w:t>
            </w:r>
          </w:p>
        </w:tc>
        <w:tc>
          <w:tcPr>
            <w:tcW w:w="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center"/>
              <w:ind w:right="45"/>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92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25"/>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1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320" w:type="dxa"/>
            <w:vAlign w:val="bottom"/>
          </w:tcPr>
          <w:p>
            <w:pPr>
              <w:spacing w:after="0"/>
              <w:rPr>
                <w:sz w:val="14"/>
                <w:szCs w:val="14"/>
                <w:color w:val="auto"/>
              </w:rPr>
            </w:pPr>
          </w:p>
        </w:tc>
        <w:tc>
          <w:tcPr>
            <w:tcW w:w="1220" w:type="dxa"/>
            <w:vAlign w:val="bottom"/>
            <w:gridSpan w:val="2"/>
          </w:tcPr>
          <w:p>
            <w:pPr>
              <w:jc w:val="right"/>
              <w:ind w:right="236"/>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center"/>
              <w:ind w:right="45"/>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80" w:type="dxa"/>
            <w:vAlign w:val="bottom"/>
            <w:gridSpan w:val="3"/>
          </w:tcPr>
          <w:p>
            <w:pPr>
              <w:ind w:left="160"/>
              <w:spacing w:after="0"/>
              <w:rPr>
                <w:sz w:val="20"/>
                <w:szCs w:val="20"/>
                <w:color w:val="auto"/>
              </w:rPr>
            </w:pPr>
            <w:r>
              <w:rPr>
                <w:rFonts w:ascii="Arial" w:cs="Arial" w:eastAsia="Arial" w:hAnsi="Arial"/>
                <w:sz w:val="14"/>
                <w:szCs w:val="14"/>
                <w:b w:val="1"/>
                <w:bCs w:val="1"/>
                <w:color w:val="auto"/>
              </w:rPr>
              <w:t>Change</w:t>
            </w:r>
          </w:p>
        </w:tc>
        <w:tc>
          <w:tcPr>
            <w:tcW w:w="700" w:type="dxa"/>
            <w:vAlign w:val="bottom"/>
          </w:tcPr>
          <w:p>
            <w:pPr>
              <w:jc w:val="right"/>
              <w:ind w:right="20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45"/>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1120" w:type="dxa"/>
            <w:vAlign w:val="bottom"/>
            <w:gridSpan w:val="2"/>
          </w:tcPr>
          <w:p>
            <w:pPr>
              <w:ind w:left="2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3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19,689</w:t>
            </w:r>
          </w:p>
        </w:tc>
        <w:tc>
          <w:tcPr>
            <w:tcW w:w="1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17,450</w:t>
            </w:r>
          </w:p>
        </w:tc>
        <w:tc>
          <w:tcPr>
            <w:tcW w:w="22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12.8% $</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38,247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27,018</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41.6%</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r>
              <w:rPr>
                <w:rFonts w:ascii="Arial" w:cs="Arial" w:eastAsia="Arial" w:hAnsi="Arial"/>
                <w:sz w:val="18"/>
                <w:szCs w:val="18"/>
                <w:color w:val="auto"/>
              </w:rPr>
              <w:t>% of net revenue</w:t>
            </w:r>
          </w:p>
        </w:tc>
        <w:tc>
          <w:tcPr>
            <w:tcW w:w="1400" w:type="dxa"/>
            <w:vAlign w:val="bottom"/>
            <w:gridSpan w:val="3"/>
          </w:tcPr>
          <w:p>
            <w:pPr>
              <w:jc w:val="right"/>
              <w:ind w:right="40"/>
              <w:spacing w:after="0"/>
              <w:rPr>
                <w:sz w:val="20"/>
                <w:szCs w:val="20"/>
                <w:color w:val="auto"/>
              </w:rPr>
            </w:pPr>
            <w:r>
              <w:rPr>
                <w:rFonts w:ascii="Arial" w:cs="Arial" w:eastAsia="Arial" w:hAnsi="Arial"/>
                <w:sz w:val="18"/>
                <w:szCs w:val="18"/>
                <w:color w:val="auto"/>
              </w:rPr>
              <w:t>3.4%</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4.5%</w:t>
            </w:r>
          </w:p>
        </w:tc>
        <w:tc>
          <w:tcPr>
            <w:tcW w:w="8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3.5%</w:t>
            </w:r>
          </w:p>
        </w:tc>
        <w:tc>
          <w:tcPr>
            <w:tcW w:w="10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3.6%</w:t>
            </w:r>
          </w:p>
        </w:tc>
        <w:tc>
          <w:tcPr>
            <w:tcW w:w="9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80" w:firstLine="324"/>
        <w:spacing w:after="0" w:line="291"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 general and administrative expense in the second quarter of fiscal 2007 compared to the second quarter of fiscal 2006 was primarily due to stock-based compensation expenses of $7.4 million as a result of our adoption of SFAS 123R. In addition, general and administrative expense increased due to the net hiring of additional administrative personnel, which resulted in an increase in salary and related costs of $0.3 million. Our general and administrative expenses also increased due to higher professional fees of $2.0 million due to attorney fees associated with our on-going legal proceedings and $0.5 million due to higher professional fees as a result of our expanding operations and professional fees from outside service providers.</w:t>
      </w:r>
    </w:p>
    <w:p>
      <w:pPr>
        <w:sectPr>
          <w:pgSz w:w="11900" w:h="16838" w:orient="portrait"/>
          <w:cols w:equalWidth="0" w:num="1">
            <w:col w:w="11400"/>
          </w:cols>
          <w:pgMar w:left="240" w:top="125" w:right="259" w:bottom="69" w:gutter="0" w:footer="0" w:header="0"/>
        </w:sectPr>
      </w:pPr>
    </w:p>
    <w:bookmarkStart w:id="39" w:name="page40"/>
    <w:bookmarkEnd w:id="39"/>
    <w:p>
      <w:pPr>
        <w:spacing w:after="0" w:line="150"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The increase in absolute dollars in general administrative expense in the first six months of fiscal 2007 compared to the first six months of fiscal 2006 was primarily due to stock-based compensation expenses of $15.1 million as a result of our adoption of SFAS 123R. In addition, general and administrative expense increased due to the net hiring of additional administrative personnel, which contributed to an increase in salaries and related costs of $1.7 million. Our general and administrative expenses also increased due to higher professional fees of $3.8 million due to attorney fees associated with our on-going legal proceedings and $1.0 million due to higher professional fees as a result of our expanding operations and professional fees from outside service providers.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80" w:type="dxa"/>
            <w:vAlign w:val="bottom"/>
          </w:tcPr>
          <w:p>
            <w:pPr>
              <w:spacing w:after="0"/>
              <w:rPr>
                <w:sz w:val="14"/>
                <w:szCs w:val="14"/>
                <w:color w:val="auto"/>
              </w:rPr>
            </w:pPr>
          </w:p>
        </w:tc>
        <w:tc>
          <w:tcPr>
            <w:tcW w:w="246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gridSpan w:val="2"/>
            <w:vMerge w:val="restart"/>
          </w:tcPr>
          <w:p>
            <w:pPr>
              <w:ind w:left="3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4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20" w:type="dxa"/>
            <w:vAlign w:val="bottom"/>
            <w:tcBorders>
              <w:top w:val="single" w:sz="8" w:color="auto"/>
            </w:tcBorders>
            <w:gridSpan w:val="2"/>
          </w:tcPr>
          <w:p>
            <w:pPr>
              <w:jc w:val="right"/>
              <w:ind w:right="540"/>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Borders>
              <w:top w:val="single" w:sz="8" w:color="auto"/>
            </w:tcBorders>
          </w:tcPr>
          <w:p>
            <w:pPr>
              <w:spacing w:after="0"/>
              <w:rPr>
                <w:sz w:val="8"/>
                <w:szCs w:val="8"/>
                <w:color w:val="auto"/>
              </w:rPr>
            </w:pPr>
          </w:p>
        </w:tc>
        <w:tc>
          <w:tcPr>
            <w:tcW w:w="840" w:type="dxa"/>
            <w:vAlign w:val="bottom"/>
            <w:tcBorders>
              <w:top w:val="single" w:sz="8" w:color="auto"/>
            </w:tcBorders>
          </w:tcPr>
          <w:p>
            <w:pPr>
              <w:jc w:val="right"/>
              <w:ind w:right="201"/>
              <w:spacing w:after="0" w:line="102" w:lineRule="exact"/>
              <w:rPr>
                <w:sz w:val="20"/>
                <w:szCs w:val="20"/>
                <w:color w:val="auto"/>
              </w:rPr>
            </w:pPr>
            <w:r>
              <w:rPr>
                <w:rFonts w:ascii="Arial" w:cs="Arial" w:eastAsia="Arial" w:hAnsi="Arial"/>
                <w:sz w:val="11"/>
                <w:szCs w:val="11"/>
                <w:b w:val="1"/>
                <w:bCs w:val="1"/>
                <w:color w:val="auto"/>
              </w:rPr>
              <w:t>July 30,</w:t>
            </w:r>
          </w:p>
        </w:tc>
        <w:tc>
          <w:tcPr>
            <w:tcW w:w="280" w:type="dxa"/>
            <w:vAlign w:val="bottom"/>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40" w:type="dxa"/>
            <w:vAlign w:val="bottom"/>
            <w:tcBorders>
              <w:top w:val="single" w:sz="8" w:color="auto"/>
            </w:tcBorders>
            <w:gridSpan w:val="2"/>
          </w:tcPr>
          <w:p>
            <w:pPr>
              <w:jc w:val="right"/>
              <w:ind w:right="560"/>
              <w:spacing w:after="0" w:line="102" w:lineRule="exact"/>
              <w:rPr>
                <w:sz w:val="20"/>
                <w:szCs w:val="20"/>
                <w:color w:val="auto"/>
              </w:rPr>
            </w:pPr>
            <w:r>
              <w:rPr>
                <w:rFonts w:ascii="Arial" w:cs="Arial" w:eastAsia="Arial" w:hAnsi="Arial"/>
                <w:sz w:val="11"/>
                <w:szCs w:val="11"/>
                <w:b w:val="1"/>
                <w:bCs w:val="1"/>
                <w:color w:val="auto"/>
              </w:rPr>
              <w:t>July 29,</w:t>
            </w:r>
          </w:p>
        </w:tc>
        <w:tc>
          <w:tcPr>
            <w:tcW w:w="18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right"/>
              <w:ind w:right="224"/>
              <w:spacing w:after="0" w:line="102" w:lineRule="exact"/>
              <w:rPr>
                <w:sz w:val="20"/>
                <w:szCs w:val="20"/>
                <w:color w:val="auto"/>
              </w:rPr>
            </w:pPr>
            <w:r>
              <w:rPr>
                <w:rFonts w:ascii="Arial" w:cs="Arial" w:eastAsia="Arial" w:hAnsi="Arial"/>
                <w:sz w:val="11"/>
                <w:szCs w:val="11"/>
                <w:b w:val="1"/>
                <w:bCs w:val="1"/>
                <w:color w:val="auto"/>
              </w:rPr>
              <w:t>July 30,</w:t>
            </w:r>
          </w:p>
        </w:tc>
        <w:tc>
          <w:tcPr>
            <w:tcW w:w="260" w:type="dxa"/>
            <w:vAlign w:val="bottom"/>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4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325"/>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01"/>
              <w:spacing w:after="0"/>
              <w:rPr>
                <w:sz w:val="20"/>
                <w:szCs w:val="20"/>
                <w:color w:val="auto"/>
              </w:rPr>
            </w:pPr>
            <w:r>
              <w:rPr>
                <w:rFonts w:ascii="Arial" w:cs="Arial" w:eastAsia="Arial" w:hAnsi="Arial"/>
                <w:sz w:val="14"/>
                <w:szCs w:val="14"/>
                <w:b w:val="1"/>
                <w:bCs w:val="1"/>
                <w:color w:val="auto"/>
              </w:rPr>
              <w:t>2005</w:t>
            </w:r>
          </w:p>
        </w:tc>
        <w:tc>
          <w:tcPr>
            <w:tcW w:w="280" w:type="dxa"/>
            <w:vAlign w:val="bottom"/>
            <w:tcBorders>
              <w:bottom w:val="single" w:sz="8" w:color="CCEEFF"/>
            </w:tcBorders>
          </w:tcPr>
          <w:p>
            <w:pPr>
              <w:spacing w:after="0"/>
              <w:rPr>
                <w:sz w:val="14"/>
                <w:szCs w:val="14"/>
                <w:color w:val="auto"/>
              </w:rPr>
            </w:pPr>
          </w:p>
        </w:tc>
        <w:tc>
          <w:tcPr>
            <w:tcW w:w="1060" w:type="dxa"/>
            <w:vAlign w:val="bottom"/>
            <w:tcBorders>
              <w:bottom w:val="single" w:sz="8" w:color="auto"/>
            </w:tcBorders>
          </w:tcPr>
          <w:p>
            <w:pPr>
              <w:ind w:left="300"/>
              <w:spacing w:after="0"/>
              <w:rPr>
                <w:sz w:val="20"/>
                <w:szCs w:val="20"/>
                <w:color w:val="auto"/>
              </w:rPr>
            </w:pPr>
            <w:r>
              <w:rPr>
                <w:rFonts w:ascii="Arial" w:cs="Arial" w:eastAsia="Arial" w:hAnsi="Arial"/>
                <w:sz w:val="14"/>
                <w:szCs w:val="14"/>
                <w:b w:val="1"/>
                <w:bCs w:val="1"/>
                <w:color w:val="auto"/>
              </w:rPr>
              <w:t>Change</w:t>
            </w:r>
          </w:p>
        </w:tc>
        <w:tc>
          <w:tcPr>
            <w:tcW w:w="2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305"/>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324"/>
              <w:spacing w:after="0"/>
              <w:rPr>
                <w:sz w:val="20"/>
                <w:szCs w:val="20"/>
                <w:color w:val="auto"/>
              </w:rPr>
            </w:pPr>
            <w:r>
              <w:rPr>
                <w:rFonts w:ascii="Arial" w:cs="Arial" w:eastAsia="Arial" w:hAnsi="Arial"/>
                <w:sz w:val="14"/>
                <w:szCs w:val="14"/>
                <w:b w:val="1"/>
                <w:bCs w:val="1"/>
                <w:color w:val="auto"/>
              </w:rPr>
              <w:t>2005</w:t>
            </w:r>
          </w:p>
        </w:tc>
        <w:tc>
          <w:tcPr>
            <w:tcW w:w="260" w:type="dxa"/>
            <w:vAlign w:val="bottom"/>
            <w:tcBorders>
              <w:bottom w:val="single" w:sz="8" w:color="CCEEFF"/>
            </w:tcBorders>
          </w:tcPr>
          <w:p>
            <w:pPr>
              <w:spacing w:after="0"/>
              <w:rPr>
                <w:sz w:val="14"/>
                <w:szCs w:val="14"/>
                <w:color w:val="auto"/>
              </w:rPr>
            </w:pPr>
          </w:p>
        </w:tc>
        <w:tc>
          <w:tcPr>
            <w:tcW w:w="1160" w:type="dxa"/>
            <w:vAlign w:val="bottom"/>
            <w:tcBorders>
              <w:bottom w:val="single" w:sz="8" w:color="auto"/>
            </w:tcBorders>
          </w:tcPr>
          <w:p>
            <w:pPr>
              <w:ind w:left="340"/>
              <w:spacing w:after="0"/>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19,753</w:t>
            </w:r>
          </w:p>
        </w:tc>
        <w:tc>
          <w:tcPr>
            <w:tcW w:w="2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38.7%</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39,512</w:t>
            </w:r>
          </w:p>
        </w:tc>
        <w:tc>
          <w:tcPr>
            <w:tcW w:w="2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13.3%</w:t>
            </w:r>
          </w:p>
        </w:tc>
        <w:tc>
          <w:tcPr>
            <w:tcW w:w="0" w:type="dxa"/>
            <w:vAlign w:val="bottom"/>
          </w:tcPr>
          <w:p>
            <w:pPr>
              <w:spacing w:after="0"/>
              <w:rPr>
                <w:sz w:val="1"/>
                <w:szCs w:val="1"/>
                <w:color w:val="auto"/>
              </w:rPr>
            </w:pPr>
          </w:p>
        </w:tc>
      </w:tr>
      <w:tr>
        <w:trPr>
          <w:trHeight w:val="230"/>
        </w:trPr>
        <w:tc>
          <w:tcPr>
            <w:tcW w:w="348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20"/>
                <w:szCs w:val="20"/>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5.1%</w:t>
            </w:r>
          </w:p>
        </w:tc>
        <w:tc>
          <w:tcPr>
            <w:tcW w:w="10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4.1%</w:t>
            </w:r>
          </w:p>
        </w:tc>
        <w:tc>
          <w:tcPr>
            <w:tcW w:w="18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5.2%</w:t>
            </w:r>
          </w:p>
        </w:tc>
        <w:tc>
          <w:tcPr>
            <w:tcW w:w="1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3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55</w:t>
            </w:r>
          </w:p>
        </w:tc>
        <w:tc>
          <w:tcPr>
            <w:tcW w:w="2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0" w:firstLine="324"/>
        <w:spacing w:after="0" w:line="302" w:lineRule="auto"/>
        <w:rPr>
          <w:sz w:val="20"/>
          <w:szCs w:val="20"/>
          <w:color w:val="auto"/>
        </w:rPr>
      </w:pPr>
      <w:r>
        <w:rPr>
          <w:rFonts w:ascii="Arial" w:cs="Arial" w:eastAsia="Arial" w:hAnsi="Arial"/>
          <w:sz w:val="16"/>
          <w:szCs w:val="16"/>
          <w:color w:val="auto"/>
        </w:rPr>
        <w:t>In connection with various acquisitions, we have recorded acquired intangible assets which are being amortized over their estimated economic lives of one to six years. The increase in amortization of acquired intangible assets in the second quarter and first six months of fiscal 2007 compared to the second quarter and first six months of fiscal 2006 was due to additional amortization of intangible assets from new acquisitions partially offset by the absence of amortization of acquired intangible assets from the acquisition of Galileo Technology Ltd. which were fully amortized at the end of fiscal 2006.</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gridSpan w:val="2"/>
            <w:vMerge w:val="restart"/>
          </w:tcPr>
          <w:p>
            <w:pPr>
              <w:ind w:left="280"/>
              <w:spacing w:after="0"/>
              <w:rPr>
                <w:sz w:val="20"/>
                <w:szCs w:val="20"/>
                <w:color w:val="auto"/>
              </w:rPr>
            </w:pPr>
            <w:r>
              <w:rPr>
                <w:rFonts w:ascii="Arial" w:cs="Arial" w:eastAsia="Arial" w:hAnsi="Arial"/>
                <w:sz w:val="14"/>
                <w:szCs w:val="14"/>
                <w:b w:val="1"/>
                <w:bCs w:val="1"/>
                <w:color w:val="auto"/>
              </w:rPr>
              <w:t>Percent</w:t>
            </w:r>
          </w:p>
        </w:tc>
        <w:tc>
          <w:tcPr>
            <w:tcW w:w="180" w:type="dxa"/>
            <w:vAlign w:val="bottom"/>
          </w:tcPr>
          <w:p>
            <w:pPr>
              <w:spacing w:after="0"/>
              <w:rPr>
                <w:sz w:val="14"/>
                <w:szCs w:val="14"/>
                <w:color w:val="auto"/>
              </w:rPr>
            </w:pPr>
          </w:p>
        </w:tc>
        <w:tc>
          <w:tcPr>
            <w:tcW w:w="244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Six Months Ended</w:t>
            </w:r>
          </w:p>
        </w:tc>
        <w:tc>
          <w:tcPr>
            <w:tcW w:w="130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4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60" w:type="dxa"/>
            <w:vAlign w:val="bottom"/>
            <w:tcBorders>
              <w:top w:val="single" w:sz="8" w:color="auto"/>
            </w:tcBorders>
            <w:gridSpan w:val="2"/>
          </w:tcPr>
          <w:p>
            <w:pPr>
              <w:jc w:val="right"/>
              <w:ind w:right="580"/>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right"/>
              <w:ind w:right="224"/>
              <w:spacing w:after="0" w:line="102" w:lineRule="exact"/>
              <w:rPr>
                <w:sz w:val="20"/>
                <w:szCs w:val="20"/>
                <w:color w:val="auto"/>
              </w:rPr>
            </w:pPr>
            <w:r>
              <w:rPr>
                <w:rFonts w:ascii="Arial" w:cs="Arial" w:eastAsia="Arial" w:hAnsi="Arial"/>
                <w:sz w:val="11"/>
                <w:szCs w:val="11"/>
                <w:b w:val="1"/>
                <w:bCs w:val="1"/>
                <w:color w:val="auto"/>
              </w:rPr>
              <w:t>July 30,</w:t>
            </w:r>
          </w:p>
        </w:tc>
        <w:tc>
          <w:tcPr>
            <w:tcW w:w="300" w:type="dxa"/>
            <w:vAlign w:val="bottom"/>
          </w:tcPr>
          <w:p>
            <w:pPr>
              <w:spacing w:after="0"/>
              <w:rPr>
                <w:sz w:val="8"/>
                <w:szCs w:val="8"/>
                <w:color w:val="auto"/>
              </w:rPr>
            </w:pPr>
          </w:p>
        </w:tc>
        <w:tc>
          <w:tcPr>
            <w:tcW w:w="1340" w:type="dxa"/>
            <w:vAlign w:val="bottom"/>
            <w:gridSpan w:val="2"/>
            <w:vMerge w:val="continue"/>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40" w:type="dxa"/>
            <w:vAlign w:val="bottom"/>
            <w:tcBorders>
              <w:top w:val="single" w:sz="8" w:color="auto"/>
            </w:tcBorders>
            <w:gridSpan w:val="2"/>
          </w:tcPr>
          <w:p>
            <w:pPr>
              <w:jc w:val="right"/>
              <w:ind w:right="560"/>
              <w:spacing w:after="0" w:line="102" w:lineRule="exact"/>
              <w:rPr>
                <w:sz w:val="20"/>
                <w:szCs w:val="20"/>
                <w:color w:val="auto"/>
              </w:rPr>
            </w:pPr>
            <w:r>
              <w:rPr>
                <w:rFonts w:ascii="Arial" w:cs="Arial" w:eastAsia="Arial" w:hAnsi="Arial"/>
                <w:sz w:val="11"/>
                <w:szCs w:val="11"/>
                <w:b w:val="1"/>
                <w:bCs w:val="1"/>
                <w:color w:val="auto"/>
              </w:rPr>
              <w:t>July 29,</w:t>
            </w:r>
          </w:p>
        </w:tc>
        <w:tc>
          <w:tcPr>
            <w:tcW w:w="18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right"/>
              <w:ind w:right="224"/>
              <w:spacing w:after="0" w:line="102" w:lineRule="exact"/>
              <w:rPr>
                <w:sz w:val="20"/>
                <w:szCs w:val="20"/>
                <w:color w:val="auto"/>
              </w:rPr>
            </w:pPr>
            <w:r>
              <w:rPr>
                <w:rFonts w:ascii="Arial" w:cs="Arial" w:eastAsia="Arial" w:hAnsi="Arial"/>
                <w:sz w:val="11"/>
                <w:szCs w:val="11"/>
                <w:b w:val="1"/>
                <w:bCs w:val="1"/>
                <w:color w:val="auto"/>
              </w:rPr>
              <w:t>July 30,</w:t>
            </w:r>
          </w:p>
        </w:tc>
        <w:tc>
          <w:tcPr>
            <w:tcW w:w="260" w:type="dxa"/>
            <w:vAlign w:val="bottom"/>
          </w:tcPr>
          <w:p>
            <w:pPr>
              <w:spacing w:after="0"/>
              <w:rPr>
                <w:sz w:val="8"/>
                <w:szCs w:val="8"/>
                <w:color w:val="auto"/>
              </w:rPr>
            </w:pPr>
          </w:p>
        </w:tc>
        <w:tc>
          <w:tcPr>
            <w:tcW w:w="13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4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325"/>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324"/>
              <w:spacing w:after="0"/>
              <w:rPr>
                <w:sz w:val="20"/>
                <w:szCs w:val="20"/>
                <w:color w:val="auto"/>
              </w:rPr>
            </w:pPr>
            <w:r>
              <w:rPr>
                <w:rFonts w:ascii="Arial" w:cs="Arial" w:eastAsia="Arial" w:hAnsi="Arial"/>
                <w:sz w:val="14"/>
                <w:szCs w:val="14"/>
                <w:b w:val="1"/>
                <w:bCs w:val="1"/>
                <w:color w:val="auto"/>
              </w:rPr>
              <w:t>2005</w:t>
            </w:r>
          </w:p>
        </w:tc>
        <w:tc>
          <w:tcPr>
            <w:tcW w:w="300" w:type="dxa"/>
            <w:vAlign w:val="bottom"/>
            <w:tcBorders>
              <w:bottom w:val="single" w:sz="8" w:color="CCEEFF"/>
            </w:tcBorders>
          </w:tcPr>
          <w:p>
            <w:pPr>
              <w:spacing w:after="0"/>
              <w:rPr>
                <w:sz w:val="14"/>
                <w:szCs w:val="14"/>
                <w:color w:val="auto"/>
              </w:rPr>
            </w:pPr>
          </w:p>
        </w:tc>
        <w:tc>
          <w:tcPr>
            <w:tcW w:w="1040" w:type="dxa"/>
            <w:vAlign w:val="bottom"/>
            <w:tcBorders>
              <w:bottom w:val="single" w:sz="8" w:color="auto"/>
            </w:tcBorders>
          </w:tcPr>
          <w:p>
            <w:pPr>
              <w:ind w:left="280"/>
              <w:spacing w:after="0"/>
              <w:rPr>
                <w:sz w:val="20"/>
                <w:szCs w:val="20"/>
                <w:color w:val="auto"/>
              </w:rPr>
            </w:pPr>
            <w:r>
              <w:rPr>
                <w:rFonts w:ascii="Arial" w:cs="Arial" w:eastAsia="Arial" w:hAnsi="Arial"/>
                <w:sz w:val="14"/>
                <w:szCs w:val="14"/>
                <w:b w:val="1"/>
                <w:bCs w:val="1"/>
                <w:color w:val="auto"/>
              </w:rPr>
              <w:t>Change</w:t>
            </w:r>
          </w:p>
        </w:tc>
        <w:tc>
          <w:tcPr>
            <w:tcW w:w="3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304"/>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324"/>
              <w:spacing w:after="0"/>
              <w:rPr>
                <w:sz w:val="20"/>
                <w:szCs w:val="20"/>
                <w:color w:val="auto"/>
              </w:rPr>
            </w:pPr>
            <w:r>
              <w:rPr>
                <w:rFonts w:ascii="Arial" w:cs="Arial" w:eastAsia="Arial" w:hAnsi="Arial"/>
                <w:sz w:val="14"/>
                <w:szCs w:val="14"/>
                <w:b w:val="1"/>
                <w:bCs w:val="1"/>
                <w:color w:val="auto"/>
              </w:rPr>
              <w:t>2005</w:t>
            </w:r>
          </w:p>
        </w:tc>
        <w:tc>
          <w:tcPr>
            <w:tcW w:w="260" w:type="dxa"/>
            <w:vAlign w:val="bottom"/>
            <w:tcBorders>
              <w:bottom w:val="single" w:sz="8" w:color="CCEEFF"/>
            </w:tcBorders>
          </w:tcPr>
          <w:p>
            <w:pPr>
              <w:spacing w:after="0"/>
              <w:rPr>
                <w:sz w:val="14"/>
                <w:szCs w:val="14"/>
                <w:color w:val="auto"/>
              </w:rPr>
            </w:pPr>
          </w:p>
        </w:tc>
        <w:tc>
          <w:tcPr>
            <w:tcW w:w="1120" w:type="dxa"/>
            <w:vAlign w:val="bottom"/>
            <w:tcBorders>
              <w:bottom w:val="single" w:sz="8" w:color="auto"/>
            </w:tcBorders>
          </w:tcPr>
          <w:p>
            <w:pPr>
              <w:ind w:left="320"/>
              <w:spacing w:after="0"/>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3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(75.1)%</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8,707</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7,996</w:t>
            </w:r>
          </w:p>
        </w:tc>
        <w:tc>
          <w:tcPr>
            <w:tcW w:w="26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8.9%</w:t>
            </w:r>
          </w:p>
        </w:tc>
        <w:tc>
          <w:tcPr>
            <w:tcW w:w="0" w:type="dxa"/>
            <w:vAlign w:val="bottom"/>
          </w:tcPr>
          <w:p>
            <w:pPr>
              <w:spacing w:after="0"/>
              <w:rPr>
                <w:sz w:val="1"/>
                <w:szCs w:val="1"/>
                <w:color w:val="auto"/>
              </w:rPr>
            </w:pPr>
          </w:p>
        </w:tc>
      </w:tr>
      <w:tr>
        <w:trPr>
          <w:trHeight w:val="230"/>
        </w:trPr>
        <w:tc>
          <w:tcPr>
            <w:tcW w:w="346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1.1%</w:t>
            </w:r>
          </w:p>
        </w:tc>
        <w:tc>
          <w:tcPr>
            <w:tcW w:w="10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0.8%</w:t>
            </w:r>
          </w:p>
        </w:tc>
        <w:tc>
          <w:tcPr>
            <w:tcW w:w="180" w:type="dxa"/>
            <w:vAlign w:val="bottom"/>
          </w:tcPr>
          <w:p>
            <w:pPr>
              <w:spacing w:after="0"/>
              <w:rPr>
                <w:sz w:val="20"/>
                <w:szCs w:val="20"/>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1.1%</w:t>
            </w:r>
          </w:p>
        </w:tc>
        <w:tc>
          <w:tcPr>
            <w:tcW w:w="1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decrease in interest and other income, net for the second quarter of fiscal 2007 compared to the second quarter of fiscal 2006 was primarily due to a $5.0 million charge for a reserve recorded in the second quarter of fiscal 2007 for an advance payment to a company which subsequently filed for bankruptcy. Partially offsetting the decrease was higher interest income due to higher yields on our investments in the second quarter of fiscal 2007 compared to the second quarter of fiscal 2006. The increase in interest and other income, net for the first six months of fiscal 2007 compared to the first six months of fiscal 2006 was primarily due to higher interest income due to higher yields on our investments during the six months of fiscal 2007, partially offset by a $5.0 million charge for a reserve recorded in the second quarter of fiscal 2007 for an advance payment to a company which subsequently filed for bankruptcy. The combined cash and short-term investment balances as of July 29, 2006 decreased compared to the cash and short-term investment balance as of July 30, 2005 due to the payments for acquisitions in the first six months of fiscal 2007.</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2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120" w:type="dxa"/>
            <w:vAlign w:val="bottom"/>
          </w:tcPr>
          <w:p>
            <w:pPr>
              <w:spacing w:after="0"/>
              <w:rPr>
                <w:sz w:val="14"/>
                <w:szCs w:val="14"/>
                <w:color w:val="auto"/>
              </w:rPr>
            </w:pPr>
          </w:p>
        </w:tc>
        <w:tc>
          <w:tcPr>
            <w:tcW w:w="200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108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2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25"/>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2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12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65"/>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300" w:type="dxa"/>
            <w:vAlign w:val="bottom"/>
          </w:tcPr>
          <w:p>
            <w:pPr>
              <w:spacing w:after="0"/>
              <w:rPr>
                <w:sz w:val="14"/>
                <w:szCs w:val="14"/>
                <w:color w:val="auto"/>
              </w:rPr>
            </w:pPr>
          </w:p>
        </w:tc>
        <w:tc>
          <w:tcPr>
            <w:tcW w:w="1200" w:type="dxa"/>
            <w:vAlign w:val="bottom"/>
            <w:gridSpan w:val="2"/>
          </w:tcPr>
          <w:p>
            <w:pPr>
              <w:jc w:val="right"/>
              <w:ind w:right="216"/>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45"/>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1160" w:type="dxa"/>
            <w:vAlign w:val="bottom"/>
            <w:gridSpan w:val="3"/>
          </w:tcPr>
          <w:p>
            <w:pPr>
              <w:ind w:left="160"/>
              <w:spacing w:after="0"/>
              <w:rPr>
                <w:sz w:val="20"/>
                <w:szCs w:val="20"/>
                <w:color w:val="auto"/>
              </w:rPr>
            </w:pPr>
            <w:r>
              <w:rPr>
                <w:rFonts w:ascii="Arial" w:cs="Arial" w:eastAsia="Arial" w:hAnsi="Arial"/>
                <w:sz w:val="14"/>
                <w:szCs w:val="14"/>
                <w:b w:val="1"/>
                <w:bCs w:val="1"/>
                <w:color w:val="auto"/>
              </w:rPr>
              <w:t>Change</w:t>
            </w:r>
          </w:p>
        </w:tc>
        <w:tc>
          <w:tcPr>
            <w:tcW w:w="720" w:type="dxa"/>
            <w:vAlign w:val="bottom"/>
          </w:tcPr>
          <w:p>
            <w:pPr>
              <w:jc w:val="right"/>
              <w:ind w:right="22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jc w:val="center"/>
              <w:ind w:right="45"/>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1080" w:type="dxa"/>
            <w:vAlign w:val="bottom"/>
            <w:gridSpan w:val="2"/>
          </w:tcPr>
          <w:p>
            <w:pPr>
              <w:ind w:left="2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5"/>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3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12,114</w:t>
            </w:r>
          </w:p>
        </w:tc>
        <w:tc>
          <w:tcPr>
            <w:tcW w:w="1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10,841</w:t>
            </w:r>
          </w:p>
        </w:tc>
        <w:tc>
          <w:tcPr>
            <w:tcW w:w="22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11.7% $</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27,977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20,192</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38.6%</w:t>
            </w:r>
          </w:p>
        </w:tc>
        <w:tc>
          <w:tcPr>
            <w:tcW w:w="0" w:type="dxa"/>
            <w:vAlign w:val="bottom"/>
          </w:tcPr>
          <w:p>
            <w:pPr>
              <w:spacing w:after="0"/>
              <w:rPr>
                <w:sz w:val="1"/>
                <w:szCs w:val="1"/>
                <w:color w:val="auto"/>
              </w:rPr>
            </w:pPr>
          </w:p>
        </w:tc>
      </w:tr>
      <w:tr>
        <w:trPr>
          <w:trHeight w:val="230"/>
        </w:trPr>
        <w:tc>
          <w:tcPr>
            <w:tcW w:w="2300" w:type="dxa"/>
            <w:vAlign w:val="bottom"/>
          </w:tcPr>
          <w:p>
            <w:pPr>
              <w:spacing w:after="0"/>
              <w:rPr>
                <w:sz w:val="20"/>
                <w:szCs w:val="20"/>
                <w:color w:val="auto"/>
              </w:rPr>
            </w:pPr>
            <w:r>
              <w:rPr>
                <w:rFonts w:ascii="Arial" w:cs="Arial" w:eastAsia="Arial" w:hAnsi="Arial"/>
                <w:sz w:val="18"/>
                <w:szCs w:val="18"/>
                <w:color w:val="auto"/>
              </w:rPr>
              <w:t>% of net revenue</w:t>
            </w:r>
          </w:p>
        </w:tc>
        <w:tc>
          <w:tcPr>
            <w:tcW w:w="1380" w:type="dxa"/>
            <w:vAlign w:val="bottom"/>
            <w:gridSpan w:val="3"/>
          </w:tcPr>
          <w:p>
            <w:pPr>
              <w:jc w:val="right"/>
              <w:ind w:right="20"/>
              <w:spacing w:after="0"/>
              <w:rPr>
                <w:sz w:val="20"/>
                <w:szCs w:val="20"/>
                <w:color w:val="auto"/>
              </w:rPr>
            </w:pPr>
            <w:r>
              <w:rPr>
                <w:rFonts w:ascii="Arial" w:cs="Arial" w:eastAsia="Arial" w:hAnsi="Arial"/>
                <w:sz w:val="18"/>
                <w:szCs w:val="18"/>
                <w:color w:val="auto"/>
              </w:rPr>
              <w:t>2.1%</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2.8%</w:t>
            </w:r>
          </w:p>
        </w:tc>
        <w:tc>
          <w:tcPr>
            <w:tcW w:w="8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2.7%</w:t>
            </w:r>
          </w:p>
        </w:tc>
        <w:tc>
          <w:tcPr>
            <w:tcW w:w="9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Our effective tax rate was 21.3% and 19.8% for the three and six months ended July 29, 2006 compared to 18.7% and 16.7% for the three and six months ended July 30, 2005. The effective tax rates were affected by profits earned in jurisdictions where the tax rate is other than the U.S. tax rate and by non-tax-deductible expenses, such as nondeductible acquisition related expenses and the impact of adopting SFAS 123R. Additionally, the effective tax rate at July 29, 2006 was effected by nondeductible interest and penalties which increased the rate by 4.9%.</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2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80" w:type="dxa"/>
            <w:vAlign w:val="bottom"/>
            <w:gridSpan w:val="5"/>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120" w:type="dxa"/>
            <w:vAlign w:val="bottom"/>
          </w:tcPr>
          <w:p>
            <w:pPr>
              <w:spacing w:after="0"/>
              <w:rPr>
                <w:sz w:val="14"/>
                <w:szCs w:val="14"/>
                <w:color w:val="auto"/>
              </w:rPr>
            </w:pPr>
          </w:p>
        </w:tc>
        <w:tc>
          <w:tcPr>
            <w:tcW w:w="1980" w:type="dxa"/>
            <w:vAlign w:val="bottom"/>
            <w:gridSpan w:val="4"/>
          </w:tcPr>
          <w:p>
            <w:pPr>
              <w:ind w:left="240"/>
              <w:spacing w:after="0"/>
              <w:rPr>
                <w:sz w:val="20"/>
                <w:szCs w:val="20"/>
                <w:color w:val="auto"/>
              </w:rPr>
            </w:pPr>
            <w:r>
              <w:rPr>
                <w:rFonts w:ascii="Arial" w:cs="Arial" w:eastAsia="Arial" w:hAnsi="Arial"/>
                <w:sz w:val="14"/>
                <w:szCs w:val="14"/>
                <w:b w:val="1"/>
                <w:bCs w:val="1"/>
                <w:color w:val="auto"/>
              </w:rPr>
              <w:t>Six Months Ended</w:t>
            </w:r>
          </w:p>
        </w:tc>
        <w:tc>
          <w:tcPr>
            <w:tcW w:w="110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5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ind w:left="40"/>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center"/>
              <w:ind w:right="24"/>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2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29,</w:t>
            </w:r>
          </w:p>
        </w:tc>
        <w:tc>
          <w:tcPr>
            <w:tcW w:w="8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30,</w:t>
            </w:r>
          </w:p>
        </w:tc>
        <w:tc>
          <w:tcPr>
            <w:tcW w:w="220" w:type="dxa"/>
            <w:vAlign w:val="bottom"/>
          </w:tcPr>
          <w:p>
            <w:pPr>
              <w:spacing w:after="0"/>
              <w:rPr>
                <w:sz w:val="8"/>
                <w:szCs w:val="8"/>
                <w:color w:val="auto"/>
              </w:rPr>
            </w:pPr>
          </w:p>
        </w:tc>
        <w:tc>
          <w:tcPr>
            <w:tcW w:w="11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00" w:type="dxa"/>
            <w:vAlign w:val="bottom"/>
          </w:tcPr>
          <w:p>
            <w:pPr>
              <w:ind w:left="140"/>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ind w:right="44"/>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160" w:type="dxa"/>
            <w:vAlign w:val="bottom"/>
            <w:gridSpan w:val="3"/>
          </w:tcPr>
          <w:p>
            <w:pPr>
              <w:ind w:left="160"/>
              <w:spacing w:after="0"/>
              <w:rPr>
                <w:sz w:val="20"/>
                <w:szCs w:val="20"/>
                <w:color w:val="auto"/>
              </w:rPr>
            </w:pPr>
            <w:r>
              <w:rPr>
                <w:rFonts w:ascii="Arial" w:cs="Arial" w:eastAsia="Arial" w:hAnsi="Arial"/>
                <w:sz w:val="14"/>
                <w:szCs w:val="14"/>
                <w:b w:val="1"/>
                <w:bCs w:val="1"/>
                <w:color w:val="auto"/>
              </w:rPr>
              <w:t>Change</w:t>
            </w:r>
          </w:p>
        </w:tc>
        <w:tc>
          <w:tcPr>
            <w:tcW w:w="720" w:type="dxa"/>
            <w:vAlign w:val="bottom"/>
          </w:tcPr>
          <w:p>
            <w:pPr>
              <w:jc w:val="right"/>
              <w:ind w:right="22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00" w:type="dxa"/>
            <w:vAlign w:val="bottom"/>
            <w:gridSpan w:val="2"/>
          </w:tcPr>
          <w:p>
            <w:pPr>
              <w:ind w:left="2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44"/>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5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Cumulative effect of change in</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5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6"/>
              </w:rPr>
              <w:t>accounting principle, net of tax</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ind w:left="620"/>
              <w:spacing w:after="0"/>
              <w:rPr>
                <w:sz w:val="20"/>
                <w:szCs w:val="20"/>
                <w:color w:val="auto"/>
              </w:rPr>
            </w:pPr>
            <w:r>
              <w:rPr>
                <w:rFonts w:ascii="Arial" w:cs="Arial" w:eastAsia="Arial" w:hAnsi="Arial"/>
                <w:sz w:val="18"/>
                <w:szCs w:val="18"/>
                <w:color w:val="auto"/>
              </w:rPr>
              <w:t>—% $</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0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30"/>
        </w:trPr>
        <w:tc>
          <w:tcPr>
            <w:tcW w:w="2540" w:type="dxa"/>
            <w:vAlign w:val="bottom"/>
          </w:tcPr>
          <w:p>
            <w:pPr>
              <w:spacing w:after="0"/>
              <w:rPr>
                <w:sz w:val="20"/>
                <w:szCs w:val="20"/>
                <w:color w:val="auto"/>
              </w:rPr>
            </w:pPr>
            <w:r>
              <w:rPr>
                <w:rFonts w:ascii="Arial" w:cs="Arial" w:eastAsia="Arial" w:hAnsi="Arial"/>
                <w:sz w:val="18"/>
                <w:szCs w:val="18"/>
                <w:color w:val="auto"/>
              </w:rPr>
              <w:t>% of net income</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00" w:type="dxa"/>
            <w:vAlign w:val="bottom"/>
          </w:tcPr>
          <w:p>
            <w:pPr>
              <w:ind w:left="5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8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0.8%</w:t>
            </w:r>
          </w:p>
        </w:tc>
        <w:tc>
          <w:tcPr>
            <w:tcW w:w="106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9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460" w:firstLine="324"/>
        <w:spacing w:after="0" w:line="277"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720" w:firstLine="324"/>
        <w:spacing w:after="0" w:line="264" w:lineRule="auto"/>
        <w:rPr>
          <w:sz w:val="20"/>
          <w:szCs w:val="20"/>
          <w:color w:val="auto"/>
        </w:rPr>
      </w:pPr>
      <w:r>
        <w:rPr>
          <w:rFonts w:ascii="Arial" w:cs="Arial" w:eastAsia="Arial" w:hAnsi="Arial"/>
          <w:sz w:val="18"/>
          <w:szCs w:val="18"/>
          <w:color w:val="auto"/>
        </w:rPr>
        <w:t>Our principal source of liquidity as of July 29, 2006 consisted of $797.7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Operating Activities (Restated)</w:t>
      </w:r>
    </w:p>
    <w:p>
      <w:pPr>
        <w:spacing w:after="0" w:line="225" w:lineRule="exact"/>
        <w:rPr>
          <w:sz w:val="20"/>
          <w:szCs w:val="20"/>
          <w:color w:val="auto"/>
        </w:rPr>
      </w:pPr>
    </w:p>
    <w:p>
      <w:pPr>
        <w:ind w:right="180" w:firstLine="324"/>
        <w:spacing w:after="0" w:line="342" w:lineRule="auto"/>
        <w:rPr>
          <w:sz w:val="20"/>
          <w:szCs w:val="20"/>
          <w:color w:val="auto"/>
        </w:rPr>
      </w:pPr>
      <w:r>
        <w:rPr>
          <w:rFonts w:ascii="Arial" w:cs="Arial" w:eastAsia="Arial" w:hAnsi="Arial"/>
          <w:sz w:val="16"/>
          <w:szCs w:val="16"/>
          <w:color w:val="auto"/>
        </w:rPr>
        <w:t>Net cash provided by operating activities was $215.0 million for the six months ended July 29, 2006 compared to $181.0 million for the six months ended July 30, 2005. The cash inflows from operations in the six months of fiscal 2007 was primarily a result of our generation of income during the period</w:t>
      </w:r>
    </w:p>
    <w:p>
      <w:pPr>
        <w:sectPr>
          <w:pgSz w:w="11900" w:h="16989" w:orient="portrait"/>
          <w:cols w:equalWidth="0" w:num="1">
            <w:col w:w="11420"/>
          </w:cols>
          <w:pgMar w:left="240" w:top="125" w:right="239" w:bottom="0" w:gutter="0" w:footer="0" w:header="0"/>
        </w:sectPr>
      </w:pPr>
    </w:p>
    <w:bookmarkStart w:id="40" w:name="page41"/>
    <w:bookmarkEnd w:id="40"/>
    <w:p>
      <w:pPr>
        <w:ind w:right="180"/>
        <w:spacing w:after="0" w:line="297" w:lineRule="auto"/>
        <w:rPr>
          <w:sz w:val="20"/>
          <w:szCs w:val="20"/>
          <w:color w:val="auto"/>
        </w:rPr>
      </w:pPr>
      <w:r>
        <w:rPr>
          <w:rFonts w:ascii="Arial" w:cs="Arial" w:eastAsia="Arial" w:hAnsi="Arial"/>
          <w:sz w:val="16"/>
          <w:szCs w:val="16"/>
          <w:color w:val="auto"/>
        </w:rPr>
        <w:t>and changes in working capital. Non-cash charges in the first six months of fiscal 2007 included $44.8 million related to amortization of acquired intangible assets, $32.6 million of depreciation and amortization expense and $104.4 million of stock-based compensation. Significant working capital changes contributing to positive cash inflow in the first six months of fiscal 2007 included an increase of $25.4 million in income tax payable resulting from higher taxable income in the first six months of fiscal 2007 and an increase in accounts payable of $15.5 million resulting primarily from amounts due to our suppliers relating to increased inventory purchases as well as higher overall spending activity related to our expanding operations. Inventory</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decreased $7.1 million, primarily as a result of the build up of inventory to support our increasing revenue and additional inventory from our acquisitions. The number of days in inventory has increased at the end of the second quarter of fiscal 2007 to 75 days compared to 56 days at the end of the second quarter of fiscal 2006 due primarily to a higher comparable inventory balance at the end of each respective quarter. We expect the number of days in inventory to fluctuate in the range of approximately 60 to 75 days depending on our wafer starts and the inventory purchase needs of our customers as well as lead times and competitive situations in the marketplace.</w:t>
      </w:r>
    </w:p>
    <w:p>
      <w:pPr>
        <w:spacing w:after="0" w:line="188" w:lineRule="exact"/>
        <w:rPr>
          <w:sz w:val="20"/>
          <w:szCs w:val="20"/>
          <w:color w:val="auto"/>
        </w:rPr>
      </w:pPr>
    </w:p>
    <w:p>
      <w:pPr>
        <w:ind w:right="60" w:firstLine="324"/>
        <w:spacing w:after="0" w:line="277" w:lineRule="auto"/>
        <w:rPr>
          <w:sz w:val="20"/>
          <w:szCs w:val="20"/>
          <w:color w:val="auto"/>
        </w:rPr>
      </w:pPr>
      <w:r>
        <w:rPr>
          <w:rFonts w:ascii="Arial" w:cs="Arial" w:eastAsia="Arial" w:hAnsi="Arial"/>
          <w:sz w:val="17"/>
          <w:szCs w:val="17"/>
          <w:color w:val="auto"/>
        </w:rPr>
        <w:t xml:space="preserve">Significant working capital changes offsetting positive cash flows in the first six months of fiscal 2007 included an increase in accounts receivable of $97.6 million primarily due to higher total net revenue in the first six months of fiscal 2007 compared to the first six months of fiscal 2006. Accounts receivable increased and the days sales outstanding, or DSO, metric increased to 54 days at the end of fiscal 2007 compared to 48 days at the end of fiscal 2006. </w:t>
      </w:r>
      <w:r>
        <w:rPr>
          <w:rFonts w:ascii="Arial" w:cs="Arial" w:eastAsia="Arial" w:hAnsi="Arial"/>
          <w:sz w:val="16"/>
          <w:szCs w:val="16"/>
          <w:color w:val="auto"/>
        </w:rPr>
        <w:t>Many of our larger customers have regularly scheduled payment dates with some of the dates falling immediately before or after our fiscal quarter-end. As</w:t>
      </w:r>
      <w:r>
        <w:rPr>
          <w:rFonts w:ascii="Arial" w:cs="Arial" w:eastAsia="Arial" w:hAnsi="Arial"/>
          <w:sz w:val="17"/>
          <w:szCs w:val="17"/>
          <w:color w:val="auto"/>
        </w:rPr>
        <w:t xml:space="preserve"> </w:t>
      </w:r>
      <w:r>
        <w:rPr>
          <w:rFonts w:ascii="Arial" w:cs="Arial" w:eastAsia="Arial" w:hAnsi="Arial"/>
          <w:sz w:val="16"/>
          <w:szCs w:val="16"/>
          <w:color w:val="auto"/>
        </w:rPr>
        <w:t>a result, our accounts receivable balance and DSO may fluctuate depending on the timing of large payments made by our customers. Also contributing to working capital changes offsetting positive cash flow in the first six months of fiscal 2007 was an increase in prepaid expenses and other current assets of $28.5 million due primarily to payments made in connection with a capacity reservation agreement with a foundry.</w:t>
      </w:r>
    </w:p>
    <w:p>
      <w:pPr>
        <w:spacing w:after="0" w:line="176"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Net cash provided by operating activities was $181.0 million for the six months ended July 30, 2005. The cash inflow from operations in the six months of fiscal 2006 was primarily a result of our generation of income during the period and changes in working capital. Non-cash charges in the first six months of fiscal 2006 included $39.5 million related to amortization of acquired intangible assets, $27.6 million of depreciation and amortization expense and $39.2 million of stock-based compensation. Significant working capital changes contributing to positive cash inflow in the first six months of fiscal 2006 included an increase in income taxes payable of $18.1 million resulting from higher taxable income in the first six months of fiscal 2006 and a decrease in inventory of $14.7 million, primarily as a result of the timing of wafer starts at foundries, as well as increased cycle times from our foundry vendors.</w:t>
      </w:r>
    </w:p>
    <w:p>
      <w:pPr>
        <w:spacing w:after="0" w:line="165" w:lineRule="exact"/>
        <w:rPr>
          <w:sz w:val="20"/>
          <w:szCs w:val="20"/>
          <w:color w:val="auto"/>
        </w:rPr>
      </w:pPr>
    </w:p>
    <w:p>
      <w:pPr>
        <w:ind w:right="40" w:firstLine="324"/>
        <w:spacing w:after="0" w:line="263" w:lineRule="auto"/>
        <w:rPr>
          <w:sz w:val="20"/>
          <w:szCs w:val="20"/>
          <w:color w:val="auto"/>
        </w:rPr>
      </w:pPr>
      <w:r>
        <w:rPr>
          <w:rFonts w:ascii="Arial" w:cs="Arial" w:eastAsia="Arial" w:hAnsi="Arial"/>
          <w:sz w:val="18"/>
          <w:szCs w:val="18"/>
          <w:color w:val="auto"/>
        </w:rPr>
        <w:t xml:space="preserve">Significant working capital changes offsetting positive cash flows in the first six months of fiscal 2006 included an increase in prepaid and other assets of $65.3 million due primarily to a $60.0 million payment in connection </w:t>
      </w:r>
      <w:r>
        <w:rPr>
          <w:rFonts w:ascii="Arial" w:cs="Arial" w:eastAsia="Arial" w:hAnsi="Arial"/>
          <w:sz w:val="17"/>
          <w:szCs w:val="17"/>
          <w:color w:val="auto"/>
        </w:rPr>
        <w:t>with a capacity reservation agreement with a foundry. Also contributing to working</w:t>
      </w:r>
      <w:r>
        <w:rPr>
          <w:rFonts w:ascii="Arial" w:cs="Arial" w:eastAsia="Arial" w:hAnsi="Arial"/>
          <w:sz w:val="18"/>
          <w:szCs w:val="18"/>
          <w:color w:val="auto"/>
        </w:rPr>
        <w:t xml:space="preserve"> </w:t>
      </w:r>
      <w:r>
        <w:rPr>
          <w:rFonts w:ascii="Arial" w:cs="Arial" w:eastAsia="Arial" w:hAnsi="Arial"/>
          <w:sz w:val="17"/>
          <w:szCs w:val="17"/>
          <w:color w:val="auto"/>
        </w:rPr>
        <w:t>capital changes offsetting positive cash flow in the first six months of fiscal 2006 was an increase in accounts receivable of $9.3 million primarily due to higher total net revenue in the first six months of fiscal 2006 compared to the first six months of fiscal 2005</w:t>
      </w:r>
    </w:p>
    <w:p>
      <w:pPr>
        <w:spacing w:after="0" w:line="186" w:lineRule="exact"/>
        <w:rPr>
          <w:sz w:val="20"/>
          <w:szCs w:val="20"/>
          <w:color w:val="auto"/>
        </w:rPr>
      </w:pPr>
    </w:p>
    <w:p>
      <w:pPr>
        <w:ind w:right="80" w:firstLine="369"/>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Net cash used in investing activities was $240.8 million for the first six months of fiscal 2007 and while net cash used in investing activities was $140.3 million for the first six months of fiscal 2006. The net cash used in investing activities in the first six months of fiscal 2007 was due to purchases of property and equipment of $71.5 million, cash paid for acquisitions of $283.0 million and purchases of short-term investments of $141.4 million partially offset by proceeds from the sales and maturities of short-term investments of $265.2 million. The net cash used in investing activities in the first six months of fiscal 2006 was due to purchases of property and equipment of $37.8 million, purchases of short-term investments of $253.0 million, partially offset by the proceeds from the sales and maturities of short-term investments of $150.5 million.</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Net cash provided by financing activities was $25.7 million for the six months ended July 29, 2006 and $44.8 million for the six months ended July 30, 2005. In the first six months of fiscal 2007 and 2006, net cash provided by financing activities was attributable to proceeds from the issuance of common stock under our stock option and employee purchase plans, partially offset by principal</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00"/>
        <w:spacing w:after="0" w:line="264" w:lineRule="auto"/>
        <w:rPr>
          <w:sz w:val="20"/>
          <w:szCs w:val="20"/>
          <w:color w:val="auto"/>
        </w:rPr>
      </w:pPr>
      <w:r>
        <w:rPr>
          <w:rFonts w:ascii="Arial" w:cs="Arial" w:eastAsia="Arial" w:hAnsi="Arial"/>
          <w:sz w:val="18"/>
          <w:szCs w:val="18"/>
          <w:color w:val="auto"/>
        </w:rPr>
        <w:t>payments on capital lease obligations. The proceeds from the issuance of common stock were primarily due to the exercises of stock options and purchases of shares under the employee stock purchase plan. The increase in capital lease obligations was due to additional computer-aided design software licenses, which we have acquired for use in our research and development activities.</w:t>
      </w:r>
    </w:p>
    <w:p>
      <w:pPr>
        <w:spacing w:after="0" w:line="177"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Contractual Obligations and Commitments (Restated)</w:t>
      </w:r>
    </w:p>
    <w:p>
      <w:pPr>
        <w:spacing w:after="0" w:line="229" w:lineRule="exact"/>
        <w:rPr>
          <w:sz w:val="20"/>
          <w:szCs w:val="20"/>
          <w:color w:val="auto"/>
        </w:rPr>
      </w:pPr>
    </w:p>
    <w:p>
      <w:pPr>
        <w:ind w:firstLine="324"/>
        <w:spacing w:after="0" w:line="312" w:lineRule="auto"/>
        <w:rPr>
          <w:sz w:val="20"/>
          <w:szCs w:val="20"/>
          <w:color w:val="auto"/>
        </w:rPr>
      </w:pPr>
      <w:r>
        <w:rPr>
          <w:rFonts w:ascii="Arial" w:cs="Arial" w:eastAsia="Arial" w:hAnsi="Arial"/>
          <w:sz w:val="16"/>
          <w:szCs w:val="16"/>
          <w:color w:val="auto"/>
        </w:rPr>
        <w:t>Our relationships with our foundries allow us to cancel all outstanding purchase orders, provided we pay the foundries for all expenses they have incurred in connection with our purchase orders through the date of cancellation. As of July 29, 2006, foundries had incurred approximately $153.0 million of manufacturing expenses on our outstanding purchase orders. The purchase obligations are included in outstanding purchase commitments as of July 29, 2006.</w:t>
      </w:r>
    </w:p>
    <w:p>
      <w:pPr>
        <w:sectPr>
          <w:pgSz w:w="11900" w:h="16838" w:orient="portrait"/>
          <w:cols w:equalWidth="0" w:num="1">
            <w:col w:w="11420"/>
          </w:cols>
          <w:pgMar w:left="240" w:top="125" w:right="239" w:bottom="0" w:gutter="0" w:footer="0" w:header="0"/>
        </w:sectPr>
      </w:pPr>
    </w:p>
    <w:bookmarkStart w:id="41" w:name="page42"/>
    <w:bookmarkEnd w:id="41"/>
    <w:p>
      <w:pPr>
        <w:ind w:right="40" w:firstLine="324"/>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July 29, 2006, payments totaling $152.0 million (included in prepaid expenses and other current assets and other non current assets) have been made and approximately $61.0 million of the prepayment has been utilized as of July 31, 2006. At July 29, 2006, remaining commitments under the agreement were approximately $22.2 million.</w:t>
      </w:r>
    </w:p>
    <w:p>
      <w:pPr>
        <w:spacing w:after="0" w:line="193" w:lineRule="exact"/>
        <w:rPr>
          <w:sz w:val="20"/>
          <w:szCs w:val="20"/>
          <w:color w:val="auto"/>
        </w:rPr>
      </w:pPr>
    </w:p>
    <w:p>
      <w:pPr>
        <w:ind w:right="180" w:firstLine="324"/>
        <w:spacing w:after="0" w:line="290" w:lineRule="auto"/>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In February 2002, we consolidated our three existing facilities in California into this new building. The leases on two of our former facilities expired in February 2002 and 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$3.2 million as of July 29, 2006. At July 29, 2006, cash payments of $10.3 million, net of sublease income had been made in connection with this charge. Approximately $3.2 million is accrued for this facilities consolidation charge as of July 29, 2006 of which $0.7 million was the current portion while the long-term portion totaling $2.5 million is payable through 2010.</w:t>
      </w:r>
    </w:p>
    <w:p>
      <w:pPr>
        <w:spacing w:after="0" w:line="166"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We expect to make significant commitments and incur costs to improve the buildings at our U.S. headquarters located in Santa Clara, California over the next twelve months. Based upon our current forecasts, we currently expect to spend approximately $60.0 million to $65.0 million for building improvements over the next twelve months, of which $39.6 million of non-cancelable purchase orders is currently outstanding.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78"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On November 4, 2005, we completed the acquisition of the hard disk and tape drive controller semiconductor business of QLogic Corporation. The acquisition was completed in accordance with the terms and conditions of an Asset Purchase Agreement dated August 29, 2005. Under the terms of the agreement, in exchange for certain assets and intellectual property of QLogic, we paid $180.0 million in cash and issued 1,960,998 shares of our common stock to QLogic valued at $45.6 million for consideration of $225.6 million. An additional payment of $4.0 million was made for an inventory adjustment, resulting in total cash paid of $184.0 million and total consideration of $232.5 million, including acquisition costs. Pursuant to the agreement, on the closing date, we placed a portion of the shares in escrow as security for our indemnification rights under the agreement. The shares can be held in escrow for up to 12 months from the closing date. Our shares of common stock were issued pursuant to an exemption under the Securities Act of 1933.</w:t>
      </w:r>
    </w:p>
    <w:p>
      <w:pPr>
        <w:spacing w:after="0" w:line="167" w:lineRule="exact"/>
        <w:rPr>
          <w:sz w:val="20"/>
          <w:szCs w:val="20"/>
          <w:color w:val="auto"/>
        </w:rPr>
      </w:pPr>
    </w:p>
    <w:p>
      <w:pPr>
        <w:ind w:right="160" w:firstLine="324"/>
        <w:spacing w:after="0" w:line="308" w:lineRule="auto"/>
        <w:rPr>
          <w:sz w:val="20"/>
          <w:szCs w:val="20"/>
          <w:color w:val="auto"/>
        </w:rPr>
      </w:pPr>
      <w:r>
        <w:rPr>
          <w:rFonts w:ascii="Arial" w:cs="Arial" w:eastAsia="Arial" w:hAnsi="Arial"/>
          <w:sz w:val="17"/>
          <w:szCs w:val="17"/>
          <w:color w:val="auto"/>
        </w:rPr>
        <w:t>On February 16, 2006, we completed the acquisition of the semiconductor division of UTStarcom, Inc. for $24.0 million in cash. In the third quarter of fiscal 2007, we recorded $16.0 million of contingent consideration based on certain defined milestones being achieved in August 2006.</w:t>
      </w:r>
    </w:p>
    <w:p>
      <w:pPr>
        <w:spacing w:after="0" w:line="147"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April 2006, we made a deposit of $0.5 million for the purchase of land in Singapore. We plan to make additional commitments to construct a building for our Singapore office. We are still in the preliminary stages of defining the scope of the work to be performed as well as selecting contractors. As such, we have not been able to assess and determine how much we expect to incur in connection with the improvements for the building.</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On May 1, 2006, we completed the acquisition of the printer semiconductor business of Avago Technologies Limited. Under the acquisition agreement, we paid $251.5 million in cash upon closing of the transaction. In the third quarter of fiscal 2007, we accrued $10.0 million of contingent consideration based on certain defined milestones being achieved in October 2006. We may pay an additional $25.0 million if defined milestones are achieved at various intervals through October 2007.</w:t>
      </w:r>
    </w:p>
    <w:p>
      <w:pPr>
        <w:spacing w:after="0" w:line="187"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On November 8, 2006, we completed its acquisition of the communications and application processor business of Intel Corporation (“ICAP Business”) and paid $600.0 million in cash upon closing of the transaction. We recorded a one-time charge for purchased in-process research and development expenses related to the acquisition of $77.8 million in the fourth fiscal quarter of fiscal 2007. In addition to the asset purchase, we entered into certain additional agreements with Intel, including a supply agreement. Under the terms of the agreement we have committed to purchase and Intel has agreed to supply through June 2008 a minimum number of wafers at fixed prices. If at the end of any fiscal quarter for Intel, there is a shortfall between the quantity of supply ordered by us and the quantities of supply required under the supply agreement commitment, Intel will invoice us for the shortfall and will deliver the corresponding quantity upon receipt of payment from us. The supply agreement requires us to prepay for certain wafers six months in advance of delivery and requires us to issue non cancellable purchase orders at least six months in advance of requested delivery dates for all purchases under the supply agreement.</w:t>
      </w:r>
    </w:p>
    <w:p>
      <w:pPr>
        <w:spacing w:after="0" w:line="197" w:lineRule="exact"/>
        <w:rPr>
          <w:sz w:val="20"/>
          <w:szCs w:val="20"/>
          <w:color w:val="auto"/>
        </w:rPr>
      </w:pPr>
    </w:p>
    <w:p>
      <w:pPr>
        <w:ind w:right="160" w:firstLine="324"/>
        <w:spacing w:after="0" w:line="271" w:lineRule="auto"/>
        <w:rPr>
          <w:sz w:val="20"/>
          <w:szCs w:val="20"/>
          <w:color w:val="auto"/>
        </w:rPr>
      </w:pPr>
      <w:r>
        <w:rPr>
          <w:rFonts w:ascii="Arial" w:cs="Arial" w:eastAsia="Arial" w:hAnsi="Arial"/>
          <w:sz w:val="17"/>
          <w:szCs w:val="17"/>
          <w:color w:val="auto"/>
        </w:rPr>
        <w:t>In November 2006, we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 loans, amounts borrowed bear interest at a rate equal to Adjusted LIBOR plus 2% margin. Such margins are subject to reductions or increases depending on our credit rating. The credit agreement also contains customary covenants, including financial covenants. We may repay the term loans at any time without premium or penalty. We must also prepay the term loans depending on certain specified events. Certain of our subsidiaries have guaranteed the obligations under the credit agreement. In connection with the credit agreement, the Company and three of our subsidiaries entered into pledge agreements with the lender to which each such entity has granted the lender a security interest in the equity interests held by such entity in certain affiliates.</w:t>
      </w:r>
    </w:p>
    <w:p>
      <w:pPr>
        <w:spacing w:after="0" w:line="179"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expenditures in connection with acquisitions,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w:t>
      </w:r>
    </w:p>
    <w:p>
      <w:pPr>
        <w:sectPr>
          <w:pgSz w:w="11900" w:h="16838" w:orient="portrait"/>
          <w:cols w:equalWidth="0" w:num="1">
            <w:col w:w="11420"/>
          </w:cols>
          <w:pgMar w:left="240" w:top="125" w:right="239" w:bottom="0" w:gutter="0" w:footer="0" w:header="0"/>
        </w:sectPr>
      </w:pPr>
    </w:p>
    <w:bookmarkStart w:id="42" w:name="page43"/>
    <w:bookmarkEnd w:id="42"/>
    <w:p>
      <w:pPr>
        <w:spacing w:after="0" w:line="137"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require us to seek additional debt or equity financing, which in turn may be dilutive to our current shareholders. Additional funds may not be available on terms favorable to us or at all.</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 following table summarizes our contractual obligations as of July 29, 2006 and the effect such obligations are expected to have on our liquidity and cash flow in future periods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w w:val="91"/>
              </w:rPr>
              <w:t>Payments Due by Period</w:t>
            </w: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4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80" w:type="dxa"/>
            <w:vAlign w:val="bottom"/>
            <w:vMerge w:val="restart"/>
          </w:tcPr>
          <w:p>
            <w:pPr>
              <w:jc w:val="center"/>
              <w:ind w:right="36"/>
              <w:spacing w:after="0"/>
              <w:rPr>
                <w:sz w:val="20"/>
                <w:szCs w:val="20"/>
                <w:color w:val="auto"/>
              </w:rPr>
            </w:pPr>
            <w:r>
              <w:rPr>
                <w:rFonts w:ascii="Arial" w:cs="Arial" w:eastAsia="Arial" w:hAnsi="Arial"/>
                <w:sz w:val="14"/>
                <w:szCs w:val="14"/>
                <w:b w:val="1"/>
                <w:bCs w:val="1"/>
                <w:color w:val="auto"/>
                <w:w w:val="89"/>
              </w:rPr>
              <w:t>2007</w:t>
            </w:r>
          </w:p>
        </w:tc>
        <w:tc>
          <w:tcPr>
            <w:tcW w:w="220" w:type="dxa"/>
            <w:vAlign w:val="bottom"/>
          </w:tcPr>
          <w:p>
            <w:pPr>
              <w:spacing w:after="0"/>
              <w:rPr>
                <w:sz w:val="8"/>
                <w:szCs w:val="8"/>
                <w:color w:val="auto"/>
              </w:rPr>
            </w:pPr>
          </w:p>
        </w:tc>
        <w:tc>
          <w:tcPr>
            <w:tcW w:w="200" w:type="dxa"/>
            <w:vAlign w:val="bottom"/>
          </w:tcPr>
          <w:p>
            <w:pPr>
              <w:spacing w:after="0"/>
              <w:rPr>
                <w:sz w:val="8"/>
                <w:szCs w:val="8"/>
                <w:color w:val="auto"/>
              </w:rPr>
            </w:pPr>
          </w:p>
        </w:tc>
        <w:tc>
          <w:tcPr>
            <w:tcW w:w="72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00" w:type="dxa"/>
            <w:vAlign w:val="bottom"/>
            <w:vMerge w:val="restart"/>
          </w:tcPr>
          <w:p>
            <w:pPr>
              <w:jc w:val="right"/>
              <w:ind w:right="21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700" w:type="dxa"/>
            <w:vAlign w:val="bottom"/>
            <w:vMerge w:val="restart"/>
          </w:tcPr>
          <w:p>
            <w:pPr>
              <w:jc w:val="right"/>
              <w:ind w:right="21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0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0" w:type="dxa"/>
            <w:vAlign w:val="bottom"/>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There-</w:t>
            </w:r>
          </w:p>
        </w:tc>
        <w:tc>
          <w:tcPr>
            <w:tcW w:w="20" w:type="dxa"/>
            <w:vAlign w:val="bottom"/>
          </w:tcPr>
          <w:p>
            <w:pPr>
              <w:spacing w:after="0"/>
              <w:rPr>
                <w:sz w:val="8"/>
                <w:szCs w:val="8"/>
                <w:color w:val="auto"/>
              </w:rPr>
            </w:pPr>
          </w:p>
        </w:tc>
        <w:tc>
          <w:tcPr>
            <w:tcW w:w="160" w:type="dxa"/>
            <w:vAlign w:val="bottom"/>
          </w:tcPr>
          <w:p>
            <w:pPr>
              <w:spacing w:after="0"/>
              <w:rPr>
                <w:sz w:val="8"/>
                <w:szCs w:val="8"/>
                <w:color w:val="auto"/>
              </w:rPr>
            </w:pPr>
          </w:p>
        </w:tc>
        <w:tc>
          <w:tcPr>
            <w:tcW w:w="7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2"/>
        </w:trPr>
        <w:tc>
          <w:tcPr>
            <w:tcW w:w="3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2"/>
              </w:rPr>
              <w:t>after</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44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36"/>
              <w:spacing w:after="0" w:line="102" w:lineRule="exact"/>
              <w:rPr>
                <w:sz w:val="20"/>
                <w:szCs w:val="20"/>
                <w:color w:val="auto"/>
              </w:rPr>
            </w:pPr>
            <w:r>
              <w:rPr>
                <w:rFonts w:ascii="Arial" w:cs="Arial" w:eastAsia="Arial" w:hAnsi="Arial"/>
                <w:sz w:val="11"/>
                <w:szCs w:val="11"/>
                <w:b w:val="1"/>
                <w:bCs w:val="1"/>
                <w:color w:val="auto"/>
              </w:rPr>
              <w:t>(remaining</w:t>
            </w:r>
          </w:p>
        </w:tc>
        <w:tc>
          <w:tcPr>
            <w:tcW w:w="22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spacing w:after="0"/>
              <w:rPr>
                <w:sz w:val="8"/>
                <w:szCs w:val="8"/>
                <w:color w:val="auto"/>
              </w:rPr>
            </w:pPr>
          </w:p>
        </w:tc>
        <w:tc>
          <w:tcPr>
            <w:tcW w:w="26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1"/>
              </w:rPr>
              <w:t>six months)</w:t>
            </w:r>
          </w:p>
        </w:tc>
        <w:tc>
          <w:tcPr>
            <w:tcW w:w="2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3,996</w:t>
            </w:r>
          </w:p>
        </w:tc>
        <w:tc>
          <w:tcPr>
            <w:tcW w:w="220" w:type="dxa"/>
            <w:vAlign w:val="bottom"/>
          </w:tcPr>
          <w:p>
            <w:pPr>
              <w:spacing w:after="0"/>
              <w:rPr>
                <w:sz w:val="18"/>
                <w:szCs w:val="18"/>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8,639</w:t>
            </w:r>
          </w:p>
        </w:tc>
        <w:tc>
          <w:tcPr>
            <w:tcW w:w="48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8,099</w:t>
            </w:r>
          </w:p>
        </w:tc>
        <w:tc>
          <w:tcPr>
            <w:tcW w:w="46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5,249</w:t>
            </w:r>
          </w:p>
        </w:tc>
        <w:tc>
          <w:tcPr>
            <w:tcW w:w="280" w:type="dxa"/>
            <w:vAlign w:val="bottom"/>
          </w:tcPr>
          <w:p>
            <w:pPr>
              <w:spacing w:after="0"/>
              <w:rPr>
                <w:sz w:val="18"/>
                <w:szCs w:val="18"/>
                <w:color w:val="auto"/>
              </w:rPr>
            </w:pP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4,614</w:t>
            </w:r>
          </w:p>
        </w:tc>
        <w:tc>
          <w:tcPr>
            <w:tcW w:w="26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28,740</w:t>
            </w:r>
          </w:p>
        </w:tc>
        <w:tc>
          <w:tcPr>
            <w:tcW w:w="260" w:type="dxa"/>
            <w:vAlign w:val="bottom"/>
          </w:tcPr>
          <w:p>
            <w:pPr>
              <w:spacing w:after="0"/>
              <w:rPr>
                <w:sz w:val="18"/>
                <w:szCs w:val="18"/>
                <w:color w:val="auto"/>
              </w:rPr>
            </w:pPr>
          </w:p>
        </w:tc>
        <w:tc>
          <w:tcPr>
            <w:tcW w:w="180" w:type="dxa"/>
            <w:vAlign w:val="bottom"/>
            <w:gridSpan w:val="2"/>
          </w:tcPr>
          <w:p>
            <w:pPr>
              <w:jc w:val="right"/>
              <w:ind w:right="5"/>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59,337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10,776</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19,984</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10,597</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4,474</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2,085</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48,437</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1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152,986</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152,986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Capacity reservation commitment</w:t>
            </w: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22,180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22,180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tcPr>
          <w:p>
            <w:pPr>
              <w:ind w:left="180"/>
              <w:spacing w:after="0"/>
              <w:rPr>
                <w:sz w:val="20"/>
                <w:szCs w:val="20"/>
                <w:color w:val="auto"/>
              </w:rPr>
            </w:pPr>
            <w:r>
              <w:rPr>
                <w:rFonts w:ascii="Arial" w:cs="Arial" w:eastAsia="Arial" w:hAnsi="Arial"/>
                <w:sz w:val="18"/>
                <w:szCs w:val="18"/>
                <w:color w:val="auto"/>
              </w:rPr>
              <w:t>Mask purchase commitment</w:t>
            </w:r>
          </w:p>
        </w:tc>
        <w:tc>
          <w:tcPr>
            <w:tcW w:w="1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2,000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Wafer purchase commitment</w:t>
            </w: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tcPr>
          <w:p>
            <w:pPr>
              <w:ind w:left="180"/>
              <w:spacing w:after="0"/>
              <w:rPr>
                <w:sz w:val="20"/>
                <w:szCs w:val="20"/>
                <w:color w:val="auto"/>
              </w:rPr>
            </w:pPr>
            <w:r>
              <w:rPr>
                <w:rFonts w:ascii="Arial" w:cs="Arial" w:eastAsia="Arial" w:hAnsi="Arial"/>
                <w:sz w:val="18"/>
                <w:szCs w:val="18"/>
                <w:color w:val="auto"/>
              </w:rPr>
              <w:t>Capital purchase obligations</w:t>
            </w:r>
          </w:p>
        </w:tc>
        <w:tc>
          <w:tcPr>
            <w:tcW w:w="1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68,643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68,643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related commitments</w:t>
            </w: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4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868,581</w:t>
            </w:r>
          </w:p>
        </w:tc>
        <w:tc>
          <w:tcPr>
            <w:tcW w:w="22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28,623</w:t>
            </w:r>
          </w:p>
        </w:tc>
        <w:tc>
          <w:tcPr>
            <w:tcW w:w="28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18,696</w:t>
            </w:r>
          </w:p>
        </w:tc>
        <w:tc>
          <w:tcPr>
            <w:tcW w:w="28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9,723</w:t>
            </w:r>
          </w:p>
        </w:tc>
        <w:tc>
          <w:tcPr>
            <w:tcW w:w="28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6,699</w:t>
            </w:r>
          </w:p>
        </w:tc>
        <w:tc>
          <w:tcPr>
            <w:tcW w:w="26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29,261</w:t>
            </w:r>
          </w:p>
        </w:tc>
        <w:tc>
          <w:tcPr>
            <w:tcW w:w="2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961,583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ind w:right="60" w:firstLine="363"/>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that are currently under construction. Delivery of one airplane is expected in fiscal 2007 while delivery of the second airplane is expected in fiscal 2008. The airplanes will be used for business travel purposes and will be accounted for as operating leases once the airplanes are completed and delivered.</w:t>
      </w:r>
    </w:p>
    <w:p>
      <w:pPr>
        <w:spacing w:after="0" w:line="181"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i w:val="1"/>
          <w:iCs w:val="1"/>
          <w:color w:val="auto"/>
        </w:rPr>
        <w:t xml:space="preserve">Restatement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re-measured options exercised during calendar year 2006 of approximately $24.2 million, and Section 162(m) liabilities of $26.5 million for potential cumulative period from fiscal 2001 through 2007, represents future cash outflow totaling $61.3 million.</w:t>
      </w:r>
    </w:p>
    <w:p>
      <w:pPr>
        <w:spacing w:after="0" w:line="187"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January 27, 2007 amounted to approximately $51.7 million. We have not determined the tax consequences associated with these potential future remedies.</w:t>
      </w:r>
    </w:p>
    <w:p>
      <w:pPr>
        <w:spacing w:after="0" w:line="187" w:lineRule="exact"/>
        <w:rPr>
          <w:sz w:val="20"/>
          <w:szCs w:val="20"/>
          <w:color w:val="auto"/>
        </w:rPr>
      </w:pPr>
    </w:p>
    <w:p>
      <w:pPr>
        <w:ind w:right="100" w:firstLine="324"/>
        <w:spacing w:after="0" w:line="254" w:lineRule="auto"/>
        <w:rPr>
          <w:sz w:val="20"/>
          <w:szCs w:val="20"/>
          <w:color w:val="auto"/>
        </w:rPr>
      </w:pPr>
      <w:r>
        <w:rPr>
          <w:rFonts w:ascii="Arial" w:cs="Arial" w:eastAsia="Arial" w:hAnsi="Arial"/>
          <w:sz w:val="18"/>
          <w:szCs w:val="18"/>
          <w:i w:val="1"/>
          <w:iCs w:val="1"/>
          <w:color w:val="auto"/>
        </w:rPr>
        <w:t>Prospective Capital Needs</w:t>
      </w:r>
      <w:r>
        <w:rPr>
          <w:rFonts w:ascii="Arial" w:cs="Arial" w:eastAsia="Arial" w:hAnsi="Arial"/>
          <w:sz w:val="18"/>
          <w:szCs w:val="18"/>
          <w:color w:val="auto"/>
        </w:rPr>
        <w:t>: We believe that our existing cash, cash equivalents and marketable securities,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and from the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 Additionally, we have not been in full compliance with NASDAQ Marketplace Rule 4310(c)(14) which requires us to timely file with the SEC all filings required by the Securities Exchange Act of 1934. We intend to file all required filings as soon as practicable.</w:t>
      </w:r>
    </w:p>
    <w:p>
      <w:pPr>
        <w:spacing w:after="0" w:line="192"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However, 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over-the-counter market. If our common stock is no longer traded through a market system, the liquidity of our common stock may be greatly reduced, which could negatively affect its price.</w:t>
      </w:r>
    </w:p>
    <w:p>
      <w:pPr>
        <w:spacing w:after="0" w:line="178"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Even if we become compliant with the NASDAQ conditions for continued listing, because one of the eligibility requirements for use of a Form S-3 filing is that an issuer must have timely filed all reports required to be filed with the SEC during the preceding twelve calendar months, we will not be able to register securities on Form S-3 and would be required to register those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July 29, 2006,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80" w:firstLine="324"/>
        <w:spacing w:after="0" w:line="342" w:lineRule="auto"/>
        <w:rPr>
          <w:sz w:val="20"/>
          <w:szCs w:val="20"/>
          <w:color w:val="auto"/>
        </w:rPr>
      </w:pPr>
      <w:r>
        <w:rPr>
          <w:rFonts w:ascii="Arial" w:cs="Arial" w:eastAsia="Arial" w:hAnsi="Arial"/>
          <w:sz w:val="16"/>
          <w:szCs w:val="16"/>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w:t>
      </w:r>
    </w:p>
    <w:p>
      <w:pPr>
        <w:sectPr>
          <w:pgSz w:w="11900" w:h="16975" w:orient="portrait"/>
          <w:cols w:equalWidth="0" w:num="1">
            <w:col w:w="11420"/>
          </w:cols>
          <w:pgMar w:left="240" w:top="125" w:right="239" w:bottom="0" w:gutter="0" w:footer="0" w:header="0"/>
        </w:sectPr>
      </w:pPr>
    </w:p>
    <w:bookmarkStart w:id="43" w:name="page44"/>
    <w:bookmarkEnd w:id="43"/>
    <w:p>
      <w:pPr>
        <w:ind w:right="80"/>
        <w:spacing w:after="0" w:line="257" w:lineRule="auto"/>
        <w:rPr>
          <w:sz w:val="20"/>
          <w:szCs w:val="20"/>
          <w:color w:val="auto"/>
        </w:rPr>
      </w:pPr>
      <w:r>
        <w:rPr>
          <w:rFonts w:ascii="Arial" w:cs="Arial" w:eastAsia="Arial" w:hAnsi="Arial"/>
          <w:sz w:val="18"/>
          <w:szCs w:val="18"/>
          <w:color w:val="auto"/>
        </w:rPr>
        <w:t>the requisite service period. We currently accrue the cost of compensated absences for sabbatical programs when the eligible employee completes the requisite service period. We are required to apply the 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We are currently evaluating the financial impact of this guidance and the method of adoption which will be used.</w:t>
      </w:r>
    </w:p>
    <w:p>
      <w:pPr>
        <w:spacing w:after="0" w:line="188" w:lineRule="exact"/>
        <w:rPr>
          <w:sz w:val="20"/>
          <w:szCs w:val="20"/>
          <w:color w:val="auto"/>
        </w:rPr>
      </w:pPr>
    </w:p>
    <w:p>
      <w:pPr>
        <w:ind w:right="160" w:firstLine="324"/>
        <w:spacing w:after="0" w:line="297" w:lineRule="auto"/>
        <w:rPr>
          <w:sz w:val="20"/>
          <w:szCs w:val="20"/>
          <w:color w:val="auto"/>
        </w:rPr>
      </w:pPr>
      <w:r>
        <w:rPr>
          <w:rFonts w:ascii="Arial" w:cs="Arial" w:eastAsia="Arial" w:hAnsi="Arial"/>
          <w:sz w:val="16"/>
          <w:szCs w:val="16"/>
          <w:color w:val="auto"/>
        </w:rPr>
        <w:t>In July 2006, the FASB issued FASB Interpretation No. 48, “Accounting for Uncertainty in Income Taxes — an Interpretation of FASB Statement No. 109” (FIN 48), which clarifies the accounting for uncertainty in income tax positions. This Interpretation requires that we recognize in our financial statements the impact of a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opening retained earnings. We are currently evaluating the impact of FIN 48 on our consolidated financial statements.</w:t>
      </w:r>
    </w:p>
    <w:p>
      <w:pPr>
        <w:spacing w:after="0" w:line="158" w:lineRule="exact"/>
        <w:rPr>
          <w:sz w:val="20"/>
          <w:szCs w:val="20"/>
          <w:color w:val="auto"/>
        </w:rPr>
      </w:pPr>
    </w:p>
    <w:p>
      <w:pPr>
        <w:jc w:val="both"/>
        <w:ind w:right="28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We are currently evaluating the impact of SFAS 157 on our consolidated financial statements.</w:t>
      </w:r>
    </w:p>
    <w:p>
      <w:pPr>
        <w:spacing w:after="0" w:line="187" w:lineRule="exact"/>
        <w:rPr>
          <w:sz w:val="20"/>
          <w:szCs w:val="20"/>
          <w:color w:val="auto"/>
        </w:rPr>
      </w:pPr>
    </w:p>
    <w:p>
      <w:pPr>
        <w:ind w:right="20" w:firstLine="324"/>
        <w:spacing w:after="0" w:line="312" w:lineRule="auto"/>
        <w:rPr>
          <w:sz w:val="20"/>
          <w:szCs w:val="20"/>
          <w:color w:val="auto"/>
        </w:rPr>
      </w:pPr>
      <w:r>
        <w:rPr>
          <w:rFonts w:ascii="Arial" w:cs="Arial" w:eastAsia="Arial" w:hAnsi="Arial"/>
          <w:sz w:val="16"/>
          <w:szCs w:val="16"/>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We adopted SAB 108 at the end of fiscal 2007. The adoption did not have a material impact on our financial position and results of operations.</w:t>
      </w:r>
    </w:p>
    <w:p>
      <w:pPr>
        <w:spacing w:after="0" w:line="147" w:lineRule="exact"/>
        <w:rPr>
          <w:sz w:val="20"/>
          <w:szCs w:val="20"/>
          <w:color w:val="auto"/>
        </w:rPr>
      </w:pPr>
    </w:p>
    <w:p>
      <w:pPr>
        <w:ind w:right="220" w:firstLine="648"/>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During the second quarter of fiscal 2007 and 2006, the Company incurred approximately $0.1 million of expenses from an unrelated third-party entity, ACM Aviation, Inc. (“ACM”), for charter aircraft services provided to MSI, for Estopia Air LLC (“Estopia Air”). During the first six months of fiscal 2007 and 2006, we incurred approximately $0.5 million and $0.4 million, respectively of expenses from an unrelated third-party entity, ACM for charter aircraft services provided to MSI. The aircraft provided by ACM to us for such services is owned by Estopia Air. Our President and Chief Executive Officer, Dr. Sehat Sutardja, and former Executive Vice President and Chief Operating Officer, Weili Dai, through their control and ownership in Estopia Air, own the aircraft provided by ACM. The expenses were the result of our use of the aircraft for business travel purposes. The pricing was based on values determined to be market prices.</w:t>
      </w:r>
    </w:p>
    <w:p>
      <w:pPr>
        <w:spacing w:after="0" w:line="200" w:lineRule="exact"/>
        <w:rPr>
          <w:sz w:val="20"/>
          <w:szCs w:val="20"/>
          <w:color w:val="auto"/>
        </w:rPr>
      </w:pPr>
    </w:p>
    <w:p>
      <w:pPr>
        <w:spacing w:after="0" w:line="2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324"/>
        <w:spacing w:after="0" w:line="276" w:lineRule="auto"/>
        <w:rPr>
          <w:sz w:val="20"/>
          <w:szCs w:val="20"/>
          <w:color w:val="auto"/>
        </w:rPr>
      </w:pPr>
      <w:r>
        <w:rPr>
          <w:rFonts w:ascii="Arial" w:cs="Arial" w:eastAsia="Arial" w:hAnsi="Arial"/>
          <w:sz w:val="17"/>
          <w:szCs w:val="17"/>
          <w:color w:val="auto"/>
        </w:rPr>
        <w:t>On February 19, 2005, we, through our subsidiaries MSI and Marvell Asia Pte. Ltd. (“MAPL”), entered into a development agreement with MagnetoX Inc. (“MagnetoX”). The development agreement is on substantially similar terms as other development agreements with other third parties. We did not recognize any revenue from the development agreement or product revenue during the first six months of fiscal 2007. Herbert Chang, one of our directors, is a shareholder of MagnetoX and its Chairman and Chief Executive Officer. Estopia LLC (“Estopia”) is also a shareholder of MagnetoX. Dr. Sehat Sutardja, and Weili Dai, through their ownership and control of Estopia, are indirect shareholders of MagnetoX.</w:t>
      </w:r>
    </w:p>
    <w:p>
      <w:pPr>
        <w:spacing w:after="0" w:line="173" w:lineRule="exact"/>
        <w:rPr>
          <w:sz w:val="20"/>
          <w:szCs w:val="20"/>
          <w:color w:val="auto"/>
        </w:rPr>
      </w:pPr>
    </w:p>
    <w:p>
      <w:pPr>
        <w:ind w:right="220" w:firstLine="324"/>
        <w:spacing w:after="0" w:line="291" w:lineRule="auto"/>
        <w:rPr>
          <w:sz w:val="20"/>
          <w:szCs w:val="20"/>
          <w:color w:val="auto"/>
        </w:rPr>
      </w:pPr>
      <w:r>
        <w:rPr>
          <w:rFonts w:ascii="Arial" w:cs="Arial" w:eastAsia="Arial" w:hAnsi="Arial"/>
          <w:sz w:val="16"/>
          <w:szCs w:val="16"/>
          <w:color w:val="auto"/>
        </w:rPr>
        <w:t>On August 19, 2005, we, through our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We recognized $93,000 of revenue from the Licenese Agreement with C2Micro during the second quarter of fiscal 2007 and recognized $0.3 million of revenue from the License Agreement with C2Micro during the first six months of fiscal 2007. We had recorded a receivable of $154,000 and deferred revenue of $42,000 from C2Micro as of July 29, 2006. Dr. Sehat Sutardja and Weili Dai, through their ownership and control of Estopia, are indirect shareholders of C2Micro. Herbert Chang, through his ownership and control of C-Squared venture entities, is also an indirect shareholder of C2Micro. Dr. Pantas Sutardja, our Chief Technology Officer, is also a shareholder of C2Micro.</w:t>
      </w:r>
    </w:p>
    <w:p>
      <w:pPr>
        <w:spacing w:after="0" w:line="38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160"/>
        <w:spacing w:after="0" w:line="287"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29, 2006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2007 because such securities are structured with short-term interest reset dates of generally less than 90 days at which time we can sell or continue to hold the securities at par.</w:t>
      </w:r>
    </w:p>
    <w:p>
      <w:pPr>
        <w:sectPr>
          <w:pgSz w:w="11900" w:h="16838" w:orient="portrait"/>
          <w:cols w:equalWidth="0" w:num="1">
            <w:col w:w="11380"/>
          </w:cols>
          <w:pgMar w:left="240" w:top="125" w:right="279" w:bottom="0" w:gutter="0" w:footer="0" w:header="0"/>
        </w:sectPr>
      </w:pPr>
    </w:p>
    <w:bookmarkStart w:id="44" w:name="page45"/>
    <w:bookmarkEnd w:id="44"/>
    <w:tbl>
      <w:tblPr>
        <w:tblLayout w:type="fixed"/>
        <w:tblInd w:w="180" w:type="dxa"/>
        <w:tblCellMar>
          <w:top w:w="0" w:type="dxa"/>
          <w:left w:w="0" w:type="dxa"/>
          <w:bottom w:w="0" w:type="dxa"/>
          <w:right w:w="0" w:type="dxa"/>
        </w:tblCellMar>
      </w:tblPr>
      <w:tr>
        <w:trPr>
          <w:trHeight w:val="171"/>
        </w:trPr>
        <w:tc>
          <w:tcPr>
            <w:tcW w:w="3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220" w:type="dxa"/>
            <w:vAlign w:val="bottom"/>
            <w:tcBorders>
              <w:bottom w:val="single" w:sz="8" w:color="auto"/>
            </w:tcBorders>
            <w:gridSpan w:val="9"/>
          </w:tcPr>
          <w:p>
            <w:pPr>
              <w:spacing w:after="0"/>
              <w:rPr>
                <w:sz w:val="20"/>
                <w:szCs w:val="20"/>
                <w:color w:val="auto"/>
              </w:rPr>
            </w:pPr>
            <w:r>
              <w:rPr>
                <w:rFonts w:ascii="Arial" w:cs="Arial" w:eastAsia="Arial" w:hAnsi="Arial"/>
                <w:sz w:val="14"/>
                <w:szCs w:val="14"/>
                <w:b w:val="1"/>
                <w:bCs w:val="1"/>
                <w:color w:val="auto"/>
                <w:w w:val="94"/>
              </w:rPr>
              <w:t>Expected Fiscal Year Maturity Date</w:t>
            </w:r>
          </w:p>
        </w:tc>
        <w:tc>
          <w:tcPr>
            <w:tcW w:w="7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3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jc w:val="right"/>
              <w:ind w:right="134"/>
              <w:spacing w:after="0" w:line="129" w:lineRule="exact"/>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jc w:val="right"/>
              <w:ind w:right="94"/>
              <w:spacing w:after="0" w:line="129" w:lineRule="exact"/>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jc w:val="right"/>
              <w:ind w:right="74"/>
              <w:spacing w:after="0" w:line="129" w:lineRule="exact"/>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20" w:type="dxa"/>
            <w:vAlign w:val="bottom"/>
          </w:tcPr>
          <w:p>
            <w:pPr>
              <w:jc w:val="right"/>
              <w:ind w:right="34"/>
              <w:spacing w:after="0" w:line="129" w:lineRule="exact"/>
              <w:rPr>
                <w:sz w:val="20"/>
                <w:szCs w:val="20"/>
                <w:color w:val="auto"/>
              </w:rPr>
            </w:pPr>
            <w:r>
              <w:rPr>
                <w:rFonts w:ascii="Arial" w:cs="Arial" w:eastAsia="Arial" w:hAnsi="Arial"/>
                <w:sz w:val="14"/>
                <w:szCs w:val="14"/>
                <w:b w:val="1"/>
                <w:bCs w:val="1"/>
                <w:color w:val="auto"/>
                <w:w w:val="89"/>
              </w:rPr>
              <w:t>2010</w:t>
            </w:r>
          </w:p>
        </w:tc>
        <w:tc>
          <w:tcPr>
            <w:tcW w:w="220" w:type="dxa"/>
            <w:vAlign w:val="bottom"/>
          </w:tcPr>
          <w:p>
            <w:pPr>
              <w:spacing w:after="0"/>
              <w:rPr>
                <w:sz w:val="11"/>
                <w:szCs w:val="11"/>
                <w:color w:val="auto"/>
              </w:rPr>
            </w:pPr>
          </w:p>
        </w:tc>
        <w:tc>
          <w:tcPr>
            <w:tcW w:w="3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9"/>
              </w:rPr>
              <w:t>2011</w:t>
            </w:r>
          </w:p>
        </w:tc>
        <w:tc>
          <w:tcPr>
            <w:tcW w:w="220" w:type="dxa"/>
            <w:vAlign w:val="bottom"/>
          </w:tcPr>
          <w:p>
            <w:pPr>
              <w:spacing w:after="0"/>
              <w:rPr>
                <w:sz w:val="11"/>
                <w:szCs w:val="11"/>
                <w:color w:val="auto"/>
              </w:rPr>
            </w:pPr>
          </w:p>
        </w:tc>
        <w:tc>
          <w:tcPr>
            <w:tcW w:w="98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Total</w:t>
            </w:r>
          </w:p>
        </w:tc>
        <w:tc>
          <w:tcPr>
            <w:tcW w:w="7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5"/>
              </w:rPr>
              <w:t>Fair Value</w:t>
            </w:r>
          </w:p>
        </w:tc>
        <w:tc>
          <w:tcPr>
            <w:tcW w:w="60" w:type="dxa"/>
            <w:vAlign w:val="bottom"/>
          </w:tcPr>
          <w:p>
            <w:pPr>
              <w:spacing w:after="0"/>
              <w:rPr>
                <w:sz w:val="11"/>
                <w:szCs w:val="11"/>
                <w:color w:val="auto"/>
              </w:rPr>
            </w:pPr>
          </w:p>
        </w:tc>
      </w:tr>
      <w:tr>
        <w:trPr>
          <w:trHeight w:val="210"/>
        </w:trPr>
        <w:tc>
          <w:tcPr>
            <w:tcW w:w="3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340,499</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w:t>
            </w:r>
          </w:p>
        </w:tc>
        <w:tc>
          <w:tcPr>
            <w:tcW w:w="2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$ 340,499</w:t>
            </w:r>
          </w:p>
        </w:tc>
        <w:tc>
          <w:tcPr>
            <w:tcW w:w="2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$ 340,499</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4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5.33%</w:t>
            </w:r>
          </w:p>
        </w:tc>
        <w:tc>
          <w:tcPr>
            <w:tcW w:w="120" w:type="dxa"/>
            <w:vAlign w:val="bottom"/>
          </w:tcPr>
          <w:p>
            <w:pPr>
              <w:spacing w:after="0"/>
              <w:rPr>
                <w:sz w:val="18"/>
                <w:szCs w:val="18"/>
                <w:color w:val="auto"/>
              </w:rPr>
            </w:pP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5.33%</w:t>
            </w: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47,355</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42,851</w:t>
            </w:r>
          </w:p>
        </w:tc>
        <w:tc>
          <w:tcPr>
            <w:tcW w:w="1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15,223</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5,069</w:t>
            </w:r>
          </w:p>
        </w:tc>
        <w:tc>
          <w:tcPr>
            <w:tcW w:w="2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0"/>
              </w:rPr>
              <w:t>$ —</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$ 110,498</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$ 108,912</w:t>
            </w:r>
          </w:p>
        </w:tc>
        <w:tc>
          <w:tcPr>
            <w:tcW w:w="60" w:type="dxa"/>
            <w:vAlign w:val="bottom"/>
            <w:shd w:val="clear" w:color="auto" w:fill="CCEEFF"/>
          </w:tcPr>
          <w:p>
            <w:pPr>
              <w:spacing w:after="0"/>
              <w:rPr>
                <w:sz w:val="18"/>
                <w:szCs w:val="18"/>
                <w:color w:val="auto"/>
              </w:rPr>
            </w:pPr>
          </w:p>
        </w:tc>
      </w:tr>
      <w:tr>
        <w:trPr>
          <w:trHeight w:val="230"/>
        </w:trPr>
        <w:tc>
          <w:tcPr>
            <w:tcW w:w="34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 w:type="dxa"/>
            <w:vAlign w:val="bottom"/>
          </w:tcPr>
          <w:p>
            <w:pPr>
              <w:spacing w:after="0"/>
              <w:rPr>
                <w:sz w:val="20"/>
                <w:szCs w:val="20"/>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3.03%</w:t>
            </w:r>
          </w:p>
        </w:tc>
        <w:tc>
          <w:tcPr>
            <w:tcW w:w="120" w:type="dxa"/>
            <w:vAlign w:val="bottom"/>
          </w:tcPr>
          <w:p>
            <w:pPr>
              <w:spacing w:after="0"/>
              <w:rPr>
                <w:sz w:val="20"/>
                <w:szCs w:val="20"/>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3.10%</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3.58%</w:t>
            </w:r>
          </w:p>
        </w:tc>
        <w:tc>
          <w:tcPr>
            <w:tcW w:w="12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4.75%</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3.21%</w:t>
            </w:r>
          </w:p>
        </w:tc>
        <w:tc>
          <w:tcPr>
            <w:tcW w:w="74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July 29, 2006 would have an immaterial effect on our financial position, results of operations and cash flows.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180"/>
        <w:spacing w:after="0" w:line="302" w:lineRule="auto"/>
        <w:rPr>
          <w:sz w:val="20"/>
          <w:szCs w:val="20"/>
          <w:color w:val="auto"/>
        </w:rPr>
      </w:pPr>
      <w:r>
        <w:rPr>
          <w:rFonts w:ascii="Arial" w:cs="Arial" w:eastAsia="Arial" w:hAnsi="Arial"/>
          <w:sz w:val="16"/>
          <w:szCs w:val="16"/>
          <w:color w:val="auto"/>
        </w:rPr>
        <w:t>$11.7 million at July 29, 2006,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 Review</w:t>
      </w:r>
    </w:p>
    <w:p>
      <w:pPr>
        <w:spacing w:after="0" w:line="229" w:lineRule="exact"/>
        <w:rPr>
          <w:sz w:val="20"/>
          <w:szCs w:val="20"/>
          <w:color w:val="auto"/>
        </w:rPr>
      </w:pPr>
    </w:p>
    <w:p>
      <w:pPr>
        <w:ind w:right="120" w:firstLine="324"/>
        <w:spacing w:after="0" w:line="308" w:lineRule="auto"/>
        <w:rPr>
          <w:sz w:val="20"/>
          <w:szCs w:val="20"/>
          <w:color w:val="auto"/>
        </w:rPr>
      </w:pPr>
      <w:r>
        <w:rPr>
          <w:rFonts w:ascii="Arial" w:cs="Arial" w:eastAsia="Arial" w:hAnsi="Arial"/>
          <w:sz w:val="17"/>
          <w:szCs w:val="17"/>
          <w:color w:val="auto"/>
        </w:rPr>
        <w:t>As discussed in Note 1 to our Consolidated Financial Statements and in our Management’s Discussion and Analysis of Financial Condition, our internal review of our stock option granting practices resulted in the restatement of certain previously filed annual and quarterly financial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Our management, with the participation of our Chief Executive Officer and our interim Chief Financial Officer, has evaluated the effectiveness of our disclosure controls and procedures (as defined in Rule 13a-15(e) of the Securities Exchange Act of 1934) as of July 29, 2006.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interim Chief Financial Officer, as appropriate, to allow timely decisions regarding required disclosure. Based on this evaluation, our management, including our Chief Executive Officer and interim Chief Financial Officer, has concluded that our disclosure controls and procedures were not effective as of July 29, 2006 because of the material weaknesses described below:</w:t>
      </w:r>
    </w:p>
    <w:p>
      <w:pPr>
        <w:spacing w:after="0" w:line="181" w:lineRule="exact"/>
        <w:rPr>
          <w:sz w:val="20"/>
          <w:szCs w:val="20"/>
          <w:color w:val="auto"/>
        </w:rPr>
      </w:pPr>
    </w:p>
    <w:p>
      <w:pPr>
        <w:ind w:right="40" w:firstLine="648"/>
        <w:spacing w:after="0" w:line="289"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certain individuals involved in the stock option process said that they did not feel able to provide frank advice to senior management regarding controls over processing, recording and reporting of stock options transactions.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our management has determined that this control deficiency constitutes a material weakness.</w:t>
      </w:r>
    </w:p>
    <w:p>
      <w:pPr>
        <w:spacing w:after="0" w:line="167" w:lineRule="exact"/>
        <w:rPr>
          <w:sz w:val="20"/>
          <w:szCs w:val="20"/>
          <w:color w:val="auto"/>
        </w:rPr>
      </w:pPr>
    </w:p>
    <w:p>
      <w:pPr>
        <w:ind w:right="80" w:firstLine="648"/>
        <w:spacing w:after="0" w:line="254" w:lineRule="auto"/>
        <w:rPr>
          <w:sz w:val="20"/>
          <w:szCs w:val="20"/>
          <w:color w:val="auto"/>
        </w:rPr>
      </w:pPr>
      <w:r>
        <w:rPr>
          <w:rFonts w:ascii="Arial" w:cs="Arial" w:eastAsia="Arial" w:hAnsi="Arial"/>
          <w:sz w:val="18"/>
          <w:szCs w:val="18"/>
          <w:i w:val="1"/>
          <w:iCs w:val="1"/>
          <w:color w:val="auto"/>
        </w:rPr>
        <w:t xml:space="preserve">Control over stock option granting process. </w:t>
      </w:r>
      <w:r>
        <w:rPr>
          <w:rFonts w:ascii="Arial" w:cs="Arial" w:eastAsia="Arial" w:hAnsi="Arial"/>
          <w:sz w:val="18"/>
          <w:szCs w:val="18"/>
          <w:color w:val="auto"/>
        </w:rPr>
        <w:t>We did not maintain effective controls over the stock option granting process. Our controls, including</w:t>
      </w:r>
      <w:r>
        <w:rPr>
          <w:rFonts w:ascii="Arial" w:cs="Arial" w:eastAsia="Arial" w:hAnsi="Arial"/>
          <w:sz w:val="18"/>
          <w:szCs w:val="18"/>
          <w:i w:val="1"/>
          <w:iCs w:val="1"/>
          <w:color w:val="auto"/>
        </w:rPr>
        <w:t xml:space="preserve"> </w:t>
      </w:r>
      <w:r>
        <w:rPr>
          <w:rFonts w:ascii="Arial" w:cs="Arial" w:eastAsia="Arial" w:hAnsi="Arial"/>
          <w:sz w:val="18"/>
          <w:szCs w:val="18"/>
          <w:color w:val="auto"/>
        </w:rPr>
        <w:t>monitoring controls, policies and procedures relating to the granting process were not effective. Specifically, effective controls were not maintained to ensure the validity of stock option grants and related supporting documentation and to ensure the accuracy of the measurement dates and associated accounting treatment for options granted. This lack of effective controls contributed to the restatement of the consolidated financial statements of annual periods through 2006, each of the quarters of fiscal year 2006, as well as the first quarter of fiscal year 2007. Additionally, this lack of effective controls could result in misstatements of any of our financial statement accounts and disclosures that would result in a material misstatement to the annual or interim consolidated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ind w:right="80" w:firstLine="648"/>
        <w:spacing w:after="0" w:line="254" w:lineRule="auto"/>
        <w:rPr>
          <w:sz w:val="20"/>
          <w:szCs w:val="20"/>
          <w:color w:val="auto"/>
        </w:rPr>
      </w:pPr>
      <w:r>
        <w:rPr>
          <w:rFonts w:ascii="Arial" w:cs="Arial" w:eastAsia="Arial" w:hAnsi="Arial"/>
          <w:sz w:val="18"/>
          <w:szCs w:val="18"/>
          <w:i w:val="1"/>
          <w:iCs w:val="1"/>
          <w:color w:val="auto"/>
        </w:rPr>
        <w:t xml:space="preserve">Controls over stock-based compensation expense under FASB Statement of Financial Accounting Standards No. 123 (revised 2004), “Share Based Payments” FAS 123(R). </w:t>
      </w:r>
      <w:r>
        <w:rPr>
          <w:rFonts w:ascii="Arial" w:cs="Arial" w:eastAsia="Arial" w:hAnsi="Arial"/>
          <w:sz w:val="18"/>
          <w:szCs w:val="18"/>
          <w:color w:val="auto"/>
        </w:rPr>
        <w:t>We did not maintain effective controls over the accounting for and disclosure of our stock-based compensation expense under FAS</w:t>
      </w:r>
      <w:r>
        <w:rPr>
          <w:rFonts w:ascii="Arial" w:cs="Arial" w:eastAsia="Arial" w:hAnsi="Arial"/>
          <w:sz w:val="18"/>
          <w:szCs w:val="18"/>
          <w:i w:val="1"/>
          <w:iCs w:val="1"/>
          <w:color w:val="auto"/>
        </w:rPr>
        <w:t xml:space="preserve"> </w:t>
      </w:r>
      <w:r>
        <w:rPr>
          <w:rFonts w:ascii="Arial" w:cs="Arial" w:eastAsia="Arial" w:hAnsi="Arial"/>
          <w:sz w:val="18"/>
          <w:szCs w:val="18"/>
          <w:color w:val="auto"/>
        </w:rPr>
        <w:t>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ectPr>
          <w:pgSz w:w="11900" w:h="16838" w:orient="portrait"/>
          <w:cols w:equalWidth="0" w:num="1">
            <w:col w:w="11420"/>
          </w:cols>
          <w:pgMar w:left="240" w:top="104" w:right="239" w:bottom="0" w:gutter="0" w:footer="0" w:header="0"/>
        </w:sect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64</w:t>
      </w:r>
    </w:p>
    <w:p>
      <w:pPr>
        <w:sectPr>
          <w:pgSz w:w="11900" w:h="16838" w:orient="portrait"/>
          <w:cols w:equalWidth="0" w:num="1">
            <w:col w:w="11420"/>
          </w:cols>
          <w:pgMar w:left="240" w:top="104" w:right="239" w:bottom="0" w:gutter="0" w:footer="0" w:header="0"/>
          <w:type w:val="continuous"/>
        </w:sectPr>
      </w:pPr>
    </w:p>
    <w:bookmarkStart w:id="45" w:name="page46"/>
    <w:bookmarkEnd w:id="45"/>
    <w:p>
      <w:pPr>
        <w:spacing w:after="0" w:line="12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most recently completed fiscal quarter that have materially affected, on are reasonably likely to materially affect, our internal control over financial reporting.</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Implemented or </w:t>
      </w:r>
      <w:r>
        <w:rPr>
          <w:rFonts w:ascii="Arial" w:cs="Arial" w:eastAsia="Arial" w:hAnsi="Arial"/>
          <w:sz w:val="17"/>
          <w:szCs w:val="17"/>
          <w:b w:val="1"/>
          <w:bCs w:val="1"/>
          <w:color w:val="auto"/>
        </w:rPr>
        <w:t>Planned Remedial Actions of 2007 Material Weaknesses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Subsequent to July 29, 2006, we implemented or plan to implement further remedial actions, specifically:</w:t>
      </w:r>
    </w:p>
    <w:p>
      <w:pPr>
        <w:spacing w:after="0" w:line="225" w:lineRule="exact"/>
        <w:rPr>
          <w:sz w:val="20"/>
          <w:szCs w:val="20"/>
          <w:color w:val="auto"/>
        </w:rPr>
      </w:pPr>
    </w:p>
    <w:p>
      <w:pPr>
        <w:ind w:left="660" w:right="440" w:hanging="328"/>
        <w:spacing w:after="0" w:line="277" w:lineRule="auto"/>
        <w:tabs>
          <w:tab w:leader="none" w:pos="624" w:val="left"/>
        </w:tabs>
        <w:numPr>
          <w:ilvl w:val="0"/>
          <w:numId w:val="24"/>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170" w:lineRule="exact"/>
        <w:rPr>
          <w:sz w:val="20"/>
          <w:szCs w:val="20"/>
          <w:color w:val="auto"/>
        </w:rPr>
      </w:pPr>
    </w:p>
    <w:p>
      <w:pPr>
        <w:ind w:left="340" w:firstLine="324"/>
        <w:spacing w:after="0" w:line="255" w:lineRule="auto"/>
        <w:rPr>
          <w:sz w:val="20"/>
          <w:szCs w:val="20"/>
          <w:color w:val="auto"/>
        </w:rPr>
      </w:pPr>
      <w:r>
        <w:rPr>
          <w:rFonts w:ascii="Arial" w:cs="Arial" w:eastAsia="Arial" w:hAnsi="Arial"/>
          <w:sz w:val="18"/>
          <w:szCs w:val="18"/>
          <w:color w:val="auto"/>
        </w:rPr>
        <w:t>We accepted the resignation of our former Vice President of Finance and Chief Financial Officer, George A. Hervey, on May 2, 2007. We also accepted Weili Dai’s resignation from her position as our Executive Vice President and Chief Operating Officer. The Implementation Committee of our Board of Directors determined, contrary to the recommendation of the Special Committee that Ms. Dai have no continuing role with the Company, that retaining the services of Ms. Dai in a reduced capacity as Director of Strategic Marketing and Business Development, individual contributor in a non-managerial role, and under the auspices of the Implementation Committee better serves the interests of all shareholders. Ms. Dai will have no authority to undertake any material decisions affecting internal controls or financial matters of the Company. The Implementation Committee will provide periodic compliance updates to the Board of Directors.</w:t>
      </w:r>
    </w:p>
    <w:p>
      <w:pPr>
        <w:spacing w:after="0" w:line="189" w:lineRule="exact"/>
        <w:rPr>
          <w:sz w:val="20"/>
          <w:szCs w:val="20"/>
          <w:color w:val="auto"/>
        </w:rPr>
      </w:pPr>
    </w:p>
    <w:p>
      <w:pPr>
        <w:ind w:left="340" w:right="120" w:firstLine="324"/>
        <w:spacing w:after="0" w:line="279" w:lineRule="auto"/>
        <w:rPr>
          <w:sz w:val="20"/>
          <w:szCs w:val="20"/>
          <w:color w:val="auto"/>
        </w:rPr>
      </w:pPr>
      <w:r>
        <w:rPr>
          <w:rFonts w:ascii="Arial" w:cs="Arial" w:eastAsia="Arial" w:hAnsi="Arial"/>
          <w:sz w:val="17"/>
          <w:szCs w:val="17"/>
          <w:color w:val="auto"/>
        </w:rPr>
        <w:t>Dr. Sehat Sutardja will remain Chief Executive Officer and a member of the Board, but will step down as Chairman of the Board in favor of a non-executive Chairman. The Implementation Committee believes that the reconstitution of the Board of Directors, the separation of the role of Chairman of the Board from that of Chief Executive Officer and President and the hiring of key qualified senior executives in Finance, Operations and Compliance will help address the issues discussed in the material weakness relating to our control environment noted above.</w:t>
      </w:r>
    </w:p>
    <w:p>
      <w:pPr>
        <w:spacing w:after="0" w:line="171" w:lineRule="exact"/>
        <w:rPr>
          <w:sz w:val="20"/>
          <w:szCs w:val="20"/>
          <w:color w:val="auto"/>
        </w:rPr>
      </w:pPr>
    </w:p>
    <w:p>
      <w:pPr>
        <w:ind w:left="340" w:right="420" w:firstLine="324"/>
        <w:spacing w:after="0" w:line="259" w:lineRule="auto"/>
        <w:rPr>
          <w:sz w:val="20"/>
          <w:szCs w:val="20"/>
          <w:color w:val="auto"/>
        </w:rPr>
      </w:pPr>
      <w:r>
        <w:rPr>
          <w:rFonts w:ascii="Arial" w:cs="Arial" w:eastAsia="Arial" w:hAnsi="Arial"/>
          <w:sz w:val="18"/>
          <w:szCs w:val="18"/>
          <w:color w:val="auto"/>
        </w:rPr>
        <w:t>Following the Special Committee’s recommendations, we are conducting a search for a new Chief Operating Officer, Chief Financial Officer, General Counsel and Vice President of Compliance. The Vice President of Compliance will report directly to the Audit Committee of the Board. Additionally, the Board’s Governance Committee is conducting a search for three new independent directors to fill existing vacancies. One of these independent directors will succeed Dr. Sutardja as Chairman of the Board.</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300" w:hanging="328"/>
        <w:spacing w:after="0" w:line="342" w:lineRule="auto"/>
        <w:tabs>
          <w:tab w:leader="none" w:pos="624" w:val="left"/>
        </w:tabs>
        <w:numPr>
          <w:ilvl w:val="0"/>
          <w:numId w:val="25"/>
        </w:numPr>
        <w:rPr>
          <w:rFonts w:ascii="Arial" w:cs="Arial" w:eastAsia="Arial" w:hAnsi="Arial"/>
          <w:sz w:val="16"/>
          <w:szCs w:val="16"/>
          <w:color w:val="auto"/>
        </w:rPr>
      </w:pPr>
      <w:r>
        <w:rPr>
          <w:rFonts w:ascii="Arial" w:cs="Arial" w:eastAsia="Arial" w:hAnsi="Arial"/>
          <w:sz w:val="16"/>
          <w:szCs w:val="16"/>
          <w:color w:val="auto"/>
        </w:rPr>
        <w:t>Implemented or planned remediation efforts regarding the material weakness over accounting for and disclosure of our stock-based compensation expense under FAS 123R includes the changes in internal control over financial reporting as stated above along with the following:</w:t>
      </w:r>
    </w:p>
    <w:p>
      <w:pPr>
        <w:spacing w:after="0" w:line="124" w:lineRule="exact"/>
        <w:rPr>
          <w:sz w:val="20"/>
          <w:szCs w:val="20"/>
          <w:color w:val="auto"/>
        </w:rPr>
      </w:pPr>
    </w:p>
    <w:p>
      <w:pPr>
        <w:ind w:left="340" w:right="680" w:firstLine="324"/>
        <w:spacing w:after="0" w:line="259" w:lineRule="auto"/>
        <w:rPr>
          <w:sz w:val="20"/>
          <w:szCs w:val="20"/>
          <w:color w:val="auto"/>
        </w:rPr>
      </w:pPr>
      <w:r>
        <w:rPr>
          <w:rFonts w:ascii="Arial" w:cs="Arial" w:eastAsia="Arial" w:hAnsi="Arial"/>
          <w:sz w:val="18"/>
          <w:szCs w:val="18"/>
          <w:color w:val="auto"/>
        </w:rPr>
        <w:t>We reviewed the accounting for and disclosure of our stock-based compensation expense process and have assessed the need for additional managerial and qualified staff resources. Once these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7"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As a result of the material weaknesses described above, management, with the assistance of outside consultants, reviewed key areas within internal control over financial reporting and the related financial statement amounts and disclosure for the periods ended July 29, 2006 and January 28, 2006. Based on the review performed management did not identify any evidence that would prevent our Audit Committee or current management from approving our financial statements.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w:t>
      </w:r>
    </w:p>
    <w:p>
      <w:pPr>
        <w:spacing w:after="0" w:line="3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color w:val="auto"/>
        </w:rPr>
        <w:t>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w:t>
      </w:r>
    </w:p>
    <w:p>
      <w:pPr>
        <w:sectPr>
          <w:pgSz w:w="11900" w:h="16966" w:orient="portrait"/>
          <w:cols w:equalWidth="0" w:num="1">
            <w:col w:w="11420"/>
          </w:cols>
          <w:pgMar w:left="240" w:top="513" w:right="239" w:bottom="0" w:gutter="0" w:footer="0" w:header="0"/>
        </w:sectPr>
      </w:pPr>
    </w:p>
    <w:bookmarkStart w:id="46" w:name="page47"/>
    <w:bookmarkEnd w:id="46"/>
    <w:p>
      <w:pPr>
        <w:spacing w:after="0" w:line="66"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181" w:lineRule="exact"/>
        <w:rPr>
          <w:sz w:val="20"/>
          <w:szCs w:val="20"/>
          <w:color w:val="auto"/>
        </w:rPr>
      </w:pPr>
    </w:p>
    <w:p>
      <w:pPr>
        <w:ind w:firstLine="247"/>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w:t>
      </w:r>
    </w:p>
    <w:p>
      <w:pPr>
        <w:spacing w:after="0" w:line="166" w:lineRule="exact"/>
        <w:rPr>
          <w:sz w:val="20"/>
          <w:szCs w:val="20"/>
          <w:color w:val="auto"/>
        </w:rPr>
      </w:pPr>
    </w:p>
    <w:p>
      <w:pPr>
        <w:ind w:right="80" w:firstLine="324"/>
        <w:spacing w:after="0" w:line="286"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CSIRO has not yet responded to the complaint.</w:t>
      </w:r>
    </w:p>
    <w:p>
      <w:pPr>
        <w:spacing w:after="0" w:line="171"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6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100" w:firstLine="324"/>
        <w:spacing w:after="0" w:line="302"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w:t>
      </w:r>
    </w:p>
    <w:p>
      <w:pPr>
        <w:sectPr>
          <w:pgSz w:w="11900" w:h="16904" w:orient="portrait"/>
          <w:cols w:equalWidth="0" w:num="1">
            <w:col w:w="11420"/>
          </w:cols>
          <w:pgMar w:left="240" w:top="125" w:right="239" w:bottom="0" w:gutter="0" w:footer="0" w:header="0"/>
        </w:sectPr>
      </w:pPr>
    </w:p>
    <w:bookmarkStart w:id="47" w:name="page48"/>
    <w:bookmarkEnd w:id="47"/>
    <w:p>
      <w:pPr>
        <w:spacing w:after="0" w:line="65" w:lineRule="exact"/>
        <w:rPr>
          <w:sz w:val="20"/>
          <w:szCs w:val="20"/>
          <w:color w:val="auto"/>
        </w:rPr>
      </w:pPr>
    </w:p>
    <w:p>
      <w:pPr>
        <w:ind w:right="420"/>
        <w:spacing w:after="0" w:line="286" w:lineRule="auto"/>
        <w:rPr>
          <w:sz w:val="20"/>
          <w:szCs w:val="20"/>
          <w:color w:val="auto"/>
        </w:rPr>
      </w:pPr>
      <w:r>
        <w:rPr>
          <w:rFonts w:ascii="Arial" w:cs="Arial" w:eastAsia="Arial" w:hAnsi="Arial"/>
          <w:sz w:val="17"/>
          <w:szCs w:val="17"/>
          <w:color w:val="auto"/>
        </w:rPr>
        <w:t xml:space="preserve">expenses, including attorneys’ fees and disbursements. Pursuant to an order of the court dated February 2, 2007, these four putative class actions were consolidated as a single action entitled </w:t>
      </w:r>
      <w:r>
        <w:rPr>
          <w:rFonts w:ascii="Arial" w:cs="Arial" w:eastAsia="Arial" w:hAnsi="Arial"/>
          <w:sz w:val="17"/>
          <w:szCs w:val="17"/>
          <w:i w:val="1"/>
          <w:iCs w:val="1"/>
          <w:color w:val="auto"/>
        </w:rPr>
        <w:t>In re Marvell Technology Group Ltd. Securities Litigation</w:t>
      </w:r>
      <w:r>
        <w:rPr>
          <w:rFonts w:ascii="Arial" w:cs="Arial" w:eastAsia="Arial" w:hAnsi="Arial"/>
          <w:sz w:val="17"/>
          <w:szCs w:val="17"/>
          <w:color w:val="auto"/>
        </w:rPr>
        <w:t>. By an order of the court dated February 28, 2007, the plaintiffs must file a consolidated complaint no later than 45 days after we file restated financial statements with the SEC.</w:t>
      </w:r>
    </w:p>
    <w:p>
      <w:pPr>
        <w:spacing w:after="0" w:line="166"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we received a document subpoena from the SEC. We have cooperated with the SEC and the United States Attorney regarding these matters and intend to continue to do so. We cannot predict the outcome of these investigations.</w:t>
      </w:r>
    </w:p>
    <w:p>
      <w:pPr>
        <w:spacing w:after="0" w:line="15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80" w:firstLine="324"/>
        <w:spacing w:after="0" w:line="271" w:lineRule="auto"/>
        <w:rPr>
          <w:sz w:val="20"/>
          <w:szCs w:val="20"/>
          <w:color w:val="auto"/>
        </w:rPr>
      </w:pPr>
      <w:r>
        <w:rPr>
          <w:rFonts w:ascii="Arial" w:cs="Arial" w:eastAsia="Arial" w:hAnsi="Arial"/>
          <w:sz w:val="17"/>
          <w:szCs w:val="17"/>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 these matters will result in our payment of monetary damages, net of any applicable insurance proceeds, that in the aggregate would be material in relation to our consolidated financial position or results of operations.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w:t>
      </w:r>
    </w:p>
    <w:p>
      <w:pPr>
        <w:spacing w:after="0" w:line="170"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(“the SEC”) and the United States Attorney’s Office for the Northern District of California, and in that regard we have responded to formal and informal requests for documents and additional information. No assurance can be given regarding the outcomes of litigation, regulatory proceedings or government enforcement actions relating to our past stock option practices. The resolution of these matters will be time consuming and expensive, and may distract management from the conduct of our business. Further, if we are subject to adverse findings in litigation a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78"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In addition, while we believe that we have, in completing the restatement of our financial statements, made appropriate judgments in determining the correct measurement dates for our stock option grants, the SEC may disagree with the manner in which we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87"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195"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225" w:lineRule="exact"/>
        <w:rPr>
          <w:sz w:val="20"/>
          <w:szCs w:val="20"/>
          <w:color w:val="auto"/>
        </w:rPr>
      </w:pPr>
    </w:p>
    <w:p>
      <w:pPr>
        <w:ind w:right="60" w:firstLine="324"/>
        <w:spacing w:after="0" w:line="287" w:lineRule="auto"/>
        <w:rPr>
          <w:sz w:val="20"/>
          <w:szCs w:val="20"/>
          <w:color w:val="auto"/>
        </w:rPr>
      </w:pPr>
      <w:r>
        <w:rPr>
          <w:rFonts w:ascii="Arial" w:cs="Arial" w:eastAsia="Arial" w:hAnsi="Arial"/>
          <w:sz w:val="16"/>
          <w:szCs w:val="16"/>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We are conducting a search for a permanent Chief Operating Officer, Chief Financial Officer and General Counsel. We have also commenced a search for three new independent directors to fill existing vacancies on our board of directors, one of whom will succeed Dr. Sehat Sutardja as Chairman of the Board. We cannot assure you that we will find qualified candidates in a timely manner.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management and other key personnel and on the abilities of the new management personnel to function effectively, both individually and as a group going forward. If we are unable to attract and retain effective permanent replacements for our key executives in a timely manner, our business, financial condition, results of operations and cash flows may be</w:t>
      </w:r>
    </w:p>
    <w:p>
      <w:pPr>
        <w:sectPr>
          <w:pgSz w:w="11900" w:h="16903" w:orient="portrait"/>
          <w:cols w:equalWidth="0" w:num="1">
            <w:col w:w="11400"/>
          </w:cols>
          <w:pgMar w:left="240" w:top="125" w:right="259" w:bottom="0" w:gutter="0" w:footer="0" w:header="0"/>
        </w:sectPr>
      </w:pPr>
    </w:p>
    <w:bookmarkStart w:id="48" w:name="page49"/>
    <w:bookmarkEnd w:id="48"/>
    <w:p>
      <w:pPr>
        <w:jc w:val="both"/>
        <w:spacing w:after="0" w:line="257" w:lineRule="auto"/>
        <w:rPr>
          <w:sz w:val="20"/>
          <w:szCs w:val="20"/>
          <w:color w:val="auto"/>
        </w:rPr>
      </w:pPr>
      <w:r>
        <w:rPr>
          <w:rFonts w:ascii="Arial" w:cs="Arial" w:eastAsia="Arial" w:hAnsi="Arial"/>
          <w:sz w:val="18"/>
          <w:szCs w:val="18"/>
          <w:color w:val="auto"/>
        </w:rPr>
        <w:t>adversely affected and our ability to execute our business model could be impaired. Competition for qualified senior employees can be intense. We expect to experience difficulty in hiring and retaining highly skilled individuals with appropriate qualifications to support our growth and expansion. For example, both our interim Chief Financial Officer and interim General Counsel may choose not to participate as candidates in our search to fill these positions. If we fail to attract, hire and retain qualified management individuals, it could lead to dissatisfaction among our customers, which could slow our growth or result in a loss of business.</w:t>
      </w:r>
    </w:p>
    <w:p>
      <w:pPr>
        <w:spacing w:after="0" w:line="188"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24"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and seek to recover damages. We may in the future be subject to additional litigation relating</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312" w:lineRule="auto"/>
        <w:rPr>
          <w:sz w:val="20"/>
          <w:szCs w:val="20"/>
          <w:color w:val="auto"/>
        </w:rPr>
      </w:pPr>
      <w:r>
        <w:rPr>
          <w:rFonts w:ascii="Arial" w:cs="Arial" w:eastAsia="Arial" w:hAnsi="Arial"/>
          <w:sz w:val="16"/>
          <w:szCs w:val="16"/>
          <w:color w:val="auto"/>
        </w:rPr>
        <w:t>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results of operations and cash flows.</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matters relating to the internal review of our historical stock option granting practices and the restatement of our financial statements may otherwise adversely impact our business.</w:t>
      </w:r>
    </w:p>
    <w:p>
      <w:pPr>
        <w:spacing w:after="0" w:line="170"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As a result of our delayed filing of our Quarterly Reports on Form 10-Q for the fiscal quarters ended July 29, 2006, October 28, 2006, and April 27, 2007 and our Annual Report on Form 10-K for the fiscal year ended January 27, 2007, we will be ineligible to register our securities on Form S-3 for sale by us or resale by others. We may use Form S-1 to raise capital or complete acquisitions, but doing so could increase transaction costs and adversely impact our ability to raise capital or complete acquisitions of other companies in a timely manner.</w:t>
      </w:r>
    </w:p>
    <w:p>
      <w:pPr>
        <w:spacing w:after="0" w:line="187" w:lineRule="exact"/>
        <w:rPr>
          <w:sz w:val="20"/>
          <w:szCs w:val="20"/>
          <w:color w:val="auto"/>
        </w:rPr>
      </w:pPr>
    </w:p>
    <w:p>
      <w:pPr>
        <w:ind w:right="20" w:firstLine="324"/>
        <w:spacing w:after="0" w:line="269" w:lineRule="auto"/>
        <w:rPr>
          <w:sz w:val="20"/>
          <w:szCs w:val="20"/>
          <w:color w:val="auto"/>
        </w:rPr>
      </w:pPr>
      <w:r>
        <w:rPr>
          <w:rFonts w:ascii="Arial" w:cs="Arial" w:eastAsia="Arial" w:hAnsi="Arial"/>
          <w:sz w:val="17"/>
          <w:szCs w:val="17"/>
          <w:color w:val="auto"/>
        </w:rPr>
        <w:t>Employees who were awarded options that were granted at a discount from fair market value and were all or partially unvested as of December 31, 2004, which we refer to as discount options, may be subject to income tax liability on the vesting date of those discount options in addition to a 20% excise tax under Internal Revenue Code (“IRC”) section 409A. California has adopted IRC 409A and therefore a 20% excise tax will be levied on all California employees. In considering actions that we believe would be in the best interests of our shareholders and employees and might substantially reduce or eliminate section 409A exposure and adverse state tax liability for our employees, we have elected to comply with the Franchise Tax Board Notice 2007-1 program in California. The program allows us to pay the additional 20% tax and interest due to the exercise of certain discounted stock options in 2006 pursuant to Revenue and Taxation Code §17501. There is no guarantee that this measure to address employees’ adverse tax consequences will be effective or successful. Any such measures may cause us to incur additional cash or noncash compensation expense. In addition, these measures, or the failure of these measures, may require us to incur substantial expenses for legal, accounting, tax and other professional services, could cause employee satisfaction and retention issues, and may divert our management’s attention from our business, which could in the future harm our business, financial condition, results of operations and cash flows.</w:t>
      </w:r>
    </w:p>
    <w:p>
      <w:pPr>
        <w:spacing w:after="0" w:line="183"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187"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determined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firstLine="324"/>
        <w:spacing w:after="0" w:line="269" w:lineRule="auto"/>
        <w:rPr>
          <w:sz w:val="20"/>
          <w:szCs w:val="20"/>
          <w:color w:val="auto"/>
        </w:rPr>
      </w:pPr>
      <w:r>
        <w:rPr>
          <w:rFonts w:ascii="Arial" w:cs="Arial" w:eastAsia="Arial" w:hAnsi="Arial"/>
          <w:sz w:val="17"/>
          <w:szCs w:val="17"/>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w:t>
      </w:r>
    </w:p>
    <w:p>
      <w:pPr>
        <w:sectPr>
          <w:pgSz w:w="11900" w:h="16838" w:orient="portrait"/>
          <w:cols w:equalWidth="0" w:num="1">
            <w:col w:w="11400"/>
          </w:cols>
          <w:pgMar w:left="240" w:top="125" w:right="259" w:bottom="0" w:gutter="0" w:footer="0" w:header="0"/>
        </w:sectPr>
      </w:pPr>
    </w:p>
    <w:bookmarkStart w:id="49" w:name="page50"/>
    <w:bookmarkEnd w:id="49"/>
    <w:p>
      <w:pPr>
        <w:spacing w:after="0" w:line="96"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79"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not been in compliance with SEC periodic reporting requirements and NASDAQ listing requirements and may continue to face compliance issues with both, which could result in the delisting of our common shares from The NASDAQ Stock Market.</w:t>
      </w:r>
    </w:p>
    <w:p>
      <w:pPr>
        <w:spacing w:after="0" w:line="170"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As a result of our failure to timely file our quarterly reports on Form 10-Q for the fiscal quarters ended July 29, 2006 and October 28, 2006 (the “Fiscal 2007 10-Qs”), this annual report on Form 10-K for the fiscal year ended January 27, 2007 (the “10-K”) and the Quarterly Report on Form 10-Q for the fiscal quarter ended April 28, 2007 (“Q1 Fiscal 2008 10-Q”) (together with the Fiscal 2007 10-Qs, the “delayed Forms 10-Q”), we have not been in full compliance with NASDAQ Marketplace Rule 4310(c)(14) which requires us to make, on a timely basis, all filings with the SEC required by the Securities Exchange Act of 1934. With the filing of this 10-K and the Fiscal 2007 10-Qs, which have been filed concurrently, we still must file our Q1 Fiscal 2008 10-Q to regain compliance with Marketplace Rule 4310(c)(14). We expect to file our Q1 Fiscal 2008 10-Q as soon as practicable.</w:t>
      </w:r>
    </w:p>
    <w:p>
      <w:pPr>
        <w:spacing w:after="0" w:line="178"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If the SEC disagrees with the manner in which we have accounted for and reported, or not reported, the financial impact of past stock option grants, there could be further delays in filing subsequent SEC reports or other actions that might result in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 counter market. If our common stock is no longer traded through a market system, the liquidity of our common stock may be greatly reduced, which could negatively affect its price. In addition, we may be unable to obtain future equity financing, or use our common stock as consideration for mergers or other business combinations. A delisting from the NASDAQ Global Select Market may also have other negative implications, including the potential loss of confidence by suppliers, customers and employees, the loss of institutional investor interest, and fewer business development opportunities.</w:t>
      </w:r>
    </w:p>
    <w:p>
      <w:pPr>
        <w:spacing w:after="0" w:line="182"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 .</w:t>
      </w:r>
    </w:p>
    <w:p>
      <w:pPr>
        <w:spacing w:after="0" w:line="124"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will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w:t>
      </w:r>
    </w:p>
    <w:p>
      <w:pPr>
        <w:spacing w:after="0" w:line="189"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If the level of demand does not materialize to consume the product we are obligated to purchase from Intel, we may record additional charges for excess inventory purchases and commitments which could be material.</w:t>
      </w: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If we are unable to successfully transition and secure production capacity for our communications and application processor business, we could lose a significant portion of that business.</w:t>
      </w:r>
    </w:p>
    <w:p>
      <w:pPr>
        <w:spacing w:after="0" w:line="170" w:lineRule="exact"/>
        <w:rPr>
          <w:sz w:val="20"/>
          <w:szCs w:val="20"/>
          <w:color w:val="auto"/>
        </w:rPr>
      </w:pPr>
    </w:p>
    <w:p>
      <w:pPr>
        <w:ind w:right="40" w:firstLine="324"/>
        <w:spacing w:after="0" w:line="253" w:lineRule="auto"/>
        <w:rPr>
          <w:sz w:val="20"/>
          <w:szCs w:val="20"/>
          <w:color w:val="auto"/>
        </w:rPr>
      </w:pPr>
      <w:r>
        <w:rPr>
          <w:rFonts w:ascii="Arial" w:cs="Arial" w:eastAsia="Arial" w:hAnsi="Arial"/>
          <w:sz w:val="18"/>
          <w:szCs w:val="18"/>
          <w:color w:val="auto"/>
        </w:rPr>
        <w:t>Our supply agreement with Intel was entered into to secure a supply of wafers and products during a transition period while we arranged for our independent foundries and other contractors to begin fabrication, assembly and test for these products.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40" w:firstLine="324"/>
        <w:spacing w:after="0" w:line="342" w:lineRule="auto"/>
        <w:rPr>
          <w:sz w:val="20"/>
          <w:szCs w:val="20"/>
          <w:color w:val="auto"/>
        </w:rPr>
      </w:pPr>
      <w:r>
        <w:rPr>
          <w:rFonts w:ascii="Arial" w:cs="Arial" w:eastAsia="Arial" w:hAnsi="Arial"/>
          <w:sz w:val="16"/>
          <w:szCs w:val="16"/>
          <w:color w:val="auto"/>
        </w:rPr>
        <w:t>In 2005, we acquired the hard disk and tape drive controller semiconductor business of QLogic Corporation and the semiconductor design business division of UTStarcom, Inc. In May 2006, we acquired the printer semiconductor division of Avago Technologies, Pte. as well as certain intellectual property</w:t>
      </w:r>
    </w:p>
    <w:p>
      <w:pPr>
        <w:sectPr>
          <w:pgSz w:w="11900" w:h="16935" w:orient="portrait"/>
          <w:cols w:equalWidth="0" w:num="1">
            <w:col w:w="11420"/>
          </w:cols>
          <w:pgMar w:left="240" w:top="125" w:right="239" w:bottom="0" w:gutter="0" w:footer="0" w:header="0"/>
        </w:sectPr>
      </w:pPr>
    </w:p>
    <w:bookmarkStart w:id="50" w:name="page51"/>
    <w:bookmarkEnd w:id="50"/>
    <w:p>
      <w:pPr>
        <w:ind w:right="280"/>
        <w:spacing w:after="0" w:line="277" w:lineRule="auto"/>
        <w:rPr>
          <w:sz w:val="20"/>
          <w:szCs w:val="20"/>
          <w:color w:val="auto"/>
        </w:rPr>
      </w:pPr>
      <w:r>
        <w:rPr>
          <w:rFonts w:ascii="Arial" w:cs="Arial" w:eastAsia="Arial" w:hAnsi="Arial"/>
          <w:sz w:val="18"/>
          <w:szCs w:val="18"/>
          <w:color w:val="auto"/>
        </w:rPr>
        <w:t>and property and equipment from another company. On June 27, 2006, we announced the signing of a definitive agreement to acquire certain assets of the communications and application processor business from Intel Corporation.</w:t>
      </w:r>
    </w:p>
    <w:p>
      <w:pPr>
        <w:spacing w:after="0" w:line="170"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In addition, if we acquire a business that is operating at a loss or at lower overall gross margins than our other business, as is the case with the communications and application processor business we acquired from Intel, our profitability will be harmed unless we can improve its performance. We cannot forecast the number, timing or size of future acquisitions, or the effect that any such acquisitions might have on our operating or financial results.</w:t>
      </w:r>
    </w:p>
    <w:p>
      <w:pPr>
        <w:spacing w:after="0" w:line="182" w:lineRule="exact"/>
        <w:rPr>
          <w:sz w:val="20"/>
          <w:szCs w:val="20"/>
          <w:color w:val="auto"/>
        </w:rPr>
      </w:pPr>
    </w:p>
    <w:p>
      <w:pPr>
        <w:ind w:firstLine="324"/>
        <w:spacing w:after="0" w:line="271"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$1.9 billion as of July 29, 2006.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20" w:firstLine="324"/>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98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170"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dilution of earnings through acquisitions and options granted to employees of acquired companies or businesses.</w:t>
      </w:r>
    </w:p>
    <w:p>
      <w:pPr>
        <w:spacing w:after="0" w:line="225" w:lineRule="exact"/>
        <w:rPr>
          <w:sz w:val="20"/>
          <w:szCs w:val="20"/>
          <w:color w:val="auto"/>
        </w:rPr>
      </w:pPr>
    </w:p>
    <w:p>
      <w:pPr>
        <w:ind w:right="200" w:firstLine="324"/>
        <w:spacing w:after="0" w:line="302" w:lineRule="auto"/>
        <w:rPr>
          <w:sz w:val="20"/>
          <w:szCs w:val="20"/>
          <w:color w:val="auto"/>
        </w:rPr>
      </w:pPr>
      <w:r>
        <w:rPr>
          <w:rFonts w:ascii="Arial" w:cs="Arial" w:eastAsia="Arial" w:hAnsi="Arial"/>
          <w:sz w:val="16"/>
          <w:szCs w:val="16"/>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as well as the factors described above relating to our ability to integrate effectively the acquired business and its technologies, operations and personnel.</w:t>
      </w:r>
    </w:p>
    <w:p>
      <w:pPr>
        <w:spacing w:after="0" w:line="154"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ectPr>
          <w:pgSz w:w="11900" w:h="16838" w:orient="portrait"/>
          <w:cols w:equalWidth="0" w:num="1">
            <w:col w:w="11420"/>
          </w:cols>
          <w:pgMar w:left="240" w:top="125" w:right="239" w:bottom="0" w:gutter="0" w:footer="0" w:header="0"/>
        </w:sectPr>
      </w:pPr>
    </w:p>
    <w:bookmarkStart w:id="51" w:name="page52"/>
    <w:bookmarkEnd w:id="51"/>
    <w:p>
      <w:pPr>
        <w:ind w:right="20" w:firstLine="324"/>
        <w:spacing w:after="0" w:line="26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8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In the first six months of fiscal 2007, approximately 51% of our net revenue was derived from sales to four customers, each of which individually accounted for 10% or more of our net revenue during this period. Of these customers, Western Digital accounted for approximately 15%, Samsung accounted for approximately 13%, Toshiba accounted for approximately 12% and Fujitsu accounted for approximately 11%. No distributor accounted for 10% of our net revenue during the first six months of fiscal 2007.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8" w:lineRule="exact"/>
        <w:rPr>
          <w:sz w:val="20"/>
          <w:szCs w:val="20"/>
          <w:color w:val="auto"/>
        </w:rPr>
      </w:pPr>
    </w:p>
    <w:p>
      <w:pPr>
        <w:ind w:left="980" w:right="500" w:hanging="324"/>
        <w:spacing w:after="0" w:line="277" w:lineRule="auto"/>
        <w:tabs>
          <w:tab w:leader="none" w:pos="944" w:val="left"/>
        </w:tabs>
        <w:numPr>
          <w:ilvl w:val="0"/>
          <w:numId w:val="2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continued lower sequential growth rates in future periods, investors should not rely on our historical growth rates when evaluating our business.</w:t>
      </w:r>
    </w:p>
    <w:p>
      <w:pPr>
        <w:spacing w:after="0" w:line="170"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From fiscal year 2003 to fiscal year 2005, we reported significant sequential quarterly growth in revenues; however, our revenues have been inconsistent and have generally grown at a slower sequential rate in the eight quarters ending with the second quarter of fiscal 2007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73"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3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firstLine="324"/>
        <w:spacing w:after="0" w:line="302" w:lineRule="auto"/>
        <w:rPr>
          <w:sz w:val="20"/>
          <w:szCs w:val="20"/>
          <w:color w:val="auto"/>
        </w:rPr>
      </w:pPr>
      <w:r>
        <w:rPr>
          <w:rFonts w:ascii="Arial" w:cs="Arial" w:eastAsia="Arial" w:hAnsi="Arial"/>
          <w:sz w:val="16"/>
          <w:szCs w:val="16"/>
          <w:color w:val="auto"/>
        </w:rPr>
        <w:t xml:space="preserve">For example, the Financial Accounting Standards Board (“FASB”) issued its final standard on accounting for share-based payments, FASB Statement No. 123R (revised 2004),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on our earnings per share, which could negatively impact our future stock price.</w:t>
      </w:r>
    </w:p>
    <w:p>
      <w:pPr>
        <w:spacing w:after="0" w:line="154"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340" w:firstLine="324"/>
        <w:spacing w:after="0" w:line="342"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w:t>
      </w:r>
    </w:p>
    <w:p>
      <w:pPr>
        <w:sectPr>
          <w:pgSz w:w="11900" w:h="16838" w:orient="portrait"/>
          <w:cols w:equalWidth="0" w:num="1">
            <w:col w:w="11400"/>
          </w:cols>
          <w:pgMar w:left="240" w:top="125" w:right="259" w:bottom="0" w:gutter="0" w:footer="0" w:header="0"/>
        </w:sectPr>
      </w:pPr>
    </w:p>
    <w:bookmarkStart w:id="52" w:name="page53"/>
    <w:bookmarkEnd w:id="52"/>
    <w:p>
      <w:pPr>
        <w:jc w:val="both"/>
        <w:ind w:right="160"/>
        <w:spacing w:after="0" w:line="259" w:lineRule="auto"/>
        <w:rPr>
          <w:sz w:val="20"/>
          <w:szCs w:val="20"/>
          <w:color w:val="auto"/>
        </w:rPr>
      </w:pPr>
      <w:r>
        <w:rPr>
          <w:rFonts w:ascii="Arial" w:cs="Arial" w:eastAsia="Arial" w:hAnsi="Arial"/>
          <w:sz w:val="18"/>
          <w:szCs w:val="18"/>
          <w:color w:val="auto"/>
        </w:rPr>
        <w:t>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87"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20" w:firstLine="324"/>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3,542 employees, as of July 28, 2006.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3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2"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147"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Each of Marvell Semiconductor Israel Ltd. (MSIL), Marvell T.I. Ltd. (MTIL) and Marvell Software Solutions Israel Ltd. (MSSI) is incorporated under the laws of and has its principal offices in Israel. In addition, MSIL and MSSI and maintain their research and development operations in Israel. Thus, MSIL, MTIL and MSSI are directly influenced by the political, economic and military conditions affecting Israel. Major hostilities involving or within Israel could disrupt MSIL, MTIL and MSSI’s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MSSI.</w:t>
      </w:r>
    </w:p>
    <w:p>
      <w:pPr>
        <w:sectPr>
          <w:pgSz w:w="11900" w:h="16838" w:orient="portrait"/>
          <w:cols w:equalWidth="0" w:num="1">
            <w:col w:w="11420"/>
          </w:cols>
          <w:pgMar w:left="240" w:top="125" w:right="239" w:bottom="40" w:gutter="0" w:footer="0" w:header="0"/>
        </w:sectPr>
      </w:pPr>
    </w:p>
    <w:bookmarkStart w:id="53" w:name="page54"/>
    <w:bookmarkEnd w:id="53"/>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The international nature of our business exposes us to financial and regulatory risks that </w:t>
      </w:r>
      <w:r>
        <w:rPr>
          <w:rFonts w:ascii="Arial" w:cs="Arial" w:eastAsia="Arial" w:hAnsi="Arial"/>
          <w:sz w:val="16"/>
          <w:szCs w:val="16"/>
          <w:b w:val="1"/>
          <w:bCs w:val="1"/>
          <w:i w:val="1"/>
          <w:iCs w:val="1"/>
          <w:color w:val="auto"/>
        </w:rPr>
        <w:t>may adversely impact our revenues and profitability.</w:t>
      </w:r>
    </w:p>
    <w:p>
      <w:pPr>
        <w:spacing w:after="0" w:line="237"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0" w:lineRule="exact"/>
        <w:rPr>
          <w:sz w:val="20"/>
          <w:szCs w:val="20"/>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225" w:lineRule="exact"/>
        <w:rPr>
          <w:rFonts w:ascii="Arial" w:cs="Arial" w:eastAsia="Arial" w:hAnsi="Arial"/>
          <w:sz w:val="18"/>
          <w:szCs w:val="18"/>
          <w:color w:val="auto"/>
        </w:rPr>
      </w:pPr>
    </w:p>
    <w:p>
      <w:pPr>
        <w:ind w:left="900" w:right="320" w:hanging="325"/>
        <w:spacing w:after="0" w:line="277" w:lineRule="auto"/>
        <w:tabs>
          <w:tab w:leader="none" w:pos="864" w:val="left"/>
        </w:tabs>
        <w:numPr>
          <w:ilvl w:val="0"/>
          <w:numId w:val="28"/>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225" w:lineRule="exact"/>
        <w:rPr>
          <w:rFonts w:ascii="Arial" w:cs="Arial" w:eastAsia="Arial" w:hAnsi="Arial"/>
          <w:sz w:val="18"/>
          <w:szCs w:val="18"/>
          <w:color w:val="auto"/>
        </w:rPr>
      </w:pPr>
    </w:p>
    <w:p>
      <w:pPr>
        <w:ind w:left="900" w:right="240" w:hanging="325"/>
        <w:spacing w:after="0" w:line="277" w:lineRule="auto"/>
        <w:tabs>
          <w:tab w:leader="none" w:pos="864"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170" w:lineRule="exact"/>
        <w:rPr>
          <w:sz w:val="20"/>
          <w:szCs w:val="20"/>
          <w:color w:val="auto"/>
        </w:rPr>
      </w:pPr>
    </w:p>
    <w:p>
      <w:pPr>
        <w:ind w:right="280" w:firstLine="324"/>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ectPr>
          <w:pgSz w:w="11900" w:h="16838" w:orient="portrait"/>
          <w:cols w:equalWidth="0" w:num="1">
            <w:col w:w="11420"/>
          </w:cols>
          <w:pgMar w:left="240" w:top="125" w:right="239" w:bottom="744"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744" w:gutter="0" w:footer="0" w:header="0"/>
          <w:type w:val="continuous"/>
        </w:sectPr>
      </w:pPr>
    </w:p>
    <w:bookmarkStart w:id="54" w:name="page55"/>
    <w:bookmarkEnd w:id="54"/>
    <w:p>
      <w:pPr>
        <w:spacing w:after="0" w:line="66"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we do, which would allow them to respond more quickly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60" w:firstLine="324"/>
        <w:spacing w:after="0" w:line="287" w:lineRule="auto"/>
        <w:rPr>
          <w:sz w:val="20"/>
          <w:szCs w:val="20"/>
          <w:color w:val="auto"/>
        </w:rPr>
      </w:pPr>
      <w:r>
        <w:rPr>
          <w:rFonts w:ascii="Arial" w:cs="Arial" w:eastAsia="Arial" w:hAnsi="Arial"/>
          <w:sz w:val="16"/>
          <w:szCs w:val="16"/>
          <w:color w:val="auto"/>
        </w:rPr>
        <w:t>Availability of foundry capacity has in the recent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81"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324"/>
        <w:spacing w:after="0" w:line="302"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w:t>
      </w:r>
    </w:p>
    <w:p>
      <w:pPr>
        <w:sectPr>
          <w:pgSz w:w="11900" w:h="16904" w:orient="portrait"/>
          <w:cols w:equalWidth="0" w:num="1">
            <w:col w:w="11400"/>
          </w:cols>
          <w:pgMar w:left="240" w:top="125" w:right="259" w:bottom="0" w:gutter="0" w:footer="0" w:header="0"/>
        </w:sectPr>
      </w:pPr>
    </w:p>
    <w:bookmarkStart w:id="55" w:name="page56"/>
    <w:bookmarkEnd w:id="55"/>
    <w:p>
      <w:pPr>
        <w:spacing w:after="0" w:line="73" w:lineRule="exact"/>
        <w:rPr>
          <w:sz w:val="20"/>
          <w:szCs w:val="20"/>
          <w:color w:val="auto"/>
        </w:rPr>
      </w:pPr>
    </w:p>
    <w:p>
      <w:pPr>
        <w:ind w:right="140"/>
        <w:spacing w:after="0" w:line="271" w:lineRule="auto"/>
        <w:rPr>
          <w:sz w:val="20"/>
          <w:szCs w:val="20"/>
          <w:color w:val="auto"/>
        </w:rPr>
      </w:pPr>
      <w:r>
        <w:rPr>
          <w:rFonts w:ascii="Arial" w:cs="Arial" w:eastAsia="Arial" w:hAnsi="Arial"/>
          <w:sz w:val="17"/>
          <w:szCs w:val="17"/>
          <w:color w:val="auto"/>
        </w:rPr>
        <w:t>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20" w:firstLine="324"/>
        <w:spacing w:after="0" w:line="277" w:lineRule="auto"/>
        <w:rPr>
          <w:sz w:val="20"/>
          <w:szCs w:val="20"/>
          <w:color w:val="auto"/>
        </w:rPr>
      </w:pPr>
      <w:r>
        <w:rPr>
          <w:rFonts w:ascii="Arial" w:cs="Arial" w:eastAsia="Arial" w:hAnsi="Arial"/>
          <w:sz w:val="18"/>
          <w:szCs w:val="18"/>
          <w:color w:val="auto"/>
        </w:rPr>
        <w:t>Our U.S. headquarters located in Santa Clara, CA, land in Singapore, building in Malaysia, building in Switzerland and buildings in Shanghai, China subject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2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324"/>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firstLine="324"/>
        <w:spacing w:after="0" w:line="312" w:lineRule="auto"/>
        <w:rPr>
          <w:sz w:val="20"/>
          <w:szCs w:val="20"/>
          <w:color w:val="auto"/>
        </w:rPr>
      </w:pPr>
      <w:r>
        <w:rPr>
          <w:rFonts w:ascii="Arial" w:cs="Arial" w:eastAsia="Arial" w:hAnsi="Arial"/>
          <w:sz w:val="16"/>
          <w:szCs w:val="16"/>
          <w:color w:val="auto"/>
        </w:rPr>
        <w:t>As of August 31, 2006, our executive officers and directors beneficially owned or controlled, directly or indirectly, approximately 20% of the outstanding shares our common stock. Additionally, Dr. Sehat Sutardja, our Chief Executive Officer, and Weili Dai, who now serves as our Director of Strategic Marketing and Business Development, are husband and wife and Dr. Sehat Sutardja and Dr. Pantas Sutardja are brothers. Together, these three individuals</w:t>
      </w:r>
    </w:p>
    <w:p>
      <w:pPr>
        <w:sectPr>
          <w:pgSz w:w="11900" w:h="16912" w:orient="portrait"/>
          <w:cols w:equalWidth="0" w:num="1">
            <w:col w:w="11400"/>
          </w:cols>
          <w:pgMar w:left="240" w:top="125" w:right="259" w:bottom="0" w:gutter="0" w:footer="0" w:header="0"/>
        </w:sectPr>
      </w:pPr>
    </w:p>
    <w:bookmarkStart w:id="56" w:name="page57"/>
    <w:bookmarkEnd w:id="56"/>
    <w:p>
      <w:pPr>
        <w:ind w:right="180"/>
        <w:spacing w:after="0" w:line="297" w:lineRule="auto"/>
        <w:rPr>
          <w:sz w:val="20"/>
          <w:szCs w:val="20"/>
          <w:color w:val="auto"/>
        </w:rPr>
      </w:pPr>
      <w:r>
        <w:rPr>
          <w:rFonts w:ascii="Arial" w:cs="Arial" w:eastAsia="Arial" w:hAnsi="Arial"/>
          <w:sz w:val="16"/>
          <w:szCs w:val="16"/>
          <w:color w:val="auto"/>
        </w:rPr>
        <w:t>held approximately 20% of our outstanding common stock as of August 31, 2006.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324"/>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93% of our net revenue in the first six months of fiscal 2007, 94% of our net revenue in fiscal 2006, and 93% of our net revenue in fiscal 2005.</w:t>
      </w:r>
    </w:p>
    <w:p>
      <w:pPr>
        <w:spacing w:after="0" w:line="158" w:lineRule="exact"/>
        <w:rPr>
          <w:sz w:val="20"/>
          <w:szCs w:val="20"/>
          <w:color w:val="auto"/>
        </w:rPr>
      </w:pPr>
    </w:p>
    <w:p>
      <w:pPr>
        <w:ind w:right="320" w:firstLine="324"/>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600" w:hanging="324"/>
        <w:spacing w:after="0" w:line="277" w:lineRule="auto"/>
        <w:tabs>
          <w:tab w:leader="none" w:pos="944" w:val="left"/>
        </w:tabs>
        <w:numPr>
          <w:ilvl w:val="0"/>
          <w:numId w:val="30"/>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93" w:lineRule="auto"/>
        <w:rPr>
          <w:sz w:val="20"/>
          <w:szCs w:val="20"/>
          <w:color w:val="auto"/>
        </w:rPr>
      </w:pPr>
      <w:r>
        <w:rPr>
          <w:rFonts w:ascii="Arial" w:cs="Arial" w:eastAsia="Arial" w:hAnsi="Arial"/>
          <w:sz w:val="16"/>
          <w:szCs w:val="16"/>
          <w:color w:val="auto"/>
        </w:rPr>
        <w:t>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and 2003.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ectPr>
          <w:pgSz w:w="11900" w:h="16838" w:orient="portrait"/>
          <w:cols w:equalWidth="0" w:num="1">
            <w:col w:w="11400"/>
          </w:cols>
          <w:pgMar w:left="240" w:top="125" w:right="259" w:bottom="0" w:gutter="0" w:footer="0" w:header="0"/>
        </w:sectPr>
      </w:pPr>
    </w:p>
    <w:bookmarkStart w:id="57" w:name="page58"/>
    <w:bookmarkEnd w:id="57"/>
    <w:p>
      <w:pPr>
        <w:spacing w:after="0" w:line="96"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240" w:firstLine="324"/>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324"/>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24"/>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40" w:firstLine="324"/>
        <w:spacing w:after="0" w:line="342"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w:t>
      </w:r>
    </w:p>
    <w:p>
      <w:pPr>
        <w:sectPr>
          <w:pgSz w:w="11900" w:h="16935" w:orient="portrait"/>
          <w:cols w:equalWidth="0" w:num="1">
            <w:col w:w="11400"/>
          </w:cols>
          <w:pgMar w:left="240" w:top="125" w:right="259" w:bottom="0" w:gutter="0" w:footer="0" w:header="0"/>
        </w:sectPr>
      </w:pPr>
    </w:p>
    <w:bookmarkStart w:id="58" w:name="page59"/>
    <w:bookmarkEnd w:id="58"/>
    <w:p>
      <w:pPr>
        <w:ind w:right="480"/>
        <w:spacing w:after="0" w:line="264" w:lineRule="auto"/>
        <w:rPr>
          <w:sz w:val="20"/>
          <w:szCs w:val="20"/>
          <w:color w:val="auto"/>
        </w:rPr>
      </w:pPr>
      <w:r>
        <w:rPr>
          <w:rFonts w:ascii="Arial" w:cs="Arial" w:eastAsia="Arial" w:hAnsi="Arial"/>
          <w:sz w:val="18"/>
          <w:szCs w:val="18"/>
          <w:color w:val="auto"/>
        </w:rPr>
        <w:t>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1" w:lineRule="exact"/>
        <w:rPr>
          <w:sz w:val="20"/>
          <w:szCs w:val="20"/>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1"/>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Organisation (CSIRO). We have also filed an action against CSIRO seeking a declaratory judgment that CSIRO’s patent is invalid and unenforceable and that we and our customers do not infringe the CSIRO patent.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560" w:firstLine="243"/>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As a result of the Pioneer Status there was a tax savings of $7.4 million in fiscal 2007 resulting in earnings per share benefit of $0.01</w:t>
      </w:r>
    </w:p>
    <w:p>
      <w:pPr>
        <w:spacing w:after="0" w:line="158"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In fiscal 2007 the Israeli subsidiaries were not profitable and did not have any benefit from the tax incentive.</w:t>
      </w:r>
    </w:p>
    <w:p>
      <w:pPr>
        <w:sectPr>
          <w:pgSz w:w="11900" w:h="16838" w:orient="portrait"/>
          <w:cols w:equalWidth="0" w:num="1">
            <w:col w:w="11420"/>
          </w:cols>
          <w:pgMar w:left="240" w:top="125" w:right="239" w:bottom="528" w:gutter="0" w:footer="0" w:header="0"/>
        </w:sectPr>
      </w:pP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528" w:gutter="0" w:footer="0" w:header="0"/>
          <w:type w:val="continuous"/>
        </w:sectPr>
      </w:pPr>
    </w:p>
    <w:bookmarkStart w:id="59" w:name="page60"/>
    <w:bookmarkEnd w:id="59"/>
    <w:p>
      <w:pPr>
        <w:ind w:right="260" w:firstLine="324"/>
        <w:spacing w:after="0" w:line="276" w:lineRule="auto"/>
        <w:rPr>
          <w:sz w:val="20"/>
          <w:szCs w:val="20"/>
          <w:color w:val="auto"/>
        </w:rPr>
      </w:pPr>
      <w:r>
        <w:rPr>
          <w:rFonts w:ascii="Arial" w:cs="Arial" w:eastAsia="Arial" w:hAnsi="Arial"/>
          <w:sz w:val="17"/>
          <w:szCs w:val="17"/>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there would be tax dollars to be paid which may affect our financial results. As a result of the Swiss holiday, our Switzerland subsidiary benefited from an income tax savings of $1.3 million, which did not have a significant earnings per share benefit.</w:t>
      </w:r>
    </w:p>
    <w:p>
      <w:pPr>
        <w:spacing w:after="0" w:line="173" w:lineRule="exact"/>
        <w:rPr>
          <w:sz w:val="20"/>
          <w:szCs w:val="20"/>
          <w:color w:val="auto"/>
        </w:rPr>
      </w:pPr>
    </w:p>
    <w:p>
      <w:pPr>
        <w:jc w:val="both"/>
        <w:ind w:right="60" w:firstLine="243"/>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jc w:val="both"/>
        <w:ind w:right="60" w:firstLine="324"/>
        <w:spacing w:after="0" w:line="288"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40 underwriters and approximately 300 issuers across the United States.</w:t>
      </w:r>
    </w:p>
    <w:p>
      <w:pPr>
        <w:ind w:right="100"/>
        <w:spacing w:after="0" w:line="281" w:lineRule="auto"/>
        <w:rPr>
          <w:sz w:val="20"/>
          <w:szCs w:val="20"/>
          <w:color w:val="auto"/>
        </w:rPr>
      </w:pPr>
      <w:r>
        <w:rPr>
          <w:rFonts w:ascii="Arial" w:cs="Arial" w:eastAsia="Arial" w:hAnsi="Arial"/>
          <w:sz w:val="16"/>
          <w:szCs w:val="16"/>
          <w:color w:val="auto"/>
        </w:rPr>
        <w:t>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177"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165"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80" w:hanging="324"/>
        <w:spacing w:after="0"/>
        <w:tabs>
          <w:tab w:leader="none" w:pos="9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7"/>
          <w:szCs w:val="17"/>
          <w:color w:val="auto"/>
        </w:rPr>
        <w:t>At our 2006 Annual General Meeting of Shareholders held on June 9, 2006, the following proposals were adopted by the margins indicated.</w:t>
      </w:r>
    </w:p>
    <w:p>
      <w:pPr>
        <w:spacing w:after="0" w:line="237" w:lineRule="exact"/>
        <w:rPr>
          <w:sz w:val="20"/>
          <w:szCs w:val="20"/>
          <w:color w:val="auto"/>
        </w:rPr>
      </w:pPr>
    </w:p>
    <w:p>
      <w:pPr>
        <w:ind w:left="340" w:right="340" w:hanging="332"/>
        <w:spacing w:after="0" w:line="277" w:lineRule="auto"/>
        <w:tabs>
          <w:tab w:leader="none" w:pos="3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To elect three directors constituting Class 3 of our Board of Directors, to hold office for a three-year term and until their successor is duly elected and qualified.</w:t>
      </w:r>
    </w:p>
    <w:p>
      <w:pPr>
        <w:spacing w:after="0" w:line="132"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11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Votes</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Votes</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11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For</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Abstained</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04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179,518,707</w:t>
            </w: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74,159,343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40" w:type="dxa"/>
            <w:vAlign w:val="bottom"/>
          </w:tcPr>
          <w:p>
            <w:pPr>
              <w:spacing w:after="0"/>
              <w:rPr>
                <w:sz w:val="20"/>
                <w:szCs w:val="20"/>
                <w:color w:val="auto"/>
              </w:rPr>
            </w:pPr>
            <w:r>
              <w:rPr>
                <w:rFonts w:ascii="Arial" w:cs="Arial" w:eastAsia="Arial" w:hAnsi="Arial"/>
                <w:sz w:val="18"/>
                <w:szCs w:val="18"/>
                <w:color w:val="auto"/>
              </w:rPr>
              <w:t>Weili Dai</w:t>
            </w:r>
          </w:p>
        </w:tc>
        <w:tc>
          <w:tcPr>
            <w:tcW w:w="960" w:type="dxa"/>
            <w:vAlign w:val="bottom"/>
          </w:tcPr>
          <w:p>
            <w:pPr>
              <w:jc w:val="center"/>
              <w:spacing w:after="0"/>
              <w:rPr>
                <w:sz w:val="20"/>
                <w:szCs w:val="20"/>
                <w:color w:val="auto"/>
              </w:rPr>
            </w:pPr>
            <w:r>
              <w:rPr>
                <w:rFonts w:ascii="Arial" w:cs="Arial" w:eastAsia="Arial" w:hAnsi="Arial"/>
                <w:sz w:val="18"/>
                <w:szCs w:val="18"/>
                <w:color w:val="auto"/>
                <w:w w:val="89"/>
              </w:rPr>
              <w:t>179,402,662</w:t>
            </w: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w w:val="97"/>
              </w:rPr>
              <w:t>74,275,388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248,714,158</w:t>
            </w: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4,963,892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left="340" w:right="600"/>
        <w:spacing w:after="0" w:line="277" w:lineRule="auto"/>
        <w:rPr>
          <w:sz w:val="20"/>
          <w:szCs w:val="20"/>
          <w:color w:val="auto"/>
        </w:rPr>
      </w:pPr>
      <w:r>
        <w:rPr>
          <w:rFonts w:ascii="Arial" w:cs="Arial" w:eastAsia="Arial" w:hAnsi="Arial"/>
          <w:sz w:val="18"/>
          <w:szCs w:val="18"/>
          <w:color w:val="auto"/>
        </w:rPr>
        <w:t>To elect one director constituting Class 1 of our Board of Directors, to hold office for a two-year term and until their successor is duly elected and qualified.</w:t>
      </w:r>
    </w:p>
    <w:p>
      <w:pPr>
        <w:sectPr>
          <w:pgSz w:w="11900" w:h="16838" w:orient="portrait"/>
          <w:cols w:equalWidth="0" w:num="1">
            <w:col w:w="11420"/>
          </w:cols>
          <w:pgMar w:left="240" w:top="125" w:right="239" w:bottom="0" w:gutter="0" w:footer="0" w:header="0"/>
        </w:sectPr>
      </w:pPr>
    </w:p>
    <w:p>
      <w:pPr>
        <w:spacing w:after="0" w:line="132" w:lineRule="exact"/>
        <w:rPr>
          <w:sz w:val="20"/>
          <w:szCs w:val="20"/>
          <w:color w:val="auto"/>
        </w:rPr>
      </w:pPr>
    </w:p>
    <w:tbl>
      <w:tblPr>
        <w:tblLayout w:type="fixed"/>
        <w:tblInd w:w="3420" w:type="dxa"/>
        <w:tblCellMar>
          <w:top w:w="0" w:type="dxa"/>
          <w:left w:w="0" w:type="dxa"/>
          <w:bottom w:w="0" w:type="dxa"/>
          <w:right w:w="0" w:type="dxa"/>
        </w:tblCellMar>
      </w:tblPr>
      <w:tr>
        <w:trPr>
          <w:trHeight w:val="161"/>
        </w:trPr>
        <w:tc>
          <w:tcPr>
            <w:tcW w:w="11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Votes</w:t>
            </w:r>
          </w:p>
        </w:tc>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89"/>
              </w:rPr>
              <w:t>Votes</w:t>
            </w:r>
          </w:p>
        </w:tc>
      </w:tr>
      <w:tr>
        <w:trPr>
          <w:trHeight w:val="162"/>
        </w:trPr>
        <w:tc>
          <w:tcPr>
            <w:tcW w:w="9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20" w:type="dxa"/>
            <w:vAlign w:val="bottom"/>
          </w:tcPr>
          <w:p>
            <w:pPr>
              <w:spacing w:after="0"/>
              <w:rPr>
                <w:sz w:val="14"/>
                <w:szCs w:val="14"/>
                <w:color w:val="auto"/>
              </w:rPr>
            </w:pPr>
          </w:p>
        </w:tc>
        <w:tc>
          <w:tcPr>
            <w:tcW w:w="9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Abstained</w:t>
            </w:r>
          </w:p>
        </w:tc>
      </w:tr>
    </w:tbl>
    <w:p>
      <w:pPr>
        <w:sectPr>
          <w:pgSz w:w="11900" w:h="16838" w:orient="portrait"/>
          <w:cols w:equalWidth="0" w:num="1">
            <w:col w:w="11420"/>
          </w:cols>
          <w:pgMar w:left="240" w:top="125" w:right="239" w:bottom="0" w:gutter="0" w:footer="0" w:header="0"/>
          <w:type w:val="continuous"/>
        </w:sectPr>
      </w:pPr>
    </w:p>
    <w:bookmarkStart w:id="60" w:name="page61"/>
    <w:bookmarkEnd w:id="60"/>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2318385</wp:posOffset>
            </wp:positionH>
            <wp:positionV relativeFrom="page">
              <wp:posOffset>88900</wp:posOffset>
            </wp:positionV>
            <wp:extent cx="1329055"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tbl>
      <w:tblPr>
        <w:tblLayout w:type="fixed"/>
        <w:tblInd w:w="3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208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216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252,950,480</w:t>
            </w:r>
          </w:p>
        </w:tc>
        <w:tc>
          <w:tcPr>
            <w:tcW w:w="9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727,570</w:t>
            </w:r>
          </w:p>
        </w:tc>
      </w:tr>
    </w:tbl>
    <w:p>
      <w:pPr>
        <w:spacing w:after="0" w:line="256" w:lineRule="exact"/>
        <w:rPr>
          <w:sz w:val="20"/>
          <w:szCs w:val="20"/>
          <w:color w:val="auto"/>
        </w:rPr>
      </w:pPr>
    </w:p>
    <w:p>
      <w:pPr>
        <w:ind w:left="340" w:right="440"/>
        <w:spacing w:after="0" w:line="277" w:lineRule="auto"/>
        <w:rPr>
          <w:sz w:val="20"/>
          <w:szCs w:val="20"/>
          <w:color w:val="auto"/>
        </w:rPr>
      </w:pPr>
      <w:r>
        <w:rPr>
          <w:rFonts w:ascii="Arial" w:cs="Arial" w:eastAsia="Arial" w:hAnsi="Arial"/>
          <w:sz w:val="18"/>
          <w:szCs w:val="18"/>
          <w:color w:val="auto"/>
        </w:rPr>
        <w:t>Other directors whose term of office as a director continued after the Annual General Meeting were Kuo Wei (Herbert) Chang, Dr. Paul R. Gray and Douglas King.</w:t>
      </w:r>
    </w:p>
    <w:p>
      <w:pPr>
        <w:spacing w:after="0" w:line="170" w:lineRule="exact"/>
        <w:rPr>
          <w:sz w:val="20"/>
          <w:szCs w:val="20"/>
          <w:color w:val="auto"/>
        </w:rPr>
      </w:pPr>
    </w:p>
    <w:p>
      <w:pPr>
        <w:ind w:left="340" w:right="60" w:hanging="332"/>
        <w:spacing w:after="0" w:line="277" w:lineRule="auto"/>
        <w:tabs>
          <w:tab w:leader="none" w:pos="353" w:val="left"/>
        </w:tabs>
        <w:numPr>
          <w:ilvl w:val="0"/>
          <w:numId w:val="34"/>
        </w:numPr>
        <w:rPr>
          <w:rFonts w:ascii="Arial" w:cs="Arial" w:eastAsia="Arial" w:hAnsi="Arial"/>
          <w:sz w:val="18"/>
          <w:szCs w:val="18"/>
          <w:color w:val="auto"/>
        </w:rPr>
      </w:pPr>
      <w:r>
        <w:rPr>
          <w:rFonts w:ascii="Arial" w:cs="Arial" w:eastAsia="Arial" w:hAnsi="Arial"/>
          <w:sz w:val="18"/>
          <w:szCs w:val="18"/>
          <w:color w:val="auto"/>
        </w:rPr>
        <w:t>To re-appoint PricewaterhouseCoopers LLP as our independent registered public accounting firm for our 2007 fiscal year ending January 27, 2007 and to authorize the audit committee to fix the auditor’s remuneration.</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Votes</w:t>
            </w: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Votes</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Votes</w:t>
            </w:r>
          </w:p>
        </w:tc>
        <w:tc>
          <w:tcPr>
            <w:tcW w:w="0" w:type="dxa"/>
            <w:vAlign w:val="bottom"/>
          </w:tcPr>
          <w:p>
            <w:pPr>
              <w:spacing w:after="0"/>
              <w:rPr>
                <w:sz w:val="1"/>
                <w:szCs w:val="1"/>
                <w:color w:val="auto"/>
              </w:rPr>
            </w:pPr>
          </w:p>
        </w:tc>
      </w:tr>
      <w:tr>
        <w:trPr>
          <w:trHeight w:val="162"/>
        </w:trPr>
        <w:tc>
          <w:tcPr>
            <w:tcW w:w="4080" w:type="dxa"/>
            <w:vAlign w:val="bottom"/>
          </w:tcPr>
          <w:p>
            <w:pPr>
              <w:spacing w:after="0"/>
              <w:rPr>
                <w:sz w:val="14"/>
                <w:szCs w:val="14"/>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For</w:t>
            </w: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Against</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Abstained</w:t>
            </w:r>
          </w:p>
        </w:tc>
        <w:tc>
          <w:tcPr>
            <w:tcW w:w="0" w:type="dxa"/>
            <w:vAlign w:val="bottom"/>
          </w:tcPr>
          <w:p>
            <w:pPr>
              <w:spacing w:after="0"/>
              <w:rPr>
                <w:sz w:val="1"/>
                <w:szCs w:val="1"/>
                <w:color w:val="auto"/>
              </w:rPr>
            </w:pPr>
          </w:p>
        </w:tc>
      </w:tr>
      <w:tr>
        <w:trPr>
          <w:trHeight w:val="210"/>
        </w:trPr>
        <w:tc>
          <w:tcPr>
            <w:tcW w:w="4080" w:type="dxa"/>
            <w:vAlign w:val="bottom"/>
            <w:vMerge w:val="restart"/>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vMerge w:val="continue"/>
          </w:tcPr>
          <w:p>
            <w:pPr>
              <w:spacing w:after="0"/>
              <w:rPr>
                <w:sz w:val="18"/>
                <w:szCs w:val="18"/>
                <w:color w:val="auto"/>
              </w:rPr>
            </w:pPr>
          </w:p>
        </w:tc>
        <w:tc>
          <w:tcPr>
            <w:tcW w:w="9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253,208,957</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343,475</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125,618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86"/>
        </w:trPr>
        <w:tc>
          <w:tcPr>
            <w:tcW w:w="5220" w:type="dxa"/>
            <w:vAlign w:val="bottom"/>
            <w:gridSpan w:val="3"/>
          </w:tcPr>
          <w:p>
            <w:pPr>
              <w:spacing w:after="0"/>
              <w:rPr>
                <w:sz w:val="20"/>
                <w:szCs w:val="20"/>
                <w:color w:val="auto"/>
              </w:rPr>
            </w:pPr>
            <w:r>
              <w:rPr>
                <w:rFonts w:ascii="Arial" w:cs="Arial" w:eastAsia="Arial" w:hAnsi="Arial"/>
                <w:sz w:val="18"/>
                <w:szCs w:val="18"/>
                <w:color w:val="auto"/>
              </w:rPr>
              <w:t>3.  To approve an increase of authorized share capital.</w:t>
            </w: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080" w:type="dxa"/>
            <w:vAlign w:val="bottom"/>
          </w:tcPr>
          <w:p>
            <w:pPr>
              <w:spacing w:after="0"/>
              <w:rPr>
                <w:sz w:val="24"/>
                <w:szCs w:val="24"/>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Votes</w:t>
            </w: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Votes</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Votes</w:t>
            </w:r>
          </w:p>
        </w:tc>
        <w:tc>
          <w:tcPr>
            <w:tcW w:w="0" w:type="dxa"/>
            <w:vAlign w:val="bottom"/>
          </w:tcPr>
          <w:p>
            <w:pPr>
              <w:spacing w:after="0"/>
              <w:rPr>
                <w:sz w:val="1"/>
                <w:szCs w:val="1"/>
                <w:color w:val="auto"/>
              </w:rPr>
            </w:pPr>
          </w:p>
        </w:tc>
      </w:tr>
      <w:tr>
        <w:trPr>
          <w:trHeight w:val="162"/>
        </w:trPr>
        <w:tc>
          <w:tcPr>
            <w:tcW w:w="4080" w:type="dxa"/>
            <w:vAlign w:val="bottom"/>
          </w:tcPr>
          <w:p>
            <w:pPr>
              <w:spacing w:after="0"/>
              <w:rPr>
                <w:sz w:val="14"/>
                <w:szCs w:val="14"/>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For</w:t>
            </w: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Against</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Abstained</w:t>
            </w:r>
          </w:p>
        </w:tc>
        <w:tc>
          <w:tcPr>
            <w:tcW w:w="0" w:type="dxa"/>
            <w:vAlign w:val="bottom"/>
          </w:tcPr>
          <w:p>
            <w:pPr>
              <w:spacing w:after="0"/>
              <w:rPr>
                <w:sz w:val="1"/>
                <w:szCs w:val="1"/>
                <w:color w:val="auto"/>
              </w:rPr>
            </w:pPr>
          </w:p>
        </w:tc>
      </w:tr>
      <w:tr>
        <w:trPr>
          <w:trHeight w:val="210"/>
        </w:trPr>
        <w:tc>
          <w:tcPr>
            <w:tcW w:w="4080" w:type="dxa"/>
            <w:vAlign w:val="bottom"/>
            <w:vMerge w:val="restart"/>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vMerge w:val="continue"/>
          </w:tcPr>
          <w:p>
            <w:pPr>
              <w:spacing w:after="0"/>
              <w:rPr>
                <w:sz w:val="18"/>
                <w:szCs w:val="18"/>
                <w:color w:val="auto"/>
              </w:rPr>
            </w:pPr>
          </w:p>
        </w:tc>
        <w:tc>
          <w:tcPr>
            <w:tcW w:w="9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252,108,214</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1,382,512</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187,324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left="340" w:right="180"/>
        <w:spacing w:after="0" w:line="278" w:lineRule="auto"/>
        <w:rPr>
          <w:sz w:val="20"/>
          <w:szCs w:val="20"/>
          <w:color w:val="auto"/>
        </w:rPr>
      </w:pPr>
      <w:r>
        <w:rPr>
          <w:rFonts w:ascii="Arial" w:cs="Arial" w:eastAsia="Arial" w:hAnsi="Arial"/>
          <w:sz w:val="16"/>
          <w:szCs w:val="16"/>
          <w:color w:val="auto"/>
        </w:rPr>
        <w:t>The proposal to approve an amendment to the second amended and restated bye-laws was not approved, as the required vote of holders representing not less than 66</w:t>
      </w:r>
      <w:r>
        <w:rPr>
          <w:rFonts w:ascii="Arial" w:cs="Arial" w:eastAsia="Arial" w:hAnsi="Arial"/>
          <w:sz w:val="9"/>
          <w:szCs w:val="9"/>
          <w:color w:val="auto"/>
        </w:rPr>
        <w:t>2</w:t>
      </w:r>
      <w:r>
        <w:rPr>
          <w:rFonts w:ascii="Arial" w:cs="Arial" w:eastAsia="Arial" w:hAnsi="Arial"/>
          <w:sz w:val="16"/>
          <w:szCs w:val="16"/>
          <w:color w:val="auto"/>
        </w:rPr>
        <w:t>¤</w:t>
      </w:r>
      <w:r>
        <w:rPr>
          <w:rFonts w:ascii="Arial" w:cs="Arial" w:eastAsia="Arial" w:hAnsi="Arial"/>
          <w:sz w:val="9"/>
          <w:szCs w:val="9"/>
          <w:color w:val="auto"/>
        </w:rPr>
        <w:t>3</w:t>
      </w:r>
      <w:r>
        <w:rPr>
          <w:rFonts w:ascii="Arial" w:cs="Arial" w:eastAsia="Arial" w:hAnsi="Arial"/>
          <w:sz w:val="16"/>
          <w:szCs w:val="16"/>
          <w:color w:val="auto"/>
        </w:rPr>
        <w:t>% of the shares, present to person or represented by proxy, entitled to vote at the Annual General Meeting was not obtained.</w:t>
      </w:r>
    </w:p>
    <w:tbl>
      <w:tblPr>
        <w:tblLayout w:type="fixed"/>
        <w:tblInd w:w="0" w:type="dxa"/>
        <w:tblCellMar>
          <w:top w:w="0" w:type="dxa"/>
          <w:left w:w="0" w:type="dxa"/>
          <w:bottom w:w="0" w:type="dxa"/>
          <w:right w:w="0" w:type="dxa"/>
        </w:tblCellMar>
      </w:tblPr>
      <w:tr>
        <w:trPr>
          <w:trHeight w:val="128"/>
        </w:trPr>
        <w:tc>
          <w:tcPr>
            <w:tcW w:w="580" w:type="dxa"/>
            <w:vAlign w:val="bottom"/>
          </w:tcPr>
          <w:p>
            <w:pPr>
              <w:spacing w:after="0"/>
              <w:rPr>
                <w:sz w:val="11"/>
                <w:szCs w:val="11"/>
                <w:color w:val="auto"/>
              </w:rPr>
            </w:pPr>
          </w:p>
        </w:tc>
        <w:tc>
          <w:tcPr>
            <w:tcW w:w="3500" w:type="dxa"/>
            <w:vAlign w:val="bottom"/>
          </w:tcPr>
          <w:p>
            <w:pPr>
              <w:spacing w:after="0"/>
              <w:rPr>
                <w:sz w:val="11"/>
                <w:szCs w:val="11"/>
                <w:color w:val="auto"/>
              </w:rPr>
            </w:pPr>
          </w:p>
        </w:tc>
        <w:tc>
          <w:tcPr>
            <w:tcW w:w="11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9"/>
              </w:rPr>
              <w:t>Votes</w:t>
            </w:r>
          </w:p>
        </w:tc>
        <w:tc>
          <w:tcPr>
            <w:tcW w:w="11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9"/>
              </w:rPr>
              <w:t>Votes</w:t>
            </w:r>
          </w:p>
        </w:tc>
        <w:tc>
          <w:tcPr>
            <w:tcW w:w="1000" w:type="dxa"/>
            <w:vAlign w:val="bottom"/>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89"/>
              </w:rPr>
              <w:t>Votes</w:t>
            </w:r>
          </w:p>
        </w:tc>
        <w:tc>
          <w:tcPr>
            <w:tcW w:w="4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For</w:t>
            </w:r>
          </w:p>
        </w:tc>
        <w:tc>
          <w:tcPr>
            <w:tcW w:w="11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Against</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Abstained</w:t>
            </w:r>
          </w:p>
        </w:tc>
        <w:tc>
          <w:tcPr>
            <w:tcW w:w="4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80" w:type="dxa"/>
            <w:vAlign w:val="bottom"/>
          </w:tcPr>
          <w:p>
            <w:pPr>
              <w:spacing w:after="0"/>
              <w:rPr>
                <w:sz w:val="18"/>
                <w:szCs w:val="18"/>
                <w:color w:val="auto"/>
              </w:rPr>
            </w:pPr>
          </w:p>
        </w:tc>
        <w:tc>
          <w:tcPr>
            <w:tcW w:w="3500" w:type="dxa"/>
            <w:vAlign w:val="bottom"/>
            <w:vMerge w:val="restart"/>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18"/>
                <w:szCs w:val="18"/>
                <w:color w:val="auto"/>
              </w:rPr>
            </w:pPr>
          </w:p>
        </w:tc>
        <w:tc>
          <w:tcPr>
            <w:tcW w:w="3500" w:type="dxa"/>
            <w:vAlign w:val="bottom"/>
            <w:vMerge w:val="continue"/>
          </w:tcPr>
          <w:p>
            <w:pPr>
              <w:spacing w:after="0"/>
              <w:rPr>
                <w:sz w:val="18"/>
                <w:szCs w:val="18"/>
                <w:color w:val="auto"/>
              </w:rPr>
            </w:pPr>
          </w:p>
        </w:tc>
        <w:tc>
          <w:tcPr>
            <w:tcW w:w="9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163,805,111</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87,656,890</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2,216,048</w:t>
            </w:r>
          </w:p>
        </w:tc>
        <w:tc>
          <w:tcPr>
            <w:tcW w:w="80" w:type="dxa"/>
            <w:vAlign w:val="bottom"/>
            <w:shd w:val="clear" w:color="auto" w:fill="CCEEFF"/>
          </w:tcPr>
          <w:p>
            <w:pPr>
              <w:spacing w:after="0"/>
              <w:rPr>
                <w:sz w:val="18"/>
                <w:szCs w:val="18"/>
                <w:color w:val="auto"/>
              </w:rPr>
            </w:pPr>
          </w:p>
        </w:tc>
        <w:tc>
          <w:tcPr>
            <w:tcW w:w="4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2"/>
        </w:trPr>
        <w:tc>
          <w:tcPr>
            <w:tcW w:w="58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jc w:val="right"/>
              <w:ind w:right="259"/>
              <w:spacing w:after="0"/>
              <w:rPr>
                <w:sz w:val="20"/>
                <w:szCs w:val="20"/>
                <w:color w:val="auto"/>
              </w:rPr>
            </w:pPr>
            <w:r>
              <w:rPr>
                <w:rFonts w:ascii="Arial" w:cs="Arial" w:eastAsia="Arial" w:hAnsi="Arial"/>
                <w:sz w:val="18"/>
                <w:szCs w:val="18"/>
                <w:color w:val="auto"/>
              </w:rPr>
              <w:t>86</w:t>
            </w: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580" w:type="dxa"/>
            <w:vAlign w:val="bottom"/>
            <w:tcBorders>
              <w:bottom w:val="single" w:sz="8" w:color="010101"/>
            </w:tcBorders>
          </w:tcPr>
          <w:p>
            <w:pPr>
              <w:spacing w:after="0"/>
              <w:rPr>
                <w:sz w:val="24"/>
                <w:szCs w:val="24"/>
                <w:color w:val="auto"/>
              </w:rPr>
            </w:pPr>
          </w:p>
        </w:tc>
        <w:tc>
          <w:tcPr>
            <w:tcW w:w="4640" w:type="dxa"/>
            <w:vAlign w:val="bottom"/>
            <w:tcBorders>
              <w:bottom w:val="single" w:sz="8" w:color="010101"/>
            </w:tcBorders>
            <w:gridSpan w:val="3"/>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1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580" w:type="dxa"/>
            <w:vAlign w:val="bottom"/>
          </w:tcPr>
          <w:p>
            <w:pPr>
              <w:spacing w:after="0"/>
              <w:rPr>
                <w:sz w:val="20"/>
                <w:szCs w:val="20"/>
                <w:color w:val="auto"/>
              </w:rPr>
            </w:pPr>
            <w:r>
              <w:rPr>
                <w:rFonts w:ascii="Arial" w:cs="Arial" w:eastAsia="Arial" w:hAnsi="Arial"/>
                <w:sz w:val="18"/>
                <w:szCs w:val="18"/>
                <w:b w:val="1"/>
                <w:bCs w:val="1"/>
                <w:color w:val="auto"/>
                <w:w w:val="98"/>
              </w:rPr>
              <w:t>Item 5.</w:t>
            </w:r>
          </w:p>
        </w:tc>
        <w:tc>
          <w:tcPr>
            <w:tcW w:w="4640" w:type="dxa"/>
            <w:vAlign w:val="bottom"/>
            <w:gridSpan w:val="3"/>
          </w:tcPr>
          <w:p>
            <w:pPr>
              <w:ind w:left="20"/>
              <w:spacing w:after="0"/>
              <w:rPr>
                <w:sz w:val="20"/>
                <w:szCs w:val="20"/>
                <w:color w:val="auto"/>
              </w:rPr>
            </w:pPr>
            <w:r>
              <w:rPr>
                <w:rFonts w:ascii="Arial" w:cs="Arial" w:eastAsia="Arial" w:hAnsi="Arial"/>
                <w:sz w:val="18"/>
                <w:szCs w:val="18"/>
                <w:b w:val="1"/>
                <w:bCs w:val="1"/>
                <w:i w:val="1"/>
                <w:iCs w:val="1"/>
                <w:color w:val="auto"/>
              </w:rPr>
              <w:t>Other Information</w:t>
            </w: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220" w:type="dxa"/>
            <w:vAlign w:val="bottom"/>
            <w:gridSpan w:val="4"/>
          </w:tcPr>
          <w:p>
            <w:pPr>
              <w:ind w:left="260"/>
              <w:spacing w:after="0"/>
              <w:rPr>
                <w:sz w:val="20"/>
                <w:szCs w:val="20"/>
                <w:color w:val="auto"/>
              </w:rPr>
            </w:pPr>
            <w:r>
              <w:rPr>
                <w:rFonts w:ascii="Arial" w:cs="Arial" w:eastAsia="Arial" w:hAnsi="Arial"/>
                <w:sz w:val="18"/>
                <w:szCs w:val="18"/>
                <w:color w:val="auto"/>
              </w:rPr>
              <w:t>Not applicable.</w:t>
            </w: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80" w:type="dxa"/>
            <w:vAlign w:val="bottom"/>
          </w:tcPr>
          <w:p>
            <w:pPr>
              <w:spacing w:after="0"/>
              <w:rPr>
                <w:sz w:val="20"/>
                <w:szCs w:val="20"/>
                <w:color w:val="auto"/>
              </w:rPr>
            </w:pPr>
            <w:r>
              <w:rPr>
                <w:rFonts w:ascii="Arial" w:cs="Arial" w:eastAsia="Arial" w:hAnsi="Arial"/>
                <w:sz w:val="18"/>
                <w:szCs w:val="18"/>
                <w:b w:val="1"/>
                <w:bCs w:val="1"/>
                <w:color w:val="auto"/>
                <w:w w:val="98"/>
              </w:rPr>
              <w:t>Item 6.</w:t>
            </w:r>
          </w:p>
        </w:tc>
        <w:tc>
          <w:tcPr>
            <w:tcW w:w="4640" w:type="dxa"/>
            <w:vAlign w:val="bottom"/>
            <w:gridSpan w:val="3"/>
          </w:tcPr>
          <w:p>
            <w:pPr>
              <w:ind w:left="20"/>
              <w:spacing w:after="0"/>
              <w:rPr>
                <w:sz w:val="20"/>
                <w:szCs w:val="20"/>
                <w:color w:val="auto"/>
              </w:rPr>
            </w:pPr>
            <w:r>
              <w:rPr>
                <w:rFonts w:ascii="Arial" w:cs="Arial" w:eastAsia="Arial" w:hAnsi="Arial"/>
                <w:sz w:val="18"/>
                <w:szCs w:val="18"/>
                <w:b w:val="1"/>
                <w:bCs w:val="1"/>
                <w:i w:val="1"/>
                <w:iCs w:val="1"/>
                <w:color w:val="auto"/>
              </w:rPr>
              <w:t>Exhibits</w:t>
            </w: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220" w:type="dxa"/>
            <w:vAlign w:val="bottom"/>
            <w:gridSpan w:val="4"/>
          </w:tcPr>
          <w:p>
            <w:pPr>
              <w:spacing w:after="0"/>
              <w:rPr>
                <w:sz w:val="20"/>
                <w:szCs w:val="20"/>
                <w:color w:val="auto"/>
              </w:rPr>
            </w:pPr>
            <w:r>
              <w:rPr>
                <w:rFonts w:ascii="Arial" w:cs="Arial" w:eastAsia="Arial" w:hAnsi="Arial"/>
                <w:sz w:val="18"/>
                <w:szCs w:val="18"/>
                <w:color w:val="auto"/>
              </w:rPr>
              <w:t>(a)The following exhibits are filed as part of this report:</w:t>
            </w: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-1210310</wp:posOffset>
            </wp:positionV>
            <wp:extent cx="12700"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-1210310</wp:posOffset>
            </wp:positionV>
            <wp:extent cx="12700" cy="298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980" w:right="440" w:hanging="647"/>
        <w:spacing w:after="0" w:line="258"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980" w:right="500" w:hanging="647"/>
        <w:spacing w:after="0" w:line="250"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Micahel Tate, Interim Chief Financial Officer</w:t>
      </w:r>
    </w:p>
    <w:p>
      <w:pPr>
        <w:spacing w:after="0" w:line="1" w:lineRule="exact"/>
        <w:rPr>
          <w:sz w:val="20"/>
          <w:szCs w:val="20"/>
          <w:color w:val="auto"/>
        </w:rPr>
      </w:pPr>
    </w:p>
    <w:p>
      <w:pPr>
        <w:ind w:left="980" w:right="440" w:hanging="647"/>
        <w:spacing w:after="0" w:line="250"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980" w:right="500" w:hanging="647"/>
        <w:spacing w:after="0" w:line="261"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Michael Tate,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138938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85" w:lineRule="exact"/>
        <w:rPr>
          <w:sz w:val="20"/>
          <w:szCs w:val="20"/>
          <w:color w:val="auto"/>
        </w:rPr>
      </w:pPr>
    </w:p>
    <w:p>
      <w:pPr>
        <w:ind w:left="660" w:right="80" w:hanging="328"/>
        <w:spacing w:after="0" w:line="257" w:lineRule="auto"/>
        <w:tabs>
          <w:tab w:leader="none" w:pos="655"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6020" w:type="dxa"/>
            <w:vAlign w:val="bottom"/>
          </w:tcPr>
          <w:p>
            <w:pPr>
              <w:spacing w:after="0"/>
              <w:rPr>
                <w:sz w:val="20"/>
                <w:szCs w:val="20"/>
                <w:color w:val="auto"/>
              </w:rPr>
            </w:pPr>
          </w:p>
        </w:tc>
        <w:tc>
          <w:tcPr>
            <w:tcW w:w="5380" w:type="dxa"/>
            <w:vAlign w:val="bottom"/>
            <w:gridSpan w:val="2"/>
          </w:tcPr>
          <w:p>
            <w:pPr>
              <w:spacing w:after="0"/>
              <w:rPr>
                <w:sz w:val="20"/>
                <w:szCs w:val="20"/>
                <w:color w:val="auto"/>
              </w:rPr>
            </w:pPr>
            <w:r>
              <w:rPr>
                <w:rFonts w:ascii="Arial" w:cs="Arial" w:eastAsia="Arial" w:hAnsi="Arial"/>
                <w:sz w:val="18"/>
                <w:szCs w:val="18"/>
                <w:color w:val="auto"/>
              </w:rPr>
              <w:t>MARVELL TECHNOLOGY GROUP LTD.</w:t>
            </w:r>
          </w:p>
        </w:tc>
      </w:tr>
      <w:tr>
        <w:trPr>
          <w:trHeight w:val="648"/>
        </w:trPr>
        <w:tc>
          <w:tcPr>
            <w:tcW w:w="6040" w:type="dxa"/>
            <w:vAlign w:val="bottom"/>
            <w:gridSpan w:val="2"/>
          </w:tcPr>
          <w:p>
            <w:pPr>
              <w:spacing w:after="0"/>
              <w:rPr>
                <w:sz w:val="20"/>
                <w:szCs w:val="20"/>
                <w:color w:val="auto"/>
              </w:rPr>
            </w:pPr>
            <w:r>
              <w:rPr>
                <w:rFonts w:ascii="Arial" w:cs="Arial" w:eastAsia="Arial" w:hAnsi="Arial"/>
                <w:sz w:val="18"/>
                <w:szCs w:val="18"/>
                <w:color w:val="auto"/>
              </w:rPr>
              <w:t>July 2, 2007</w:t>
            </w:r>
          </w:p>
        </w:tc>
        <w:tc>
          <w:tcPr>
            <w:tcW w:w="5380" w:type="dxa"/>
            <w:vAlign w:val="bottom"/>
            <w:gridSpan w:val="2"/>
          </w:tcPr>
          <w:p>
            <w:pPr>
              <w:spacing w:after="0"/>
              <w:rPr>
                <w:sz w:val="20"/>
                <w:szCs w:val="20"/>
                <w:color w:val="auto"/>
              </w:rPr>
            </w:pPr>
            <w:r>
              <w:rPr>
                <w:rFonts w:ascii="Arial" w:cs="Arial" w:eastAsia="Arial" w:hAnsi="Arial"/>
                <w:sz w:val="18"/>
                <w:szCs w:val="18"/>
                <w:color w:val="auto"/>
              </w:rPr>
              <w:t>By:   /s/ MICHAEL TATE</w:t>
            </w:r>
          </w:p>
        </w:tc>
      </w:tr>
      <w:tr>
        <w:trPr>
          <w:trHeight w:val="195"/>
        </w:trPr>
        <w:tc>
          <w:tcPr>
            <w:tcW w:w="20" w:type="dxa"/>
            <w:vAlign w:val="bottom"/>
          </w:tcPr>
          <w:p>
            <w:pPr>
              <w:spacing w:after="0"/>
              <w:rPr>
                <w:sz w:val="16"/>
                <w:szCs w:val="16"/>
                <w:color w:val="auto"/>
              </w:rPr>
            </w:pPr>
          </w:p>
        </w:tc>
        <w:tc>
          <w:tcPr>
            <w:tcW w:w="60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Date</w:t>
            </w:r>
          </w:p>
        </w:tc>
        <w:tc>
          <w:tcPr>
            <w:tcW w:w="460" w:type="dxa"/>
            <w:vAlign w:val="bottom"/>
          </w:tcPr>
          <w:p>
            <w:pPr>
              <w:spacing w:after="0"/>
              <w:rPr>
                <w:sz w:val="16"/>
                <w:szCs w:val="16"/>
                <w:color w:val="auto"/>
              </w:rPr>
            </w:pPr>
          </w:p>
        </w:tc>
        <w:tc>
          <w:tcPr>
            <w:tcW w:w="49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r>
      <w:tr>
        <w:trPr>
          <w:trHeight w:val="230"/>
        </w:trPr>
        <w:tc>
          <w:tcPr>
            <w:tcW w:w="20" w:type="dxa"/>
            <w:vAlign w:val="bottom"/>
          </w:tcPr>
          <w:p>
            <w:pPr>
              <w:spacing w:after="0"/>
              <w:rPr>
                <w:sz w:val="20"/>
                <w:szCs w:val="20"/>
                <w:color w:val="auto"/>
              </w:rPr>
            </w:pPr>
          </w:p>
        </w:tc>
        <w:tc>
          <w:tcPr>
            <w:tcW w:w="60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Interim Chief Financial Officer</w:t>
            </w:r>
          </w:p>
        </w:tc>
      </w:tr>
    </w:tbl>
    <w:p>
      <w:pPr>
        <w:sectPr>
          <w:pgSz w:w="11900" w:h="16838" w:orient="portrait"/>
          <w:cols w:equalWidth="0" w:num="1">
            <w:col w:w="11460"/>
          </w:cols>
          <w:pgMar w:left="240" w:top="369" w:right="199" w:bottom="252" w:gutter="0" w:footer="0" w:header="0"/>
        </w:sectPr>
      </w:pPr>
    </w:p>
    <w:bookmarkStart w:id="61" w:name="page62"/>
    <w:bookmarkEnd w:id="6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80" w:type="dxa"/>
            <w:vAlign w:val="bottom"/>
          </w:tcPr>
          <w:p>
            <w:pPr>
              <w:jc w:val="right"/>
              <w:ind w:right="5536"/>
              <w:spacing w:after="0"/>
              <w:rPr>
                <w:sz w:val="20"/>
                <w:szCs w:val="20"/>
                <w:color w:val="auto"/>
              </w:rPr>
            </w:pPr>
            <w:r>
              <w:rPr>
                <w:rFonts w:ascii="Arial" w:cs="Arial" w:eastAsia="Arial" w:hAnsi="Arial"/>
                <w:sz w:val="18"/>
                <w:szCs w:val="18"/>
                <w:color w:val="auto"/>
              </w:rPr>
              <w:t>88</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8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02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8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320" w:type="dxa"/>
            <w:vAlign w:val="bottom"/>
            <w:gridSpan w:val="2"/>
          </w:tcPr>
          <w:p>
            <w:pPr>
              <w:jc w:val="center"/>
              <w:ind w:right="118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540"/>
        </w:trPr>
        <w:tc>
          <w:tcPr>
            <w:tcW w:w="114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0280" w:type="dxa"/>
            <w:vAlign w:val="bottom"/>
            <w:vMerge w:val="restart"/>
          </w:tcPr>
          <w:p>
            <w:pPr>
              <w:ind w:left="4780"/>
              <w:spacing w:after="0"/>
              <w:rPr>
                <w:sz w:val="20"/>
                <w:szCs w:val="20"/>
                <w:color w:val="auto"/>
              </w:rPr>
            </w:pPr>
            <w:r>
              <w:rPr>
                <w:rFonts w:ascii="Arial" w:cs="Arial" w:eastAsia="Arial" w:hAnsi="Arial"/>
                <w:sz w:val="14"/>
                <w:szCs w:val="14"/>
                <w:b w:val="1"/>
                <w:bCs w:val="1"/>
                <w:color w:val="auto"/>
              </w:rPr>
              <w:t>Description</w:t>
            </w:r>
          </w:p>
        </w:tc>
        <w:tc>
          <w:tcPr>
            <w:tcW w:w="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8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rPr>
                <w:sz w:val="14"/>
                <w:szCs w:val="14"/>
                <w:color w:val="auto"/>
              </w:rPr>
            </w:pPr>
          </w:p>
        </w:tc>
        <w:tc>
          <w:tcPr>
            <w:tcW w:w="10280" w:type="dxa"/>
            <w:vAlign w:val="bottom"/>
            <w:tcBorders>
              <w:bottom w:val="single" w:sz="8" w:color="auto"/>
            </w:tcBorders>
            <w:vMerge w:val="continue"/>
          </w:tcPr>
          <w:p>
            <w:pPr>
              <w:spacing w:after="0"/>
              <w:rPr>
                <w:sz w:val="14"/>
                <w:szCs w:val="14"/>
                <w:color w:val="auto"/>
              </w:rPr>
            </w:pPr>
          </w:p>
        </w:tc>
        <w:tc>
          <w:tcPr>
            <w:tcW w:w="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-842010</wp:posOffset>
            </wp:positionV>
            <wp:extent cx="12700"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-842010</wp:posOffset>
            </wp:positionV>
            <wp:extent cx="12700" cy="298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1140" w:right="300" w:hanging="596"/>
        <w:spacing w:after="0" w:line="258" w:lineRule="auto"/>
        <w:tabs>
          <w:tab w:leader="none" w:pos="112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140" w:right="360" w:hanging="596"/>
        <w:spacing w:after="0" w:line="250" w:lineRule="auto"/>
        <w:tabs>
          <w:tab w:leader="none" w:pos="112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Tate, Interim Chief Financial Officer</w:t>
      </w:r>
    </w:p>
    <w:p>
      <w:pPr>
        <w:spacing w:after="0" w:line="1" w:lineRule="exact"/>
        <w:rPr>
          <w:sz w:val="20"/>
          <w:szCs w:val="20"/>
          <w:color w:val="auto"/>
        </w:rPr>
      </w:pPr>
    </w:p>
    <w:p>
      <w:pPr>
        <w:ind w:left="1140" w:right="240" w:hanging="686"/>
        <w:spacing w:after="0" w:line="250" w:lineRule="auto"/>
        <w:tabs>
          <w:tab w:leader="none" w:pos="112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40" w:right="360" w:hanging="686"/>
        <w:spacing w:after="0" w:line="261" w:lineRule="auto"/>
        <w:tabs>
          <w:tab w:leader="none" w:pos="112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Michael Tate,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160020</wp:posOffset>
            </wp:positionV>
            <wp:extent cx="138938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39" w:lineRule="exact"/>
        <w:rPr>
          <w:sz w:val="20"/>
          <w:szCs w:val="20"/>
          <w:color w:val="auto"/>
        </w:rPr>
      </w:pPr>
    </w:p>
    <w:p>
      <w:pPr>
        <w:ind w:left="340" w:right="60" w:hanging="332"/>
        <w:spacing w:after="0" w:line="257" w:lineRule="auto"/>
        <w:tabs>
          <w:tab w:leader="none" w:pos="335" w:val="left"/>
        </w:tabs>
        <w:numPr>
          <w:ilvl w:val="0"/>
          <w:numId w:val="36"/>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62" w:name="page63"/>
    <w:bookmarkEnd w:id="62"/>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2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225" w:lineRule="exact"/>
        <w:rPr>
          <w:sz w:val="20"/>
          <w:szCs w:val="20"/>
          <w:color w:val="auto"/>
        </w:rPr>
      </w:pPr>
    </w:p>
    <w:p>
      <w:pPr>
        <w:ind w:left="660" w:hanging="652"/>
        <w:spacing w:after="0"/>
        <w:tabs>
          <w:tab w:leader="none" w:pos="6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3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3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3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3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3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37"/>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3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5840" w:type="dxa"/>
            <w:vAlign w:val="bottom"/>
          </w:tcPr>
          <w:p>
            <w:pPr>
              <w:ind w:left="5160"/>
              <w:spacing w:after="0"/>
              <w:rPr>
                <w:sz w:val="20"/>
                <w:szCs w:val="20"/>
                <w:color w:val="auto"/>
              </w:rPr>
            </w:pPr>
            <w:r>
              <w:rPr>
                <w:rFonts w:ascii="Arial" w:cs="Arial" w:eastAsia="Arial" w:hAnsi="Arial"/>
                <w:sz w:val="18"/>
                <w:szCs w:val="18"/>
                <w:color w:val="auto"/>
              </w:rPr>
              <w:t>By:</w:t>
            </w:r>
          </w:p>
        </w:tc>
        <w:tc>
          <w:tcPr>
            <w:tcW w:w="382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1160" w:type="dxa"/>
            <w:vAlign w:val="bottom"/>
            <w:tcBorders>
              <w:top w:val="single" w:sz="8" w:color="auto"/>
            </w:tcBorders>
          </w:tcPr>
          <w:p>
            <w:pPr>
              <w:spacing w:after="0"/>
              <w:rPr>
                <w:sz w:val="16"/>
                <w:szCs w:val="16"/>
                <w:color w:val="auto"/>
              </w:rPr>
            </w:pPr>
          </w:p>
        </w:tc>
        <w:tc>
          <w:tcPr>
            <w:tcW w:w="5840" w:type="dxa"/>
            <w:vAlign w:val="bottom"/>
          </w:tcPr>
          <w:p>
            <w:pPr>
              <w:spacing w:after="0"/>
              <w:rPr>
                <w:sz w:val="16"/>
                <w:szCs w:val="16"/>
                <w:color w:val="auto"/>
              </w:rPr>
            </w:pPr>
          </w:p>
        </w:tc>
        <w:tc>
          <w:tcPr>
            <w:tcW w:w="3820" w:type="dxa"/>
            <w:vAlign w:val="bottom"/>
            <w:tcBorders>
              <w:top w:val="single" w:sz="8" w:color="auto"/>
            </w:tcBorders>
          </w:tcPr>
          <w:p>
            <w:pPr>
              <w:ind w:left="40"/>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5840" w:type="dxa"/>
            <w:vAlign w:val="bottom"/>
          </w:tcPr>
          <w:p>
            <w:pPr>
              <w:spacing w:after="0"/>
              <w:rPr>
                <w:sz w:val="20"/>
                <w:szCs w:val="20"/>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600" w:type="dxa"/>
            <w:vAlign w:val="bottom"/>
            <w:tcBorders>
              <w:bottom w:val="single" w:sz="8" w:color="010101"/>
            </w:tcBorders>
          </w:tcPr>
          <w:p>
            <w:pPr>
              <w:spacing w:after="0"/>
              <w:rPr>
                <w:sz w:val="24"/>
                <w:szCs w:val="24"/>
                <w:color w:val="auto"/>
              </w:rPr>
            </w:pPr>
          </w:p>
        </w:tc>
        <w:tc>
          <w:tcPr>
            <w:tcW w:w="1160" w:type="dxa"/>
            <w:vAlign w:val="bottom"/>
            <w:tcBorders>
              <w:bottom w:val="single" w:sz="8" w:color="010101"/>
            </w:tcBorders>
          </w:tcPr>
          <w:p>
            <w:pPr>
              <w:spacing w:after="0"/>
              <w:rPr>
                <w:sz w:val="24"/>
                <w:szCs w:val="24"/>
                <w:color w:val="auto"/>
              </w:rPr>
            </w:pPr>
          </w:p>
        </w:tc>
        <w:tc>
          <w:tcPr>
            <w:tcW w:w="5840" w:type="dxa"/>
            <w:vAlign w:val="bottom"/>
            <w:tcBorders>
              <w:bottom w:val="single" w:sz="8" w:color="010101"/>
            </w:tcBorders>
          </w:tcPr>
          <w:p>
            <w:pPr>
              <w:spacing w:after="0"/>
              <w:rPr>
                <w:sz w:val="24"/>
                <w:szCs w:val="24"/>
                <w:color w:val="auto"/>
              </w:rPr>
            </w:pPr>
          </w:p>
        </w:tc>
        <w:tc>
          <w:tcPr>
            <w:tcW w:w="38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3" w:name="page64"/>
    <w:bookmarkEnd w:id="63"/>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225" w:lineRule="exact"/>
        <w:rPr>
          <w:sz w:val="20"/>
          <w:szCs w:val="20"/>
          <w:color w:val="auto"/>
        </w:rPr>
      </w:pPr>
    </w:p>
    <w:p>
      <w:pPr>
        <w:ind w:left="660" w:hanging="65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3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3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3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3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3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3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8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5820" w:type="dxa"/>
            <w:vAlign w:val="bottom"/>
          </w:tcPr>
          <w:p>
            <w:pPr>
              <w:ind w:left="5140"/>
              <w:spacing w:after="0"/>
              <w:rPr>
                <w:sz w:val="20"/>
                <w:szCs w:val="20"/>
                <w:color w:val="auto"/>
              </w:rPr>
            </w:pPr>
            <w:r>
              <w:rPr>
                <w:rFonts w:ascii="Arial" w:cs="Arial" w:eastAsia="Arial" w:hAnsi="Arial"/>
                <w:sz w:val="18"/>
                <w:szCs w:val="18"/>
                <w:color w:val="auto"/>
              </w:rPr>
              <w:t>By:</w:t>
            </w:r>
          </w:p>
        </w:tc>
        <w:tc>
          <w:tcPr>
            <w:tcW w:w="3820" w:type="dxa"/>
            <w:vAlign w:val="bottom"/>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580" w:type="dxa"/>
            <w:vAlign w:val="bottom"/>
          </w:tcPr>
          <w:p>
            <w:pPr>
              <w:spacing w:after="0"/>
              <w:rPr>
                <w:sz w:val="16"/>
                <w:szCs w:val="16"/>
                <w:color w:val="auto"/>
              </w:rPr>
            </w:pPr>
          </w:p>
        </w:tc>
        <w:tc>
          <w:tcPr>
            <w:tcW w:w="1200" w:type="dxa"/>
            <w:vAlign w:val="bottom"/>
            <w:tcBorders>
              <w:top w:val="single" w:sz="8" w:color="auto"/>
            </w:tcBorders>
          </w:tcPr>
          <w:p>
            <w:pPr>
              <w:spacing w:after="0"/>
              <w:rPr>
                <w:sz w:val="16"/>
                <w:szCs w:val="16"/>
                <w:color w:val="auto"/>
              </w:rPr>
            </w:pPr>
          </w:p>
        </w:tc>
        <w:tc>
          <w:tcPr>
            <w:tcW w:w="5820" w:type="dxa"/>
            <w:vAlign w:val="bottom"/>
          </w:tcPr>
          <w:p>
            <w:pPr>
              <w:spacing w:after="0"/>
              <w:rPr>
                <w:sz w:val="16"/>
                <w:szCs w:val="16"/>
                <w:color w:val="auto"/>
              </w:rPr>
            </w:pPr>
          </w:p>
        </w:tc>
        <w:tc>
          <w:tcPr>
            <w:tcW w:w="38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5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820" w:type="dxa"/>
            <w:vAlign w:val="bottom"/>
          </w:tcPr>
          <w:p>
            <w:pPr>
              <w:spacing w:after="0"/>
              <w:rPr>
                <w:sz w:val="20"/>
                <w:szCs w:val="20"/>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807"/>
        </w:trPr>
        <w:tc>
          <w:tcPr>
            <w:tcW w:w="580" w:type="dxa"/>
            <w:vAlign w:val="bottom"/>
            <w:tcBorders>
              <w:bottom w:val="single" w:sz="8" w:color="010101"/>
            </w:tcBorders>
          </w:tcPr>
          <w:p>
            <w:pPr>
              <w:spacing w:after="0"/>
              <w:rPr>
                <w:sz w:val="24"/>
                <w:szCs w:val="24"/>
                <w:color w:val="auto"/>
              </w:rPr>
            </w:pPr>
          </w:p>
        </w:tc>
        <w:tc>
          <w:tcPr>
            <w:tcW w:w="1200" w:type="dxa"/>
            <w:vAlign w:val="bottom"/>
            <w:tcBorders>
              <w:bottom w:val="single" w:sz="8" w:color="010101"/>
            </w:tcBorders>
          </w:tcPr>
          <w:p>
            <w:pPr>
              <w:spacing w:after="0"/>
              <w:rPr>
                <w:sz w:val="24"/>
                <w:szCs w:val="24"/>
                <w:color w:val="auto"/>
              </w:rPr>
            </w:pPr>
          </w:p>
        </w:tc>
        <w:tc>
          <w:tcPr>
            <w:tcW w:w="5820" w:type="dxa"/>
            <w:vAlign w:val="bottom"/>
            <w:tcBorders>
              <w:bottom w:val="single" w:sz="8" w:color="010101"/>
            </w:tcBorders>
          </w:tcPr>
          <w:p>
            <w:pPr>
              <w:spacing w:after="0"/>
              <w:rPr>
                <w:sz w:val="24"/>
                <w:szCs w:val="24"/>
                <w:color w:val="auto"/>
              </w:rPr>
            </w:pPr>
          </w:p>
        </w:tc>
        <w:tc>
          <w:tcPr>
            <w:tcW w:w="38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4" w:name="page65"/>
    <w:bookmarkEnd w:id="64"/>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ind w:left="260" w:right="160"/>
        <w:spacing w:after="0" w:line="282" w:lineRule="auto"/>
        <w:rPr>
          <w:sz w:val="20"/>
          <w:szCs w:val="20"/>
          <w:color w:val="auto"/>
        </w:rPr>
      </w:pPr>
      <w:r>
        <w:rPr>
          <w:rFonts w:ascii="Arial" w:cs="Arial" w:eastAsia="Arial" w:hAnsi="Arial"/>
          <w:sz w:val="18"/>
          <w:szCs w:val="18"/>
          <w:b w:val="1"/>
          <w:bCs w:val="1"/>
          <w:color w:val="auto"/>
        </w:rPr>
        <w:t>STATEMENT OF CHIEF EXECUTIVE OFFICER PURSUANT TO 18 U.S.C. § 1350, AS ADOPTED PURSUANT TO SECTION 906 OF THE SARBANES-OXLEY ACT OF 2002</w:t>
      </w:r>
    </w:p>
    <w:p>
      <w:pPr>
        <w:spacing w:after="0" w:line="166" w:lineRule="exact"/>
        <w:rPr>
          <w:sz w:val="20"/>
          <w:szCs w:val="20"/>
          <w:color w:val="auto"/>
        </w:rPr>
      </w:pPr>
    </w:p>
    <w:p>
      <w:pPr>
        <w:ind w:right="860"/>
        <w:spacing w:after="0" w:line="277" w:lineRule="auto"/>
        <w:rPr>
          <w:sz w:val="20"/>
          <w:szCs w:val="20"/>
          <w:color w:val="auto"/>
        </w:rPr>
      </w:pPr>
      <w:r>
        <w:rPr>
          <w:rFonts w:ascii="Arial" w:cs="Arial" w:eastAsia="Arial" w:hAnsi="Arial"/>
          <w:sz w:val="18"/>
          <w:szCs w:val="18"/>
          <w:color w:val="auto"/>
        </w:rPr>
        <w:t>I, Sehat Sutardja Ph.D., the President and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1001"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29, 2006 (the “Report”), fully complies with the requirements of section 13(a) and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64"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65" w:name="page66"/>
    <w:bookmarkEnd w:id="65"/>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TO18 U.S.C. § 1350, AS ADOPTED PURSUANT TO SECTION 906 OF THE SARBANES-OXLEY ACT OF 2002</w:t>
      </w:r>
    </w:p>
    <w:p>
      <w:pPr>
        <w:spacing w:after="0" w:line="16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Michael Tate,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1001"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29, 2006 (the “Report”), fully complies with the requirements of section 13(a) and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4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64"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4396105</wp:posOffset>
            </wp:positionH>
            <wp:positionV relativeFrom="paragraph">
              <wp:posOffset>-130810</wp:posOffset>
            </wp:positionV>
            <wp:extent cx="2855595"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2855595" cy="8890"/>
                    </a:xfrm>
                    <a:prstGeom prst="rect">
                      <a:avLst/>
                    </a:prstGeom>
                    <a:noFill/>
                  </pic:spPr>
                </pic:pic>
              </a:graphicData>
            </a:graphic>
          </wp:anchor>
        </w:drawing>
      </w:r>
    </w:p>
    <w:p>
      <w:pPr>
        <w:spacing w:after="0" w:line="3"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36C6125"/>
    <w:multiLevelType w:val="hybridMultilevel"/>
    <w:lvl w:ilvl="0">
      <w:lvlJc w:val="left"/>
      <w:lvlText w:val="x"/>
      <w:numFmt w:val="bullet"/>
      <w:start w:val="1"/>
    </w:lvl>
  </w:abstractNum>
  <w:abstractNum w:abstractNumId="1">
    <w:nsid w:val="628C895D"/>
    <w:multiLevelType w:val="hybridMultilevel"/>
    <w:lvl w:ilvl="0">
      <w:lvlJc w:val="left"/>
      <w:lvlText w:val="o"/>
      <w:numFmt w:val="bullet"/>
      <w:start w:val="1"/>
    </w:lvl>
  </w:abstractNum>
  <w:abstractNum w:abstractNumId="2">
    <w:nsid w:val="333AB105"/>
    <w:multiLevelType w:val="hybridMultilevel"/>
    <w:lvl w:ilvl="0">
      <w:lvlJc w:val="left"/>
      <w:lvlText w:val="(%1)"/>
      <w:numFmt w:val="lowerLetter"/>
      <w:start w:val="1"/>
    </w:lvl>
  </w:abstractNum>
  <w:abstractNum w:abstractNumId="3">
    <w:nsid w:val="721DA317"/>
    <w:multiLevelType w:val="hybridMultilevel"/>
    <w:lvl w:ilvl="0">
      <w:lvlJc w:val="left"/>
      <w:lvlText w:val="(%1)"/>
      <w:numFmt w:val="lowerLetter"/>
      <w:start w:val="3"/>
    </w:lvl>
  </w:abstractNum>
  <w:abstractNum w:abstractNumId="4">
    <w:nsid w:val="2443A858"/>
    <w:multiLevelType w:val="hybridMultilevel"/>
    <w:lvl w:ilvl="0">
      <w:lvlJc w:val="left"/>
      <w:lvlText w:val="(%1)"/>
      <w:numFmt w:val="lowerLetter"/>
      <w:start w:val="6"/>
    </w:lvl>
  </w:abstractNum>
  <w:abstractNum w:abstractNumId="5">
    <w:nsid w:val="2D1D5AE9"/>
    <w:multiLevelType w:val="hybridMultilevel"/>
    <w:lvl w:ilvl="0">
      <w:lvlJc w:val="left"/>
      <w:lvlText w:val="(%1)"/>
      <w:numFmt w:val="lowerLetter"/>
      <w:start w:val="7"/>
    </w:lvl>
  </w:abstractNum>
  <w:abstractNum w:abstractNumId="6">
    <w:nsid w:val="6763845E"/>
    <w:multiLevelType w:val="hybridMultilevel"/>
    <w:lvl w:ilvl="0">
      <w:lvlJc w:val="left"/>
      <w:lvlText w:val="*"/>
      <w:numFmt w:val="bullet"/>
      <w:start w:val="1"/>
    </w:lvl>
  </w:abstractNum>
  <w:abstractNum w:abstractNumId="7">
    <w:nsid w:val="75A2A8D4"/>
    <w:multiLevelType w:val="hybridMultilevel"/>
    <w:lvl w:ilvl="0">
      <w:lvlJc w:val="left"/>
      <w:lvlText w:val="**"/>
      <w:numFmt w:val="bullet"/>
      <w:start w:val="1"/>
    </w:lvl>
  </w:abstractNum>
  <w:abstractNum w:abstractNumId="8">
    <w:nsid w:val="8EDBDAB"/>
    <w:multiLevelType w:val="hybridMultilevel"/>
    <w:lvl w:ilvl="0">
      <w:lvlJc w:val="left"/>
      <w:lvlText w:val="(%1)"/>
      <w:numFmt w:val="lowerLetter"/>
      <w:start w:val="1"/>
    </w:lvl>
    <w:lvl w:ilvl="1">
      <w:lvlJc w:val="left"/>
      <w:lvlText w:val="·"/>
      <w:numFmt w:val="bullet"/>
      <w:start w:val="1"/>
    </w:lvl>
  </w:abstractNum>
  <w:abstractNum w:abstractNumId="9">
    <w:nsid w:val="79838CB2"/>
    <w:multiLevelType w:val="hybridMultilevel"/>
    <w:lvl w:ilvl="0">
      <w:lvlJc w:val="left"/>
      <w:lvlText w:val="(%1)"/>
      <w:numFmt w:val="lowerLetter"/>
      <w:start w:val="1"/>
    </w:lvl>
    <w:lvl w:ilvl="1">
      <w:lvlJc w:val="left"/>
      <w:lvlText w:val="·"/>
      <w:numFmt w:val="bullet"/>
      <w:start w:val="1"/>
    </w:lvl>
  </w:abstractNum>
  <w:abstractNum w:abstractNumId="10">
    <w:nsid w:val="4353D0CD"/>
    <w:multiLevelType w:val="hybridMultilevel"/>
    <w:lvl w:ilvl="0">
      <w:lvlJc w:val="left"/>
      <w:lvlText w:val="(%1)"/>
      <w:numFmt w:val="lowerRoman"/>
      <w:start w:val="2"/>
    </w:lvl>
  </w:abstractNum>
  <w:abstractNum w:abstractNumId="11">
    <w:nsid w:val="B03E0C6"/>
    <w:multiLevelType w:val="hybridMultilevel"/>
    <w:lvl w:ilvl="0">
      <w:lvlJc w:val="left"/>
      <w:lvlText w:val="*"/>
      <w:numFmt w:val="bullet"/>
      <w:start w:val="1"/>
    </w:lvl>
  </w:abstractNum>
  <w:abstractNum w:abstractNumId="12">
    <w:nsid w:val="189A769B"/>
    <w:multiLevelType w:val="hybridMultilevel"/>
    <w:lvl w:ilvl="0">
      <w:lvlJc w:val="left"/>
      <w:lvlText w:val="(%1)"/>
      <w:numFmt w:val="lowerLetter"/>
      <w:start w:val="1"/>
    </w:lvl>
  </w:abstractNum>
  <w:abstractNum w:abstractNumId="13">
    <w:nsid w:val="54E49EB4"/>
    <w:multiLevelType w:val="hybridMultilevel"/>
    <w:lvl w:ilvl="0">
      <w:lvlJc w:val="left"/>
      <w:lvlText w:val="(%1)"/>
      <w:numFmt w:val="lowerLetter"/>
      <w:start w:val="4"/>
    </w:lvl>
  </w:abstractNum>
  <w:abstractNum w:abstractNumId="14">
    <w:nsid w:val="71F32454"/>
    <w:multiLevelType w:val="hybridMultilevel"/>
    <w:lvl w:ilvl="0">
      <w:lvlJc w:val="left"/>
      <w:lvlText w:val="(%1)"/>
      <w:numFmt w:val="lowerLetter"/>
      <w:start w:val="6"/>
    </w:lvl>
  </w:abstractNum>
  <w:abstractNum w:abstractNumId="15">
    <w:nsid w:val="2CA88611"/>
    <w:multiLevelType w:val="hybridMultilevel"/>
    <w:lvl w:ilvl="0">
      <w:lvlJc w:val="left"/>
      <w:lvlText w:val="(%1)"/>
      <w:numFmt w:val="lowerRoman"/>
      <w:start w:val="1"/>
    </w:lvl>
  </w:abstractNum>
  <w:abstractNum w:abstractNumId="16">
    <w:nsid w:val="836C40E"/>
    <w:multiLevelType w:val="hybridMultilevel"/>
    <w:lvl w:ilvl="0">
      <w:lvlJc w:val="left"/>
      <w:lvlText w:val="*"/>
      <w:numFmt w:val="bullet"/>
      <w:start w:val="1"/>
    </w:lvl>
  </w:abstractNum>
  <w:abstractNum w:abstractNumId="17">
    <w:nsid w:val="2901D82"/>
    <w:multiLevelType w:val="hybridMultilevel"/>
    <w:lvl w:ilvl="0">
      <w:lvlJc w:val="left"/>
      <w:lvlText w:val="(%1)"/>
      <w:numFmt w:val="lowerLetter"/>
      <w:start w:val="1"/>
    </w:lvl>
  </w:abstractNum>
  <w:abstractNum w:abstractNumId="18">
    <w:nsid w:val="3A95F874"/>
    <w:multiLevelType w:val="hybridMultilevel"/>
    <w:lvl w:ilvl="0">
      <w:lvlJc w:val="left"/>
      <w:lvlText w:val="·"/>
      <w:numFmt w:val="bullet"/>
      <w:start w:val="1"/>
    </w:lvl>
  </w:abstractNum>
  <w:abstractNum w:abstractNumId="19">
    <w:nsid w:val="8138641"/>
    <w:multiLevelType w:val="hybridMultilevel"/>
    <w:lvl w:ilvl="0">
      <w:lvlJc w:val="left"/>
      <w:lvlText w:val="(%1)"/>
      <w:numFmt w:val="lowerLetter"/>
      <w:start w:val="1"/>
    </w:lvl>
    <w:lvl w:ilvl="1">
      <w:lvlJc w:val="left"/>
      <w:lvlText w:val="·"/>
      <w:numFmt w:val="bullet"/>
      <w:start w:val="1"/>
    </w:lvl>
  </w:abstractNum>
  <w:abstractNum w:abstractNumId="20">
    <w:nsid w:val="1E7FF521"/>
    <w:multiLevelType w:val="hybridMultilevel"/>
    <w:lvl w:ilvl="0">
      <w:lvlJc w:val="left"/>
      <w:lvlText w:val="(%1)"/>
      <w:numFmt w:val="lowerLetter"/>
      <w:start w:val="4"/>
    </w:lvl>
  </w:abstractNum>
  <w:abstractNum w:abstractNumId="21">
    <w:nsid w:val="7C3DBD3D"/>
    <w:multiLevelType w:val="hybridMultilevel"/>
    <w:lvl w:ilvl="0">
      <w:lvlJc w:val="left"/>
      <w:lvlText w:val="*"/>
      <w:numFmt w:val="bullet"/>
      <w:start w:val="1"/>
    </w:lvl>
  </w:abstractNum>
  <w:abstractNum w:abstractNumId="22">
    <w:nsid w:val="737B8DDC"/>
    <w:multiLevelType w:val="hybridMultilevel"/>
    <w:lvl w:ilvl="0">
      <w:lvlJc w:val="left"/>
      <w:lvlText w:val="(%1)"/>
      <w:numFmt w:val="upperLetter"/>
      <w:start w:val="1"/>
    </w:lvl>
  </w:abstractNum>
  <w:abstractNum w:abstractNumId="23">
    <w:nsid w:val="6CEAF087"/>
    <w:multiLevelType w:val="hybridMultilevel"/>
    <w:lvl w:ilvl="0">
      <w:lvlJc w:val="left"/>
      <w:lvlText w:val="·"/>
      <w:numFmt w:val="bullet"/>
      <w:start w:val="1"/>
    </w:lvl>
  </w:abstractNum>
  <w:abstractNum w:abstractNumId="24">
    <w:nsid w:val="22221A70"/>
    <w:multiLevelType w:val="hybridMultilevel"/>
    <w:lvl w:ilvl="0">
      <w:lvlJc w:val="left"/>
      <w:lvlText w:val="·"/>
      <w:numFmt w:val="bullet"/>
      <w:start w:val="1"/>
    </w:lvl>
  </w:abstractNum>
  <w:abstractNum w:abstractNumId="25">
    <w:nsid w:val="4516DDE9"/>
    <w:multiLevelType w:val="hybridMultilevel"/>
    <w:lvl w:ilvl="0">
      <w:lvlJc w:val="left"/>
      <w:lvlText w:val="·"/>
      <w:numFmt w:val="bullet"/>
      <w:start w:val="1"/>
    </w:lvl>
  </w:abstractNum>
  <w:abstractNum w:abstractNumId="26">
    <w:nsid w:val="3006C83E"/>
    <w:multiLevelType w:val="hybridMultilevel"/>
    <w:lvl w:ilvl="0">
      <w:lvlJc w:val="left"/>
      <w:lvlText w:val="·"/>
      <w:numFmt w:val="bullet"/>
      <w:start w:val="1"/>
    </w:lvl>
  </w:abstractNum>
  <w:abstractNum w:abstractNumId="27">
    <w:nsid w:val="614FD4A1"/>
    <w:multiLevelType w:val="hybridMultilevel"/>
    <w:lvl w:ilvl="0">
      <w:lvlJc w:val="left"/>
      <w:lvlText w:val="·"/>
      <w:numFmt w:val="bullet"/>
      <w:start w:val="1"/>
    </w:lvl>
  </w:abstractNum>
  <w:abstractNum w:abstractNumId="28">
    <w:nsid w:val="419AC241"/>
    <w:multiLevelType w:val="hybridMultilevel"/>
    <w:lvl w:ilvl="0">
      <w:lvlJc w:val="left"/>
      <w:lvlText w:val="·"/>
      <w:numFmt w:val="bullet"/>
      <w:start w:val="1"/>
    </w:lvl>
  </w:abstractNum>
  <w:abstractNum w:abstractNumId="29">
    <w:nsid w:val="5577F8E1"/>
    <w:multiLevelType w:val="hybridMultilevel"/>
    <w:lvl w:ilvl="0">
      <w:lvlJc w:val="left"/>
      <w:lvlText w:val="·"/>
      <w:numFmt w:val="bullet"/>
      <w:start w:val="1"/>
    </w:lvl>
  </w:abstractNum>
  <w:abstractNum w:abstractNumId="30">
    <w:nsid w:val="440BADFC"/>
    <w:multiLevelType w:val="hybridMultilevel"/>
    <w:lvl w:ilvl="0">
      <w:lvlJc w:val="left"/>
      <w:lvlText w:val="·"/>
      <w:numFmt w:val="bullet"/>
      <w:start w:val="1"/>
    </w:lvl>
  </w:abstractNum>
  <w:abstractNum w:abstractNumId="31">
    <w:nsid w:val="5072367"/>
    <w:multiLevelType w:val="hybridMultilevel"/>
    <w:lvl w:ilvl="0">
      <w:lvlJc w:val="left"/>
      <w:lvlText w:val="·"/>
      <w:numFmt w:val="bullet"/>
      <w:start w:val="1"/>
    </w:lvl>
  </w:abstractNum>
  <w:abstractNum w:abstractNumId="32">
    <w:nsid w:val="3804823E"/>
    <w:multiLevelType w:val="hybridMultilevel"/>
    <w:lvl w:ilvl="0">
      <w:lvlJc w:val="left"/>
      <w:lvlText w:val="%1."/>
      <w:numFmt w:val="decimal"/>
      <w:start w:val="1"/>
    </w:lvl>
  </w:abstractNum>
  <w:abstractNum w:abstractNumId="33">
    <w:nsid w:val="77465F01"/>
    <w:multiLevelType w:val="hybridMultilevel"/>
    <w:lvl w:ilvl="0">
      <w:lvlJc w:val="left"/>
      <w:lvlText w:val="%1."/>
      <w:numFmt w:val="decimal"/>
      <w:start w:val="2"/>
    </w:lvl>
  </w:abstractNum>
  <w:abstractNum w:abstractNumId="34">
    <w:nsid w:val="7724C67E"/>
    <w:multiLevelType w:val="hybridMultilevel"/>
    <w:lvl w:ilvl="0">
      <w:lvlJc w:val="left"/>
      <w:lvlText w:val="*"/>
      <w:numFmt w:val="bullet"/>
      <w:start w:val="1"/>
    </w:lvl>
  </w:abstractNum>
  <w:abstractNum w:abstractNumId="35">
    <w:nsid w:val="5C482A97"/>
    <w:multiLevelType w:val="hybridMultilevel"/>
    <w:lvl w:ilvl="0">
      <w:lvlJc w:val="left"/>
      <w:lvlText w:val="*"/>
      <w:numFmt w:val="bullet"/>
      <w:start w:val="1"/>
    </w:lvl>
  </w:abstractNum>
  <w:abstractNum w:abstractNumId="36">
    <w:nsid w:val="2463B9EA"/>
    <w:multiLevelType w:val="hybridMultilevel"/>
    <w:lvl w:ilvl="0">
      <w:lvlJc w:val="left"/>
      <w:lvlText w:val="%1."/>
      <w:numFmt w:val="decimal"/>
      <w:start w:val="1"/>
    </w:lvl>
    <w:lvl w:ilvl="1">
      <w:lvlJc w:val="left"/>
      <w:lvlText w:val="%2)"/>
      <w:numFmt w:val="lowerLetter"/>
      <w:start w:val="1"/>
    </w:lvl>
  </w:abstractNum>
  <w:abstractNum w:abstractNumId="37">
    <w:nsid w:val="5E884ADC"/>
    <w:multiLevelType w:val="hybridMultilevel"/>
    <w:lvl w:ilvl="0">
      <w:lvlJc w:val="left"/>
      <w:lvlText w:val="%1."/>
      <w:numFmt w:val="decimal"/>
      <w:start w:val="1"/>
    </w:lvl>
    <w:lvl w:ilvl="1">
      <w:lvlJc w:val="left"/>
      <w:lvlText w:val="%2)"/>
      <w:numFmt w:val="lowerLetter"/>
      <w:start w:val="1"/>
    </w:lvl>
  </w:abstractNum>
  <w:abstractNum w:abstractNumId="38">
    <w:nsid w:val="51EAD36B"/>
    <w:multiLevelType w:val="hybridMultilevel"/>
    <w:lvl w:ilvl="0">
      <w:lvlJc w:val="left"/>
      <w:lvlText w:val="(%1)"/>
      <w:numFmt w:val="lowerRoman"/>
      <w:start w:val="1"/>
    </w:lvl>
  </w:abstractNum>
  <w:abstractNum w:abstractNumId="39">
    <w:nsid w:val="2D51779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2019-12-14T20:25:59Z</dcterms:created>
  <dcterms:modified xsi:type="dcterms:W3CDTF">2019-12-14T20:25:59Z</dcterms:modified>
</cp:coreProperties>
</file>