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4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9"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4"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136"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28"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179"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18"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147"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 xml:space="preserve">Date of Report (Date of earliest event reported): </w:t>
      </w:r>
      <w:r>
        <w:rPr>
          <w:rFonts w:ascii="Times New Roman" w:cs="Times New Roman" w:eastAsia="Times New Roman" w:hAnsi="Times New Roman"/>
          <w:sz w:val="18"/>
          <w:szCs w:val="18"/>
          <w:b w:val="1"/>
          <w:bCs w:val="1"/>
          <w:color w:val="auto"/>
        </w:rPr>
        <w:t>November 27, 2007</w:t>
      </w:r>
    </w:p>
    <w:p>
      <w:pPr>
        <w:spacing w:after="0" w:line="160"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pacing w:after="0" w:line="174" w:lineRule="exact"/>
        <w:rPr>
          <w:sz w:val="24"/>
          <w:szCs w:val="24"/>
          <w:color w:val="auto"/>
        </w:rPr>
      </w:pPr>
    </w:p>
    <w:tbl>
      <w:tblPr>
        <w:tblLayout w:type="fixed"/>
        <w:tblInd w:w="1020" w:type="dxa"/>
        <w:tblCellMar>
          <w:top w:w="0" w:type="dxa"/>
          <w:left w:w="0" w:type="dxa"/>
          <w:bottom w:w="0" w:type="dxa"/>
          <w:right w:w="0" w:type="dxa"/>
        </w:tblCellMar>
      </w:tblPr>
      <w:tr>
        <w:trPr>
          <w:trHeight w:val="220"/>
        </w:trPr>
        <w:tc>
          <w:tcPr>
            <w:tcW w:w="3040" w:type="dxa"/>
            <w:vAlign w:val="bottom"/>
          </w:tcPr>
          <w:p>
            <w:pPr>
              <w:jc w:val="center"/>
              <w:ind w:right="790"/>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3860" w:type="dxa"/>
            <w:vAlign w:val="bottom"/>
          </w:tcPr>
          <w:p>
            <w:pPr>
              <w:jc w:val="right"/>
              <w:ind w:right="1570"/>
              <w:spacing w:after="0"/>
              <w:rPr>
                <w:sz w:val="20"/>
                <w:szCs w:val="20"/>
                <w:color w:val="auto"/>
              </w:rPr>
            </w:pPr>
            <w:r>
              <w:rPr>
                <w:rFonts w:ascii="Times New Roman" w:cs="Times New Roman" w:eastAsia="Times New Roman" w:hAnsi="Times New Roman"/>
                <w:sz w:val="18"/>
                <w:szCs w:val="18"/>
                <w:b w:val="1"/>
                <w:bCs w:val="1"/>
                <w:color w:val="auto"/>
              </w:rPr>
              <w:t>0-30877</w:t>
            </w:r>
          </w:p>
        </w:tc>
        <w:tc>
          <w:tcPr>
            <w:tcW w:w="2300" w:type="dxa"/>
            <w:vAlign w:val="bottom"/>
          </w:tcPr>
          <w:p>
            <w:pPr>
              <w:jc w:val="center"/>
              <w:ind w:left="890"/>
              <w:spacing w:after="0"/>
              <w:rPr>
                <w:sz w:val="20"/>
                <w:szCs w:val="20"/>
                <w:color w:val="auto"/>
              </w:rPr>
            </w:pPr>
            <w:r>
              <w:rPr>
                <w:rFonts w:ascii="Times New Roman" w:cs="Times New Roman" w:eastAsia="Times New Roman" w:hAnsi="Times New Roman"/>
                <w:sz w:val="18"/>
                <w:szCs w:val="18"/>
                <w:b w:val="1"/>
                <w:bCs w:val="1"/>
                <w:color w:val="auto"/>
              </w:rPr>
              <w:t>77-0481679</w:t>
            </w:r>
          </w:p>
        </w:tc>
      </w:tr>
      <w:tr>
        <w:trPr>
          <w:trHeight w:val="216"/>
        </w:trPr>
        <w:tc>
          <w:tcPr>
            <w:tcW w:w="3040" w:type="dxa"/>
            <w:vAlign w:val="bottom"/>
          </w:tcPr>
          <w:p>
            <w:pPr>
              <w:jc w:val="center"/>
              <w:ind w:right="790"/>
              <w:spacing w:after="0"/>
              <w:rPr>
                <w:sz w:val="20"/>
                <w:szCs w:val="20"/>
                <w:color w:val="auto"/>
              </w:rPr>
            </w:pPr>
            <w:r>
              <w:rPr>
                <w:rFonts w:ascii="Times New Roman" w:cs="Times New Roman" w:eastAsia="Times New Roman" w:hAnsi="Times New Roman"/>
                <w:sz w:val="18"/>
                <w:szCs w:val="18"/>
                <w:color w:val="auto"/>
              </w:rPr>
              <w:t>(State or Other Jurisdiction of</w:t>
            </w:r>
          </w:p>
        </w:tc>
        <w:tc>
          <w:tcPr>
            <w:tcW w:w="386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(Commission File Number)</w:t>
            </w:r>
          </w:p>
        </w:tc>
        <w:tc>
          <w:tcPr>
            <w:tcW w:w="2300" w:type="dxa"/>
            <w:vAlign w:val="bottom"/>
          </w:tcPr>
          <w:p>
            <w:pPr>
              <w:jc w:val="center"/>
              <w:ind w:left="890"/>
              <w:spacing w:after="0"/>
              <w:rPr>
                <w:sz w:val="20"/>
                <w:szCs w:val="20"/>
                <w:color w:val="auto"/>
              </w:rPr>
            </w:pPr>
            <w:r>
              <w:rPr>
                <w:rFonts w:ascii="Times New Roman" w:cs="Times New Roman" w:eastAsia="Times New Roman" w:hAnsi="Times New Roman"/>
                <w:sz w:val="18"/>
                <w:szCs w:val="18"/>
                <w:color w:val="auto"/>
              </w:rPr>
              <w:t>(I.R.S. Employer</w:t>
            </w:r>
          </w:p>
        </w:tc>
      </w:tr>
      <w:tr>
        <w:trPr>
          <w:trHeight w:val="234"/>
        </w:trPr>
        <w:tc>
          <w:tcPr>
            <w:tcW w:w="3040" w:type="dxa"/>
            <w:vAlign w:val="bottom"/>
          </w:tcPr>
          <w:p>
            <w:pPr>
              <w:jc w:val="center"/>
              <w:ind w:right="790"/>
              <w:spacing w:after="0"/>
              <w:rPr>
                <w:sz w:val="20"/>
                <w:szCs w:val="20"/>
                <w:color w:val="auto"/>
              </w:rPr>
            </w:pPr>
            <w:r>
              <w:rPr>
                <w:rFonts w:ascii="Times New Roman" w:cs="Times New Roman" w:eastAsia="Times New Roman" w:hAnsi="Times New Roman"/>
                <w:sz w:val="18"/>
                <w:szCs w:val="18"/>
                <w:color w:val="auto"/>
                <w:w w:val="99"/>
              </w:rPr>
              <w:t>Incorporation)</w:t>
            </w:r>
          </w:p>
        </w:tc>
        <w:tc>
          <w:tcPr>
            <w:tcW w:w="3860" w:type="dxa"/>
            <w:vAlign w:val="bottom"/>
          </w:tcPr>
          <w:p>
            <w:pPr>
              <w:spacing w:after="0"/>
              <w:rPr>
                <w:sz w:val="20"/>
                <w:szCs w:val="20"/>
                <w:color w:val="auto"/>
              </w:rPr>
            </w:pPr>
          </w:p>
        </w:tc>
        <w:tc>
          <w:tcPr>
            <w:tcW w:w="2300" w:type="dxa"/>
            <w:vAlign w:val="bottom"/>
          </w:tcPr>
          <w:p>
            <w:pPr>
              <w:jc w:val="center"/>
              <w:ind w:left="870"/>
              <w:spacing w:after="0"/>
              <w:rPr>
                <w:sz w:val="20"/>
                <w:szCs w:val="20"/>
                <w:color w:val="auto"/>
              </w:rPr>
            </w:pPr>
            <w:r>
              <w:rPr>
                <w:rFonts w:ascii="Times New Roman" w:cs="Times New Roman" w:eastAsia="Times New Roman" w:hAnsi="Times New Roman"/>
                <w:sz w:val="18"/>
                <w:szCs w:val="18"/>
                <w:color w:val="auto"/>
                <w:w w:val="99"/>
              </w:rPr>
              <w:t>Identification No.)</w:t>
            </w:r>
          </w:p>
        </w:tc>
      </w:tr>
    </w:tbl>
    <w:p>
      <w:pPr>
        <w:spacing w:after="0" w:line="369"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(Address of principal executive offices)</w:t>
      </w:r>
    </w:p>
    <w:p>
      <w:pPr>
        <w:spacing w:after="0" w:line="203" w:lineRule="exact"/>
        <w:rPr>
          <w:sz w:val="24"/>
          <w:szCs w:val="24"/>
          <w:color w:val="auto"/>
        </w:rPr>
      </w:pPr>
    </w:p>
    <w:p>
      <w:pPr>
        <w:ind w:left="5580" w:hanging="428"/>
        <w:spacing w:after="0"/>
        <w:tabs>
          <w:tab w:leader="none" w:pos="5580" w:val="left"/>
        </w:tabs>
        <w:numPr>
          <w:ilvl w:val="0"/>
          <w:numId w:val="1"/>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296-6395</w:t>
      </w:r>
    </w:p>
    <w:p>
      <w:pPr>
        <w:spacing w:after="0" w:line="31" w:lineRule="exact"/>
        <w:rPr>
          <w:rFonts w:ascii="Times New Roman" w:cs="Times New Roman" w:eastAsia="Times New Roman" w:hAnsi="Times New Roman"/>
          <w:sz w:val="18"/>
          <w:szCs w:val="18"/>
          <w:b w:val="1"/>
          <w:bCs w:val="1"/>
          <w:color w:val="auto"/>
        </w:rPr>
      </w:pPr>
    </w:p>
    <w:p>
      <w:pPr>
        <w:ind w:left="456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(Registrant’s telephone number,</w:t>
      </w:r>
    </w:p>
    <w:p>
      <w:pPr>
        <w:spacing w:after="0" w:line="9" w:lineRule="exact"/>
        <w:rPr>
          <w:rFonts w:ascii="Times New Roman" w:cs="Times New Roman" w:eastAsia="Times New Roman" w:hAnsi="Times New Roman"/>
          <w:sz w:val="18"/>
          <w:szCs w:val="18"/>
          <w:b w:val="1"/>
          <w:bCs w:val="1"/>
          <w:color w:val="auto"/>
        </w:rPr>
      </w:pPr>
    </w:p>
    <w:p>
      <w:pPr>
        <w:ind w:left="4980"/>
        <w:spacing w:after="0"/>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color w:val="auto"/>
        </w:rPr>
        <w:t>including area code)</w:t>
      </w:r>
    </w:p>
    <w:p>
      <w:pPr>
        <w:spacing w:after="0" w:line="203"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31"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(Former name or former address, if changed since last report.)</w:t>
      </w:r>
    </w:p>
    <w:p>
      <w:pPr>
        <w:spacing w:after="0" w:line="207" w:lineRule="exact"/>
        <w:rPr>
          <w:sz w:val="24"/>
          <w:szCs w:val="24"/>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21"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Written communications pursuant to Rule 425 under the Securities Act (17 CFR 230.425)</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Soliciting material pursuant to Rule 14a-12 under the Exchange Act (17 CFR 240.14a-12)</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14d-2(b) under the Exchange Act (17 CFR 240.14d-2(b))</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386080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429260</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521335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tbl>
      <w:tblPr>
        <w:tblLayout w:type="fixed"/>
        <w:tblInd w:w="0" w:type="dxa"/>
        <w:tblCellMar>
          <w:top w:w="0" w:type="dxa"/>
          <w:left w:w="0" w:type="dxa"/>
          <w:bottom w:w="0" w:type="dxa"/>
          <w:right w:w="0" w:type="dxa"/>
        </w:tblCellMar>
      </w:tblPr>
      <w:tr>
        <w:trPr>
          <w:trHeight w:val="207"/>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7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040" w:type="dxa"/>
            <w:vAlign w:val="bottom"/>
            <w:gridSpan w:val="3"/>
          </w:tcPr>
          <w:p>
            <w:pPr>
              <w:jc w:val="center"/>
              <w:ind w:right="4350"/>
              <w:spacing w:after="0"/>
              <w:rPr>
                <w:sz w:val="20"/>
                <w:szCs w:val="20"/>
                <w:color w:val="auto"/>
              </w:rPr>
            </w:pPr>
            <w:r>
              <w:rPr>
                <w:rFonts w:ascii="Times New Roman" w:cs="Times New Roman" w:eastAsia="Times New Roman" w:hAnsi="Times New Roman"/>
                <w:sz w:val="18"/>
                <w:szCs w:val="18"/>
                <w:b w:val="1"/>
                <w:bCs w:val="1"/>
                <w:color w:val="auto"/>
                <w:w w:val="98"/>
              </w:rPr>
              <w:t>TABLE OF CONTENTS</w:t>
            </w:r>
          </w:p>
        </w:tc>
      </w:tr>
      <w:tr>
        <w:trPr>
          <w:trHeight w:val="412"/>
        </w:trPr>
        <w:tc>
          <w:tcPr>
            <w:tcW w:w="20" w:type="dxa"/>
            <w:vAlign w:val="bottom"/>
          </w:tcPr>
          <w:p>
            <w:pPr>
              <w:spacing w:after="0"/>
              <w:rPr>
                <w:sz w:val="24"/>
                <w:szCs w:val="24"/>
                <w:color w:val="auto"/>
              </w:rPr>
            </w:pPr>
          </w:p>
        </w:tc>
        <w:tc>
          <w:tcPr>
            <w:tcW w:w="720" w:type="dxa"/>
            <w:vAlign w:val="bottom"/>
            <w:tcBorders>
              <w:bottom w:val="single" w:sz="8" w:color="0000EE"/>
            </w:tcBorders>
          </w:tcPr>
          <w:p>
            <w:pPr>
              <w:spacing w:after="0"/>
              <w:rPr>
                <w:rFonts w:ascii="Times New Roman" w:cs="Times New Roman" w:eastAsia="Times New Roman" w:hAnsi="Times New Roman"/>
                <w:sz w:val="18"/>
                <w:szCs w:val="18"/>
                <w:color w:val="0000EE"/>
              </w:rPr>
            </w:pPr>
            <w:hyperlink w:anchor="page1">
              <w:r>
                <w:rPr>
                  <w:rFonts w:ascii="Times New Roman" w:cs="Times New Roman" w:eastAsia="Times New Roman" w:hAnsi="Times New Roman"/>
                  <w:sz w:val="18"/>
                  <w:szCs w:val="18"/>
                  <w:color w:val="0000EE"/>
                </w:rPr>
                <w:t>Item 2.02</w:t>
              </w:r>
            </w:hyperlink>
          </w:p>
        </w:tc>
        <w:tc>
          <w:tcPr>
            <w:tcW w:w="3360" w:type="dxa"/>
            <w:vAlign w:val="bottom"/>
            <w:tcBorders>
              <w:bottom w:val="single" w:sz="8" w:color="0000EE"/>
            </w:tcBorders>
            <w:gridSpan w:val="4"/>
          </w:tcPr>
          <w:p>
            <w:pPr>
              <w:ind w:left="20"/>
              <w:spacing w:after="0"/>
              <w:rPr>
                <w:rFonts w:ascii="Times New Roman" w:cs="Times New Roman" w:eastAsia="Times New Roman" w:hAnsi="Times New Roman"/>
                <w:sz w:val="18"/>
                <w:szCs w:val="18"/>
                <w:color w:val="0000EE"/>
                <w:w w:val="99"/>
              </w:rPr>
            </w:pPr>
            <w:hyperlink w:anchor="page1">
              <w:r>
                <w:rPr>
                  <w:rFonts w:ascii="Times New Roman" w:cs="Times New Roman" w:eastAsia="Times New Roman" w:hAnsi="Times New Roman"/>
                  <w:sz w:val="18"/>
                  <w:szCs w:val="18"/>
                  <w:color w:val="0000EE"/>
                  <w:w w:val="99"/>
                </w:rPr>
                <w:t>Results of Operations and Financial Condition</w:t>
              </w:r>
            </w:hyperlink>
          </w:p>
        </w:tc>
        <w:tc>
          <w:tcPr>
            <w:tcW w:w="3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920" w:type="dxa"/>
            <w:vAlign w:val="bottom"/>
            <w:tcBorders>
              <w:top w:val="single" w:sz="8" w:color="auto"/>
            </w:tcBorders>
          </w:tcPr>
          <w:p>
            <w:pPr>
              <w:spacing w:after="0"/>
              <w:rPr>
                <w:sz w:val="24"/>
                <w:szCs w:val="24"/>
                <w:color w:val="auto"/>
              </w:rPr>
            </w:pPr>
          </w:p>
        </w:tc>
        <w:tc>
          <w:tcPr>
            <w:tcW w:w="4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w:t>
            </w:r>
          </w:p>
        </w:tc>
      </w:tr>
      <w:tr>
        <w:trPr>
          <w:trHeight w:val="196"/>
        </w:trPr>
        <w:tc>
          <w:tcPr>
            <w:tcW w:w="20" w:type="dxa"/>
            <w:vAlign w:val="bottom"/>
          </w:tcPr>
          <w:p>
            <w:pPr>
              <w:spacing w:after="0"/>
              <w:rPr>
                <w:sz w:val="17"/>
                <w:szCs w:val="17"/>
                <w:color w:val="auto"/>
              </w:rPr>
            </w:pPr>
          </w:p>
        </w:tc>
        <w:tc>
          <w:tcPr>
            <w:tcW w:w="720" w:type="dxa"/>
            <w:vAlign w:val="bottom"/>
            <w:tcBorders>
              <w:bottom w:val="single" w:sz="8" w:color="0000EE"/>
            </w:tcBorders>
          </w:tcPr>
          <w:p>
            <w:pPr>
              <w:spacing w:after="0" w:line="196" w:lineRule="exact"/>
              <w:rPr>
                <w:rFonts w:ascii="Times New Roman" w:cs="Times New Roman" w:eastAsia="Times New Roman" w:hAnsi="Times New Roman"/>
                <w:sz w:val="18"/>
                <w:szCs w:val="18"/>
                <w:color w:val="0000EE"/>
              </w:rPr>
            </w:pPr>
            <w:hyperlink w:anchor="page3">
              <w:r>
                <w:rPr>
                  <w:rFonts w:ascii="Times New Roman" w:cs="Times New Roman" w:eastAsia="Times New Roman" w:hAnsi="Times New Roman"/>
                  <w:sz w:val="18"/>
                  <w:szCs w:val="18"/>
                  <w:color w:val="0000EE"/>
                </w:rPr>
                <w:t>Item 9.01</w:t>
              </w:r>
            </w:hyperlink>
          </w:p>
        </w:tc>
        <w:tc>
          <w:tcPr>
            <w:tcW w:w="620" w:type="dxa"/>
            <w:vAlign w:val="bottom"/>
            <w:tcBorders>
              <w:bottom w:val="single" w:sz="8" w:color="0000EE"/>
            </w:tcBorders>
            <w:gridSpan w:val="3"/>
          </w:tcPr>
          <w:p>
            <w:pPr>
              <w:ind w:left="20"/>
              <w:spacing w:after="0" w:line="196" w:lineRule="exact"/>
              <w:rPr>
                <w:rFonts w:ascii="Times New Roman" w:cs="Times New Roman" w:eastAsia="Times New Roman" w:hAnsi="Times New Roman"/>
                <w:sz w:val="18"/>
                <w:szCs w:val="18"/>
                <w:color w:val="0000EE"/>
                <w:w w:val="96"/>
              </w:rPr>
            </w:pPr>
            <w:hyperlink w:anchor="page3">
              <w:r>
                <w:rPr>
                  <w:rFonts w:ascii="Times New Roman" w:cs="Times New Roman" w:eastAsia="Times New Roman" w:hAnsi="Times New Roman"/>
                  <w:sz w:val="18"/>
                  <w:szCs w:val="18"/>
                  <w:color w:val="0000EE"/>
                  <w:w w:val="96"/>
                </w:rPr>
                <w:t>Exhibits</w:t>
              </w:r>
            </w:hyperlink>
          </w:p>
        </w:tc>
        <w:tc>
          <w:tcPr>
            <w:tcW w:w="3060" w:type="dxa"/>
            <w:vAlign w:val="bottom"/>
            <w:gridSpan w:val="2"/>
          </w:tcPr>
          <w:p>
            <w:pPr>
              <w:spacing w:after="0"/>
              <w:rPr>
                <w:sz w:val="17"/>
                <w:szCs w:val="17"/>
                <w:color w:val="auto"/>
              </w:rPr>
            </w:pPr>
          </w:p>
        </w:tc>
        <w:tc>
          <w:tcPr>
            <w:tcW w:w="7040" w:type="dxa"/>
            <w:vAlign w:val="bottom"/>
            <w:gridSpan w:val="3"/>
          </w:tcPr>
          <w:p>
            <w:pPr>
              <w:jc w:val="right"/>
              <w:spacing w:after="0" w:line="196" w:lineRule="exact"/>
              <w:rPr>
                <w:sz w:val="20"/>
                <w:szCs w:val="20"/>
                <w:color w:val="auto"/>
              </w:rPr>
            </w:pPr>
            <w:r>
              <w:rPr>
                <w:rFonts w:ascii="Times New Roman" w:cs="Times New Roman" w:eastAsia="Times New Roman" w:hAnsi="Times New Roman"/>
                <w:sz w:val="18"/>
                <w:szCs w:val="18"/>
                <w:color w:val="auto"/>
              </w:rPr>
              <w:t>5</w:t>
            </w:r>
          </w:p>
        </w:tc>
      </w:tr>
      <w:tr>
        <w:trPr>
          <w:trHeight w:val="196"/>
        </w:trPr>
        <w:tc>
          <w:tcPr>
            <w:tcW w:w="20" w:type="dxa"/>
            <w:vAlign w:val="bottom"/>
          </w:tcPr>
          <w:p>
            <w:pPr>
              <w:spacing w:after="0"/>
              <w:rPr>
                <w:sz w:val="17"/>
                <w:szCs w:val="17"/>
                <w:color w:val="auto"/>
              </w:rPr>
            </w:pPr>
          </w:p>
        </w:tc>
        <w:tc>
          <w:tcPr>
            <w:tcW w:w="4400" w:type="dxa"/>
            <w:vAlign w:val="bottom"/>
            <w:gridSpan w:val="6"/>
          </w:tcPr>
          <w:p>
            <w:pPr>
              <w:spacing w:after="0" w:line="196" w:lineRule="exact"/>
              <w:rPr>
                <w:rFonts w:ascii="Times New Roman" w:cs="Times New Roman" w:eastAsia="Times New Roman" w:hAnsi="Times New Roman"/>
                <w:sz w:val="18"/>
                <w:szCs w:val="18"/>
                <w:color w:val="0000EE"/>
              </w:rPr>
            </w:pPr>
            <w:hyperlink w:anchor="page3">
              <w:r>
                <w:rPr>
                  <w:rFonts w:ascii="Times New Roman" w:cs="Times New Roman" w:eastAsia="Times New Roman" w:hAnsi="Times New Roman"/>
                  <w:sz w:val="18"/>
                  <w:szCs w:val="18"/>
                  <w:color w:val="0000EE"/>
                </w:rPr>
                <w:t>SIGNATURE</w:t>
              </w:r>
            </w:hyperlink>
          </w:p>
        </w:tc>
        <w:tc>
          <w:tcPr>
            <w:tcW w:w="7040" w:type="dxa"/>
            <w:vAlign w:val="bottom"/>
            <w:gridSpan w:val="3"/>
          </w:tcPr>
          <w:p>
            <w:pPr>
              <w:jc w:val="right"/>
              <w:spacing w:after="0" w:line="196" w:lineRule="exact"/>
              <w:rPr>
                <w:sz w:val="20"/>
                <w:szCs w:val="20"/>
                <w:color w:val="auto"/>
              </w:rPr>
            </w:pPr>
            <w:r>
              <w:rPr>
                <w:rFonts w:ascii="Times New Roman" w:cs="Times New Roman" w:eastAsia="Times New Roman" w:hAnsi="Times New Roman"/>
                <w:sz w:val="18"/>
                <w:szCs w:val="18"/>
                <w:color w:val="auto"/>
              </w:rPr>
              <w:t>6</w:t>
            </w:r>
          </w:p>
        </w:tc>
      </w:tr>
      <w:tr>
        <w:trPr>
          <w:trHeight w:val="20"/>
        </w:trPr>
        <w:tc>
          <w:tcPr>
            <w:tcW w:w="20" w:type="dxa"/>
            <w:vAlign w:val="bottom"/>
          </w:tcPr>
          <w:p>
            <w:pPr>
              <w:spacing w:after="0" w:line="20" w:lineRule="exact"/>
              <w:rPr>
                <w:sz w:val="1"/>
                <w:szCs w:val="1"/>
                <w:color w:val="auto"/>
              </w:rPr>
            </w:pPr>
          </w:p>
        </w:tc>
        <w:tc>
          <w:tcPr>
            <w:tcW w:w="1000" w:type="dxa"/>
            <w:vAlign w:val="bottom"/>
            <w:gridSpan w:val="2"/>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80" w:type="dxa"/>
            <w:vAlign w:val="bottom"/>
            <w:gridSpan w:val="3"/>
          </w:tcPr>
          <w:p>
            <w:pPr>
              <w:spacing w:after="0" w:line="20" w:lineRule="exact"/>
              <w:rPr>
                <w:sz w:val="1"/>
                <w:szCs w:val="1"/>
                <w:color w:val="auto"/>
              </w:rPr>
            </w:pPr>
          </w:p>
        </w:tc>
        <w:tc>
          <w:tcPr>
            <w:tcW w:w="7040" w:type="dxa"/>
            <w:vAlign w:val="bottom"/>
            <w:gridSpan w:val="3"/>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4400" w:type="dxa"/>
            <w:vAlign w:val="bottom"/>
            <w:gridSpan w:val="6"/>
          </w:tcPr>
          <w:p>
            <w:pPr>
              <w:spacing w:after="0" w:line="196" w:lineRule="exact"/>
              <w:rPr>
                <w:rFonts w:ascii="Times New Roman" w:cs="Times New Roman" w:eastAsia="Times New Roman" w:hAnsi="Times New Roman"/>
                <w:sz w:val="18"/>
                <w:szCs w:val="18"/>
                <w:color w:val="0000EE"/>
              </w:rPr>
            </w:pPr>
            <w:hyperlink w:anchor="page3">
              <w:r>
                <w:rPr>
                  <w:rFonts w:ascii="Times New Roman" w:cs="Times New Roman" w:eastAsia="Times New Roman" w:hAnsi="Times New Roman"/>
                  <w:sz w:val="18"/>
                  <w:szCs w:val="18"/>
                  <w:color w:val="0000EE"/>
                </w:rPr>
                <w:t>EXHIBIT INDEX</w:t>
              </w:r>
            </w:hyperlink>
          </w:p>
        </w:tc>
        <w:tc>
          <w:tcPr>
            <w:tcW w:w="7040" w:type="dxa"/>
            <w:vAlign w:val="bottom"/>
            <w:gridSpan w:val="3"/>
          </w:tcPr>
          <w:p>
            <w:pPr>
              <w:jc w:val="right"/>
              <w:spacing w:after="0" w:line="196" w:lineRule="exact"/>
              <w:rPr>
                <w:sz w:val="20"/>
                <w:szCs w:val="20"/>
                <w:color w:val="auto"/>
              </w:rPr>
            </w:pPr>
            <w:r>
              <w:rPr>
                <w:rFonts w:ascii="Times New Roman" w:cs="Times New Roman" w:eastAsia="Times New Roman" w:hAnsi="Times New Roman"/>
                <w:sz w:val="18"/>
                <w:szCs w:val="18"/>
                <w:color w:val="auto"/>
              </w:rPr>
              <w:t>7</w:t>
            </w:r>
          </w:p>
        </w:tc>
      </w:tr>
      <w:tr>
        <w:trPr>
          <w:trHeight w:val="669"/>
        </w:trPr>
        <w:tc>
          <w:tcPr>
            <w:tcW w:w="20" w:type="dxa"/>
            <w:vAlign w:val="bottom"/>
          </w:tcPr>
          <w:p>
            <w:pPr>
              <w:spacing w:after="0"/>
              <w:rPr>
                <w:sz w:val="24"/>
                <w:szCs w:val="24"/>
                <w:color w:val="auto"/>
              </w:rPr>
            </w:pPr>
          </w:p>
        </w:tc>
        <w:tc>
          <w:tcPr>
            <w:tcW w:w="72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32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60" w:type="dxa"/>
            <w:vAlign w:val="bottom"/>
            <w:gridSpan w:val="2"/>
          </w:tcPr>
          <w:p>
            <w:pPr>
              <w:jc w:val="right"/>
              <w:ind w:right="920"/>
              <w:spacing w:after="0"/>
              <w:rPr>
                <w:sz w:val="20"/>
                <w:szCs w:val="20"/>
                <w:color w:val="auto"/>
              </w:rPr>
            </w:pPr>
            <w:r>
              <w:rPr>
                <w:rFonts w:ascii="Times New Roman" w:cs="Times New Roman" w:eastAsia="Times New Roman" w:hAnsi="Times New Roman"/>
                <w:sz w:val="18"/>
                <w:szCs w:val="18"/>
                <w:color w:val="auto"/>
              </w:rPr>
              <w:t>2</w:t>
            </w:r>
          </w:p>
        </w:tc>
        <w:tc>
          <w:tcPr>
            <w:tcW w:w="4780" w:type="dxa"/>
            <w:vAlign w:val="bottom"/>
          </w:tcPr>
          <w:p>
            <w:pPr>
              <w:spacing w:after="0"/>
              <w:rPr>
                <w:sz w:val="24"/>
                <w:szCs w:val="24"/>
                <w:color w:val="auto"/>
              </w:rPr>
            </w:pPr>
          </w:p>
        </w:tc>
      </w:tr>
      <w:tr>
        <w:trPr>
          <w:trHeight w:val="240"/>
        </w:trPr>
        <w:tc>
          <w:tcPr>
            <w:tcW w:w="20" w:type="dxa"/>
            <w:vAlign w:val="bottom"/>
            <w:tcBorders>
              <w:bottom w:val="single" w:sz="8" w:color="010101"/>
            </w:tcBorders>
          </w:tcPr>
          <w:p>
            <w:pPr>
              <w:spacing w:after="0"/>
              <w:rPr>
                <w:sz w:val="20"/>
                <w:szCs w:val="20"/>
                <w:color w:val="auto"/>
              </w:rPr>
            </w:pPr>
          </w:p>
        </w:tc>
        <w:tc>
          <w:tcPr>
            <w:tcW w:w="720" w:type="dxa"/>
            <w:vAlign w:val="bottom"/>
            <w:tcBorders>
              <w:bottom w:val="single" w:sz="8" w:color="010101"/>
            </w:tcBorders>
          </w:tcPr>
          <w:p>
            <w:pPr>
              <w:spacing w:after="0"/>
              <w:rPr>
                <w:sz w:val="20"/>
                <w:szCs w:val="20"/>
                <w:color w:val="auto"/>
              </w:rPr>
            </w:pPr>
          </w:p>
        </w:tc>
        <w:tc>
          <w:tcPr>
            <w:tcW w:w="280" w:type="dxa"/>
            <w:vAlign w:val="bottom"/>
            <w:tcBorders>
              <w:bottom w:val="single" w:sz="8" w:color="010101"/>
            </w:tcBorders>
          </w:tcPr>
          <w:p>
            <w:pPr>
              <w:spacing w:after="0"/>
              <w:rPr>
                <w:sz w:val="20"/>
                <w:szCs w:val="20"/>
                <w:color w:val="auto"/>
              </w:rPr>
            </w:pPr>
          </w:p>
        </w:tc>
        <w:tc>
          <w:tcPr>
            <w:tcW w:w="320" w:type="dxa"/>
            <w:vAlign w:val="bottom"/>
            <w:tcBorders>
              <w:bottom w:val="single" w:sz="8" w:color="010101"/>
            </w:tcBorders>
          </w:tcPr>
          <w:p>
            <w:pPr>
              <w:spacing w:after="0"/>
              <w:rPr>
                <w:sz w:val="20"/>
                <w:szCs w:val="20"/>
                <w:color w:val="auto"/>
              </w:rPr>
            </w:pPr>
          </w:p>
        </w:tc>
        <w:tc>
          <w:tcPr>
            <w:tcW w:w="20" w:type="dxa"/>
            <w:vAlign w:val="bottom"/>
            <w:tcBorders>
              <w:bottom w:val="single" w:sz="8" w:color="010101"/>
            </w:tcBorders>
          </w:tcPr>
          <w:p>
            <w:pPr>
              <w:spacing w:after="0"/>
              <w:rPr>
                <w:sz w:val="20"/>
                <w:szCs w:val="20"/>
                <w:color w:val="auto"/>
              </w:rPr>
            </w:pPr>
          </w:p>
        </w:tc>
        <w:tc>
          <w:tcPr>
            <w:tcW w:w="2740" w:type="dxa"/>
            <w:vAlign w:val="bottom"/>
            <w:tcBorders>
              <w:bottom w:val="single" w:sz="8" w:color="010101"/>
            </w:tcBorders>
          </w:tcPr>
          <w:p>
            <w:pPr>
              <w:spacing w:after="0"/>
              <w:rPr>
                <w:sz w:val="20"/>
                <w:szCs w:val="20"/>
                <w:color w:val="auto"/>
              </w:rPr>
            </w:pPr>
          </w:p>
        </w:tc>
        <w:tc>
          <w:tcPr>
            <w:tcW w:w="320" w:type="dxa"/>
            <w:vAlign w:val="bottom"/>
            <w:tcBorders>
              <w:bottom w:val="single" w:sz="8" w:color="010101"/>
            </w:tcBorders>
          </w:tcPr>
          <w:p>
            <w:pPr>
              <w:spacing w:after="0"/>
              <w:rPr>
                <w:sz w:val="20"/>
                <w:szCs w:val="20"/>
                <w:color w:val="auto"/>
              </w:rPr>
            </w:pPr>
          </w:p>
        </w:tc>
        <w:tc>
          <w:tcPr>
            <w:tcW w:w="340" w:type="dxa"/>
            <w:vAlign w:val="bottom"/>
            <w:tcBorders>
              <w:bottom w:val="single" w:sz="8" w:color="010101"/>
            </w:tcBorders>
          </w:tcPr>
          <w:p>
            <w:pPr>
              <w:spacing w:after="0"/>
              <w:rPr>
                <w:sz w:val="20"/>
                <w:szCs w:val="20"/>
                <w:color w:val="auto"/>
              </w:rPr>
            </w:pPr>
          </w:p>
        </w:tc>
        <w:tc>
          <w:tcPr>
            <w:tcW w:w="1920" w:type="dxa"/>
            <w:vAlign w:val="bottom"/>
            <w:tcBorders>
              <w:bottom w:val="single" w:sz="8" w:color="010101"/>
            </w:tcBorders>
          </w:tcPr>
          <w:p>
            <w:pPr>
              <w:spacing w:after="0"/>
              <w:rPr>
                <w:sz w:val="20"/>
                <w:szCs w:val="20"/>
                <w:color w:val="auto"/>
              </w:rPr>
            </w:pPr>
          </w:p>
        </w:tc>
        <w:tc>
          <w:tcPr>
            <w:tcW w:w="4780" w:type="dxa"/>
            <w:vAlign w:val="bottom"/>
            <w:tcBorders>
              <w:bottom w:val="single" w:sz="8" w:color="010101"/>
            </w:tcBorders>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2.02 Results of Operations and Financial Condition</w:t>
      </w:r>
    </w:p>
    <w:p>
      <w:pPr>
        <w:spacing w:after="0" w:line="229" w:lineRule="exact"/>
        <w:rPr>
          <w:sz w:val="20"/>
          <w:szCs w:val="20"/>
          <w:color w:val="auto"/>
        </w:rPr>
      </w:pPr>
    </w:p>
    <w:p>
      <w:pPr>
        <w:ind w:right="120" w:firstLine="648"/>
        <w:spacing w:after="0" w:line="261" w:lineRule="auto"/>
        <w:rPr>
          <w:sz w:val="20"/>
          <w:szCs w:val="20"/>
          <w:color w:val="auto"/>
        </w:rPr>
      </w:pPr>
      <w:r>
        <w:rPr>
          <w:rFonts w:ascii="Times New Roman" w:cs="Times New Roman" w:eastAsia="Times New Roman" w:hAnsi="Times New Roman"/>
          <w:sz w:val="18"/>
          <w:szCs w:val="18"/>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ectPr>
          <w:pgSz w:w="11900" w:h="16838" w:orient="portrait"/>
          <w:cols w:equalWidth="0" w:num="1">
            <w:col w:w="11460"/>
          </w:cols>
          <w:pgMar w:left="240" w:top="524" w:right="199" w:bottom="0" w:gutter="0" w:footer="0" w:header="0"/>
        </w:sectPr>
      </w:pPr>
    </w:p>
    <w:bookmarkStart w:id="1" w:name="page2"/>
    <w:bookmarkEnd w:id="1"/>
    <w:p>
      <w:pPr>
        <w:ind w:right="180" w:firstLine="648"/>
        <w:spacing w:after="0" w:line="282" w:lineRule="auto"/>
        <w:rPr>
          <w:sz w:val="20"/>
          <w:szCs w:val="20"/>
          <w:color w:val="auto"/>
        </w:rPr>
      </w:pPr>
      <w:r>
        <w:rPr>
          <w:rFonts w:ascii="Times New Roman" w:cs="Times New Roman" w:eastAsia="Times New Roman" w:hAnsi="Times New Roman"/>
          <w:sz w:val="18"/>
          <w:szCs w:val="18"/>
          <w:color w:val="auto"/>
        </w:rPr>
        <w:t>On November 27, 2007, Marvell Technology Group Ltd. (“Marvell”) issued a press release regarding its financial results for its third fiscal quarter ended October 27, 2007. A copy of the press release is furnished herewith as Exhibit 99.1 and is incorporated by reference herein.</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Discussion of Non-GAAP Financial Measures</w:t>
      </w:r>
    </w:p>
    <w:p>
      <w:pPr>
        <w:spacing w:after="0" w:line="229" w:lineRule="exact"/>
        <w:rPr>
          <w:sz w:val="20"/>
          <w:szCs w:val="20"/>
          <w:color w:val="auto"/>
        </w:rPr>
      </w:pPr>
    </w:p>
    <w:p>
      <w:pPr>
        <w:ind w:right="200" w:firstLine="648"/>
        <w:spacing w:after="0" w:line="266" w:lineRule="auto"/>
        <w:rPr>
          <w:sz w:val="20"/>
          <w:szCs w:val="20"/>
          <w:color w:val="auto"/>
        </w:rPr>
      </w:pPr>
      <w:r>
        <w:rPr>
          <w:rFonts w:ascii="Times New Roman" w:cs="Times New Roman" w:eastAsia="Times New Roman" w:hAnsi="Times New Roman"/>
          <w:sz w:val="18"/>
          <w:szCs w:val="18"/>
          <w:color w:val="auto"/>
        </w:rPr>
        <w:t>In addition to disclosing financial results calculated in accordance with GAAP, Marvell also reports adjusted net income and net income per share, referred to respectively as “non-GAAP net income” and “non-GAAP net income per share.” Non-GAAP measures exclude the effect of stock-based compensation, amortization of acquired intangible assets and cumulative effect of change in accounting principle.</w:t>
      </w:r>
    </w:p>
    <w:p>
      <w:pPr>
        <w:spacing w:after="0" w:line="176" w:lineRule="exact"/>
        <w:rPr>
          <w:sz w:val="20"/>
          <w:szCs w:val="20"/>
          <w:color w:val="auto"/>
        </w:rPr>
      </w:pPr>
    </w:p>
    <w:p>
      <w:pPr>
        <w:ind w:firstLine="648"/>
        <w:spacing w:after="0" w:line="258" w:lineRule="auto"/>
        <w:rPr>
          <w:sz w:val="20"/>
          <w:szCs w:val="20"/>
          <w:color w:val="auto"/>
        </w:rPr>
      </w:pPr>
      <w:r>
        <w:rPr>
          <w:rFonts w:ascii="Times New Roman" w:cs="Times New Roman" w:eastAsia="Times New Roman" w:hAnsi="Times New Roman"/>
          <w:sz w:val="18"/>
          <w:szCs w:val="18"/>
          <w:color w:val="auto"/>
        </w:rPr>
        <w:t>Non-GAAP net income per share is calculated by dividing non-GAAP net income by non-GAAP weighted average shares - diluted. For purposes of calculating non-GAAP net income per share, the GAAP diluted weighted average shares outstanding is adjusted to exclude the benefits of FASB Statement of Financial Accounting Standards No. 123 (revised 2004), “Share Based Payments” (“SFAS 123R”) compensation costs attributable to future services and not yet recognized in the financial statements that are treated as proceeds assumed to be used to repurchased shares under the GAAP treasury stock method. GAAP diluted weighted average shares outstanding also includes the antidilutive effects of warrants, common stock options and restricted stock.</w:t>
      </w:r>
    </w:p>
    <w:p>
      <w:pPr>
        <w:spacing w:after="0" w:line="184" w:lineRule="exact"/>
        <w:rPr>
          <w:sz w:val="20"/>
          <w:szCs w:val="20"/>
          <w:color w:val="auto"/>
        </w:rPr>
      </w:pPr>
    </w:p>
    <w:p>
      <w:pPr>
        <w:ind w:firstLine="648"/>
        <w:spacing w:after="0" w:line="258" w:lineRule="auto"/>
        <w:rPr>
          <w:sz w:val="20"/>
          <w:szCs w:val="20"/>
          <w:color w:val="auto"/>
        </w:rPr>
      </w:pPr>
      <w:r>
        <w:rPr>
          <w:rFonts w:ascii="Times New Roman" w:cs="Times New Roman" w:eastAsia="Times New Roman" w:hAnsi="Times New Roman"/>
          <w:sz w:val="18"/>
          <w:szCs w:val="18"/>
          <w:color w:val="auto"/>
        </w:rPr>
        <w:t>These non-GAAP measures should be considered in addition to, and not as a substitute for, the results prepared in accordance with GAAP. Marvell’s management believes the non-GAAP information is useful because it can enhance the understanding of the company’s ongoing economic performance and Marvell therefore uses non-GAAP reporting internally to evaluate and manage its operations.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our results with that of other companies in our industry.</w:t>
      </w:r>
    </w:p>
    <w:p>
      <w:pPr>
        <w:spacing w:after="0" w:line="184" w:lineRule="exact"/>
        <w:rPr>
          <w:sz w:val="20"/>
          <w:szCs w:val="20"/>
          <w:color w:val="auto"/>
        </w:rPr>
      </w:pPr>
    </w:p>
    <w:p>
      <w:pPr>
        <w:ind w:right="200" w:firstLine="648"/>
        <w:spacing w:after="0" w:line="313" w:lineRule="auto"/>
        <w:rPr>
          <w:sz w:val="20"/>
          <w:szCs w:val="20"/>
          <w:color w:val="auto"/>
        </w:rPr>
      </w:pPr>
      <w:r>
        <w:rPr>
          <w:rFonts w:ascii="Times New Roman" w:cs="Times New Roman" w:eastAsia="Times New Roman" w:hAnsi="Times New Roman"/>
          <w:sz w:val="17"/>
          <w:szCs w:val="17"/>
          <w:color w:val="auto"/>
        </w:rPr>
        <w:t>Externally, we believe that investors may find our non-GAAP net income information useful in their assessment of our operating performance and the valuation of our company. Internally, our non-GAAP net income and non-GAAP net income per share are used by management in the following areas:</w:t>
      </w:r>
    </w:p>
    <w:p>
      <w:pPr>
        <w:spacing w:after="0" w:line="120" w:lineRule="exact"/>
        <w:rPr>
          <w:sz w:val="20"/>
          <w:szCs w:val="20"/>
          <w:color w:val="auto"/>
        </w:rPr>
      </w:pPr>
    </w:p>
    <w:p>
      <w:pPr>
        <w:ind w:left="1220" w:hanging="740"/>
        <w:spacing w:after="0"/>
        <w:tabs>
          <w:tab w:leader="none" w:pos="122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Our determination of Pro Forma EPS target-based stock-based bonus compensation for our executive officers;</w:t>
      </w:r>
    </w:p>
    <w:p>
      <w:pPr>
        <w:spacing w:after="0" w:line="206" w:lineRule="exact"/>
        <w:rPr>
          <w:rFonts w:ascii="Times New Roman" w:cs="Times New Roman" w:eastAsia="Times New Roman" w:hAnsi="Times New Roman"/>
          <w:sz w:val="22"/>
          <w:szCs w:val="22"/>
          <w:color w:val="auto"/>
        </w:rPr>
      </w:pPr>
    </w:p>
    <w:p>
      <w:pPr>
        <w:ind w:left="1220" w:hanging="740"/>
        <w:spacing w:after="0"/>
        <w:tabs>
          <w:tab w:leader="none" w:pos="122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Our evaluation of Marvell’s operating performance;</w:t>
      </w:r>
    </w:p>
    <w:p>
      <w:pPr>
        <w:spacing w:after="0" w:line="206" w:lineRule="exact"/>
        <w:rPr>
          <w:rFonts w:ascii="Times New Roman" w:cs="Times New Roman" w:eastAsia="Times New Roman" w:hAnsi="Times New Roman"/>
          <w:sz w:val="22"/>
          <w:szCs w:val="22"/>
          <w:color w:val="auto"/>
        </w:rPr>
      </w:pPr>
    </w:p>
    <w:p>
      <w:pPr>
        <w:ind w:left="1220" w:hanging="740"/>
        <w:spacing w:after="0"/>
        <w:tabs>
          <w:tab w:leader="none" w:pos="122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Our establishment of internal operating budgets; and</w:t>
      </w:r>
    </w:p>
    <w:p>
      <w:pPr>
        <w:spacing w:after="0" w:line="206" w:lineRule="exact"/>
        <w:rPr>
          <w:rFonts w:ascii="Times New Roman" w:cs="Times New Roman" w:eastAsia="Times New Roman" w:hAnsi="Times New Roman"/>
          <w:sz w:val="22"/>
          <w:szCs w:val="22"/>
          <w:color w:val="auto"/>
        </w:rPr>
      </w:pPr>
    </w:p>
    <w:p>
      <w:pPr>
        <w:ind w:left="1220" w:hanging="740"/>
        <w:spacing w:after="0"/>
        <w:tabs>
          <w:tab w:leader="none" w:pos="122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Our performance comparisons with internal forecasts and targeted business models.</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Non-GAAP net income reflects net income adjusted for the following items:</w:t>
      </w:r>
    </w:p>
    <w:p>
      <w:pPr>
        <w:spacing w:after="0" w:line="223" w:lineRule="exact"/>
        <w:rPr>
          <w:sz w:val="20"/>
          <w:szCs w:val="20"/>
          <w:color w:val="auto"/>
        </w:rPr>
      </w:pPr>
    </w:p>
    <w:p>
      <w:pPr>
        <w:ind w:left="1180" w:right="80" w:hanging="727"/>
        <w:spacing w:after="0" w:line="243" w:lineRule="auto"/>
        <w:tabs>
          <w:tab w:leader="none" w:pos="1180" w:val="left"/>
        </w:tabs>
        <w:numPr>
          <w:ilvl w:val="0"/>
          <w:numId w:val="3"/>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i w:val="1"/>
          <w:iCs w:val="1"/>
          <w:color w:val="auto"/>
        </w:rPr>
        <w:t>Stock-based compensation</w:t>
      </w:r>
      <w:r>
        <w:rPr>
          <w:rFonts w:ascii="Times New Roman" w:cs="Times New Roman" w:eastAsia="Times New Roman" w:hAnsi="Times New Roman"/>
          <w:sz w:val="18"/>
          <w:szCs w:val="18"/>
          <w:color w:val="auto"/>
        </w:rPr>
        <w:t>. Stock-based compensation relates primarily to employee stock options and restricted stock units issued. Stock-based compensation expense is a non-cash expense that is difficult to predict as its valuation is affected by changes in market forces, such as the price of our common stock, which is not within the control of management. Accordingly, we exclude this item from its internal operating forecasts and models.</w:t>
      </w:r>
    </w:p>
    <w:p>
      <w:pPr>
        <w:spacing w:after="0" w:line="195" w:lineRule="exact"/>
        <w:rPr>
          <w:rFonts w:ascii="Times New Roman" w:cs="Times New Roman" w:eastAsia="Times New Roman" w:hAnsi="Times New Roman"/>
          <w:sz w:val="22"/>
          <w:szCs w:val="22"/>
          <w:color w:val="auto"/>
        </w:rPr>
      </w:pPr>
    </w:p>
    <w:p>
      <w:pPr>
        <w:ind w:left="1180" w:right="600" w:hanging="727"/>
        <w:spacing w:after="0" w:line="259" w:lineRule="auto"/>
        <w:tabs>
          <w:tab w:leader="none" w:pos="1180" w:val="left"/>
        </w:tabs>
        <w:numPr>
          <w:ilvl w:val="0"/>
          <w:numId w:val="3"/>
        </w:numPr>
        <w:rPr>
          <w:rFonts w:ascii="Times New Roman" w:cs="Times New Roman" w:eastAsia="Times New Roman" w:hAnsi="Times New Roman"/>
          <w:sz w:val="21"/>
          <w:szCs w:val="21"/>
          <w:color w:val="auto"/>
        </w:rPr>
      </w:pPr>
      <w:r>
        <w:rPr>
          <w:rFonts w:ascii="Times New Roman" w:cs="Times New Roman" w:eastAsia="Times New Roman" w:hAnsi="Times New Roman"/>
          <w:sz w:val="17"/>
          <w:szCs w:val="17"/>
          <w:i w:val="1"/>
          <w:iCs w:val="1"/>
          <w:color w:val="auto"/>
        </w:rPr>
        <w:t>Amortization of acquired intangible assets</w:t>
      </w:r>
      <w:r>
        <w:rPr>
          <w:rFonts w:ascii="Times New Roman" w:cs="Times New Roman" w:eastAsia="Times New Roman" w:hAnsi="Times New Roman"/>
          <w:sz w:val="17"/>
          <w:szCs w:val="17"/>
          <w:color w:val="auto"/>
        </w:rPr>
        <w:t>. Purchased intangible assets relate primarily to existing and core technology, and customer</w:t>
      </w:r>
      <w:r>
        <w:rPr>
          <w:rFonts w:ascii="Times New Roman" w:cs="Times New Roman" w:eastAsia="Times New Roman" w:hAnsi="Times New Roman"/>
          <w:sz w:val="17"/>
          <w:szCs w:val="17"/>
          <w:i w:val="1"/>
          <w:iCs w:val="1"/>
          <w:color w:val="auto"/>
        </w:rPr>
        <w:t xml:space="preserve"> </w:t>
      </w:r>
      <w:r>
        <w:rPr>
          <w:rFonts w:ascii="Times New Roman" w:cs="Times New Roman" w:eastAsia="Times New Roman" w:hAnsi="Times New Roman"/>
          <w:sz w:val="17"/>
          <w:szCs w:val="17"/>
          <w:color w:val="auto"/>
        </w:rPr>
        <w:t>relationships of acquired businesses. We consider these charges non-cash in nature and unrelated to our core operating performance.</w:t>
      </w:r>
    </w:p>
    <w:p>
      <w:pPr>
        <w:spacing w:after="0" w:line="176" w:lineRule="exact"/>
        <w:rPr>
          <w:rFonts w:ascii="Times New Roman" w:cs="Times New Roman" w:eastAsia="Times New Roman" w:hAnsi="Times New Roman"/>
          <w:sz w:val="21"/>
          <w:szCs w:val="21"/>
          <w:color w:val="auto"/>
        </w:rPr>
      </w:pPr>
    </w:p>
    <w:p>
      <w:pPr>
        <w:ind w:left="1180" w:right="60" w:hanging="727"/>
        <w:spacing w:after="0" w:line="236" w:lineRule="auto"/>
        <w:tabs>
          <w:tab w:leader="none" w:pos="1180" w:val="left"/>
        </w:tabs>
        <w:numPr>
          <w:ilvl w:val="0"/>
          <w:numId w:val="3"/>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i w:val="1"/>
          <w:iCs w:val="1"/>
          <w:color w:val="auto"/>
        </w:rPr>
        <w:t>Cumulative effect of change in accounting principle</w:t>
      </w:r>
      <w:r>
        <w:rPr>
          <w:rFonts w:ascii="Times New Roman" w:cs="Times New Roman" w:eastAsia="Times New Roman" w:hAnsi="Times New Roman"/>
          <w:sz w:val="18"/>
          <w:szCs w:val="18"/>
          <w:color w:val="auto"/>
        </w:rPr>
        <w:t>. The cumulative effect of a change in accounting principle, mandated by our adoption of</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SFAS 123R to account for forfeitures is a non-cash item which management believes, is unrelated to our core operating performance.</w:t>
      </w:r>
    </w:p>
    <w:p>
      <w:pPr>
        <w:spacing w:after="0" w:line="19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The calculation of non-GAAP net income per share is adjusted for the following item:</w:t>
      </w:r>
    </w:p>
    <w:p>
      <w:pPr>
        <w:spacing w:after="0" w:line="225" w:lineRule="exact"/>
        <w:rPr>
          <w:sz w:val="20"/>
          <w:szCs w:val="20"/>
          <w:color w:val="auto"/>
        </w:rPr>
      </w:pPr>
    </w:p>
    <w:p>
      <w:pPr>
        <w:ind w:left="1180" w:hanging="727"/>
        <w:spacing w:after="0" w:line="246" w:lineRule="auto"/>
        <w:tabs>
          <w:tab w:leader="none" w:pos="1180" w:val="left"/>
        </w:tabs>
        <w:numPr>
          <w:ilvl w:val="0"/>
          <w:numId w:val="4"/>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Non-GAAP net income per share is calculated by dividing non-GAAP net income by non-GAAP weighted average shares - diluted. For purposes of calculating non-GAAP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repurchased shares under the GAAP treasury stock method. GAAP diluted weighted average shares outstanding also includes the antidilutive effects of warrants, common stock options and restricted stock. Since our non-GAAP net income does not reflect the effects of these compensation costs, management believes these amounts should not be applied to the repurchase of shares in calculating non-GAAP net income per share.</w:t>
      </w:r>
    </w:p>
    <w:p>
      <w:pPr>
        <w:spacing w:after="0" w:line="196" w:lineRule="exact"/>
        <w:rPr>
          <w:sz w:val="20"/>
          <w:szCs w:val="20"/>
          <w:color w:val="auto"/>
        </w:rPr>
      </w:pPr>
    </w:p>
    <w:p>
      <w:pPr>
        <w:ind w:firstLine="648"/>
        <w:spacing w:after="0" w:line="256" w:lineRule="auto"/>
        <w:rPr>
          <w:sz w:val="20"/>
          <w:szCs w:val="20"/>
          <w:color w:val="auto"/>
        </w:rPr>
      </w:pPr>
      <w:r>
        <w:rPr>
          <w:rFonts w:ascii="Times New Roman" w:cs="Times New Roman" w:eastAsia="Times New Roman" w:hAnsi="Times New Roman"/>
          <w:sz w:val="18"/>
          <w:szCs w:val="18"/>
          <w:color w:val="auto"/>
        </w:rPr>
        <w:t>Non-GAAP net income and non-GAAP net income per share should be considered supplemental to, and not as a substitute for, or superior to, financial measures calculated in accordance with GAAP. Non-GAAP financial measures have limitations in that they do not reflect all of the costs associated with the operations of our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our non-GAAP net income should not be construed as an inference that these costs are unusual, infrequent or non-recurring. Some of the limitations in relying on non-GAAP net income and non-GAAP net income per share are:</w:t>
      </w:r>
    </w:p>
    <w:p>
      <w:pPr>
        <w:spacing w:after="0" w:line="188" w:lineRule="exact"/>
        <w:rPr>
          <w:sz w:val="20"/>
          <w:szCs w:val="20"/>
          <w:color w:val="auto"/>
        </w:rPr>
      </w:pPr>
    </w:p>
    <w:p>
      <w:pPr>
        <w:ind w:left="1220" w:right="440" w:hanging="740"/>
        <w:spacing w:after="0" w:line="244" w:lineRule="auto"/>
        <w:tabs>
          <w:tab w:leader="none" w:pos="1220" w:val="left"/>
        </w:tabs>
        <w:numPr>
          <w:ilvl w:val="0"/>
          <w:numId w:val="5"/>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Non-GAAP net income does not account for stock compensation expense related to equity awards granted to our employees. Our stock incentive plans are important components of our employee incentive compensation arrangements and are reflected as expenses in our GAAP results under SFAS 123R, effective as of January 29, 2006. Prior to the adoption of SFAS 123R, our GAAP results reflect stock compensation expense under Accounting Principles Board Opinion No. 25, “Accounting for Stock Issued to Employees” and related guidance.</w:t>
      </w:r>
    </w:p>
    <w:p>
      <w:pPr>
        <w:spacing w:after="0" w:line="178" w:lineRule="exact"/>
        <w:rPr>
          <w:rFonts w:ascii="Times New Roman" w:cs="Times New Roman" w:eastAsia="Times New Roman" w:hAnsi="Times New Roman"/>
          <w:sz w:val="22"/>
          <w:szCs w:val="22"/>
          <w:color w:val="auto"/>
        </w:rPr>
      </w:pPr>
    </w:p>
    <w:p>
      <w:pPr>
        <w:ind w:left="1220" w:hanging="740"/>
        <w:spacing w:after="0"/>
        <w:tabs>
          <w:tab w:leader="none" w:pos="1220" w:val="left"/>
        </w:tabs>
        <w:numPr>
          <w:ilvl w:val="0"/>
          <w:numId w:val="5"/>
        </w:numPr>
        <w:rPr>
          <w:rFonts w:ascii="Times New Roman" w:cs="Times New Roman" w:eastAsia="Times New Roman" w:hAnsi="Times New Roman"/>
          <w:sz w:val="22"/>
          <w:szCs w:val="22"/>
          <w:color w:val="auto"/>
        </w:rPr>
      </w:pPr>
      <w:r>
        <w:rPr>
          <w:rFonts w:ascii="Times New Roman" w:cs="Times New Roman" w:eastAsia="Times New Roman" w:hAnsi="Times New Roman"/>
          <w:sz w:val="18"/>
          <w:szCs w:val="18"/>
          <w:color w:val="auto"/>
        </w:rPr>
        <w:t>While amortization of purchased intangible assets does not directly affect our current cash position, such expense represents the</w:t>
      </w:r>
    </w:p>
    <w:p>
      <w:pPr>
        <w:sectPr>
          <w:pgSz w:w="11900" w:h="16838" w:orient="portrait"/>
          <w:cols w:equalWidth="0" w:num="1">
            <w:col w:w="11400"/>
          </w:cols>
          <w:pgMar w:left="240" w:top="121" w:right="259" w:bottom="0" w:gutter="0" w:footer="0" w:header="0"/>
        </w:sectPr>
      </w:pPr>
    </w:p>
    <w:bookmarkStart w:id="2" w:name="page3"/>
    <w:bookmarkEnd w:id="2"/>
    <w:p>
      <w:pPr>
        <w:ind w:left="1220" w:right="560"/>
        <w:spacing w:after="0" w:line="266" w:lineRule="auto"/>
        <w:rPr>
          <w:sz w:val="20"/>
          <w:szCs w:val="20"/>
          <w:color w:val="auto"/>
        </w:rPr>
      </w:pPr>
      <w:r>
        <w:rPr>
          <w:rFonts w:ascii="Times New Roman" w:cs="Times New Roman" w:eastAsia="Times New Roman" w:hAnsi="Times New Roman"/>
          <w:sz w:val="18"/>
          <w:szCs w:val="18"/>
          <w:color w:val="auto"/>
        </w:rPr>
        <w:t>declining value of the technology and other intangible assets that we have acquired over their respective expected economic lives. The expense associated with this decline in value is excluded from the non-GAAP net income presentation, and therefore non-GAAP net income does not reflect the costs of acquired intangible assets that supplement our research and development efforts.</w:t>
      </w:r>
    </w:p>
    <w:p>
      <w:pPr>
        <w:spacing w:after="0" w:line="392"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9.01 Financial Statements and Exhibits.</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 Exhibits.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99.1 Press Release dated November 27, 2007.</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right="80"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Dated: November 27, 2007</w:t>
      </w:r>
    </w:p>
    <w:p>
      <w:pPr>
        <w:spacing w:after="0" w:line="27" w:lineRule="exact"/>
        <w:rPr>
          <w:sz w:val="20"/>
          <w:szCs w:val="20"/>
          <w:color w:val="auto"/>
        </w:rPr>
      </w:pPr>
    </w:p>
    <w:p>
      <w:pPr>
        <w:ind w:left="63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07" w:lineRule="exact"/>
        <w:rPr>
          <w:sz w:val="20"/>
          <w:szCs w:val="20"/>
          <w:color w:val="auto"/>
        </w:rPr>
      </w:pPr>
    </w:p>
    <w:tbl>
      <w:tblPr>
        <w:tblLayout w:type="fixed"/>
        <w:tblInd w:w="6320" w:type="dxa"/>
        <w:tblCellMar>
          <w:top w:w="0" w:type="dxa"/>
          <w:left w:w="0" w:type="dxa"/>
          <w:bottom w:w="0" w:type="dxa"/>
          <w:right w:w="0" w:type="dxa"/>
        </w:tblCellMar>
      </w:tblPr>
      <w:tr>
        <w:trPr>
          <w:trHeight w:val="234"/>
        </w:trPr>
        <w:tc>
          <w:tcPr>
            <w:tcW w:w="38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47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Michael Rashkin</w:t>
            </w:r>
          </w:p>
        </w:tc>
      </w:tr>
      <w:tr>
        <w:trPr>
          <w:trHeight w:val="191"/>
        </w:trPr>
        <w:tc>
          <w:tcPr>
            <w:tcW w:w="380" w:type="dxa"/>
            <w:vAlign w:val="bottom"/>
          </w:tcPr>
          <w:p>
            <w:pPr>
              <w:spacing w:after="0"/>
              <w:rPr>
                <w:sz w:val="16"/>
                <w:szCs w:val="16"/>
                <w:color w:val="auto"/>
              </w:rPr>
            </w:pPr>
          </w:p>
        </w:tc>
        <w:tc>
          <w:tcPr>
            <w:tcW w:w="4720" w:type="dxa"/>
            <w:vAlign w:val="bottom"/>
          </w:tcPr>
          <w:p>
            <w:pPr>
              <w:jc w:val="center"/>
              <w:spacing w:after="0" w:line="191" w:lineRule="exact"/>
              <w:rPr>
                <w:sz w:val="20"/>
                <w:szCs w:val="20"/>
                <w:color w:val="auto"/>
              </w:rPr>
            </w:pPr>
            <w:r>
              <w:rPr>
                <w:rFonts w:ascii="Times New Roman" w:cs="Times New Roman" w:eastAsia="Times New Roman" w:hAnsi="Times New Roman"/>
                <w:sz w:val="18"/>
                <w:szCs w:val="18"/>
                <w:color w:val="auto"/>
                <w:w w:val="99"/>
              </w:rPr>
              <w:t>Michael Rashkin</w:t>
            </w:r>
          </w:p>
        </w:tc>
      </w:tr>
      <w:tr>
        <w:trPr>
          <w:trHeight w:val="234"/>
        </w:trPr>
        <w:tc>
          <w:tcPr>
            <w:tcW w:w="380" w:type="dxa"/>
            <w:vAlign w:val="bottom"/>
          </w:tcPr>
          <w:p>
            <w:pPr>
              <w:spacing w:after="0"/>
              <w:rPr>
                <w:sz w:val="20"/>
                <w:szCs w:val="20"/>
                <w:color w:val="auto"/>
              </w:rPr>
            </w:pPr>
          </w:p>
        </w:tc>
        <w:tc>
          <w:tcPr>
            <w:tcW w:w="47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Interim Chief Financial Officer</w:t>
            </w:r>
          </w:p>
        </w:tc>
      </w:tr>
    </w:tbl>
    <w:p>
      <w:pPr>
        <w:spacing w:after="0" w:line="200" w:lineRule="exact"/>
        <w:rPr>
          <w:sz w:val="20"/>
          <w:szCs w:val="20"/>
          <w:color w:val="auto"/>
        </w:rPr>
      </w:pPr>
    </w:p>
    <w:p>
      <w:pPr>
        <w:spacing w:after="0" w:line="214"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10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0040" w:type="dxa"/>
            <w:vAlign w:val="bottom"/>
          </w:tcPr>
          <w:p>
            <w:pPr>
              <w:jc w:val="center"/>
              <w:ind w:right="1274"/>
              <w:spacing w:after="0"/>
              <w:rPr>
                <w:sz w:val="20"/>
                <w:szCs w:val="20"/>
                <w:color w:val="auto"/>
              </w:rPr>
            </w:pPr>
            <w:r>
              <w:rPr>
                <w:rFonts w:ascii="Times New Roman" w:cs="Times New Roman" w:eastAsia="Times New Roman" w:hAnsi="Times New Roman"/>
                <w:sz w:val="18"/>
                <w:szCs w:val="18"/>
                <w:b w:val="1"/>
                <w:bCs w:val="1"/>
                <w:color w:val="auto"/>
              </w:rPr>
              <w:t>EXHIBIT INDEX</w:t>
            </w:r>
          </w:p>
        </w:tc>
        <w:tc>
          <w:tcPr>
            <w:tcW w:w="40" w:type="dxa"/>
            <w:vAlign w:val="bottom"/>
          </w:tcPr>
          <w:p>
            <w:pPr>
              <w:spacing w:after="0"/>
              <w:rPr>
                <w:sz w:val="20"/>
                <w:szCs w:val="20"/>
                <w:color w:val="auto"/>
              </w:rPr>
            </w:pPr>
          </w:p>
        </w:tc>
      </w:tr>
      <w:tr>
        <w:trPr>
          <w:trHeight w:val="365"/>
        </w:trPr>
        <w:tc>
          <w:tcPr>
            <w:tcW w:w="1380" w:type="dxa"/>
            <w:vAlign w:val="bottom"/>
            <w:gridSpan w:val="2"/>
          </w:tcPr>
          <w:p>
            <w:pPr>
              <w:ind w:left="20"/>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10040" w:type="dxa"/>
            <w:vAlign w:val="bottom"/>
          </w:tcPr>
          <w:p>
            <w:pPr>
              <w:ind w:left="4660"/>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080" w:type="dxa"/>
            <w:vAlign w:val="bottom"/>
            <w:tcBorders>
              <w:top w:val="single" w:sz="8" w:color="auto"/>
            </w:tcBorders>
          </w:tcPr>
          <w:p>
            <w:pPr>
              <w:ind w:left="20"/>
              <w:spacing w:after="0"/>
              <w:rPr>
                <w:sz w:val="20"/>
                <w:szCs w:val="20"/>
                <w:color w:val="auto"/>
              </w:rPr>
            </w:pPr>
            <w:r>
              <w:rPr>
                <w:rFonts w:ascii="Times New Roman" w:cs="Times New Roman" w:eastAsia="Times New Roman" w:hAnsi="Times New Roman"/>
                <w:sz w:val="18"/>
                <w:szCs w:val="18"/>
                <w:color w:val="auto"/>
              </w:rPr>
              <w:t>99.1</w:t>
            </w:r>
          </w:p>
        </w:tc>
        <w:tc>
          <w:tcPr>
            <w:tcW w:w="300" w:type="dxa"/>
            <w:vAlign w:val="bottom"/>
          </w:tcPr>
          <w:p>
            <w:pPr>
              <w:spacing w:after="0"/>
              <w:rPr>
                <w:sz w:val="24"/>
                <w:szCs w:val="24"/>
                <w:color w:val="auto"/>
              </w:rPr>
            </w:pPr>
          </w:p>
        </w:tc>
        <w:tc>
          <w:tcPr>
            <w:tcW w:w="10040" w:type="dxa"/>
            <w:vAlign w:val="bottom"/>
            <w:tcBorders>
              <w:top w:val="single" w:sz="8" w:color="auto"/>
            </w:tcBorders>
          </w:tcPr>
          <w:p>
            <w:pPr>
              <w:spacing w:after="0"/>
              <w:rPr>
                <w:sz w:val="20"/>
                <w:szCs w:val="20"/>
                <w:color w:val="auto"/>
              </w:rPr>
            </w:pPr>
            <w:r>
              <w:rPr>
                <w:rFonts w:ascii="Times New Roman" w:cs="Times New Roman" w:eastAsia="Times New Roman" w:hAnsi="Times New Roman"/>
                <w:sz w:val="18"/>
                <w:szCs w:val="18"/>
                <w:color w:val="auto"/>
              </w:rPr>
              <w:t>Press Release dated November 27, 2007.</w:t>
            </w:r>
          </w:p>
        </w:tc>
        <w:tc>
          <w:tcPr>
            <w:tcW w:w="40" w:type="dxa"/>
            <w:vAlign w:val="bottom"/>
          </w:tcPr>
          <w:p>
            <w:pPr>
              <w:spacing w:after="0"/>
              <w:rPr>
                <w:sz w:val="24"/>
                <w:szCs w:val="24"/>
                <w:color w:val="auto"/>
              </w:rPr>
            </w:pPr>
          </w:p>
        </w:tc>
      </w:tr>
      <w:tr>
        <w:trPr>
          <w:trHeight w:val="648"/>
        </w:trPr>
        <w:tc>
          <w:tcPr>
            <w:tcW w:w="10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40" w:type="dxa"/>
            <w:vAlign w:val="bottom"/>
          </w:tcPr>
          <w:p>
            <w:pPr>
              <w:jc w:val="right"/>
              <w:ind w:right="5574"/>
              <w:spacing w:after="0"/>
              <w:rPr>
                <w:sz w:val="20"/>
                <w:szCs w:val="20"/>
                <w:color w:val="auto"/>
              </w:rPr>
            </w:pPr>
            <w:r>
              <w:rPr>
                <w:rFonts w:ascii="Times New Roman" w:cs="Times New Roman" w:eastAsia="Times New Roman" w:hAnsi="Times New Roman"/>
                <w:sz w:val="18"/>
                <w:szCs w:val="18"/>
                <w:color w:val="auto"/>
              </w:rPr>
              <w:t>7</w:t>
            </w:r>
          </w:p>
        </w:tc>
        <w:tc>
          <w:tcPr>
            <w:tcW w:w="40" w:type="dxa"/>
            <w:vAlign w:val="bottom"/>
          </w:tcPr>
          <w:p>
            <w:pPr>
              <w:spacing w:after="0"/>
              <w:rPr>
                <w:sz w:val="24"/>
                <w:szCs w:val="24"/>
                <w:color w:val="auto"/>
              </w:rPr>
            </w:pPr>
          </w:p>
        </w:tc>
      </w:tr>
      <w:tr>
        <w:trPr>
          <w:trHeight w:val="240"/>
        </w:trPr>
        <w:tc>
          <w:tcPr>
            <w:tcW w:w="1080" w:type="dxa"/>
            <w:vAlign w:val="bottom"/>
            <w:tcBorders>
              <w:bottom w:val="single" w:sz="8" w:color="010101"/>
            </w:tcBorders>
          </w:tcPr>
          <w:p>
            <w:pPr>
              <w:spacing w:after="0"/>
              <w:rPr>
                <w:sz w:val="20"/>
                <w:szCs w:val="20"/>
                <w:color w:val="auto"/>
              </w:rPr>
            </w:pPr>
          </w:p>
        </w:tc>
        <w:tc>
          <w:tcPr>
            <w:tcW w:w="300" w:type="dxa"/>
            <w:vAlign w:val="bottom"/>
            <w:tcBorders>
              <w:bottom w:val="single" w:sz="8" w:color="010101"/>
            </w:tcBorders>
          </w:tcPr>
          <w:p>
            <w:pPr>
              <w:spacing w:after="0"/>
              <w:rPr>
                <w:sz w:val="20"/>
                <w:szCs w:val="20"/>
                <w:color w:val="auto"/>
              </w:rPr>
            </w:pPr>
          </w:p>
        </w:tc>
        <w:tc>
          <w:tcPr>
            <w:tcW w:w="10040" w:type="dxa"/>
            <w:vAlign w:val="bottom"/>
            <w:tcBorders>
              <w:bottom w:val="single" w:sz="8" w:color="010101"/>
            </w:tcBorders>
          </w:tcPr>
          <w:p>
            <w:pPr>
              <w:spacing w:after="0"/>
              <w:rPr>
                <w:sz w:val="20"/>
                <w:szCs w:val="20"/>
                <w:color w:val="auto"/>
              </w:rPr>
            </w:pPr>
          </w:p>
        </w:tc>
        <w:tc>
          <w:tcPr>
            <w:tcW w:w="40" w:type="dxa"/>
            <w:vAlign w:val="bottom"/>
            <w:tcBorders>
              <w:bottom w:val="single" w:sz="8" w:color="010101"/>
            </w:tcBorders>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3" w:name="page4"/>
    <w:bookmarkEnd w:id="3"/>
    <w:p>
      <w:pPr>
        <w:spacing w:after="0" w:line="4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1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Marvell Technology Group Ltd. Reports Third Quarter</w:t>
      </w:r>
    </w:p>
    <w:p>
      <w:pPr>
        <w:jc w:val="center"/>
        <w:spacing w:after="0" w:line="235" w:lineRule="auto"/>
        <w:rPr>
          <w:sz w:val="20"/>
          <w:szCs w:val="20"/>
          <w:color w:val="auto"/>
        </w:rPr>
      </w:pPr>
      <w:r>
        <w:rPr>
          <w:rFonts w:ascii="Times New Roman" w:cs="Times New Roman" w:eastAsia="Times New Roman" w:hAnsi="Times New Roman"/>
          <w:sz w:val="22"/>
          <w:szCs w:val="22"/>
          <w:b w:val="1"/>
          <w:bCs w:val="1"/>
          <w:color w:val="auto"/>
        </w:rPr>
        <w:t>Fiscal 2008 Results</w:t>
      </w:r>
    </w:p>
    <w:p>
      <w:pPr>
        <w:spacing w:after="0" w:line="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Company Achieves Annual Run Rate of $3 Billion, Record Revenues and Announces Cost Reduction Measures</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ectPr>
          <w:pgSz w:w="11900" w:h="16884" w:orient="portrait"/>
          <w:cols w:equalWidth="0" w:num="1">
            <w:col w:w="11420"/>
          </w:cols>
          <w:pgMar w:left="240" w:top="117" w:right="239" w:bottom="0" w:gutter="0" w:footer="0" w:header="0"/>
        </w:sectPr>
      </w:pPr>
    </w:p>
    <w:p>
      <w:pPr>
        <w:spacing w:after="0" w:line="31"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Mike Rashkin</w:t>
      </w:r>
    </w:p>
    <w:p>
      <w:pPr>
        <w:spacing w:after="0" w:line="9"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Investor Relations</w:t>
      </w:r>
    </w:p>
    <w:p>
      <w:pPr>
        <w:spacing w:after="0" w:line="9"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8"/>
          <w:szCs w:val="18"/>
          <w:color w:val="auto"/>
        </w:rPr>
        <w:t>408-222-2500</w:t>
      </w:r>
    </w:p>
    <w:p>
      <w:pPr>
        <w:spacing w:after="0" w:line="9"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7"/>
          <w:szCs w:val="17"/>
          <w:color w:val="auto"/>
        </w:rPr>
        <w:t>mrashkin@marvell.com</w:t>
      </w:r>
    </w:p>
    <w:p>
      <w:pPr>
        <w:spacing w:after="0" w:line="20" w:lineRule="exact"/>
        <w:rPr>
          <w:sz w:val="20"/>
          <w:szCs w:val="20"/>
          <w:color w:val="auto"/>
        </w:rPr>
      </w:pPr>
      <w:r>
        <w:rPr>
          <w:sz w:val="20"/>
          <w:szCs w:val="20"/>
          <w:color w:val="auto"/>
        </w:rPr>
        <w:br w:type="column"/>
      </w:r>
    </w:p>
    <w:p>
      <w:pPr>
        <w:spacing w:after="0" w:line="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Diane Vanasse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Public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408-242-0027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dvanasse@marvell.com</w:t>
      </w:r>
    </w:p>
    <w:p>
      <w:pPr>
        <w:spacing w:after="0" w:line="200" w:lineRule="exact"/>
        <w:rPr>
          <w:sz w:val="20"/>
          <w:szCs w:val="20"/>
          <w:color w:val="auto"/>
        </w:rPr>
      </w:pPr>
    </w:p>
    <w:p>
      <w:pPr>
        <w:sectPr>
          <w:pgSz w:w="11900" w:h="16884" w:orient="portrait"/>
          <w:cols w:equalWidth="0" w:num="2">
            <w:col w:w="4860" w:space="720"/>
            <w:col w:w="5840"/>
          </w:cols>
          <w:pgMar w:left="240" w:top="117" w:right="239" w:bottom="0" w:gutter="0" w:footer="0" w:header="0"/>
          <w:type w:val="continuous"/>
        </w:sectPr>
      </w:pPr>
    </w:p>
    <w:p>
      <w:pPr>
        <w:spacing w:after="0" w:line="14" w:lineRule="exact"/>
        <w:rPr>
          <w:sz w:val="20"/>
          <w:szCs w:val="20"/>
          <w:color w:val="auto"/>
        </w:rPr>
      </w:pPr>
    </w:p>
    <w:p>
      <w:pPr>
        <w:ind w:right="10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Santa Clara, California (November 27, 2007) </w:t>
      </w:r>
      <w:r>
        <w:rPr>
          <w:rFonts w:ascii="Times New Roman" w:cs="Times New Roman" w:eastAsia="Times New Roman" w:hAnsi="Times New Roman"/>
          <w:sz w:val="18"/>
          <w:szCs w:val="18"/>
          <w:color w:val="auto"/>
        </w:rPr>
        <w:t>— Marvell Technology Group Ltd. (NASDAQ: MRVL), a leader in storage, communications, and consumer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silicon solutions, today reported financial results for its third quarter ended October 27, 2007.</w:t>
      </w:r>
    </w:p>
    <w:p>
      <w:pPr>
        <w:spacing w:after="0" w:line="159"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Net revenue for the third quarter of fiscal 2008 was a record $758.2 million, an increase of 46% over net revenue of $520.4 million for the third quarter of fiscal 2007 and a 15% sequential increase from net revenue of $656.7 million for the second quarter of fiscal 2008. Net loss under generally accepted accounting principles (GAAP) was $6.4 million, or $0.01 per share (diluted), for the third quarter of fiscal 2008, compared with net income under GAAP of $6.0 million, or $0.01 per share (diluted), for the third quarter of fiscal 2007. Shares used to compute GAAP net income per diluted share for the third quarter ended October 27, 2007 decreased to 591 million shares compared with 628 million shares for the third quarter ended October 28, 2006.</w:t>
      </w:r>
    </w:p>
    <w:p>
      <w:pPr>
        <w:spacing w:after="0" w:line="184" w:lineRule="exact"/>
        <w:rPr>
          <w:sz w:val="20"/>
          <w:szCs w:val="20"/>
          <w:color w:val="auto"/>
        </w:rPr>
      </w:pPr>
    </w:p>
    <w:p>
      <w:pPr>
        <w:jc w:val="both"/>
        <w:ind w:right="200"/>
        <w:spacing w:after="0" w:line="266" w:lineRule="auto"/>
        <w:rPr>
          <w:sz w:val="20"/>
          <w:szCs w:val="20"/>
          <w:color w:val="auto"/>
        </w:rPr>
      </w:pPr>
      <w:r>
        <w:rPr>
          <w:rFonts w:ascii="Times New Roman" w:cs="Times New Roman" w:eastAsia="Times New Roman" w:hAnsi="Times New Roman"/>
          <w:sz w:val="18"/>
          <w:szCs w:val="18"/>
          <w:color w:val="auto"/>
        </w:rPr>
        <w:t>Net revenue for the nine months ended October 27, 2007 was $2,050 million, an increase of 27% over net revenue of $1,615.6 million for the nine months ended October 28, 2006. Net loss under GAAP was $115.7 million or $0.20 per share (diluted) for the nine months ended October 27, 2007 compared with net income under GAAP of $128.5 million or $0.20 per share (diluted) for the nine months ended October 28, 2006.</w:t>
      </w:r>
    </w:p>
    <w:p>
      <w:pPr>
        <w:spacing w:after="0" w:line="176" w:lineRule="exact"/>
        <w:rPr>
          <w:sz w:val="20"/>
          <w:szCs w:val="20"/>
          <w:color w:val="auto"/>
        </w:rPr>
      </w:pPr>
    </w:p>
    <w:p>
      <w:pPr>
        <w:ind w:right="420"/>
        <w:spacing w:after="0" w:line="282" w:lineRule="auto"/>
        <w:rPr>
          <w:sz w:val="20"/>
          <w:szCs w:val="20"/>
          <w:color w:val="auto"/>
        </w:rPr>
      </w:pPr>
      <w:r>
        <w:rPr>
          <w:rFonts w:ascii="Times New Roman" w:cs="Times New Roman" w:eastAsia="Times New Roman" w:hAnsi="Times New Roman"/>
          <w:sz w:val="18"/>
          <w:szCs w:val="18"/>
          <w:color w:val="auto"/>
        </w:rPr>
        <w:t>Marvell reports net (loss) income and basic and diluted net (loss) income per share in accordance with GAAP and additionally on a non-GAAP basis. A discussion of Marvell’s use of these non-GAAP financial measures is set forth below, and reconciliations of GAAP net income (loss)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112395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non-GAAP net income for the three and nine months ended October 27, 2007 and October 28, 2006, respectively, appear in the financial statements portion of this release. Non-GAAP net income, where applicable, excludes the effect of stock-based compensation, amortization of acquired intangible assets and cumulative effect of change in accounting principle. Non-GAAP net income was $86.2 million, or $0.14 per share (diluted) for the third quarter of fiscal 2008, compared with non-GAAP net income of $75.6 million, or $0.12 per share (diluted), for the third quarter of fiscal 2007. Shares used to compute non-GAAP net income per diluted share for the third quarter ended October 27, 2007 and October 28, 2006 was 631 million shares, respectively.</w:t>
      </w:r>
    </w:p>
    <w:p>
      <w:pPr>
        <w:spacing w:after="0" w:line="184"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Non-GAAP gross margin for the three months ended October 27, 2007, which included a portion of application and communication processor products at full purchase cost from Intel, was 48.3% compared to non-GAAP gross profit for the three months ended October 28, 2006 of 51.3%.</w:t>
      </w:r>
    </w:p>
    <w:p>
      <w:pPr>
        <w:spacing w:after="0" w:line="162"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Non-GAAP net income was $157.2 million, or $0.25 per share (diluted), for the nine months ended October 27, 2007, compared with non-GAAP net income of $338.3 million, or $0.53 per share (diluted) for the nine months ended October 28, 2006. Shares used in computing non-GAAP net income per share for the nine months ended October 27, 2007 decreased to 632 million shares compared with 639 million shares for the nine months ended October 28, 2006.</w:t>
      </w:r>
    </w:p>
    <w:p>
      <w:pPr>
        <w:spacing w:after="0" w:line="176" w:lineRule="exact"/>
        <w:rPr>
          <w:sz w:val="20"/>
          <w:szCs w:val="20"/>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Non-GAAP gross margin for the nine months ended October 27, 2007, which included a portion of application and communication processor products at full purchase cost from Intel, was 48.9% compared to non-GAAP gross profit for the nine months ended October 28, 2006 of 52.5%.</w:t>
      </w:r>
    </w:p>
    <w:p>
      <w:pPr>
        <w:spacing w:after="0" w:line="162"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“We are extremely pleased with our performance this quarter and see even greater opportunities in the fourth quarter,” stated Dr. Sehat Sutardja, Marvell’s President and CEO. “Marvell achieved record revenues, reached a $3 billion annual run rate and our operating margins and earnings per share on a pro forma basis have exceeded our expectations. The increasing sales trend is a result of our investments in a broad range of technologies and from our ability to efficiently integrate these technologies into superior products across many markets.”</w:t>
      </w:r>
    </w:p>
    <w:p>
      <w:pPr>
        <w:spacing w:after="0" w:line="18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spacing w:after="0" w:line="258" w:lineRule="auto"/>
        <w:rPr>
          <w:sz w:val="20"/>
          <w:szCs w:val="20"/>
          <w:color w:val="auto"/>
        </w:rPr>
      </w:pPr>
      <w:r>
        <w:rPr>
          <w:rFonts w:ascii="Times New Roman" w:cs="Times New Roman" w:eastAsia="Times New Roman" w:hAnsi="Times New Roman"/>
          <w:sz w:val="18"/>
          <w:szCs w:val="18"/>
          <w:color w:val="auto"/>
        </w:rPr>
        <w:t>Today, the Company also announced a plan to reduce operating expenses and help meet financial targets with a worldwide reduction in force of approximately 400 employees, or approximately 7% of the Company’s total workforce. The Company expects to incur a restructuring charge in connection with the plan of up to $8 million in the fourth quarter of fiscal 2008 related to severance and other expenses. The workforce reduction will affect all functions of the Company’s global workforce, and in particular positions based in the United States and Israel, and to a lesser degree, other international locations. The plan is expected to be completed in the fourth quarter of fiscal 2008.</w:t>
      </w:r>
    </w:p>
    <w:p>
      <w:pPr>
        <w:spacing w:after="0" w:line="184" w:lineRule="exact"/>
        <w:rPr>
          <w:sz w:val="20"/>
          <w:szCs w:val="20"/>
          <w:color w:val="auto"/>
        </w:rPr>
      </w:pPr>
    </w:p>
    <w:p>
      <w:pPr>
        <w:jc w:val="both"/>
        <w:ind w:right="520"/>
        <w:spacing w:after="0" w:line="266" w:lineRule="auto"/>
        <w:rPr>
          <w:sz w:val="20"/>
          <w:szCs w:val="20"/>
          <w:color w:val="auto"/>
        </w:rPr>
      </w:pPr>
      <w:r>
        <w:rPr>
          <w:rFonts w:ascii="Times New Roman" w:cs="Times New Roman" w:eastAsia="Times New Roman" w:hAnsi="Times New Roman"/>
          <w:sz w:val="18"/>
          <w:szCs w:val="18"/>
          <w:color w:val="auto"/>
        </w:rPr>
        <w:t>“It is difficult to announce changes to our workforce, but we have made this decision with the utmost care and respect for the hardworking and talented individuals involved,” continued Dr. Sutardja. “Marvell is making progress to reduce costs and streamline operations, and we view this as a necessary additional step towards achieving our long-term financial model.”</w:t>
      </w:r>
    </w:p>
    <w:p>
      <w:pPr>
        <w:spacing w:after="0" w:line="176"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Marvell will be conducting a conference call today at 1:45 p.m. PST to discuss its third quarter business. The call is being webcast by Thomson/CCBN and can be accessed at Marvell’s web site at www.marvell.com. The webcast is also being distributed through Thomson StreetEvents Network. Individual investors can listen to the call at www.earnings.com, Thomson’s individual investor portal, powered by StreetEvents. Institutional investors can access the call via Thomson StreetEvents (www.streetevents.com), a password-protected event management site. The conference call will also be available via the web at www.marvell.com. Please visit the Investor Events section. Replay on the Internet will be available until November 27, 2008.</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Discussion of Non-GAAP Financial Measures</w:t>
      </w:r>
    </w:p>
    <w:p>
      <w:pPr>
        <w:spacing w:after="0" w:line="31" w:lineRule="exact"/>
        <w:rPr>
          <w:sz w:val="20"/>
          <w:szCs w:val="20"/>
          <w:color w:val="auto"/>
        </w:rPr>
      </w:pPr>
    </w:p>
    <w:p>
      <w:pPr>
        <w:ind w:right="20"/>
        <w:spacing w:after="0" w:line="290" w:lineRule="auto"/>
        <w:rPr>
          <w:sz w:val="20"/>
          <w:szCs w:val="20"/>
          <w:color w:val="auto"/>
        </w:rPr>
      </w:pPr>
      <w:r>
        <w:rPr>
          <w:rFonts w:ascii="Times New Roman" w:cs="Times New Roman" w:eastAsia="Times New Roman" w:hAnsi="Times New Roman"/>
          <w:sz w:val="17"/>
          <w:szCs w:val="17"/>
          <w:color w:val="auto"/>
        </w:rPr>
        <w:t>Non-GAAP net income consists of net income excluding stock-based compensation expense as well as charges related to acquisitions and other charges and gains that are driven primarily by discrete events that management does not consider to be directly related to the company’s core operating performance. Non-</w:t>
      </w:r>
    </w:p>
    <w:p>
      <w:pPr>
        <w:sectPr>
          <w:pgSz w:w="11900" w:h="16884" w:orient="portrait"/>
          <w:cols w:equalWidth="0" w:num="1">
            <w:col w:w="11420"/>
          </w:cols>
          <w:pgMar w:left="240" w:top="117" w:right="239" w:bottom="0" w:gutter="0" w:footer="0" w:header="0"/>
          <w:type w:val="continuous"/>
        </w:sectPr>
      </w:pPr>
    </w:p>
    <w:bookmarkStart w:id="4" w:name="page5"/>
    <w:bookmarkEnd w:id="4"/>
    <w:p>
      <w:pPr>
        <w:spacing w:after="0" w:line="5" w:lineRule="exact"/>
        <w:rPr>
          <w:sz w:val="20"/>
          <w:szCs w:val="20"/>
          <w:color w:val="auto"/>
        </w:rPr>
      </w:pPr>
    </w:p>
    <w:p>
      <w:pPr>
        <w:ind w:right="100"/>
        <w:spacing w:after="0" w:line="282" w:lineRule="auto"/>
        <w:rPr>
          <w:sz w:val="20"/>
          <w:szCs w:val="20"/>
          <w:color w:val="auto"/>
        </w:rPr>
      </w:pPr>
      <w:r>
        <w:rPr>
          <w:rFonts w:ascii="Times New Roman" w:cs="Times New Roman" w:eastAsia="Times New Roman" w:hAnsi="Times New Roman"/>
          <w:sz w:val="18"/>
          <w:szCs w:val="18"/>
          <w:color w:val="auto"/>
        </w:rPr>
        <w:t>GAAP net income per share is calculated by dividing non-GAAP net income by adjusted GAAP weighted average shares outstanding (diluted). For purposes of calculating non-GAAP net income per share, the calculation of GAAP weighted average shares</w:t>
      </w:r>
    </w:p>
    <w:p>
      <w:pPr>
        <w:spacing w:after="0" w:line="3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outstanding (diluted) is adjusted to exclude the benefits of compensation costs attributable to future services and not yet recognized in the financial statements that are treated as proceeds assumed to be used to repurchase shares under the GAAP treasury stock method and also includes the antidilutive effects of warrants, common stock options and restricted stock.</w:t>
      </w:r>
    </w:p>
    <w:p>
      <w:pPr>
        <w:spacing w:after="0" w:line="176" w:lineRule="exact"/>
        <w:rPr>
          <w:sz w:val="20"/>
          <w:szCs w:val="20"/>
          <w:color w:val="auto"/>
        </w:rPr>
      </w:pPr>
    </w:p>
    <w:p>
      <w:pPr>
        <w:ind w:right="380"/>
        <w:spacing w:after="0" w:line="256" w:lineRule="auto"/>
        <w:rPr>
          <w:sz w:val="20"/>
          <w:szCs w:val="20"/>
          <w:color w:val="auto"/>
        </w:rPr>
      </w:pPr>
      <w:r>
        <w:rPr>
          <w:rFonts w:ascii="Times New Roman" w:cs="Times New Roman" w:eastAsia="Times New Roman" w:hAnsi="Times New Roman"/>
          <w:sz w:val="18"/>
          <w:szCs w:val="18"/>
          <w:color w:val="auto"/>
        </w:rPr>
        <w:t xml:space="preserve">Marvell believes that the presentation of non-GAAP net income and non-GAAP net income per share provides important supplemental information to management and investors regarding financial and business trends relating to the company’s financial condition and results of operations. For further information regarding why Marvell believes that these non-GAAP measures provide useful information to investors, the specific manner in which management uses these measures, and some of the limitations associated with the use of these measures, please refer to the company’s Current Report on Form 8-K filed today with the SEC. The Form 8-K is available on the SEC’s website at </w:t>
      </w:r>
      <w:r>
        <w:rPr>
          <w:rFonts w:ascii="Times New Roman" w:cs="Times New Roman" w:eastAsia="Times New Roman" w:hAnsi="Times New Roman"/>
          <w:sz w:val="18"/>
          <w:szCs w:val="18"/>
          <w:b w:val="1"/>
          <w:bCs w:val="1"/>
          <w:color w:val="auto"/>
        </w:rPr>
        <w:t>www.sec.gov</w:t>
      </w:r>
      <w:r>
        <w:rPr>
          <w:rFonts w:ascii="Times New Roman" w:cs="Times New Roman" w:eastAsia="Times New Roman" w:hAnsi="Times New Roman"/>
          <w:sz w:val="18"/>
          <w:szCs w:val="18"/>
          <w:color w:val="auto"/>
        </w:rPr>
        <w:t xml:space="preserve"> as well as on the Marvell website in the Investors Relations section at www.marvell.com.</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229"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include statements regarding our annual run rate, our ability to monetize our investments, our ability to efficiently integrate technologies, and the timing and amount of expected severance charges and future cash expenditure under the plan. These statements are not guarantees of results and are subject to risks and uncertainties that could cause actual results to differ materially from those anticipated in the</w:t>
      </w: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forward-looking statements. When Marvell files its Form 10-Q for the third quarter of fiscal 2008,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Annual Report on Form 10-K, Quarterly Reports on Form 10-Q and Current Reports on Form 8-K, as filed with the Securities and Exchange Commission and other factors detailed from time to time in Marvell’s filings with the Securities and Exchange Commission. Marvell undertakes no obligation to revise or update publicly any forward-looking statements.</w:t>
      </w:r>
    </w:p>
    <w:p>
      <w:pPr>
        <w:spacing w:after="0" w:line="1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30"/>
          <w:szCs w:val="30"/>
          <w:i w:val="1"/>
          <w:iCs w:val="1"/>
          <w:color w:val="auto"/>
          <w:vertAlign w:val="superscript"/>
        </w:rPr>
        <w:t>®</w:t>
      </w:r>
      <w:r>
        <w:rPr>
          <w:rFonts w:ascii="Times New Roman" w:cs="Times New Roman" w:eastAsia="Times New Roman" w:hAnsi="Times New Roman"/>
          <w:sz w:val="18"/>
          <w:szCs w:val="18"/>
          <w:i w:val="1"/>
          <w:iCs w:val="1"/>
          <w:color w:val="auto"/>
        </w:rPr>
        <w:t xml:space="preserve"> and the Marvell logo are trademarks of Marvell.</w:t>
      </w:r>
    </w:p>
    <w:p>
      <w:pPr>
        <w:spacing w:after="0" w:line="34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83820</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Operations</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0"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50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920" w:type="dxa"/>
            <w:vAlign w:val="bottom"/>
            <w:gridSpan w:val="5"/>
          </w:tcPr>
          <w:p>
            <w:pPr>
              <w:ind w:left="60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40" w:type="dxa"/>
            <w:vAlign w:val="bottom"/>
          </w:tcPr>
          <w:p>
            <w:pPr>
              <w:spacing w:after="0"/>
              <w:rPr>
                <w:sz w:val="15"/>
                <w:szCs w:val="15"/>
                <w:color w:val="auto"/>
              </w:rPr>
            </w:pPr>
          </w:p>
        </w:tc>
        <w:tc>
          <w:tcPr>
            <w:tcW w:w="2920" w:type="dxa"/>
            <w:vAlign w:val="bottom"/>
            <w:gridSpan w:val="5"/>
          </w:tcPr>
          <w:p>
            <w:pPr>
              <w:ind w:left="680"/>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17"/>
        </w:trPr>
        <w:tc>
          <w:tcPr>
            <w:tcW w:w="508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460" w:type="dxa"/>
            <w:vAlign w:val="bottom"/>
            <w:tcBorders>
              <w:top w:val="single" w:sz="8" w:color="auto"/>
            </w:tcBorders>
            <w:gridSpan w:val="2"/>
          </w:tcPr>
          <w:p>
            <w:pPr>
              <w:ind w:left="160"/>
              <w:spacing w:after="0" w:line="118" w:lineRule="exact"/>
              <w:rPr>
                <w:sz w:val="20"/>
                <w:szCs w:val="20"/>
                <w:color w:val="auto"/>
              </w:rPr>
            </w:pPr>
            <w:r>
              <w:rPr>
                <w:rFonts w:ascii="Times New Roman" w:cs="Times New Roman" w:eastAsia="Times New Roman" w:hAnsi="Times New Roman"/>
                <w:sz w:val="13"/>
                <w:szCs w:val="13"/>
                <w:b w:val="1"/>
                <w:bCs w:val="1"/>
                <w:color w:val="auto"/>
              </w:rPr>
              <w:t>October 27,</w:t>
            </w:r>
          </w:p>
        </w:tc>
        <w:tc>
          <w:tcPr>
            <w:tcW w:w="20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tcPr>
          <w:p>
            <w:pPr>
              <w:jc w:val="right"/>
              <w:ind w:right="217"/>
              <w:spacing w:after="0" w:line="118" w:lineRule="exact"/>
              <w:rPr>
                <w:sz w:val="20"/>
                <w:szCs w:val="20"/>
                <w:color w:val="auto"/>
              </w:rPr>
            </w:pPr>
            <w:r>
              <w:rPr>
                <w:rFonts w:ascii="Times New Roman" w:cs="Times New Roman" w:eastAsia="Times New Roman" w:hAnsi="Times New Roman"/>
                <w:sz w:val="13"/>
                <w:szCs w:val="13"/>
                <w:b w:val="1"/>
                <w:bCs w:val="1"/>
                <w:color w:val="auto"/>
              </w:rPr>
              <w:t>October 28,</w:t>
            </w:r>
          </w:p>
        </w:tc>
        <w:tc>
          <w:tcPr>
            <w:tcW w:w="140" w:type="dxa"/>
            <w:vAlign w:val="bottom"/>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1380" w:type="dxa"/>
            <w:vAlign w:val="bottom"/>
            <w:tcBorders>
              <w:top w:val="single" w:sz="8" w:color="auto"/>
            </w:tcBorders>
            <w:gridSpan w:val="2"/>
          </w:tcPr>
          <w:p>
            <w:pPr>
              <w:ind w:left="140"/>
              <w:spacing w:after="0" w:line="118" w:lineRule="exact"/>
              <w:rPr>
                <w:sz w:val="20"/>
                <w:szCs w:val="20"/>
                <w:color w:val="auto"/>
              </w:rPr>
            </w:pPr>
            <w:r>
              <w:rPr>
                <w:rFonts w:ascii="Times New Roman" w:cs="Times New Roman" w:eastAsia="Times New Roman" w:hAnsi="Times New Roman"/>
                <w:sz w:val="13"/>
                <w:szCs w:val="13"/>
                <w:b w:val="1"/>
                <w:bCs w:val="1"/>
                <w:color w:val="auto"/>
              </w:rPr>
              <w:t>October 27,</w:t>
            </w:r>
          </w:p>
        </w:tc>
        <w:tc>
          <w:tcPr>
            <w:tcW w:w="22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tcPr>
          <w:p>
            <w:pPr>
              <w:jc w:val="right"/>
              <w:ind w:right="277"/>
              <w:spacing w:after="0" w:line="118" w:lineRule="exact"/>
              <w:rPr>
                <w:sz w:val="20"/>
                <w:szCs w:val="20"/>
                <w:color w:val="auto"/>
              </w:rPr>
            </w:pPr>
            <w:r>
              <w:rPr>
                <w:rFonts w:ascii="Times New Roman" w:cs="Times New Roman" w:eastAsia="Times New Roman" w:hAnsi="Times New Roman"/>
                <w:sz w:val="13"/>
                <w:szCs w:val="13"/>
                <w:b w:val="1"/>
                <w:bCs w:val="1"/>
                <w:color w:val="auto"/>
              </w:rPr>
              <w:t>October 28,</w:t>
            </w:r>
          </w:p>
        </w:tc>
        <w:tc>
          <w:tcPr>
            <w:tcW w:w="100" w:type="dxa"/>
            <w:vAlign w:val="bottom"/>
          </w:tcPr>
          <w:p>
            <w:pPr>
              <w:spacing w:after="0"/>
              <w:rPr>
                <w:sz w:val="10"/>
                <w:szCs w:val="10"/>
                <w:color w:val="auto"/>
              </w:rPr>
            </w:pPr>
          </w:p>
        </w:tc>
      </w:tr>
      <w:tr>
        <w:trPr>
          <w:trHeight w:val="173"/>
        </w:trPr>
        <w:tc>
          <w:tcPr>
            <w:tcW w:w="5080" w:type="dxa"/>
            <w:vAlign w:val="bottom"/>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1300" w:type="dxa"/>
            <w:vAlign w:val="bottom"/>
            <w:tcBorders>
              <w:bottom w:val="single" w:sz="8" w:color="auto"/>
            </w:tcBorders>
          </w:tcPr>
          <w:p>
            <w:pPr>
              <w:jc w:val="right"/>
              <w:ind w:right="558"/>
              <w:spacing w:after="0"/>
              <w:rPr>
                <w:sz w:val="20"/>
                <w:szCs w:val="20"/>
                <w:color w:val="auto"/>
              </w:rPr>
            </w:pPr>
            <w:r>
              <w:rPr>
                <w:rFonts w:ascii="Times New Roman" w:cs="Times New Roman" w:eastAsia="Times New Roman" w:hAnsi="Times New Roman"/>
                <w:sz w:val="14"/>
                <w:szCs w:val="14"/>
                <w:b w:val="1"/>
                <w:bCs w:val="1"/>
                <w:color w:val="auto"/>
              </w:rPr>
              <w:t>2007</w:t>
            </w:r>
          </w:p>
        </w:tc>
        <w:tc>
          <w:tcPr>
            <w:tcW w:w="16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ind w:right="437"/>
              <w:spacing w:after="0"/>
              <w:rPr>
                <w:sz w:val="20"/>
                <w:szCs w:val="20"/>
                <w:color w:val="auto"/>
              </w:rPr>
            </w:pPr>
            <w:r>
              <w:rPr>
                <w:rFonts w:ascii="Times New Roman" w:cs="Times New Roman" w:eastAsia="Times New Roman" w:hAnsi="Times New Roman"/>
                <w:sz w:val="14"/>
                <w:szCs w:val="14"/>
                <w:b w:val="1"/>
                <w:bCs w:val="1"/>
                <w:color w:val="auto"/>
              </w:rPr>
              <w:t>2006</w:t>
            </w:r>
          </w:p>
        </w:tc>
        <w:tc>
          <w:tcPr>
            <w:tcW w:w="140" w:type="dxa"/>
            <w:vAlign w:val="bottom"/>
          </w:tcPr>
          <w:p>
            <w:pPr>
              <w:spacing w:after="0"/>
              <w:rPr>
                <w:sz w:val="15"/>
                <w:szCs w:val="15"/>
                <w:color w:val="auto"/>
              </w:rPr>
            </w:pPr>
          </w:p>
        </w:tc>
        <w:tc>
          <w:tcPr>
            <w:tcW w:w="240" w:type="dxa"/>
            <w:vAlign w:val="bottom"/>
            <w:tcBorders>
              <w:bottom w:val="single" w:sz="8" w:color="auto"/>
            </w:tcBorders>
          </w:tcPr>
          <w:p>
            <w:pPr>
              <w:spacing w:after="0"/>
              <w:rPr>
                <w:sz w:val="15"/>
                <w:szCs w:val="15"/>
                <w:color w:val="auto"/>
              </w:rPr>
            </w:pPr>
          </w:p>
        </w:tc>
        <w:tc>
          <w:tcPr>
            <w:tcW w:w="1240" w:type="dxa"/>
            <w:vAlign w:val="bottom"/>
            <w:tcBorders>
              <w:bottom w:val="single" w:sz="8" w:color="auto"/>
            </w:tcBorders>
          </w:tcPr>
          <w:p>
            <w:pPr>
              <w:jc w:val="right"/>
              <w:ind w:right="518"/>
              <w:spacing w:after="0"/>
              <w:rPr>
                <w:sz w:val="20"/>
                <w:szCs w:val="20"/>
                <w:color w:val="auto"/>
              </w:rPr>
            </w:pPr>
            <w:r>
              <w:rPr>
                <w:rFonts w:ascii="Times New Roman" w:cs="Times New Roman" w:eastAsia="Times New Roman" w:hAnsi="Times New Roman"/>
                <w:sz w:val="14"/>
                <w:szCs w:val="14"/>
                <w:b w:val="1"/>
                <w:bCs w:val="1"/>
                <w:color w:val="auto"/>
              </w:rPr>
              <w:t>2007</w:t>
            </w:r>
          </w:p>
        </w:tc>
        <w:tc>
          <w:tcPr>
            <w:tcW w:w="14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220" w:type="dxa"/>
            <w:vAlign w:val="bottom"/>
            <w:tcBorders>
              <w:bottom w:val="single" w:sz="8" w:color="auto"/>
            </w:tcBorders>
          </w:tcPr>
          <w:p>
            <w:pPr>
              <w:jc w:val="right"/>
              <w:ind w:right="497"/>
              <w:spacing w:after="0"/>
              <w:rPr>
                <w:sz w:val="20"/>
                <w:szCs w:val="20"/>
                <w:color w:val="auto"/>
              </w:rPr>
            </w:pPr>
            <w:r>
              <w:rPr>
                <w:rFonts w:ascii="Times New Roman" w:cs="Times New Roman" w:eastAsia="Times New Roman" w:hAnsi="Times New Roman"/>
                <w:sz w:val="14"/>
                <w:szCs w:val="14"/>
                <w:b w:val="1"/>
                <w:bCs w:val="1"/>
                <w:color w:val="auto"/>
              </w:rPr>
              <w:t>2006</w:t>
            </w:r>
          </w:p>
        </w:tc>
        <w:tc>
          <w:tcPr>
            <w:tcW w:w="100" w:type="dxa"/>
            <w:vAlign w:val="bottom"/>
          </w:tcPr>
          <w:p>
            <w:pPr>
              <w:spacing w:after="0"/>
              <w:rPr>
                <w:sz w:val="15"/>
                <w:szCs w:val="15"/>
                <w:color w:val="auto"/>
              </w:rPr>
            </w:pPr>
          </w:p>
        </w:tc>
      </w:tr>
      <w:tr>
        <w:trPr>
          <w:trHeight w:val="210"/>
        </w:trPr>
        <w:tc>
          <w:tcPr>
            <w:tcW w:w="50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50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Net revenue</w:t>
            </w:r>
          </w:p>
        </w:tc>
        <w:tc>
          <w:tcPr>
            <w:tcW w:w="260" w:type="dxa"/>
            <w:vAlign w:val="bottom"/>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758,246</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520,398</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w w:val="88"/>
              </w:rPr>
              <w:t>$</w:t>
            </w:r>
          </w:p>
        </w:tc>
        <w:tc>
          <w:tcPr>
            <w:tcW w:w="1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2,050,007</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1,615,579</w:t>
            </w:r>
          </w:p>
        </w:tc>
        <w:tc>
          <w:tcPr>
            <w:tcW w:w="100" w:type="dxa"/>
            <w:vAlign w:val="bottom"/>
            <w:shd w:val="clear" w:color="auto" w:fill="CCEEFF"/>
          </w:tcPr>
          <w:p>
            <w:pPr>
              <w:spacing w:after="0"/>
              <w:rPr>
                <w:sz w:val="18"/>
                <w:szCs w:val="18"/>
                <w:color w:val="auto"/>
              </w:rPr>
            </w:pPr>
          </w:p>
        </w:tc>
      </w:tr>
      <w:tr>
        <w:trPr>
          <w:trHeight w:val="216"/>
        </w:trPr>
        <w:tc>
          <w:tcPr>
            <w:tcW w:w="5080" w:type="dxa"/>
            <w:vAlign w:val="bottom"/>
            <w:tcBorders>
              <w:bottom w:val="single" w:sz="8" w:color="CCEEFF"/>
            </w:tcBorders>
          </w:tcPr>
          <w:p>
            <w:pPr>
              <w:ind w:left="20"/>
              <w:spacing w:after="0"/>
              <w:rPr>
                <w:sz w:val="20"/>
                <w:szCs w:val="20"/>
                <w:color w:val="auto"/>
              </w:rPr>
            </w:pPr>
            <w:r>
              <w:rPr>
                <w:rFonts w:ascii="Times New Roman" w:cs="Times New Roman" w:eastAsia="Times New Roman" w:hAnsi="Times New Roman"/>
                <w:sz w:val="18"/>
                <w:szCs w:val="18"/>
                <w:color w:val="auto"/>
              </w:rPr>
              <w:t>Cost of goods sold</w:t>
            </w:r>
          </w:p>
        </w:tc>
        <w:tc>
          <w:tcPr>
            <w:tcW w:w="260" w:type="dxa"/>
            <w:vAlign w:val="bottom"/>
            <w:tcBorders>
              <w:bottom w:val="single" w:sz="8" w:color="auto"/>
            </w:tcBorders>
          </w:tcPr>
          <w:p>
            <w:pPr>
              <w:spacing w:after="0"/>
              <w:rPr>
                <w:sz w:val="18"/>
                <w:szCs w:val="18"/>
                <w:color w:val="auto"/>
              </w:rPr>
            </w:pPr>
          </w:p>
        </w:tc>
        <w:tc>
          <w:tcPr>
            <w:tcW w:w="13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396,209</w:t>
            </w:r>
          </w:p>
        </w:tc>
        <w:tc>
          <w:tcPr>
            <w:tcW w:w="16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256,090</w:t>
            </w:r>
          </w:p>
        </w:tc>
        <w:tc>
          <w:tcPr>
            <w:tcW w:w="1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2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1,059,156</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775,398</w:t>
            </w:r>
          </w:p>
        </w:tc>
        <w:tc>
          <w:tcPr>
            <w:tcW w:w="100" w:type="dxa"/>
            <w:vAlign w:val="bottom"/>
            <w:tcBorders>
              <w:bottom w:val="single" w:sz="8" w:color="CCEEFF"/>
            </w:tcBorders>
          </w:tcPr>
          <w:p>
            <w:pPr>
              <w:spacing w:after="0"/>
              <w:rPr>
                <w:sz w:val="18"/>
                <w:szCs w:val="18"/>
                <w:color w:val="auto"/>
              </w:rPr>
            </w:pPr>
          </w:p>
        </w:tc>
      </w:tr>
      <w:tr>
        <w:trPr>
          <w:trHeight w:val="210"/>
        </w:trPr>
        <w:tc>
          <w:tcPr>
            <w:tcW w:w="50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Gross profit</w:t>
            </w:r>
          </w:p>
        </w:tc>
        <w:tc>
          <w:tcPr>
            <w:tcW w:w="260" w:type="dxa"/>
            <w:vAlign w:val="bottom"/>
            <w:shd w:val="clear" w:color="auto" w:fill="CCEEFF"/>
          </w:tcPr>
          <w:p>
            <w:pPr>
              <w:spacing w:after="0"/>
              <w:rPr>
                <w:sz w:val="18"/>
                <w:szCs w:val="18"/>
                <w:color w:val="auto"/>
              </w:rPr>
            </w:pP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362,037</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264,308</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990,851</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840,181</w:t>
            </w:r>
          </w:p>
        </w:tc>
        <w:tc>
          <w:tcPr>
            <w:tcW w:w="100" w:type="dxa"/>
            <w:vAlign w:val="bottom"/>
            <w:shd w:val="clear" w:color="auto" w:fill="CCEEFF"/>
          </w:tcPr>
          <w:p>
            <w:pPr>
              <w:spacing w:after="0"/>
              <w:rPr>
                <w:sz w:val="18"/>
                <w:szCs w:val="18"/>
                <w:color w:val="auto"/>
              </w:rPr>
            </w:pPr>
          </w:p>
        </w:tc>
      </w:tr>
      <w:tr>
        <w:trPr>
          <w:trHeight w:val="216"/>
        </w:trPr>
        <w:tc>
          <w:tcPr>
            <w:tcW w:w="5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Operating expenses:</w:t>
            </w:r>
          </w:p>
        </w:tc>
        <w:tc>
          <w:tcPr>
            <w:tcW w:w="2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508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Research and development and other</w:t>
            </w:r>
          </w:p>
        </w:tc>
        <w:tc>
          <w:tcPr>
            <w:tcW w:w="260" w:type="dxa"/>
            <w:vAlign w:val="bottom"/>
            <w:shd w:val="clear" w:color="auto" w:fill="CCEEFF"/>
          </w:tcPr>
          <w:p>
            <w:pPr>
              <w:spacing w:after="0"/>
              <w:rPr>
                <w:sz w:val="18"/>
                <w:szCs w:val="18"/>
                <w:color w:val="auto"/>
              </w:rPr>
            </w:pPr>
          </w:p>
        </w:tc>
        <w:tc>
          <w:tcPr>
            <w:tcW w:w="13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252,205</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152,939</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722,532</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434,812</w:t>
            </w:r>
          </w:p>
        </w:tc>
        <w:tc>
          <w:tcPr>
            <w:tcW w:w="100" w:type="dxa"/>
            <w:vAlign w:val="bottom"/>
            <w:shd w:val="clear" w:color="auto" w:fill="CCEEFF"/>
          </w:tcPr>
          <w:p>
            <w:pPr>
              <w:spacing w:after="0"/>
              <w:rPr>
                <w:sz w:val="18"/>
                <w:szCs w:val="18"/>
                <w:color w:val="auto"/>
              </w:rPr>
            </w:pPr>
          </w:p>
        </w:tc>
      </w:tr>
    </w:tbl>
    <w:p>
      <w:pPr>
        <w:sectPr>
          <w:pgSz w:w="11900" w:h="16843" w:orient="portrait"/>
          <w:cols w:equalWidth="0" w:num="1">
            <w:col w:w="11420"/>
          </w:cols>
          <w:pgMar w:left="240" w:top="121" w:right="239" w:bottom="0" w:gutter="0" w:footer="0" w:header="0"/>
        </w:sectPr>
      </w:pPr>
    </w:p>
    <w:bookmarkStart w:id="5" w:name="page6"/>
    <w:bookmarkEnd w:id="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08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Selling and marketing</w:t>
            </w:r>
          </w:p>
        </w:tc>
        <w:tc>
          <w:tcPr>
            <w:tcW w:w="5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46,423</w:t>
            </w:r>
          </w:p>
        </w:tc>
        <w:tc>
          <w:tcPr>
            <w:tcW w:w="1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37,875</w:t>
            </w:r>
          </w:p>
        </w:tc>
        <w:tc>
          <w:tcPr>
            <w:tcW w:w="14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150,757</w:t>
            </w:r>
          </w:p>
        </w:tc>
        <w:tc>
          <w:tcPr>
            <w:tcW w:w="1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116,004</w:t>
            </w:r>
          </w:p>
        </w:tc>
        <w:tc>
          <w:tcPr>
            <w:tcW w:w="100" w:type="dxa"/>
            <w:vAlign w:val="bottom"/>
          </w:tcPr>
          <w:p>
            <w:pPr>
              <w:spacing w:after="0"/>
              <w:rPr>
                <w:sz w:val="20"/>
                <w:szCs w:val="20"/>
                <w:color w:val="auto"/>
              </w:rPr>
            </w:pPr>
          </w:p>
        </w:tc>
      </w:tr>
      <w:tr>
        <w:trPr>
          <w:trHeight w:val="216"/>
        </w:trPr>
        <w:tc>
          <w:tcPr>
            <w:tcW w:w="508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54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32,537</w:t>
            </w:r>
          </w:p>
        </w:tc>
        <w:tc>
          <w:tcPr>
            <w:tcW w:w="1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40,427</w:t>
            </w: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90,300</w:t>
            </w: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78,674</w:t>
            </w:r>
          </w:p>
        </w:tc>
        <w:tc>
          <w:tcPr>
            <w:tcW w:w="100" w:type="dxa"/>
            <w:vAlign w:val="bottom"/>
            <w:shd w:val="clear" w:color="auto" w:fill="CCEEFF"/>
          </w:tcPr>
          <w:p>
            <w:pPr>
              <w:spacing w:after="0"/>
              <w:rPr>
                <w:sz w:val="18"/>
                <w:szCs w:val="18"/>
                <w:color w:val="auto"/>
              </w:rPr>
            </w:pPr>
          </w:p>
        </w:tc>
      </w:tr>
      <w:tr>
        <w:trPr>
          <w:trHeight w:val="216"/>
        </w:trPr>
        <w:tc>
          <w:tcPr>
            <w:tcW w:w="5080" w:type="dxa"/>
            <w:vAlign w:val="bottom"/>
            <w:tcBorders>
              <w:bottom w:val="single" w:sz="8" w:color="CCEEFF"/>
            </w:tcBorders>
          </w:tcPr>
          <w:p>
            <w:pPr>
              <w:ind w:left="20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54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37,311</w:t>
            </w:r>
          </w:p>
        </w:tc>
        <w:tc>
          <w:tcPr>
            <w:tcW w:w="160" w:type="dxa"/>
            <w:vAlign w:val="bottom"/>
            <w:tcBorders>
              <w:bottom w:val="single" w:sz="8" w:color="CCEEFF"/>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27,405</w:t>
            </w:r>
          </w:p>
        </w:tc>
        <w:tc>
          <w:tcPr>
            <w:tcW w:w="140" w:type="dxa"/>
            <w:vAlign w:val="bottom"/>
            <w:tcBorders>
              <w:bottom w:val="single" w:sz="8" w:color="CCEEFF"/>
            </w:tcBorders>
          </w:tcPr>
          <w:p>
            <w:pPr>
              <w:spacing w:after="0"/>
              <w:rPr>
                <w:sz w:val="18"/>
                <w:szCs w:val="18"/>
                <w:color w:val="auto"/>
              </w:rPr>
            </w:pPr>
          </w:p>
        </w:tc>
        <w:tc>
          <w:tcPr>
            <w:tcW w:w="42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111,924</w:t>
            </w:r>
          </w:p>
        </w:tc>
        <w:tc>
          <w:tcPr>
            <w:tcW w:w="140" w:type="dxa"/>
            <w:vAlign w:val="bottom"/>
            <w:tcBorders>
              <w:bottom w:val="single" w:sz="8" w:color="CCEEFF"/>
            </w:tcBorders>
          </w:tcPr>
          <w:p>
            <w:pPr>
              <w:spacing w:after="0"/>
              <w:rPr>
                <w:sz w:val="18"/>
                <w:szCs w:val="18"/>
                <w:color w:val="auto"/>
              </w:rPr>
            </w:pPr>
          </w:p>
        </w:tc>
        <w:tc>
          <w:tcPr>
            <w:tcW w:w="46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72,161</w:t>
            </w:r>
          </w:p>
        </w:tc>
        <w:tc>
          <w:tcPr>
            <w:tcW w:w="100" w:type="dxa"/>
            <w:vAlign w:val="bottom"/>
            <w:tcBorders>
              <w:bottom w:val="single" w:sz="8" w:color="CCEEFF"/>
            </w:tcBorders>
          </w:tcPr>
          <w:p>
            <w:pPr>
              <w:spacing w:after="0"/>
              <w:rPr>
                <w:sz w:val="18"/>
                <w:szCs w:val="18"/>
                <w:color w:val="auto"/>
              </w:rPr>
            </w:pPr>
          </w:p>
        </w:tc>
      </w:tr>
      <w:tr>
        <w:trPr>
          <w:trHeight w:val="210"/>
        </w:trPr>
        <w:tc>
          <w:tcPr>
            <w:tcW w:w="5080" w:type="dxa"/>
            <w:vAlign w:val="bottom"/>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Total operating expenses</w:t>
            </w:r>
          </w:p>
        </w:tc>
        <w:tc>
          <w:tcPr>
            <w:tcW w:w="54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368,476</w:t>
            </w:r>
          </w:p>
        </w:tc>
        <w:tc>
          <w:tcPr>
            <w:tcW w:w="160" w:type="dxa"/>
            <w:vAlign w:val="bottom"/>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258,646</w:t>
            </w:r>
          </w:p>
        </w:tc>
        <w:tc>
          <w:tcPr>
            <w:tcW w:w="140" w:type="dxa"/>
            <w:vAlign w:val="bottom"/>
            <w:shd w:val="clear" w:color="auto" w:fill="CCEEFF"/>
          </w:tcPr>
          <w:p>
            <w:pPr>
              <w:spacing w:after="0"/>
              <w:rPr>
                <w:sz w:val="18"/>
                <w:szCs w:val="18"/>
                <w:color w:val="auto"/>
              </w:rPr>
            </w:pPr>
          </w:p>
        </w:tc>
        <w:tc>
          <w:tcPr>
            <w:tcW w:w="42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1,075,513</w:t>
            </w:r>
          </w:p>
        </w:tc>
        <w:tc>
          <w:tcPr>
            <w:tcW w:w="140" w:type="dxa"/>
            <w:vAlign w:val="bottom"/>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701,651</w:t>
            </w:r>
          </w:p>
        </w:tc>
        <w:tc>
          <w:tcPr>
            <w:tcW w:w="100" w:type="dxa"/>
            <w:vAlign w:val="bottom"/>
            <w:shd w:val="clear" w:color="auto" w:fill="CCEEFF"/>
          </w:tcPr>
          <w:p>
            <w:pPr>
              <w:spacing w:after="0"/>
              <w:rPr>
                <w:sz w:val="18"/>
                <w:szCs w:val="18"/>
                <w:color w:val="auto"/>
              </w:rPr>
            </w:pPr>
          </w:p>
        </w:tc>
      </w:tr>
      <w:tr>
        <w:trPr>
          <w:trHeight w:val="210"/>
        </w:trPr>
        <w:tc>
          <w:tcPr>
            <w:tcW w:w="5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Operating income (loss)</w:t>
            </w:r>
          </w:p>
        </w:tc>
        <w:tc>
          <w:tcPr>
            <w:tcW w:w="54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(6,439</w:t>
            </w: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w:t>
            </w:r>
          </w:p>
        </w:tc>
        <w:tc>
          <w:tcPr>
            <w:tcW w:w="4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5,662</w:t>
            </w:r>
          </w:p>
        </w:tc>
        <w:tc>
          <w:tcPr>
            <w:tcW w:w="1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(84,662</w:t>
            </w:r>
          </w:p>
        </w:tc>
        <w:tc>
          <w:tcPr>
            <w:tcW w:w="14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138,530</w:t>
            </w:r>
          </w:p>
        </w:tc>
        <w:tc>
          <w:tcPr>
            <w:tcW w:w="100" w:type="dxa"/>
            <w:vAlign w:val="bottom"/>
          </w:tcPr>
          <w:p>
            <w:pPr>
              <w:spacing w:after="0"/>
              <w:rPr>
                <w:sz w:val="18"/>
                <w:szCs w:val="18"/>
                <w:color w:val="auto"/>
              </w:rPr>
            </w:pPr>
          </w:p>
        </w:tc>
      </w:tr>
      <w:tr>
        <w:trPr>
          <w:trHeight w:val="216"/>
        </w:trPr>
        <w:tc>
          <w:tcPr>
            <w:tcW w:w="50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Interest and other income (expense), net (a)</w:t>
            </w:r>
          </w:p>
        </w:tc>
        <w:tc>
          <w:tcPr>
            <w:tcW w:w="5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(6,048 )</w:t>
            </w:r>
          </w:p>
        </w:tc>
        <w:tc>
          <w:tcPr>
            <w:tcW w:w="4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6,845</w:t>
            </w: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(21,518 )</w:t>
            </w:r>
          </w:p>
        </w:tc>
        <w:tc>
          <w:tcPr>
            <w:tcW w:w="4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15,552</w:t>
            </w:r>
          </w:p>
        </w:tc>
        <w:tc>
          <w:tcPr>
            <w:tcW w:w="100" w:type="dxa"/>
            <w:vAlign w:val="bottom"/>
            <w:shd w:val="clear" w:color="auto" w:fill="CCEEFF"/>
          </w:tcPr>
          <w:p>
            <w:pPr>
              <w:spacing w:after="0"/>
              <w:rPr>
                <w:sz w:val="18"/>
                <w:szCs w:val="18"/>
                <w:color w:val="auto"/>
              </w:rPr>
            </w:pPr>
          </w:p>
        </w:tc>
      </w:tr>
      <w:tr>
        <w:trPr>
          <w:trHeight w:val="210"/>
        </w:trPr>
        <w:tc>
          <w:tcPr>
            <w:tcW w:w="5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Income (loss) before income taxes</w:t>
            </w:r>
          </w:p>
        </w:tc>
        <w:tc>
          <w:tcPr>
            <w:tcW w:w="54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(12,487</w:t>
            </w: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w:t>
            </w:r>
          </w:p>
        </w:tc>
        <w:tc>
          <w:tcPr>
            <w:tcW w:w="40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12,507</w:t>
            </w:r>
          </w:p>
        </w:tc>
        <w:tc>
          <w:tcPr>
            <w:tcW w:w="140" w:type="dxa"/>
            <w:vAlign w:val="bottom"/>
          </w:tcPr>
          <w:p>
            <w:pPr>
              <w:spacing w:after="0"/>
              <w:rPr>
                <w:sz w:val="18"/>
                <w:szCs w:val="18"/>
                <w:color w:val="auto"/>
              </w:rPr>
            </w:pPr>
          </w:p>
        </w:tc>
        <w:tc>
          <w:tcPr>
            <w:tcW w:w="420" w:type="dxa"/>
            <w:vAlign w:val="bottom"/>
            <w:tcBorders>
              <w:top w:val="single" w:sz="8" w:color="auto"/>
            </w:tcBorders>
          </w:tcPr>
          <w:p>
            <w:pPr>
              <w:spacing w:after="0"/>
              <w:rPr>
                <w:sz w:val="18"/>
                <w:szCs w:val="18"/>
                <w:color w:val="auto"/>
              </w:rPr>
            </w:pPr>
          </w:p>
        </w:tc>
        <w:tc>
          <w:tcPr>
            <w:tcW w:w="10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(106,180</w:t>
            </w:r>
          </w:p>
        </w:tc>
        <w:tc>
          <w:tcPr>
            <w:tcW w:w="14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6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154,082</w:t>
            </w:r>
          </w:p>
        </w:tc>
        <w:tc>
          <w:tcPr>
            <w:tcW w:w="100" w:type="dxa"/>
            <w:vAlign w:val="bottom"/>
          </w:tcPr>
          <w:p>
            <w:pPr>
              <w:spacing w:after="0"/>
              <w:rPr>
                <w:sz w:val="18"/>
                <w:szCs w:val="18"/>
                <w:color w:val="auto"/>
              </w:rPr>
            </w:pPr>
          </w:p>
        </w:tc>
      </w:tr>
      <w:tr>
        <w:trPr>
          <w:trHeight w:val="216"/>
        </w:trPr>
        <w:tc>
          <w:tcPr>
            <w:tcW w:w="50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5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(6,051 )</w:t>
            </w:r>
          </w:p>
        </w:tc>
        <w:tc>
          <w:tcPr>
            <w:tcW w:w="4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6,461</w:t>
            </w: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9,540</w:t>
            </w: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34,438</w:t>
            </w:r>
          </w:p>
        </w:tc>
        <w:tc>
          <w:tcPr>
            <w:tcW w:w="100" w:type="dxa"/>
            <w:vAlign w:val="bottom"/>
            <w:shd w:val="clear" w:color="auto" w:fill="CCEEFF"/>
          </w:tcPr>
          <w:p>
            <w:pPr>
              <w:spacing w:after="0"/>
              <w:rPr>
                <w:sz w:val="18"/>
                <w:szCs w:val="18"/>
                <w:color w:val="auto"/>
              </w:rPr>
            </w:pPr>
          </w:p>
        </w:tc>
      </w:tr>
      <w:tr>
        <w:trPr>
          <w:trHeight w:val="210"/>
        </w:trPr>
        <w:tc>
          <w:tcPr>
            <w:tcW w:w="5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Income (loss) before change in accounting principle</w:t>
            </w:r>
          </w:p>
        </w:tc>
        <w:tc>
          <w:tcPr>
            <w:tcW w:w="54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(6,436</w:t>
            </w: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9"/>
              </w:rPr>
              <w:t>)</w:t>
            </w:r>
          </w:p>
        </w:tc>
        <w:tc>
          <w:tcPr>
            <w:tcW w:w="40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6,046</w:t>
            </w:r>
          </w:p>
        </w:tc>
        <w:tc>
          <w:tcPr>
            <w:tcW w:w="140" w:type="dxa"/>
            <w:vAlign w:val="bottom"/>
          </w:tcPr>
          <w:p>
            <w:pPr>
              <w:spacing w:after="0"/>
              <w:rPr>
                <w:sz w:val="18"/>
                <w:szCs w:val="18"/>
                <w:color w:val="auto"/>
              </w:rPr>
            </w:pPr>
          </w:p>
        </w:tc>
        <w:tc>
          <w:tcPr>
            <w:tcW w:w="420" w:type="dxa"/>
            <w:vAlign w:val="bottom"/>
            <w:tcBorders>
              <w:top w:val="single" w:sz="8" w:color="auto"/>
            </w:tcBorders>
          </w:tcPr>
          <w:p>
            <w:pPr>
              <w:spacing w:after="0"/>
              <w:rPr>
                <w:sz w:val="18"/>
                <w:szCs w:val="18"/>
                <w:color w:val="auto"/>
              </w:rPr>
            </w:pPr>
          </w:p>
        </w:tc>
        <w:tc>
          <w:tcPr>
            <w:tcW w:w="10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(115,720</w:t>
            </w:r>
          </w:p>
        </w:tc>
        <w:tc>
          <w:tcPr>
            <w:tcW w:w="14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60" w:type="dxa"/>
            <w:vAlign w:val="bottom"/>
            <w:tcBorders>
              <w:top w:val="single" w:sz="8" w:color="auto"/>
            </w:tcBorders>
          </w:tcPr>
          <w:p>
            <w:pPr>
              <w:spacing w:after="0"/>
              <w:rPr>
                <w:sz w:val="18"/>
                <w:szCs w:val="18"/>
                <w:color w:val="auto"/>
              </w:rPr>
            </w:pPr>
          </w:p>
        </w:tc>
        <w:tc>
          <w:tcPr>
            <w:tcW w:w="9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119,644</w:t>
            </w:r>
          </w:p>
        </w:tc>
        <w:tc>
          <w:tcPr>
            <w:tcW w:w="100" w:type="dxa"/>
            <w:vAlign w:val="bottom"/>
          </w:tcPr>
          <w:p>
            <w:pPr>
              <w:spacing w:after="0"/>
              <w:rPr>
                <w:sz w:val="18"/>
                <w:szCs w:val="18"/>
                <w:color w:val="auto"/>
              </w:rPr>
            </w:pPr>
          </w:p>
        </w:tc>
      </w:tr>
      <w:tr>
        <w:trPr>
          <w:trHeight w:val="198"/>
        </w:trPr>
        <w:tc>
          <w:tcPr>
            <w:tcW w:w="5080" w:type="dxa"/>
            <w:vAlign w:val="bottom"/>
            <w:shd w:val="clear" w:color="auto" w:fill="CCEEFF"/>
          </w:tcPr>
          <w:p>
            <w:pPr>
              <w:ind w:left="20"/>
              <w:spacing w:after="0" w:line="198" w:lineRule="exact"/>
              <w:rPr>
                <w:sz w:val="20"/>
                <w:szCs w:val="20"/>
                <w:color w:val="auto"/>
              </w:rPr>
            </w:pPr>
            <w:r>
              <w:rPr>
                <w:rFonts w:ascii="Times New Roman" w:cs="Times New Roman" w:eastAsia="Times New Roman" w:hAnsi="Times New Roman"/>
                <w:sz w:val="18"/>
                <w:szCs w:val="18"/>
                <w:color w:val="auto"/>
              </w:rPr>
              <w:t>Cumulative effect of change in accounting principle, net of tax</w:t>
            </w:r>
          </w:p>
        </w:tc>
        <w:tc>
          <w:tcPr>
            <w:tcW w:w="5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4"/>
        </w:trPr>
        <w:tc>
          <w:tcPr>
            <w:tcW w:w="508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effect</w:t>
            </w:r>
          </w:p>
        </w:tc>
        <w:tc>
          <w:tcPr>
            <w:tcW w:w="540" w:type="dxa"/>
            <w:vAlign w:val="bottom"/>
            <w:shd w:val="clear" w:color="auto" w:fill="CCEEFF"/>
          </w:tcPr>
          <w:p>
            <w:pPr>
              <w:spacing w:after="0"/>
              <w:rPr>
                <w:sz w:val="20"/>
                <w:szCs w:val="20"/>
                <w:color w:val="auto"/>
              </w:rPr>
            </w:pPr>
          </w:p>
        </w:tc>
        <w:tc>
          <w:tcPr>
            <w:tcW w:w="1180" w:type="dxa"/>
            <w:vAlign w:val="bottom"/>
            <w:gridSpan w:val="2"/>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shd w:val="clear" w:color="auto" w:fill="CCEEFF"/>
          </w:tcPr>
          <w:p>
            <w:pPr>
              <w:spacing w:after="0"/>
              <w:rPr>
                <w:sz w:val="20"/>
                <w:szCs w:val="20"/>
                <w:color w:val="auto"/>
              </w:rPr>
            </w:pPr>
          </w:p>
        </w:tc>
        <w:tc>
          <w:tcPr>
            <w:tcW w:w="106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shd w:val="clear" w:color="auto" w:fill="CCEEFF"/>
          </w:tcPr>
          <w:p>
            <w:pPr>
              <w:spacing w:after="0"/>
              <w:rPr>
                <w:sz w:val="20"/>
                <w:szCs w:val="20"/>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8,846</w:t>
            </w:r>
          </w:p>
        </w:tc>
        <w:tc>
          <w:tcPr>
            <w:tcW w:w="100" w:type="dxa"/>
            <w:vAlign w:val="bottom"/>
            <w:shd w:val="clear" w:color="auto" w:fill="CCEEFF"/>
          </w:tcPr>
          <w:p>
            <w:pPr>
              <w:spacing w:after="0"/>
              <w:rPr>
                <w:sz w:val="20"/>
                <w:szCs w:val="20"/>
                <w:color w:val="auto"/>
              </w:rPr>
            </w:pPr>
          </w:p>
        </w:tc>
      </w:tr>
      <w:tr>
        <w:trPr>
          <w:trHeight w:val="217"/>
        </w:trPr>
        <w:tc>
          <w:tcPr>
            <w:tcW w:w="5080" w:type="dxa"/>
            <w:vAlign w:val="bottom"/>
            <w:tcBorders>
              <w:bottom w:val="single" w:sz="8" w:color="CCEEFF"/>
            </w:tcBorders>
          </w:tcPr>
          <w:p>
            <w:pPr>
              <w:ind w:left="20"/>
              <w:spacing w:after="0"/>
              <w:rPr>
                <w:sz w:val="20"/>
                <w:szCs w:val="20"/>
                <w:color w:val="auto"/>
              </w:rPr>
            </w:pPr>
            <w:r>
              <w:rPr>
                <w:rFonts w:ascii="Times New Roman" w:cs="Times New Roman" w:eastAsia="Times New Roman" w:hAnsi="Times New Roman"/>
                <w:sz w:val="18"/>
                <w:szCs w:val="18"/>
                <w:color w:val="auto"/>
              </w:rPr>
              <w:t>Net income (loss)</w:t>
            </w:r>
          </w:p>
        </w:tc>
        <w:tc>
          <w:tcPr>
            <w:tcW w:w="540" w:type="dxa"/>
            <w:vAlign w:val="bottom"/>
            <w:tcBorders>
              <w:top w:val="single" w:sz="8" w:color="auto"/>
              <w:bottom w:val="single" w:sz="8" w:color="auto"/>
            </w:tcBorders>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(6,436</w:t>
            </w:r>
          </w:p>
        </w:tc>
        <w:tc>
          <w:tcPr>
            <w:tcW w:w="160" w:type="dxa"/>
            <w:vAlign w:val="bottom"/>
            <w:tcBorders>
              <w:bottom w:val="single" w:sz="8" w:color="CCEEFF"/>
            </w:tcBorders>
          </w:tcPr>
          <w:p>
            <w:pPr>
              <w:jc w:val="right"/>
              <w:spacing w:after="0"/>
              <w:rPr>
                <w:sz w:val="20"/>
                <w:szCs w:val="20"/>
                <w:color w:val="auto"/>
              </w:rPr>
            </w:pPr>
            <w:r>
              <w:rPr>
                <w:rFonts w:ascii="Times New Roman" w:cs="Times New Roman" w:eastAsia="Times New Roman" w:hAnsi="Times New Roman"/>
                <w:sz w:val="18"/>
                <w:szCs w:val="18"/>
                <w:color w:val="auto"/>
                <w:w w:val="99"/>
              </w:rPr>
              <w:t>)</w:t>
            </w:r>
          </w:p>
        </w:tc>
        <w:tc>
          <w:tcPr>
            <w:tcW w:w="400" w:type="dxa"/>
            <w:vAlign w:val="bottom"/>
            <w:tcBorders>
              <w:top w:val="single" w:sz="8" w:color="auto"/>
              <w:bottom w:val="single" w:sz="8" w:color="auto"/>
            </w:tcBorders>
          </w:tcPr>
          <w:p>
            <w:pPr>
              <w:jc w:val="right"/>
              <w:ind w:right="210"/>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6,046</w:t>
            </w:r>
          </w:p>
        </w:tc>
        <w:tc>
          <w:tcPr>
            <w:tcW w:w="140" w:type="dxa"/>
            <w:vAlign w:val="bottom"/>
            <w:tcBorders>
              <w:bottom w:val="single" w:sz="8" w:color="CCEEFF"/>
            </w:tcBorders>
          </w:tcPr>
          <w:p>
            <w:pPr>
              <w:spacing w:after="0"/>
              <w:rPr>
                <w:sz w:val="18"/>
                <w:szCs w:val="18"/>
                <w:color w:val="auto"/>
              </w:rPr>
            </w:pPr>
          </w:p>
        </w:tc>
        <w:tc>
          <w:tcPr>
            <w:tcW w:w="420" w:type="dxa"/>
            <w:vAlign w:val="bottom"/>
            <w:tcBorders>
              <w:top w:val="single" w:sz="8" w:color="auto"/>
              <w:bottom w:val="single" w:sz="8" w:color="auto"/>
            </w:tcBorders>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10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(115,720</w:t>
            </w:r>
          </w:p>
        </w:tc>
        <w:tc>
          <w:tcPr>
            <w:tcW w:w="140" w:type="dxa"/>
            <w:vAlign w:val="bottom"/>
            <w:tcBorders>
              <w:bottom w:val="single" w:sz="8" w:color="CCEEFF"/>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60" w:type="dxa"/>
            <w:vAlign w:val="bottom"/>
            <w:tcBorders>
              <w:top w:val="single" w:sz="8" w:color="auto"/>
              <w:bottom w:val="single" w:sz="8" w:color="auto"/>
            </w:tcBorders>
          </w:tcPr>
          <w:p>
            <w:pPr>
              <w:jc w:val="right"/>
              <w:ind w:right="27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128,490</w:t>
            </w:r>
          </w:p>
        </w:tc>
        <w:tc>
          <w:tcPr>
            <w:tcW w:w="100" w:type="dxa"/>
            <w:vAlign w:val="bottom"/>
            <w:tcBorders>
              <w:bottom w:val="single" w:sz="8" w:color="CCEEFF"/>
            </w:tcBorders>
          </w:tcPr>
          <w:p>
            <w:pPr>
              <w:spacing w:after="0"/>
              <w:rPr>
                <w:sz w:val="18"/>
                <w:szCs w:val="18"/>
                <w:color w:val="auto"/>
              </w:rPr>
            </w:pPr>
          </w:p>
        </w:tc>
      </w:tr>
      <w:tr>
        <w:trPr>
          <w:trHeight w:val="216"/>
        </w:trPr>
        <w:tc>
          <w:tcPr>
            <w:tcW w:w="50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5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Basic net income (loss) per share:</w:t>
            </w:r>
          </w:p>
        </w:tc>
        <w:tc>
          <w:tcPr>
            <w:tcW w:w="5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198"/>
        </w:trPr>
        <w:tc>
          <w:tcPr>
            <w:tcW w:w="5080" w:type="dxa"/>
            <w:vAlign w:val="bottom"/>
            <w:shd w:val="clear" w:color="auto" w:fill="CCEEFF"/>
          </w:tcPr>
          <w:p>
            <w:pPr>
              <w:ind w:left="200"/>
              <w:spacing w:after="0" w:line="198" w:lineRule="exact"/>
              <w:rPr>
                <w:sz w:val="20"/>
                <w:szCs w:val="20"/>
                <w:color w:val="auto"/>
              </w:rPr>
            </w:pPr>
            <w:r>
              <w:rPr>
                <w:rFonts w:ascii="Times New Roman" w:cs="Times New Roman" w:eastAsia="Times New Roman" w:hAnsi="Times New Roman"/>
                <w:sz w:val="18"/>
                <w:szCs w:val="18"/>
                <w:color w:val="auto"/>
              </w:rPr>
              <w:t>Income (loss) before change in accounting principle, net of tax</w:t>
            </w:r>
          </w:p>
        </w:tc>
        <w:tc>
          <w:tcPr>
            <w:tcW w:w="5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4"/>
        </w:trPr>
        <w:tc>
          <w:tcPr>
            <w:tcW w:w="5080" w:type="dxa"/>
            <w:vAlign w:val="bottom"/>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effect</w:t>
            </w:r>
          </w:p>
        </w:tc>
        <w:tc>
          <w:tcPr>
            <w:tcW w:w="540" w:type="dxa"/>
            <w:vAlign w:val="bottom"/>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(0.01 )</w:t>
            </w:r>
          </w:p>
        </w:tc>
        <w:tc>
          <w:tcPr>
            <w:tcW w:w="400" w:type="dxa"/>
            <w:vAlign w:val="bottom"/>
            <w:shd w:val="clear" w:color="auto" w:fill="CCEEFF"/>
          </w:tcPr>
          <w:p>
            <w:pPr>
              <w:jc w:val="right"/>
              <w:ind w:right="210"/>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140" w:type="dxa"/>
            <w:vAlign w:val="bottom"/>
            <w:shd w:val="clear" w:color="auto" w:fill="CCEEFF"/>
          </w:tcPr>
          <w:p>
            <w:pPr>
              <w:spacing w:after="0"/>
              <w:rPr>
                <w:sz w:val="20"/>
                <w:szCs w:val="20"/>
                <w:color w:val="auto"/>
              </w:rPr>
            </w:pPr>
          </w:p>
        </w:tc>
        <w:tc>
          <w:tcPr>
            <w:tcW w:w="420" w:type="dxa"/>
            <w:vAlign w:val="bottom"/>
            <w:shd w:val="clear" w:color="auto" w:fill="CCEEFF"/>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(0.20 )</w:t>
            </w:r>
          </w:p>
        </w:tc>
        <w:tc>
          <w:tcPr>
            <w:tcW w:w="460" w:type="dxa"/>
            <w:vAlign w:val="bottom"/>
            <w:shd w:val="clear" w:color="auto" w:fill="CCEEFF"/>
          </w:tcPr>
          <w:p>
            <w:pPr>
              <w:jc w:val="right"/>
              <w:ind w:right="27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0.20</w:t>
            </w:r>
          </w:p>
        </w:tc>
        <w:tc>
          <w:tcPr>
            <w:tcW w:w="100" w:type="dxa"/>
            <w:vAlign w:val="bottom"/>
            <w:shd w:val="clear" w:color="auto" w:fill="CCEEFF"/>
          </w:tcPr>
          <w:p>
            <w:pPr>
              <w:spacing w:after="0"/>
              <w:rPr>
                <w:sz w:val="20"/>
                <w:szCs w:val="20"/>
                <w:color w:val="auto"/>
              </w:rPr>
            </w:pPr>
          </w:p>
        </w:tc>
      </w:tr>
      <w:tr>
        <w:trPr>
          <w:trHeight w:val="198"/>
        </w:trPr>
        <w:tc>
          <w:tcPr>
            <w:tcW w:w="5080" w:type="dxa"/>
            <w:vAlign w:val="bottom"/>
          </w:tcPr>
          <w:p>
            <w:pPr>
              <w:ind w:left="200"/>
              <w:spacing w:after="0" w:line="198" w:lineRule="exact"/>
              <w:rPr>
                <w:sz w:val="20"/>
                <w:szCs w:val="20"/>
                <w:color w:val="auto"/>
              </w:rPr>
            </w:pPr>
            <w:r>
              <w:rPr>
                <w:rFonts w:ascii="Times New Roman" w:cs="Times New Roman" w:eastAsia="Times New Roman" w:hAnsi="Times New Roman"/>
                <w:sz w:val="18"/>
                <w:szCs w:val="18"/>
                <w:color w:val="auto"/>
              </w:rPr>
              <w:t>Cumulative effect of change in accounting principle, net of tax</w:t>
            </w:r>
          </w:p>
        </w:tc>
        <w:tc>
          <w:tcPr>
            <w:tcW w:w="5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4"/>
        </w:trPr>
        <w:tc>
          <w:tcPr>
            <w:tcW w:w="50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effect</w:t>
            </w:r>
          </w:p>
        </w:tc>
        <w:tc>
          <w:tcPr>
            <w:tcW w:w="540" w:type="dxa"/>
            <w:vAlign w:val="bottom"/>
          </w:tcPr>
          <w:p>
            <w:pPr>
              <w:spacing w:after="0"/>
              <w:rPr>
                <w:sz w:val="20"/>
                <w:szCs w:val="20"/>
                <w:color w:val="auto"/>
              </w:rPr>
            </w:pPr>
          </w:p>
        </w:tc>
        <w:tc>
          <w:tcPr>
            <w:tcW w:w="1180" w:type="dxa"/>
            <w:vAlign w:val="bottom"/>
            <w:gridSpan w:val="2"/>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tcPr>
          <w:p>
            <w:pPr>
              <w:spacing w:after="0"/>
              <w:rPr>
                <w:sz w:val="20"/>
                <w:szCs w:val="20"/>
                <w:color w:val="auto"/>
              </w:rPr>
            </w:pPr>
          </w:p>
        </w:tc>
        <w:tc>
          <w:tcPr>
            <w:tcW w:w="106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0.02</w:t>
            </w:r>
          </w:p>
        </w:tc>
        <w:tc>
          <w:tcPr>
            <w:tcW w:w="100" w:type="dxa"/>
            <w:vAlign w:val="bottom"/>
          </w:tcPr>
          <w:p>
            <w:pPr>
              <w:spacing w:after="0"/>
              <w:rPr>
                <w:sz w:val="20"/>
                <w:szCs w:val="20"/>
                <w:color w:val="auto"/>
              </w:rPr>
            </w:pPr>
          </w:p>
        </w:tc>
      </w:tr>
      <w:tr>
        <w:trPr>
          <w:trHeight w:val="230"/>
        </w:trPr>
        <w:tc>
          <w:tcPr>
            <w:tcW w:w="50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Basic net income (loss) per share</w:t>
            </w:r>
          </w:p>
        </w:tc>
        <w:tc>
          <w:tcPr>
            <w:tcW w:w="540" w:type="dxa"/>
            <w:vAlign w:val="bottom"/>
            <w:tcBorders>
              <w:top w:val="single" w:sz="8" w:color="auto"/>
              <w:bottom w:val="single" w:sz="8" w:color="auto"/>
            </w:tcBorders>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16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w:t>
            </w:r>
          </w:p>
        </w:tc>
        <w:tc>
          <w:tcPr>
            <w:tcW w:w="400" w:type="dxa"/>
            <w:vAlign w:val="bottom"/>
            <w:tcBorders>
              <w:top w:val="single" w:sz="8" w:color="auto"/>
              <w:bottom w:val="single" w:sz="8" w:color="auto"/>
            </w:tcBorders>
            <w:shd w:val="clear" w:color="auto" w:fill="CCEEFF"/>
          </w:tcPr>
          <w:p>
            <w:pPr>
              <w:jc w:val="right"/>
              <w:ind w:right="210"/>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420" w:type="dxa"/>
            <w:vAlign w:val="bottom"/>
            <w:tcBorders>
              <w:top w:val="single" w:sz="8" w:color="auto"/>
              <w:bottom w:val="single" w:sz="8" w:color="auto"/>
            </w:tcBorders>
            <w:shd w:val="clear" w:color="auto" w:fill="CCEEFF"/>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(0.20</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60" w:type="dxa"/>
            <w:vAlign w:val="bottom"/>
            <w:tcBorders>
              <w:top w:val="single" w:sz="8" w:color="auto"/>
              <w:bottom w:val="single" w:sz="8" w:color="auto"/>
            </w:tcBorders>
            <w:shd w:val="clear" w:color="auto" w:fill="CCEEFF"/>
          </w:tcPr>
          <w:p>
            <w:pPr>
              <w:jc w:val="right"/>
              <w:ind w:right="27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0.22</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r>
      <w:tr>
        <w:trPr>
          <w:trHeight w:val="203"/>
        </w:trPr>
        <w:tc>
          <w:tcPr>
            <w:tcW w:w="5080" w:type="dxa"/>
            <w:vAlign w:val="bottom"/>
          </w:tcPr>
          <w:p>
            <w:pPr>
              <w:ind w:left="20"/>
              <w:spacing w:after="0" w:line="203" w:lineRule="exact"/>
              <w:rPr>
                <w:sz w:val="20"/>
                <w:szCs w:val="20"/>
                <w:color w:val="auto"/>
              </w:rPr>
            </w:pPr>
            <w:r>
              <w:rPr>
                <w:rFonts w:ascii="Times New Roman" w:cs="Times New Roman" w:eastAsia="Times New Roman" w:hAnsi="Times New Roman"/>
                <w:sz w:val="18"/>
                <w:szCs w:val="18"/>
                <w:color w:val="auto"/>
              </w:rPr>
              <w:t>Shares used in basic per share computation</w:t>
            </w:r>
          </w:p>
        </w:tc>
        <w:tc>
          <w:tcPr>
            <w:tcW w:w="540" w:type="dxa"/>
            <w:vAlign w:val="bottom"/>
          </w:tcPr>
          <w:p>
            <w:pPr>
              <w:spacing w:after="0"/>
              <w:rPr>
                <w:sz w:val="17"/>
                <w:szCs w:val="17"/>
                <w:color w:val="auto"/>
              </w:rPr>
            </w:pPr>
          </w:p>
        </w:tc>
        <w:tc>
          <w:tcPr>
            <w:tcW w:w="102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590,759</w:t>
            </w:r>
          </w:p>
        </w:tc>
        <w:tc>
          <w:tcPr>
            <w:tcW w:w="1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92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587,348</w:t>
            </w: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588,573</w:t>
            </w: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98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585,728</w:t>
            </w:r>
          </w:p>
        </w:tc>
        <w:tc>
          <w:tcPr>
            <w:tcW w:w="100" w:type="dxa"/>
            <w:vAlign w:val="bottom"/>
          </w:tcPr>
          <w:p>
            <w:pPr>
              <w:spacing w:after="0"/>
              <w:rPr>
                <w:sz w:val="17"/>
                <w:szCs w:val="17"/>
                <w:color w:val="auto"/>
              </w:rPr>
            </w:pPr>
          </w:p>
        </w:tc>
      </w:tr>
      <w:tr>
        <w:trPr>
          <w:trHeight w:val="216"/>
        </w:trPr>
        <w:tc>
          <w:tcPr>
            <w:tcW w:w="50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5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Diluted net (loss) income per share:</w:t>
            </w:r>
          </w:p>
        </w:tc>
        <w:tc>
          <w:tcPr>
            <w:tcW w:w="5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198"/>
        </w:trPr>
        <w:tc>
          <w:tcPr>
            <w:tcW w:w="5080" w:type="dxa"/>
            <w:vAlign w:val="bottom"/>
            <w:shd w:val="clear" w:color="auto" w:fill="CCEEFF"/>
          </w:tcPr>
          <w:p>
            <w:pPr>
              <w:ind w:left="200"/>
              <w:spacing w:after="0" w:line="198" w:lineRule="exact"/>
              <w:rPr>
                <w:sz w:val="20"/>
                <w:szCs w:val="20"/>
                <w:color w:val="auto"/>
              </w:rPr>
            </w:pPr>
            <w:r>
              <w:rPr>
                <w:rFonts w:ascii="Times New Roman" w:cs="Times New Roman" w:eastAsia="Times New Roman" w:hAnsi="Times New Roman"/>
                <w:sz w:val="18"/>
                <w:szCs w:val="18"/>
                <w:color w:val="auto"/>
              </w:rPr>
              <w:t>Income (loss) before change in accounting principle, net of tax</w:t>
            </w:r>
          </w:p>
        </w:tc>
        <w:tc>
          <w:tcPr>
            <w:tcW w:w="5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34"/>
        </w:trPr>
        <w:tc>
          <w:tcPr>
            <w:tcW w:w="5080" w:type="dxa"/>
            <w:vAlign w:val="bottom"/>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effect</w:t>
            </w:r>
          </w:p>
        </w:tc>
        <w:tc>
          <w:tcPr>
            <w:tcW w:w="540" w:type="dxa"/>
            <w:vAlign w:val="bottom"/>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(0.01 )</w:t>
            </w:r>
          </w:p>
        </w:tc>
        <w:tc>
          <w:tcPr>
            <w:tcW w:w="400" w:type="dxa"/>
            <w:vAlign w:val="bottom"/>
            <w:shd w:val="clear" w:color="auto" w:fill="CCEEFF"/>
          </w:tcPr>
          <w:p>
            <w:pPr>
              <w:jc w:val="right"/>
              <w:ind w:right="210"/>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140" w:type="dxa"/>
            <w:vAlign w:val="bottom"/>
            <w:shd w:val="clear" w:color="auto" w:fill="CCEEFF"/>
          </w:tcPr>
          <w:p>
            <w:pPr>
              <w:spacing w:after="0"/>
              <w:rPr>
                <w:sz w:val="20"/>
                <w:szCs w:val="20"/>
                <w:color w:val="auto"/>
              </w:rPr>
            </w:pPr>
          </w:p>
        </w:tc>
        <w:tc>
          <w:tcPr>
            <w:tcW w:w="420" w:type="dxa"/>
            <w:vAlign w:val="bottom"/>
            <w:shd w:val="clear" w:color="auto" w:fill="CCEEFF"/>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(0.20 )</w:t>
            </w:r>
          </w:p>
        </w:tc>
        <w:tc>
          <w:tcPr>
            <w:tcW w:w="460" w:type="dxa"/>
            <w:vAlign w:val="bottom"/>
            <w:shd w:val="clear" w:color="auto" w:fill="CCEEFF"/>
          </w:tcPr>
          <w:p>
            <w:pPr>
              <w:jc w:val="right"/>
              <w:ind w:right="27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0.19</w:t>
            </w:r>
          </w:p>
        </w:tc>
        <w:tc>
          <w:tcPr>
            <w:tcW w:w="100" w:type="dxa"/>
            <w:vAlign w:val="bottom"/>
            <w:shd w:val="clear" w:color="auto" w:fill="CCEEFF"/>
          </w:tcPr>
          <w:p>
            <w:pPr>
              <w:spacing w:after="0"/>
              <w:rPr>
                <w:sz w:val="20"/>
                <w:szCs w:val="20"/>
                <w:color w:val="auto"/>
              </w:rPr>
            </w:pPr>
          </w:p>
        </w:tc>
      </w:tr>
      <w:tr>
        <w:trPr>
          <w:trHeight w:val="198"/>
        </w:trPr>
        <w:tc>
          <w:tcPr>
            <w:tcW w:w="5080" w:type="dxa"/>
            <w:vAlign w:val="bottom"/>
          </w:tcPr>
          <w:p>
            <w:pPr>
              <w:ind w:left="200"/>
              <w:spacing w:after="0" w:line="198" w:lineRule="exact"/>
              <w:rPr>
                <w:sz w:val="20"/>
                <w:szCs w:val="20"/>
                <w:color w:val="auto"/>
              </w:rPr>
            </w:pPr>
            <w:r>
              <w:rPr>
                <w:rFonts w:ascii="Times New Roman" w:cs="Times New Roman" w:eastAsia="Times New Roman" w:hAnsi="Times New Roman"/>
                <w:sz w:val="18"/>
                <w:szCs w:val="18"/>
                <w:color w:val="auto"/>
              </w:rPr>
              <w:t>Cumulative effect of change in accounting principle, net of tax</w:t>
            </w:r>
          </w:p>
        </w:tc>
        <w:tc>
          <w:tcPr>
            <w:tcW w:w="5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34"/>
        </w:trPr>
        <w:tc>
          <w:tcPr>
            <w:tcW w:w="50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effect</w:t>
            </w:r>
          </w:p>
        </w:tc>
        <w:tc>
          <w:tcPr>
            <w:tcW w:w="540" w:type="dxa"/>
            <w:vAlign w:val="bottom"/>
          </w:tcPr>
          <w:p>
            <w:pPr>
              <w:spacing w:after="0"/>
              <w:rPr>
                <w:sz w:val="20"/>
                <w:szCs w:val="20"/>
                <w:color w:val="auto"/>
              </w:rPr>
            </w:pPr>
          </w:p>
        </w:tc>
        <w:tc>
          <w:tcPr>
            <w:tcW w:w="1180" w:type="dxa"/>
            <w:vAlign w:val="bottom"/>
            <w:gridSpan w:val="2"/>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tcPr>
          <w:p>
            <w:pPr>
              <w:spacing w:after="0"/>
              <w:rPr>
                <w:sz w:val="20"/>
                <w:szCs w:val="20"/>
                <w:color w:val="auto"/>
              </w:rPr>
            </w:pPr>
          </w:p>
        </w:tc>
        <w:tc>
          <w:tcPr>
            <w:tcW w:w="106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100" w:type="dxa"/>
            <w:vAlign w:val="bottom"/>
          </w:tcPr>
          <w:p>
            <w:pPr>
              <w:spacing w:after="0"/>
              <w:rPr>
                <w:sz w:val="20"/>
                <w:szCs w:val="20"/>
                <w:color w:val="auto"/>
              </w:rPr>
            </w:pPr>
          </w:p>
        </w:tc>
      </w:tr>
      <w:tr>
        <w:trPr>
          <w:trHeight w:val="230"/>
        </w:trPr>
        <w:tc>
          <w:tcPr>
            <w:tcW w:w="50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Diluted net income (loss) per share</w:t>
            </w:r>
          </w:p>
        </w:tc>
        <w:tc>
          <w:tcPr>
            <w:tcW w:w="540" w:type="dxa"/>
            <w:vAlign w:val="bottom"/>
            <w:tcBorders>
              <w:top w:val="single" w:sz="8" w:color="auto"/>
              <w:bottom w:val="single" w:sz="8" w:color="auto"/>
            </w:tcBorders>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16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w:t>
            </w:r>
          </w:p>
        </w:tc>
        <w:tc>
          <w:tcPr>
            <w:tcW w:w="400" w:type="dxa"/>
            <w:vAlign w:val="bottom"/>
            <w:tcBorders>
              <w:top w:val="single" w:sz="8" w:color="auto"/>
              <w:bottom w:val="single" w:sz="8" w:color="auto"/>
            </w:tcBorders>
            <w:shd w:val="clear" w:color="auto" w:fill="CCEEFF"/>
          </w:tcPr>
          <w:p>
            <w:pPr>
              <w:jc w:val="right"/>
              <w:ind w:right="210"/>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420" w:type="dxa"/>
            <w:vAlign w:val="bottom"/>
            <w:tcBorders>
              <w:top w:val="single" w:sz="8" w:color="auto"/>
              <w:bottom w:val="single" w:sz="8" w:color="auto"/>
            </w:tcBorders>
            <w:shd w:val="clear" w:color="auto" w:fill="CCEEFF"/>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10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(0.20</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60" w:type="dxa"/>
            <w:vAlign w:val="bottom"/>
            <w:tcBorders>
              <w:top w:val="single" w:sz="8" w:color="auto"/>
              <w:bottom w:val="single" w:sz="8" w:color="auto"/>
            </w:tcBorders>
            <w:shd w:val="clear" w:color="auto" w:fill="CCEEFF"/>
          </w:tcPr>
          <w:p>
            <w:pPr>
              <w:jc w:val="right"/>
              <w:ind w:right="27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0.20</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r>
      <w:tr>
        <w:trPr>
          <w:trHeight w:val="203"/>
        </w:trPr>
        <w:tc>
          <w:tcPr>
            <w:tcW w:w="5080" w:type="dxa"/>
            <w:vAlign w:val="bottom"/>
          </w:tcPr>
          <w:p>
            <w:pPr>
              <w:ind w:left="20"/>
              <w:spacing w:after="0" w:line="203" w:lineRule="exact"/>
              <w:rPr>
                <w:sz w:val="20"/>
                <w:szCs w:val="20"/>
                <w:color w:val="auto"/>
              </w:rPr>
            </w:pPr>
            <w:r>
              <w:rPr>
                <w:rFonts w:ascii="Times New Roman" w:cs="Times New Roman" w:eastAsia="Times New Roman" w:hAnsi="Times New Roman"/>
                <w:sz w:val="18"/>
                <w:szCs w:val="18"/>
                <w:color w:val="auto"/>
              </w:rPr>
              <w:t>Shares used in diluted per share computation</w:t>
            </w:r>
          </w:p>
        </w:tc>
        <w:tc>
          <w:tcPr>
            <w:tcW w:w="540" w:type="dxa"/>
            <w:vAlign w:val="bottom"/>
          </w:tcPr>
          <w:p>
            <w:pPr>
              <w:spacing w:after="0"/>
              <w:rPr>
                <w:sz w:val="17"/>
                <w:szCs w:val="17"/>
                <w:color w:val="auto"/>
              </w:rPr>
            </w:pPr>
          </w:p>
        </w:tc>
        <w:tc>
          <w:tcPr>
            <w:tcW w:w="102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590,759</w:t>
            </w:r>
          </w:p>
        </w:tc>
        <w:tc>
          <w:tcPr>
            <w:tcW w:w="1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92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628,104</w:t>
            </w:r>
          </w:p>
        </w:tc>
        <w:tc>
          <w:tcPr>
            <w:tcW w:w="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588,573</w:t>
            </w:r>
          </w:p>
        </w:tc>
        <w:tc>
          <w:tcPr>
            <w:tcW w:w="1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980" w:type="dxa"/>
            <w:vAlign w:val="bottom"/>
          </w:tcPr>
          <w:p>
            <w:pPr>
              <w:jc w:val="right"/>
              <w:spacing w:after="0" w:line="203" w:lineRule="exact"/>
              <w:rPr>
                <w:sz w:val="20"/>
                <w:szCs w:val="20"/>
                <w:color w:val="auto"/>
              </w:rPr>
            </w:pPr>
            <w:r>
              <w:rPr>
                <w:rFonts w:ascii="Times New Roman" w:cs="Times New Roman" w:eastAsia="Times New Roman" w:hAnsi="Times New Roman"/>
                <w:sz w:val="18"/>
                <w:szCs w:val="18"/>
                <w:color w:val="auto"/>
              </w:rPr>
              <w:t>633,718</w:t>
            </w:r>
          </w:p>
        </w:tc>
        <w:tc>
          <w:tcPr>
            <w:tcW w:w="100" w:type="dxa"/>
            <w:vAlign w:val="bottom"/>
          </w:tcPr>
          <w:p>
            <w:pPr>
              <w:spacing w:after="0"/>
              <w:rPr>
                <w:sz w:val="17"/>
                <w:szCs w:val="17"/>
                <w:color w:val="auto"/>
              </w:rPr>
            </w:pPr>
          </w:p>
        </w:tc>
      </w:tr>
      <w:tr>
        <w:trPr>
          <w:trHeight w:val="216"/>
        </w:trPr>
        <w:tc>
          <w:tcPr>
            <w:tcW w:w="508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5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(a)  Comprises of:</w:t>
            </w:r>
          </w:p>
        </w:tc>
        <w:tc>
          <w:tcPr>
            <w:tcW w:w="5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508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Interest expense on term loan and capital lease</w:t>
            </w:r>
          </w:p>
        </w:tc>
        <w:tc>
          <w:tcPr>
            <w:tcW w:w="540" w:type="dxa"/>
            <w:vAlign w:val="bottom"/>
            <w:shd w:val="clear" w:color="auto" w:fill="CCEEFF"/>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(8,873 )</w:t>
            </w:r>
          </w:p>
        </w:tc>
        <w:tc>
          <w:tcPr>
            <w:tcW w:w="400" w:type="dxa"/>
            <w:vAlign w:val="bottom"/>
            <w:shd w:val="clear" w:color="auto" w:fill="CCEEFF"/>
          </w:tcPr>
          <w:p>
            <w:pPr>
              <w:jc w:val="right"/>
              <w:ind w:right="210"/>
              <w:spacing w:after="0"/>
              <w:rPr>
                <w:sz w:val="20"/>
                <w:szCs w:val="20"/>
                <w:color w:val="auto"/>
              </w:rPr>
            </w:pPr>
            <w:r>
              <w:rPr>
                <w:rFonts w:ascii="Times New Roman" w:cs="Times New Roman" w:eastAsia="Times New Roman" w:hAnsi="Times New Roman"/>
                <w:sz w:val="18"/>
                <w:szCs w:val="18"/>
                <w:color w:val="auto"/>
                <w:w w:val="88"/>
              </w:rPr>
              <w:t>$</w:t>
            </w:r>
          </w:p>
        </w:tc>
        <w:tc>
          <w:tcPr>
            <w:tcW w:w="1060" w:type="dxa"/>
            <w:vAlign w:val="bottom"/>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(732 )</w:t>
            </w:r>
          </w:p>
        </w:tc>
        <w:tc>
          <w:tcPr>
            <w:tcW w:w="420" w:type="dxa"/>
            <w:vAlign w:val="bottom"/>
            <w:shd w:val="clear" w:color="auto" w:fill="CCEEFF"/>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(25,767 )</w:t>
            </w:r>
          </w:p>
        </w:tc>
        <w:tc>
          <w:tcPr>
            <w:tcW w:w="460" w:type="dxa"/>
            <w:vAlign w:val="bottom"/>
            <w:shd w:val="clear" w:color="auto" w:fill="CCEEFF"/>
          </w:tcPr>
          <w:p>
            <w:pPr>
              <w:jc w:val="right"/>
              <w:ind w:right="270"/>
              <w:spacing w:after="0"/>
              <w:rPr>
                <w:sz w:val="20"/>
                <w:szCs w:val="20"/>
                <w:color w:val="auto"/>
              </w:rPr>
            </w:pPr>
            <w:r>
              <w:rPr>
                <w:rFonts w:ascii="Times New Roman" w:cs="Times New Roman" w:eastAsia="Times New Roman" w:hAnsi="Times New Roman"/>
                <w:sz w:val="18"/>
                <w:szCs w:val="18"/>
                <w:color w:val="auto"/>
                <w:w w:val="88"/>
              </w:rPr>
              <w:t>$</w:t>
            </w:r>
          </w:p>
        </w:tc>
        <w:tc>
          <w:tcPr>
            <w:tcW w:w="108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(1,954 )</w:t>
            </w:r>
          </w:p>
        </w:tc>
      </w:tr>
      <w:tr>
        <w:trPr>
          <w:trHeight w:val="216"/>
        </w:trPr>
        <w:tc>
          <w:tcPr>
            <w:tcW w:w="508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Interest expense on supply agreement</w:t>
            </w:r>
          </w:p>
        </w:tc>
        <w:tc>
          <w:tcPr>
            <w:tcW w:w="540" w:type="dxa"/>
            <w:vAlign w:val="bottom"/>
          </w:tcPr>
          <w:p>
            <w:pPr>
              <w:spacing w:after="0"/>
              <w:rPr>
                <w:sz w:val="18"/>
                <w:szCs w:val="18"/>
                <w:color w:val="auto"/>
              </w:rPr>
            </w:pPr>
          </w:p>
        </w:tc>
        <w:tc>
          <w:tcPr>
            <w:tcW w:w="11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(1,645 )</w:t>
            </w:r>
          </w:p>
        </w:tc>
        <w:tc>
          <w:tcPr>
            <w:tcW w:w="400" w:type="dxa"/>
            <w:vAlign w:val="bottom"/>
          </w:tcPr>
          <w:p>
            <w:pPr>
              <w:spacing w:after="0"/>
              <w:rPr>
                <w:sz w:val="18"/>
                <w:szCs w:val="18"/>
                <w:color w:val="auto"/>
              </w:rPr>
            </w:pPr>
          </w:p>
        </w:tc>
        <w:tc>
          <w:tcPr>
            <w:tcW w:w="106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Pr>
          <w:p>
            <w:pPr>
              <w:spacing w:after="0"/>
              <w:rPr>
                <w:sz w:val="18"/>
                <w:szCs w:val="18"/>
                <w:color w:val="auto"/>
              </w:rPr>
            </w:pPr>
          </w:p>
        </w:tc>
        <w:tc>
          <w:tcPr>
            <w:tcW w:w="12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(4,668 )</w:t>
            </w:r>
          </w:p>
        </w:tc>
        <w:tc>
          <w:tcPr>
            <w:tcW w:w="460" w:type="dxa"/>
            <w:vAlign w:val="bottom"/>
          </w:tcPr>
          <w:p>
            <w:pPr>
              <w:spacing w:after="0"/>
              <w:rPr>
                <w:sz w:val="18"/>
                <w:szCs w:val="18"/>
                <w:color w:val="auto"/>
              </w:rPr>
            </w:pPr>
          </w:p>
        </w:tc>
        <w:tc>
          <w:tcPr>
            <w:tcW w:w="108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5080" w:type="dxa"/>
            <w:vAlign w:val="bottom"/>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Interest income, foreign exchange and other</w:t>
            </w:r>
          </w:p>
        </w:tc>
        <w:tc>
          <w:tcPr>
            <w:tcW w:w="54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4,470</w:t>
            </w:r>
          </w:p>
        </w:tc>
        <w:tc>
          <w:tcPr>
            <w:tcW w:w="160" w:type="dxa"/>
            <w:vAlign w:val="bottom"/>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7,577</w:t>
            </w:r>
          </w:p>
        </w:tc>
        <w:tc>
          <w:tcPr>
            <w:tcW w:w="140" w:type="dxa"/>
            <w:vAlign w:val="bottom"/>
            <w:shd w:val="clear" w:color="auto" w:fill="CCEEFF"/>
          </w:tcPr>
          <w:p>
            <w:pPr>
              <w:spacing w:after="0"/>
              <w:rPr>
                <w:sz w:val="18"/>
                <w:szCs w:val="18"/>
                <w:color w:val="auto"/>
              </w:rPr>
            </w:pPr>
          </w:p>
        </w:tc>
        <w:tc>
          <w:tcPr>
            <w:tcW w:w="42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8,917</w:t>
            </w:r>
          </w:p>
        </w:tc>
        <w:tc>
          <w:tcPr>
            <w:tcW w:w="140" w:type="dxa"/>
            <w:vAlign w:val="bottom"/>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17,506</w:t>
            </w:r>
          </w:p>
        </w:tc>
        <w:tc>
          <w:tcPr>
            <w:tcW w:w="100" w:type="dxa"/>
            <w:vAlign w:val="bottom"/>
            <w:shd w:val="clear" w:color="auto" w:fill="CCEEFF"/>
          </w:tcPr>
          <w:p>
            <w:pPr>
              <w:spacing w:after="0"/>
              <w:rPr>
                <w:sz w:val="18"/>
                <w:szCs w:val="18"/>
                <w:color w:val="auto"/>
              </w:rPr>
            </w:pPr>
          </w:p>
        </w:tc>
      </w:tr>
      <w:tr>
        <w:trPr>
          <w:trHeight w:val="217"/>
        </w:trPr>
        <w:tc>
          <w:tcPr>
            <w:tcW w:w="5080" w:type="dxa"/>
            <w:vAlign w:val="bottom"/>
          </w:tcPr>
          <w:p>
            <w:pPr>
              <w:spacing w:after="0"/>
              <w:rPr>
                <w:sz w:val="18"/>
                <w:szCs w:val="18"/>
                <w:color w:val="auto"/>
              </w:rPr>
            </w:pPr>
          </w:p>
        </w:tc>
        <w:tc>
          <w:tcPr>
            <w:tcW w:w="540" w:type="dxa"/>
            <w:vAlign w:val="bottom"/>
            <w:tcBorders>
              <w:bottom w:val="single" w:sz="8" w:color="auto"/>
            </w:tcBorders>
          </w:tcPr>
          <w:p>
            <w:pPr>
              <w:jc w:val="right"/>
              <w:ind w:right="350"/>
              <w:spacing w:after="0"/>
              <w:rPr>
                <w:sz w:val="20"/>
                <w:szCs w:val="20"/>
                <w:color w:val="auto"/>
              </w:rPr>
            </w:pPr>
            <w:r>
              <w:rPr>
                <w:rFonts w:ascii="Times New Roman" w:cs="Times New Roman" w:eastAsia="Times New Roman" w:hAnsi="Times New Roman"/>
                <w:sz w:val="18"/>
                <w:szCs w:val="18"/>
                <w:color w:val="auto"/>
                <w:w w:val="88"/>
              </w:rPr>
              <w:t>$</w:t>
            </w: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(6,048)</w:t>
            </w:r>
          </w:p>
        </w:tc>
        <w:tc>
          <w:tcPr>
            <w:tcW w:w="160" w:type="dxa"/>
            <w:vAlign w:val="bottom"/>
          </w:tcPr>
          <w:p>
            <w:pPr>
              <w:spacing w:after="0"/>
              <w:rPr>
                <w:sz w:val="18"/>
                <w:szCs w:val="18"/>
                <w:color w:val="auto"/>
              </w:rPr>
            </w:pPr>
          </w:p>
        </w:tc>
        <w:tc>
          <w:tcPr>
            <w:tcW w:w="400" w:type="dxa"/>
            <w:vAlign w:val="bottom"/>
            <w:tcBorders>
              <w:bottom w:val="single" w:sz="8" w:color="auto"/>
            </w:tcBorders>
          </w:tcPr>
          <w:p>
            <w:pPr>
              <w:jc w:val="right"/>
              <w:ind w:right="210"/>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6,845</w:t>
            </w:r>
          </w:p>
        </w:tc>
        <w:tc>
          <w:tcPr>
            <w:tcW w:w="140" w:type="dxa"/>
            <w:vAlign w:val="bottom"/>
          </w:tcPr>
          <w:p>
            <w:pPr>
              <w:spacing w:after="0"/>
              <w:rPr>
                <w:sz w:val="18"/>
                <w:szCs w:val="18"/>
                <w:color w:val="auto"/>
              </w:rPr>
            </w:pPr>
          </w:p>
        </w:tc>
        <w:tc>
          <w:tcPr>
            <w:tcW w:w="420" w:type="dxa"/>
            <w:vAlign w:val="bottom"/>
            <w:tcBorders>
              <w:bottom w:val="single" w:sz="8" w:color="auto"/>
            </w:tcBorders>
          </w:tcPr>
          <w:p>
            <w:pPr>
              <w:jc w:val="right"/>
              <w:ind w:right="230"/>
              <w:spacing w:after="0"/>
              <w:rPr>
                <w:sz w:val="20"/>
                <w:szCs w:val="20"/>
                <w:color w:val="auto"/>
              </w:rPr>
            </w:pPr>
            <w:r>
              <w:rPr>
                <w:rFonts w:ascii="Times New Roman" w:cs="Times New Roman" w:eastAsia="Times New Roman" w:hAnsi="Times New Roman"/>
                <w:sz w:val="18"/>
                <w:szCs w:val="18"/>
                <w:color w:val="auto"/>
                <w:w w:val="88"/>
              </w:rPr>
              <w:t>$</w:t>
            </w:r>
          </w:p>
        </w:tc>
        <w:tc>
          <w:tcPr>
            <w:tcW w:w="10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(21,518</w:t>
            </w:r>
          </w:p>
        </w:tc>
        <w:tc>
          <w:tcPr>
            <w:tcW w:w="14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60" w:type="dxa"/>
            <w:vAlign w:val="bottom"/>
            <w:tcBorders>
              <w:bottom w:val="single" w:sz="8" w:color="auto"/>
            </w:tcBorders>
          </w:tcPr>
          <w:p>
            <w:pPr>
              <w:jc w:val="right"/>
              <w:ind w:right="27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15,552</w:t>
            </w:r>
          </w:p>
        </w:tc>
        <w:tc>
          <w:tcPr>
            <w:tcW w:w="100" w:type="dxa"/>
            <w:vAlign w:val="bottom"/>
          </w:tcPr>
          <w:p>
            <w:pPr>
              <w:spacing w:after="0"/>
              <w:rPr>
                <w:sz w:val="18"/>
                <w:szCs w:val="18"/>
                <w:color w:val="auto"/>
              </w:rPr>
            </w:pPr>
          </w:p>
        </w:tc>
      </w:tr>
    </w:tbl>
    <w:p>
      <w:pPr>
        <w:spacing w:after="0" w:line="200" w:lineRule="exact"/>
        <w:rPr>
          <w:sz w:val="20"/>
          <w:szCs w:val="20"/>
          <w:color w:val="auto"/>
        </w:rPr>
      </w:pPr>
    </w:p>
    <w:p>
      <w:pPr>
        <w:spacing w:after="0" w:line="21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152400</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 of Non-GAAP Adjustments</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per share amounts)</w:t>
      </w:r>
    </w:p>
    <w:p>
      <w:pPr>
        <w:spacing w:after="0" w:line="20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Reconciliation of GAAP net (loss) income to non-GAAP net income:</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2880" w:type="dxa"/>
            <w:vAlign w:val="bottom"/>
          </w:tcPr>
          <w:p>
            <w:pPr>
              <w:spacing w:after="0"/>
              <w:rPr>
                <w:sz w:val="15"/>
                <w:szCs w:val="15"/>
                <w:color w:val="auto"/>
              </w:rPr>
            </w:pPr>
          </w:p>
        </w:tc>
        <w:tc>
          <w:tcPr>
            <w:tcW w:w="22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860" w:type="dxa"/>
            <w:vAlign w:val="bottom"/>
            <w:gridSpan w:val="5"/>
          </w:tcPr>
          <w:p>
            <w:pPr>
              <w:ind w:left="60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00" w:type="dxa"/>
            <w:vAlign w:val="bottom"/>
          </w:tcPr>
          <w:p>
            <w:pPr>
              <w:spacing w:after="0"/>
              <w:rPr>
                <w:sz w:val="15"/>
                <w:szCs w:val="15"/>
                <w:color w:val="auto"/>
              </w:rPr>
            </w:pPr>
          </w:p>
        </w:tc>
        <w:tc>
          <w:tcPr>
            <w:tcW w:w="3020" w:type="dxa"/>
            <w:vAlign w:val="bottom"/>
            <w:gridSpan w:val="5"/>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117"/>
        </w:trPr>
        <w:tc>
          <w:tcPr>
            <w:tcW w:w="2880" w:type="dxa"/>
            <w:vAlign w:val="bottom"/>
          </w:tcPr>
          <w:p>
            <w:pPr>
              <w:spacing w:after="0"/>
              <w:rPr>
                <w:sz w:val="10"/>
                <w:szCs w:val="10"/>
                <w:color w:val="auto"/>
              </w:rPr>
            </w:pPr>
          </w:p>
        </w:tc>
        <w:tc>
          <w:tcPr>
            <w:tcW w:w="228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jc w:val="right"/>
              <w:ind w:right="460"/>
              <w:spacing w:after="0" w:line="118" w:lineRule="exact"/>
              <w:rPr>
                <w:sz w:val="20"/>
                <w:szCs w:val="20"/>
                <w:color w:val="auto"/>
              </w:rPr>
            </w:pPr>
            <w:r>
              <w:rPr>
                <w:rFonts w:ascii="Times New Roman" w:cs="Times New Roman" w:eastAsia="Times New Roman" w:hAnsi="Times New Roman"/>
                <w:sz w:val="13"/>
                <w:szCs w:val="13"/>
                <w:b w:val="1"/>
                <w:bCs w:val="1"/>
                <w:color w:val="auto"/>
              </w:rPr>
              <w:t>October 27,</w:t>
            </w:r>
          </w:p>
        </w:tc>
        <w:tc>
          <w:tcPr>
            <w:tcW w:w="22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tcPr>
          <w:p>
            <w:pPr>
              <w:jc w:val="right"/>
              <w:ind w:right="273"/>
              <w:spacing w:after="0" w:line="118" w:lineRule="exact"/>
              <w:rPr>
                <w:sz w:val="20"/>
                <w:szCs w:val="20"/>
                <w:color w:val="auto"/>
              </w:rPr>
            </w:pPr>
            <w:r>
              <w:rPr>
                <w:rFonts w:ascii="Times New Roman" w:cs="Times New Roman" w:eastAsia="Times New Roman" w:hAnsi="Times New Roman"/>
                <w:sz w:val="13"/>
                <w:szCs w:val="13"/>
                <w:b w:val="1"/>
                <w:bCs w:val="1"/>
                <w:color w:val="auto"/>
              </w:rPr>
              <w:t>October 28,</w:t>
            </w:r>
          </w:p>
        </w:tc>
        <w:tc>
          <w:tcPr>
            <w:tcW w:w="16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jc w:val="right"/>
              <w:ind w:right="460"/>
              <w:spacing w:after="0" w:line="118" w:lineRule="exact"/>
              <w:rPr>
                <w:sz w:val="20"/>
                <w:szCs w:val="20"/>
                <w:color w:val="auto"/>
              </w:rPr>
            </w:pPr>
            <w:r>
              <w:rPr>
                <w:rFonts w:ascii="Times New Roman" w:cs="Times New Roman" w:eastAsia="Times New Roman" w:hAnsi="Times New Roman"/>
                <w:sz w:val="13"/>
                <w:szCs w:val="13"/>
                <w:b w:val="1"/>
                <w:bCs w:val="1"/>
                <w:color w:val="auto"/>
              </w:rPr>
              <w:t>October 27,</w:t>
            </w:r>
          </w:p>
        </w:tc>
        <w:tc>
          <w:tcPr>
            <w:tcW w:w="28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tcPr>
          <w:p>
            <w:pPr>
              <w:jc w:val="right"/>
              <w:ind w:right="353"/>
              <w:spacing w:after="0" w:line="118" w:lineRule="exact"/>
              <w:rPr>
                <w:sz w:val="20"/>
                <w:szCs w:val="20"/>
                <w:color w:val="auto"/>
              </w:rPr>
            </w:pPr>
            <w:r>
              <w:rPr>
                <w:rFonts w:ascii="Times New Roman" w:cs="Times New Roman" w:eastAsia="Times New Roman" w:hAnsi="Times New Roman"/>
                <w:sz w:val="13"/>
                <w:szCs w:val="13"/>
                <w:b w:val="1"/>
                <w:bCs w:val="1"/>
                <w:color w:val="auto"/>
              </w:rPr>
              <w:t>October 28,</w:t>
            </w:r>
          </w:p>
        </w:tc>
        <w:tc>
          <w:tcPr>
            <w:tcW w:w="140" w:type="dxa"/>
            <w:vAlign w:val="bottom"/>
          </w:tcPr>
          <w:p>
            <w:pPr>
              <w:spacing w:after="0"/>
              <w:rPr>
                <w:sz w:val="10"/>
                <w:szCs w:val="10"/>
                <w:color w:val="auto"/>
              </w:rPr>
            </w:pPr>
          </w:p>
        </w:tc>
      </w:tr>
      <w:tr>
        <w:trPr>
          <w:trHeight w:val="173"/>
        </w:trPr>
        <w:tc>
          <w:tcPr>
            <w:tcW w:w="2880" w:type="dxa"/>
            <w:vAlign w:val="bottom"/>
          </w:tcPr>
          <w:p>
            <w:pPr>
              <w:spacing w:after="0"/>
              <w:rPr>
                <w:sz w:val="15"/>
                <w:szCs w:val="15"/>
                <w:color w:val="auto"/>
              </w:rPr>
            </w:pPr>
          </w:p>
        </w:tc>
        <w:tc>
          <w:tcPr>
            <w:tcW w:w="228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ind w:right="434"/>
              <w:spacing w:after="0"/>
              <w:rPr>
                <w:sz w:val="20"/>
                <w:szCs w:val="20"/>
                <w:color w:val="auto"/>
              </w:rPr>
            </w:pPr>
            <w:r>
              <w:rPr>
                <w:rFonts w:ascii="Times New Roman" w:cs="Times New Roman" w:eastAsia="Times New Roman" w:hAnsi="Times New Roman"/>
                <w:sz w:val="14"/>
                <w:szCs w:val="14"/>
                <w:b w:val="1"/>
                <w:bCs w:val="1"/>
                <w:color w:val="auto"/>
              </w:rPr>
              <w:t>2007</w:t>
            </w:r>
          </w:p>
        </w:tc>
        <w:tc>
          <w:tcPr>
            <w:tcW w:w="16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200" w:type="dxa"/>
            <w:vAlign w:val="bottom"/>
            <w:tcBorders>
              <w:bottom w:val="single" w:sz="8" w:color="auto"/>
            </w:tcBorders>
          </w:tcPr>
          <w:p>
            <w:pPr>
              <w:jc w:val="right"/>
              <w:ind w:right="473"/>
              <w:spacing w:after="0"/>
              <w:rPr>
                <w:sz w:val="20"/>
                <w:szCs w:val="20"/>
                <w:color w:val="auto"/>
              </w:rPr>
            </w:pPr>
            <w:r>
              <w:rPr>
                <w:rFonts w:ascii="Times New Roman" w:cs="Times New Roman" w:eastAsia="Times New Roman" w:hAnsi="Times New Roman"/>
                <w:sz w:val="14"/>
                <w:szCs w:val="14"/>
                <w:b w:val="1"/>
                <w:bCs w:val="1"/>
                <w:color w:val="auto"/>
              </w:rPr>
              <w:t>2006</w:t>
            </w:r>
          </w:p>
        </w:tc>
        <w:tc>
          <w:tcPr>
            <w:tcW w:w="16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ind w:right="434"/>
              <w:spacing w:after="0"/>
              <w:rPr>
                <w:sz w:val="20"/>
                <w:szCs w:val="20"/>
                <w:color w:val="auto"/>
              </w:rPr>
            </w:pPr>
            <w:r>
              <w:rPr>
                <w:rFonts w:ascii="Times New Roman" w:cs="Times New Roman" w:eastAsia="Times New Roman" w:hAnsi="Times New Roman"/>
                <w:sz w:val="14"/>
                <w:szCs w:val="14"/>
                <w:b w:val="1"/>
                <w:bCs w:val="1"/>
                <w:color w:val="auto"/>
              </w:rPr>
              <w:t>2007</w:t>
            </w:r>
          </w:p>
        </w:tc>
        <w:tc>
          <w:tcPr>
            <w:tcW w:w="16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320" w:type="dxa"/>
            <w:vAlign w:val="bottom"/>
            <w:tcBorders>
              <w:bottom w:val="single" w:sz="8" w:color="auto"/>
            </w:tcBorders>
          </w:tcPr>
          <w:p>
            <w:pPr>
              <w:jc w:val="right"/>
              <w:ind w:right="573"/>
              <w:spacing w:after="0"/>
              <w:rPr>
                <w:sz w:val="20"/>
                <w:szCs w:val="20"/>
                <w:color w:val="auto"/>
              </w:rPr>
            </w:pPr>
            <w:r>
              <w:rPr>
                <w:rFonts w:ascii="Times New Roman" w:cs="Times New Roman" w:eastAsia="Times New Roman" w:hAnsi="Times New Roman"/>
                <w:sz w:val="14"/>
                <w:szCs w:val="14"/>
                <w:b w:val="1"/>
                <w:bCs w:val="1"/>
                <w:color w:val="auto"/>
              </w:rPr>
              <w:t>2006</w:t>
            </w:r>
          </w:p>
        </w:tc>
        <w:tc>
          <w:tcPr>
            <w:tcW w:w="140" w:type="dxa"/>
            <w:vAlign w:val="bottom"/>
          </w:tcPr>
          <w:p>
            <w:pPr>
              <w:spacing w:after="0"/>
              <w:rPr>
                <w:sz w:val="15"/>
                <w:szCs w:val="15"/>
                <w:color w:val="auto"/>
              </w:rPr>
            </w:pPr>
          </w:p>
        </w:tc>
      </w:tr>
      <w:tr>
        <w:trPr>
          <w:trHeight w:val="210"/>
        </w:trPr>
        <w:tc>
          <w:tcPr>
            <w:tcW w:w="2880" w:type="dxa"/>
            <w:vAlign w:val="bottom"/>
          </w:tcPr>
          <w:p>
            <w:pPr>
              <w:spacing w:after="0"/>
              <w:rPr>
                <w:sz w:val="18"/>
                <w:szCs w:val="18"/>
                <w:color w:val="auto"/>
              </w:rPr>
            </w:pPr>
          </w:p>
        </w:tc>
        <w:tc>
          <w:tcPr>
            <w:tcW w:w="2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5160" w:type="dxa"/>
            <w:vAlign w:val="bottom"/>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GAAP net (loss) income</w:t>
            </w: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(6,436 )</w:t>
            </w: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6,046</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(115,720 )</w:t>
            </w:r>
          </w:p>
        </w:tc>
        <w:tc>
          <w:tcPr>
            <w:tcW w:w="280" w:type="dxa"/>
            <w:vAlign w:val="bottom"/>
            <w:shd w:val="clear" w:color="auto" w:fill="CCEEFF"/>
          </w:tcPr>
          <w:p>
            <w:pPr>
              <w:jc w:val="center"/>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128,490</w:t>
            </w:r>
          </w:p>
        </w:tc>
        <w:tc>
          <w:tcPr>
            <w:tcW w:w="140" w:type="dxa"/>
            <w:vAlign w:val="bottom"/>
            <w:shd w:val="clear" w:color="auto" w:fill="CCEEFF"/>
          </w:tcPr>
          <w:p>
            <w:pPr>
              <w:spacing w:after="0"/>
              <w:rPr>
                <w:sz w:val="18"/>
                <w:szCs w:val="18"/>
                <w:color w:val="auto"/>
              </w:rPr>
            </w:pPr>
          </w:p>
        </w:tc>
      </w:tr>
      <w:tr>
        <w:trPr>
          <w:trHeight w:val="216"/>
        </w:trPr>
        <w:tc>
          <w:tcPr>
            <w:tcW w:w="516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Stock-based compensation included in:</w:t>
            </w:r>
          </w:p>
        </w:tc>
        <w:tc>
          <w:tcPr>
            <w:tcW w:w="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5160" w:type="dxa"/>
            <w:vAlign w:val="bottom"/>
            <w:gridSpan w:val="2"/>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Cost of goods sold</w:t>
            </w:r>
          </w:p>
        </w:tc>
        <w:tc>
          <w:tcPr>
            <w:tcW w:w="18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4,326</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2,602</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10,619</w:t>
            </w: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8,497</w:t>
            </w:r>
          </w:p>
        </w:tc>
        <w:tc>
          <w:tcPr>
            <w:tcW w:w="140" w:type="dxa"/>
            <w:vAlign w:val="bottom"/>
            <w:shd w:val="clear" w:color="auto" w:fill="CCEEFF"/>
          </w:tcPr>
          <w:p>
            <w:pPr>
              <w:spacing w:after="0"/>
              <w:rPr>
                <w:sz w:val="18"/>
                <w:szCs w:val="18"/>
                <w:color w:val="auto"/>
              </w:rPr>
            </w:pPr>
          </w:p>
        </w:tc>
      </w:tr>
      <w:tr>
        <w:trPr>
          <w:trHeight w:val="216"/>
        </w:trPr>
        <w:tc>
          <w:tcPr>
            <w:tcW w:w="5160" w:type="dxa"/>
            <w:vAlign w:val="bottom"/>
            <w:gridSpan w:val="2"/>
          </w:tcPr>
          <w:p>
            <w:pPr>
              <w:ind w:left="200"/>
              <w:spacing w:after="0"/>
              <w:rPr>
                <w:sz w:val="20"/>
                <w:szCs w:val="20"/>
                <w:color w:val="auto"/>
              </w:rPr>
            </w:pPr>
            <w:r>
              <w:rPr>
                <w:rFonts w:ascii="Times New Roman" w:cs="Times New Roman" w:eastAsia="Times New Roman" w:hAnsi="Times New Roman"/>
                <w:sz w:val="18"/>
                <w:szCs w:val="18"/>
                <w:color w:val="auto"/>
              </w:rPr>
              <w:t>Research and development and other</w:t>
            </w:r>
          </w:p>
        </w:tc>
        <w:tc>
          <w:tcPr>
            <w:tcW w:w="18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39,989</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26,322</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106,622</w:t>
            </w: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93,003</w:t>
            </w:r>
          </w:p>
        </w:tc>
        <w:tc>
          <w:tcPr>
            <w:tcW w:w="140" w:type="dxa"/>
            <w:vAlign w:val="bottom"/>
          </w:tcPr>
          <w:p>
            <w:pPr>
              <w:spacing w:after="0"/>
              <w:rPr>
                <w:sz w:val="18"/>
                <w:szCs w:val="18"/>
                <w:color w:val="auto"/>
              </w:rPr>
            </w:pPr>
          </w:p>
        </w:tc>
      </w:tr>
      <w:tr>
        <w:trPr>
          <w:trHeight w:val="216"/>
        </w:trPr>
        <w:tc>
          <w:tcPr>
            <w:tcW w:w="5160" w:type="dxa"/>
            <w:vAlign w:val="bottom"/>
            <w:gridSpan w:val="2"/>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Selling and marketing</w:t>
            </w:r>
          </w:p>
        </w:tc>
        <w:tc>
          <w:tcPr>
            <w:tcW w:w="18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6,949</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6,502</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25,097</w:t>
            </w: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23,198</w:t>
            </w:r>
          </w:p>
        </w:tc>
        <w:tc>
          <w:tcPr>
            <w:tcW w:w="140" w:type="dxa"/>
            <w:vAlign w:val="bottom"/>
            <w:shd w:val="clear" w:color="auto" w:fill="CCEEFF"/>
          </w:tcPr>
          <w:p>
            <w:pPr>
              <w:spacing w:after="0"/>
              <w:rPr>
                <w:sz w:val="18"/>
                <w:szCs w:val="18"/>
                <w:color w:val="auto"/>
              </w:rPr>
            </w:pPr>
          </w:p>
        </w:tc>
      </w:tr>
      <w:tr>
        <w:trPr>
          <w:trHeight w:val="216"/>
        </w:trPr>
        <w:tc>
          <w:tcPr>
            <w:tcW w:w="5160" w:type="dxa"/>
            <w:vAlign w:val="bottom"/>
            <w:gridSpan w:val="2"/>
          </w:tcPr>
          <w:p>
            <w:pPr>
              <w:ind w:left="20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18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4,092</w:t>
            </w: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6,702</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18,682</w:t>
            </w: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21,796</w:t>
            </w:r>
          </w:p>
        </w:tc>
        <w:tc>
          <w:tcPr>
            <w:tcW w:w="140" w:type="dxa"/>
            <w:vAlign w:val="bottom"/>
          </w:tcPr>
          <w:p>
            <w:pPr>
              <w:spacing w:after="0"/>
              <w:rPr>
                <w:sz w:val="18"/>
                <w:szCs w:val="18"/>
                <w:color w:val="auto"/>
              </w:rPr>
            </w:pPr>
          </w:p>
        </w:tc>
      </w:tr>
      <w:tr>
        <w:trPr>
          <w:trHeight w:val="216"/>
        </w:trPr>
        <w:tc>
          <w:tcPr>
            <w:tcW w:w="5160" w:type="dxa"/>
            <w:vAlign w:val="bottom"/>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8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37,311</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27,405</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111,924</w:t>
            </w: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72,161</w:t>
            </w:r>
          </w:p>
        </w:tc>
        <w:tc>
          <w:tcPr>
            <w:tcW w:w="140" w:type="dxa"/>
            <w:vAlign w:val="bottom"/>
            <w:shd w:val="clear" w:color="auto" w:fill="CCEEFF"/>
          </w:tcPr>
          <w:p>
            <w:pPr>
              <w:spacing w:after="0"/>
              <w:rPr>
                <w:sz w:val="18"/>
                <w:szCs w:val="18"/>
                <w:color w:val="auto"/>
              </w:rPr>
            </w:pPr>
          </w:p>
        </w:tc>
      </w:tr>
      <w:tr>
        <w:trPr>
          <w:trHeight w:val="216"/>
        </w:trPr>
        <w:tc>
          <w:tcPr>
            <w:tcW w:w="516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Cumulative effect of change in accounting principle</w:t>
            </w:r>
          </w:p>
        </w:tc>
        <w:tc>
          <w:tcPr>
            <w:tcW w:w="180" w:type="dxa"/>
            <w:vAlign w:val="bottom"/>
          </w:tcPr>
          <w:p>
            <w:pPr>
              <w:spacing w:after="0"/>
              <w:rPr>
                <w:sz w:val="18"/>
                <w:szCs w:val="18"/>
                <w:color w:val="auto"/>
              </w:rPr>
            </w:pPr>
          </w:p>
        </w:tc>
        <w:tc>
          <w:tcPr>
            <w:tcW w:w="1280" w:type="dxa"/>
            <w:vAlign w:val="bottom"/>
            <w:gridSpan w:val="2"/>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tcPr>
          <w:p>
            <w:pPr>
              <w:spacing w:after="0"/>
              <w:rPr>
                <w:sz w:val="18"/>
                <w:szCs w:val="18"/>
                <w:color w:val="auto"/>
              </w:rPr>
            </w:pPr>
          </w:p>
        </w:tc>
        <w:tc>
          <w:tcPr>
            <w:tcW w:w="136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Pr>
          <w:p>
            <w:pPr>
              <w:spacing w:after="0"/>
              <w:rPr>
                <w:sz w:val="18"/>
                <w:szCs w:val="18"/>
                <w:color w:val="auto"/>
              </w:rPr>
            </w:pPr>
          </w:p>
        </w:tc>
        <w:tc>
          <w:tcPr>
            <w:tcW w:w="1280" w:type="dxa"/>
            <w:vAlign w:val="bottom"/>
            <w:gridSpan w:val="2"/>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18"/>
                <w:szCs w:val="18"/>
                <w:color w:val="auto"/>
              </w:rPr>
            </w:pPr>
          </w:p>
        </w:tc>
        <w:tc>
          <w:tcPr>
            <w:tcW w:w="146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(8,846 )</w:t>
            </w:r>
          </w:p>
        </w:tc>
      </w:tr>
      <w:tr>
        <w:trPr>
          <w:trHeight w:val="217"/>
        </w:trPr>
        <w:tc>
          <w:tcPr>
            <w:tcW w:w="5160" w:type="dxa"/>
            <w:vAlign w:val="bottom"/>
            <w:tcBorders>
              <w:top w:val="single" w:sz="8" w:color="CCEEFF"/>
              <w:bottom w:val="single" w:sz="8" w:color="CCEEFF"/>
            </w:tcBorders>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Non-GAAP net income</w:t>
            </w: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86,231</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75,579</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157,224</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center"/>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338,299</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r>
      <w:tr>
        <w:trPr>
          <w:trHeight w:val="216"/>
        </w:trPr>
        <w:tc>
          <w:tcPr>
            <w:tcW w:w="2880" w:type="dxa"/>
            <w:vAlign w:val="bottom"/>
          </w:tcPr>
          <w:p>
            <w:pPr>
              <w:spacing w:after="0"/>
              <w:rPr>
                <w:sz w:val="18"/>
                <w:szCs w:val="18"/>
                <w:color w:val="auto"/>
              </w:rPr>
            </w:pPr>
          </w:p>
        </w:tc>
        <w:tc>
          <w:tcPr>
            <w:tcW w:w="2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5160" w:type="dxa"/>
            <w:vAlign w:val="bottom"/>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GAAP weighted average shares - diluted</w:t>
            </w:r>
          </w:p>
        </w:tc>
        <w:tc>
          <w:tcPr>
            <w:tcW w:w="18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590,759</w:t>
            </w:r>
          </w:p>
        </w:tc>
        <w:tc>
          <w:tcPr>
            <w:tcW w:w="1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628,104</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588,573</w:t>
            </w:r>
          </w:p>
        </w:tc>
        <w:tc>
          <w:tcPr>
            <w:tcW w:w="1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633,718</w:t>
            </w:r>
          </w:p>
        </w:tc>
        <w:tc>
          <w:tcPr>
            <w:tcW w:w="140" w:type="dxa"/>
            <w:vAlign w:val="bottom"/>
            <w:shd w:val="clear" w:color="auto" w:fill="CCEEFF"/>
          </w:tcPr>
          <w:p>
            <w:pPr>
              <w:spacing w:after="0"/>
              <w:rPr>
                <w:sz w:val="18"/>
                <w:szCs w:val="18"/>
                <w:color w:val="auto"/>
              </w:rPr>
            </w:pPr>
          </w:p>
        </w:tc>
      </w:tr>
      <w:tr>
        <w:trPr>
          <w:trHeight w:val="216"/>
        </w:trPr>
        <w:tc>
          <w:tcPr>
            <w:tcW w:w="5160" w:type="dxa"/>
            <w:vAlign w:val="bottom"/>
            <w:tcBorders>
              <w:bottom w:val="single" w:sz="8" w:color="CCEEFF"/>
            </w:tcBorders>
            <w:gridSpan w:val="2"/>
          </w:tcPr>
          <w:p>
            <w:pPr>
              <w:ind w:left="200"/>
              <w:spacing w:after="0"/>
              <w:rPr>
                <w:sz w:val="20"/>
                <w:szCs w:val="20"/>
                <w:color w:val="auto"/>
              </w:rPr>
            </w:pPr>
            <w:r>
              <w:rPr>
                <w:rFonts w:ascii="Times New Roman" w:cs="Times New Roman" w:eastAsia="Times New Roman" w:hAnsi="Times New Roman"/>
                <w:sz w:val="18"/>
                <w:szCs w:val="18"/>
                <w:color w:val="auto"/>
              </w:rPr>
              <w:t>Non-GAAP adjustment</w:t>
            </w:r>
          </w:p>
        </w:tc>
        <w:tc>
          <w:tcPr>
            <w:tcW w:w="18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39,854</w:t>
            </w:r>
          </w:p>
        </w:tc>
        <w:tc>
          <w:tcPr>
            <w:tcW w:w="16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3,393</w:t>
            </w:r>
          </w:p>
        </w:tc>
        <w:tc>
          <w:tcPr>
            <w:tcW w:w="16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42,971</w:t>
            </w:r>
          </w:p>
        </w:tc>
        <w:tc>
          <w:tcPr>
            <w:tcW w:w="16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5,185</w:t>
            </w:r>
          </w:p>
        </w:tc>
        <w:tc>
          <w:tcPr>
            <w:tcW w:w="140" w:type="dxa"/>
            <w:vAlign w:val="bottom"/>
            <w:tcBorders>
              <w:bottom w:val="single" w:sz="8" w:color="CCEEFF"/>
            </w:tcBorders>
          </w:tcPr>
          <w:p>
            <w:pPr>
              <w:spacing w:after="0"/>
              <w:rPr>
                <w:sz w:val="18"/>
                <w:szCs w:val="18"/>
                <w:color w:val="auto"/>
              </w:rPr>
            </w:pPr>
          </w:p>
        </w:tc>
      </w:tr>
      <w:tr>
        <w:trPr>
          <w:trHeight w:val="217"/>
        </w:trPr>
        <w:tc>
          <w:tcPr>
            <w:tcW w:w="5160" w:type="dxa"/>
            <w:vAlign w:val="bottom"/>
            <w:tcBorders>
              <w:bottom w:val="single" w:sz="8" w:color="CCEEFF"/>
            </w:tcBorders>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 xml:space="preserve">Non-GAAP weighted average shares diluted </w:t>
            </w:r>
            <w:r>
              <w:rPr>
                <w:rFonts w:ascii="Times New Roman" w:cs="Times New Roman" w:eastAsia="Times New Roman" w:hAnsi="Times New Roman"/>
                <w:sz w:val="18"/>
                <w:szCs w:val="18"/>
                <w:i w:val="1"/>
                <w:iCs w:val="1"/>
                <w:color w:val="auto"/>
              </w:rPr>
              <w:t>(b)</w:t>
            </w:r>
          </w:p>
        </w:tc>
        <w:tc>
          <w:tcPr>
            <w:tcW w:w="18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630,613</w:t>
            </w:r>
          </w:p>
        </w:tc>
        <w:tc>
          <w:tcPr>
            <w:tcW w:w="16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631,497</w:t>
            </w:r>
          </w:p>
        </w:tc>
        <w:tc>
          <w:tcPr>
            <w:tcW w:w="16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631,544</w:t>
            </w:r>
          </w:p>
        </w:tc>
        <w:tc>
          <w:tcPr>
            <w:tcW w:w="16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638,903</w:t>
            </w:r>
          </w:p>
        </w:tc>
        <w:tc>
          <w:tcPr>
            <w:tcW w:w="140" w:type="dxa"/>
            <w:vAlign w:val="bottom"/>
            <w:tcBorders>
              <w:bottom w:val="single" w:sz="8" w:color="CCEEFF"/>
            </w:tcBorders>
            <w:shd w:val="clear" w:color="auto" w:fill="CCEEFF"/>
          </w:tcPr>
          <w:p>
            <w:pPr>
              <w:spacing w:after="0"/>
              <w:rPr>
                <w:sz w:val="18"/>
                <w:szCs w:val="18"/>
                <w:color w:val="auto"/>
              </w:rPr>
            </w:pPr>
          </w:p>
        </w:tc>
      </w:tr>
      <w:tr>
        <w:trPr>
          <w:trHeight w:val="216"/>
        </w:trPr>
        <w:tc>
          <w:tcPr>
            <w:tcW w:w="2880" w:type="dxa"/>
            <w:vAlign w:val="bottom"/>
          </w:tcPr>
          <w:p>
            <w:pPr>
              <w:spacing w:after="0"/>
              <w:rPr>
                <w:sz w:val="18"/>
                <w:szCs w:val="18"/>
                <w:color w:val="auto"/>
              </w:rPr>
            </w:pPr>
          </w:p>
        </w:tc>
        <w:tc>
          <w:tcPr>
            <w:tcW w:w="2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36"/>
        </w:trPr>
        <w:tc>
          <w:tcPr>
            <w:tcW w:w="5160" w:type="dxa"/>
            <w:vAlign w:val="bottom"/>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GAAP diluted net income (loss) per share</w:t>
            </w: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(0.01 )</w:t>
            </w:r>
          </w:p>
        </w:tc>
        <w:tc>
          <w:tcPr>
            <w:tcW w:w="220" w:type="dxa"/>
            <w:vAlign w:val="bottom"/>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16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w w:val="88"/>
              </w:rPr>
              <w:t>$</w:t>
            </w:r>
          </w:p>
        </w:tc>
        <w:tc>
          <w:tcPr>
            <w:tcW w:w="128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(0.20 )</w:t>
            </w:r>
          </w:p>
        </w:tc>
        <w:tc>
          <w:tcPr>
            <w:tcW w:w="280" w:type="dxa"/>
            <w:vAlign w:val="bottom"/>
            <w:shd w:val="clear" w:color="auto" w:fill="CCEEFF"/>
          </w:tcPr>
          <w:p>
            <w:pPr>
              <w:jc w:val="center"/>
              <w:ind w:right="70"/>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0.20</w:t>
            </w:r>
          </w:p>
        </w:tc>
        <w:tc>
          <w:tcPr>
            <w:tcW w:w="140" w:type="dxa"/>
            <w:vAlign w:val="bottom"/>
            <w:shd w:val="clear" w:color="auto" w:fill="CCEEFF"/>
          </w:tcPr>
          <w:p>
            <w:pPr>
              <w:spacing w:after="0"/>
              <w:rPr>
                <w:sz w:val="20"/>
                <w:szCs w:val="20"/>
                <w:color w:val="auto"/>
              </w:rPr>
            </w:pPr>
          </w:p>
        </w:tc>
      </w:tr>
      <w:tr>
        <w:trPr>
          <w:trHeight w:val="210"/>
        </w:trPr>
        <w:tc>
          <w:tcPr>
            <w:tcW w:w="5160" w:type="dxa"/>
            <w:vAlign w:val="bottom"/>
            <w:tcBorders>
              <w:top w:val="single" w:sz="8" w:color="CCEEFF"/>
            </w:tcBorders>
            <w:gridSpan w:val="2"/>
          </w:tcPr>
          <w:p>
            <w:pPr>
              <w:ind w:left="20"/>
              <w:spacing w:after="0" w:line="203" w:lineRule="exact"/>
              <w:rPr>
                <w:sz w:val="20"/>
                <w:szCs w:val="20"/>
                <w:color w:val="auto"/>
              </w:rPr>
            </w:pPr>
            <w:r>
              <w:rPr>
                <w:rFonts w:ascii="Times New Roman" w:cs="Times New Roman" w:eastAsia="Times New Roman" w:hAnsi="Times New Roman"/>
                <w:sz w:val="18"/>
                <w:szCs w:val="18"/>
                <w:color w:val="auto"/>
              </w:rPr>
              <w:t xml:space="preserve">Non-GAAP diluted net income per share </w:t>
            </w:r>
            <w:r>
              <w:rPr>
                <w:rFonts w:ascii="Times New Roman" w:cs="Times New Roman" w:eastAsia="Times New Roman" w:hAnsi="Times New Roman"/>
                <w:sz w:val="18"/>
                <w:szCs w:val="18"/>
                <w:i w:val="1"/>
                <w:iCs w:val="1"/>
                <w:color w:val="auto"/>
              </w:rPr>
              <w:t>(a)</w:t>
            </w:r>
          </w:p>
        </w:tc>
        <w:tc>
          <w:tcPr>
            <w:tcW w:w="180" w:type="dxa"/>
            <w:vAlign w:val="bottom"/>
            <w:tcBorders>
              <w:top w:val="single" w:sz="8" w:color="auto"/>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tcBorders>
              <w:top w:val="single" w:sz="8" w:color="auto"/>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0.14</w:t>
            </w:r>
          </w:p>
        </w:tc>
        <w:tc>
          <w:tcPr>
            <w:tcW w:w="160" w:type="dxa"/>
            <w:vAlign w:val="bottom"/>
            <w:tcBorders>
              <w:top w:val="single" w:sz="8" w:color="CCEEFF"/>
            </w:tcBorders>
          </w:tcPr>
          <w:p>
            <w:pPr>
              <w:spacing w:after="0"/>
              <w:rPr>
                <w:sz w:val="18"/>
                <w:szCs w:val="18"/>
                <w:color w:val="auto"/>
              </w:rPr>
            </w:pPr>
          </w:p>
        </w:tc>
        <w:tc>
          <w:tcPr>
            <w:tcW w:w="220" w:type="dxa"/>
            <w:vAlign w:val="bottom"/>
            <w:tcBorders>
              <w:top w:val="single" w:sz="8" w:color="auto"/>
              <w:bottom w:val="single" w:sz="8" w:color="auto"/>
            </w:tcBorders>
          </w:tcPr>
          <w:p>
            <w:pPr>
              <w:jc w:val="right"/>
              <w:ind w:right="3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tcBorders>
              <w:top w:val="single" w:sz="8" w:color="auto"/>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0.12</w:t>
            </w:r>
          </w:p>
        </w:tc>
        <w:tc>
          <w:tcPr>
            <w:tcW w:w="160" w:type="dxa"/>
            <w:vAlign w:val="bottom"/>
            <w:tcBorders>
              <w:top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120" w:type="dxa"/>
            <w:vAlign w:val="bottom"/>
            <w:tcBorders>
              <w:top w:val="single" w:sz="8" w:color="auto"/>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0.25</w:t>
            </w:r>
          </w:p>
        </w:tc>
        <w:tc>
          <w:tcPr>
            <w:tcW w:w="160" w:type="dxa"/>
            <w:vAlign w:val="bottom"/>
            <w:tcBorders>
              <w:top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center"/>
              <w:ind w:right="70"/>
              <w:spacing w:after="0" w:line="203" w:lineRule="exact"/>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top w:val="single" w:sz="8" w:color="auto"/>
              <w:bottom w:val="single" w:sz="8" w:color="auto"/>
            </w:tcBorders>
          </w:tcPr>
          <w:p>
            <w:pPr>
              <w:jc w:val="right"/>
              <w:spacing w:after="0" w:line="203" w:lineRule="exact"/>
              <w:rPr>
                <w:sz w:val="20"/>
                <w:szCs w:val="20"/>
                <w:color w:val="auto"/>
              </w:rPr>
            </w:pPr>
            <w:r>
              <w:rPr>
                <w:rFonts w:ascii="Times New Roman" w:cs="Times New Roman" w:eastAsia="Times New Roman" w:hAnsi="Times New Roman"/>
                <w:sz w:val="18"/>
                <w:szCs w:val="18"/>
                <w:color w:val="auto"/>
              </w:rPr>
              <w:t>0.53</w:t>
            </w:r>
          </w:p>
        </w:tc>
        <w:tc>
          <w:tcPr>
            <w:tcW w:w="140" w:type="dxa"/>
            <w:vAlign w:val="bottom"/>
            <w:tcBorders>
              <w:top w:val="single" w:sz="8" w:color="CCEEFF"/>
            </w:tcBorders>
          </w:tcPr>
          <w:p>
            <w:pPr>
              <w:spacing w:after="0"/>
              <w:rPr>
                <w:sz w:val="18"/>
                <w:szCs w:val="18"/>
                <w:color w:val="auto"/>
              </w:rPr>
            </w:pPr>
          </w:p>
        </w:tc>
      </w:tr>
      <w:tr>
        <w:trPr>
          <w:trHeight w:val="95"/>
        </w:trPr>
        <w:tc>
          <w:tcPr>
            <w:tcW w:w="2880" w:type="dxa"/>
            <w:vAlign w:val="bottom"/>
            <w:tcBorders>
              <w:bottom w:val="single" w:sz="8" w:color="auto"/>
            </w:tcBorders>
          </w:tcPr>
          <w:p>
            <w:pPr>
              <w:spacing w:after="0"/>
              <w:rPr>
                <w:sz w:val="8"/>
                <w:szCs w:val="8"/>
                <w:color w:val="auto"/>
              </w:rPr>
            </w:pPr>
          </w:p>
        </w:tc>
        <w:tc>
          <w:tcPr>
            <w:tcW w:w="2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00" w:type="dxa"/>
            <w:vAlign w:val="bottom"/>
          </w:tcPr>
          <w:p>
            <w:pPr>
              <w:spacing w:after="0"/>
              <w:rPr>
                <w:sz w:val="8"/>
                <w:szCs w:val="8"/>
                <w:color w:val="auto"/>
              </w:rPr>
            </w:pPr>
          </w:p>
        </w:tc>
        <w:tc>
          <w:tcPr>
            <w:tcW w:w="160" w:type="dxa"/>
            <w:vAlign w:val="bottom"/>
          </w:tcPr>
          <w:p>
            <w:pPr>
              <w:spacing w:after="0"/>
              <w:rPr>
                <w:sz w:val="8"/>
                <w:szCs w:val="8"/>
                <w:color w:val="auto"/>
              </w:rPr>
            </w:pPr>
          </w:p>
        </w:tc>
        <w:tc>
          <w:tcPr>
            <w:tcW w:w="2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320" w:type="dxa"/>
            <w:vAlign w:val="bottom"/>
          </w:tcPr>
          <w:p>
            <w:pPr>
              <w:spacing w:after="0"/>
              <w:rPr>
                <w:sz w:val="8"/>
                <w:szCs w:val="8"/>
                <w:color w:val="auto"/>
              </w:rPr>
            </w:pPr>
          </w:p>
        </w:tc>
        <w:tc>
          <w:tcPr>
            <w:tcW w:w="140" w:type="dxa"/>
            <w:vAlign w:val="bottom"/>
          </w:tcPr>
          <w:p>
            <w:pPr>
              <w:spacing w:after="0"/>
              <w:rPr>
                <w:sz w:val="8"/>
                <w:szCs w:val="8"/>
                <w:color w:val="auto"/>
              </w:rPr>
            </w:pPr>
          </w:p>
        </w:tc>
      </w:tr>
    </w:tbl>
    <w:p>
      <w:pPr>
        <w:spacing w:after="0" w:line="61" w:lineRule="exact"/>
        <w:rPr>
          <w:sz w:val="20"/>
          <w:szCs w:val="20"/>
          <w:color w:val="auto"/>
        </w:rPr>
      </w:pPr>
    </w:p>
    <w:p>
      <w:pPr>
        <w:ind w:left="540" w:hanging="520"/>
        <w:spacing w:after="0"/>
        <w:tabs>
          <w:tab w:leader="none" w:pos="54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Non GAAP net income per share is calculated by dividing non-GAAP net income by non-GAAP weighted average shares diluted.</w:t>
      </w:r>
    </w:p>
    <w:p>
      <w:pPr>
        <w:spacing w:after="0" w:line="225" w:lineRule="exact"/>
        <w:rPr>
          <w:rFonts w:ascii="Times New Roman" w:cs="Times New Roman" w:eastAsia="Times New Roman" w:hAnsi="Times New Roman"/>
          <w:sz w:val="18"/>
          <w:szCs w:val="18"/>
          <w:i w:val="1"/>
          <w:iCs w:val="1"/>
          <w:color w:val="auto"/>
        </w:rPr>
      </w:pPr>
    </w:p>
    <w:p>
      <w:pPr>
        <w:ind w:left="540" w:right="300" w:hanging="520"/>
        <w:spacing w:after="0" w:line="261" w:lineRule="auto"/>
        <w:tabs>
          <w:tab w:leader="none" w:pos="54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For purposes of calculating non-GAAP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 shares under the GAAP treasury method and also includes the antidilutive effects of warrants, common stock options and restricted stock.</w:t>
      </w:r>
    </w:p>
    <w:p>
      <w:pPr>
        <w:sectPr>
          <w:pgSz w:w="11900" w:h="16838" w:orient="portrait"/>
          <w:cols w:equalWidth="0" w:num="1">
            <w:col w:w="11420"/>
          </w:cols>
          <w:pgMar w:left="240" w:top="121" w:right="239" w:bottom="0" w:gutter="0" w:footer="0" w:header="0"/>
        </w:sectPr>
      </w:pPr>
    </w:p>
    <w:bookmarkStart w:id="6" w:name="page7"/>
    <w:bookmarkEnd w:id="6"/>
    <w:p>
      <w:pPr>
        <w:jc w:val="center"/>
        <w:ind w:right="40"/>
        <w:spacing w:after="0"/>
        <w:rPr>
          <w:sz w:val="20"/>
          <w:szCs w:val="20"/>
          <w:color w:val="auto"/>
        </w:rPr>
      </w:pPr>
      <w:r>
        <w:rPr>
          <w:rFonts w:ascii="Times New Roman" w:cs="Times New Roman" w:eastAsia="Times New Roman" w:hAnsi="Times New Roman"/>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75565</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337" w:right="1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Condensed Consolidated Balance Sheets</w:t>
      </w:r>
    </w:p>
    <w:p>
      <w:pPr>
        <w:spacing w:after="0" w:line="31"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(Unaudited)</w:t>
      </w:r>
    </w:p>
    <w:p>
      <w:pPr>
        <w:spacing w:after="0" w:line="9"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60" w:type="dxa"/>
            <w:vAlign w:val="bottom"/>
          </w:tcPr>
          <w:p>
            <w:pPr>
              <w:spacing w:after="0"/>
              <w:rPr>
                <w:sz w:val="13"/>
                <w:szCs w:val="13"/>
                <w:color w:val="auto"/>
              </w:rPr>
            </w:pPr>
          </w:p>
        </w:tc>
        <w:tc>
          <w:tcPr>
            <w:tcW w:w="26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740" w:type="dxa"/>
            <w:vAlign w:val="bottom"/>
            <w:gridSpan w:val="2"/>
          </w:tcPr>
          <w:p>
            <w:pPr>
              <w:jc w:val="right"/>
              <w:ind w:right="800"/>
              <w:spacing w:after="0"/>
              <w:rPr>
                <w:sz w:val="20"/>
                <w:szCs w:val="20"/>
                <w:color w:val="auto"/>
              </w:rPr>
            </w:pPr>
            <w:r>
              <w:rPr>
                <w:rFonts w:ascii="Times New Roman" w:cs="Times New Roman" w:eastAsia="Times New Roman" w:hAnsi="Times New Roman"/>
                <w:sz w:val="14"/>
                <w:szCs w:val="14"/>
                <w:b w:val="1"/>
                <w:bCs w:val="1"/>
                <w:color w:val="auto"/>
              </w:rPr>
              <w:t>October 27,</w:t>
            </w:r>
          </w:p>
        </w:tc>
        <w:tc>
          <w:tcPr>
            <w:tcW w:w="320" w:type="dxa"/>
            <w:vAlign w:val="bottom"/>
          </w:tcPr>
          <w:p>
            <w:pPr>
              <w:spacing w:after="0"/>
              <w:rPr>
                <w:sz w:val="13"/>
                <w:szCs w:val="13"/>
                <w:color w:val="auto"/>
              </w:rPr>
            </w:pPr>
          </w:p>
        </w:tc>
        <w:tc>
          <w:tcPr>
            <w:tcW w:w="1600" w:type="dxa"/>
            <w:vAlign w:val="bottom"/>
            <w:gridSpan w:val="2"/>
          </w:tcPr>
          <w:p>
            <w:pPr>
              <w:jc w:val="right"/>
              <w:ind w:right="660"/>
              <w:spacing w:after="0"/>
              <w:rPr>
                <w:sz w:val="20"/>
                <w:szCs w:val="20"/>
                <w:color w:val="auto"/>
              </w:rPr>
            </w:pPr>
            <w:r>
              <w:rPr>
                <w:rFonts w:ascii="Times New Roman" w:cs="Times New Roman" w:eastAsia="Times New Roman" w:hAnsi="Times New Roman"/>
                <w:sz w:val="14"/>
                <w:szCs w:val="14"/>
                <w:b w:val="1"/>
                <w:bCs w:val="1"/>
                <w:color w:val="auto"/>
              </w:rPr>
              <w:t>January 27,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3"/>
        </w:trPr>
        <w:tc>
          <w:tcPr>
            <w:tcW w:w="4760" w:type="dxa"/>
            <w:vAlign w:val="bottom"/>
            <w:vMerge w:val="restart"/>
          </w:tcPr>
          <w:p>
            <w:pPr>
              <w:ind w:left="2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2680" w:type="dxa"/>
            <w:vAlign w:val="bottom"/>
          </w:tcPr>
          <w:p>
            <w:pPr>
              <w:spacing w:after="0"/>
              <w:rPr>
                <w:sz w:val="15"/>
                <w:szCs w:val="15"/>
                <w:color w:val="auto"/>
              </w:rPr>
            </w:pPr>
          </w:p>
        </w:tc>
        <w:tc>
          <w:tcPr>
            <w:tcW w:w="320" w:type="dxa"/>
            <w:vAlign w:val="bottom"/>
            <w:tcBorders>
              <w:bottom w:val="single" w:sz="8" w:color="auto"/>
            </w:tcBorders>
          </w:tcPr>
          <w:p>
            <w:pPr>
              <w:spacing w:after="0"/>
              <w:rPr>
                <w:sz w:val="15"/>
                <w:szCs w:val="15"/>
                <w:color w:val="auto"/>
              </w:rPr>
            </w:pPr>
          </w:p>
        </w:tc>
        <w:tc>
          <w:tcPr>
            <w:tcW w:w="1480" w:type="dxa"/>
            <w:vAlign w:val="bottom"/>
            <w:tcBorders>
              <w:bottom w:val="single" w:sz="8" w:color="auto"/>
            </w:tcBorders>
          </w:tcPr>
          <w:p>
            <w:pPr>
              <w:jc w:val="right"/>
              <w:ind w:right="671"/>
              <w:spacing w:after="0"/>
              <w:rPr>
                <w:sz w:val="20"/>
                <w:szCs w:val="20"/>
                <w:color w:val="auto"/>
              </w:rPr>
            </w:pPr>
            <w:r>
              <w:rPr>
                <w:rFonts w:ascii="Times New Roman" w:cs="Times New Roman" w:eastAsia="Times New Roman" w:hAnsi="Times New Roman"/>
                <w:sz w:val="14"/>
                <w:szCs w:val="14"/>
                <w:b w:val="1"/>
                <w:bCs w:val="1"/>
                <w:color w:val="auto"/>
              </w:rPr>
              <w:t>2007</w:t>
            </w:r>
          </w:p>
        </w:tc>
        <w:tc>
          <w:tcPr>
            <w:tcW w:w="260" w:type="dxa"/>
            <w:vAlign w:val="bottom"/>
          </w:tcPr>
          <w:p>
            <w:pPr>
              <w:spacing w:after="0"/>
              <w:rPr>
                <w:sz w:val="15"/>
                <w:szCs w:val="15"/>
                <w:color w:val="auto"/>
              </w:rPr>
            </w:pPr>
          </w:p>
        </w:tc>
        <w:tc>
          <w:tcPr>
            <w:tcW w:w="320" w:type="dxa"/>
            <w:vAlign w:val="bottom"/>
            <w:tcBorders>
              <w:bottom w:val="single" w:sz="8" w:color="auto"/>
            </w:tcBorders>
          </w:tcPr>
          <w:p>
            <w:pPr>
              <w:spacing w:after="0"/>
              <w:rPr>
                <w:sz w:val="15"/>
                <w:szCs w:val="15"/>
                <w:color w:val="auto"/>
              </w:rPr>
            </w:pPr>
          </w:p>
        </w:tc>
        <w:tc>
          <w:tcPr>
            <w:tcW w:w="1480" w:type="dxa"/>
            <w:vAlign w:val="bottom"/>
            <w:tcBorders>
              <w:bottom w:val="single" w:sz="8" w:color="auto"/>
            </w:tcBorders>
          </w:tcPr>
          <w:p>
            <w:pPr>
              <w:jc w:val="right"/>
              <w:ind w:right="671"/>
              <w:spacing w:after="0"/>
              <w:rPr>
                <w:sz w:val="20"/>
                <w:szCs w:val="20"/>
                <w:color w:val="auto"/>
              </w:rPr>
            </w:pPr>
            <w:r>
              <w:rPr>
                <w:rFonts w:ascii="Times New Roman" w:cs="Times New Roman" w:eastAsia="Times New Roman" w:hAnsi="Times New Roman"/>
                <w:sz w:val="14"/>
                <w:szCs w:val="14"/>
                <w:b w:val="1"/>
                <w:bCs w:val="1"/>
                <w:color w:val="auto"/>
              </w:rPr>
              <w:t>2007</w:t>
            </w: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4760" w:type="dxa"/>
            <w:vAlign w:val="bottom"/>
            <w:vMerge w:val="continue"/>
          </w:tcPr>
          <w:p>
            <w:pPr>
              <w:spacing w:after="0"/>
              <w:rPr>
                <w:sz w:val="17"/>
                <w:szCs w:val="17"/>
                <w:color w:val="auto"/>
              </w:rPr>
            </w:pPr>
          </w:p>
        </w:tc>
        <w:tc>
          <w:tcPr>
            <w:tcW w:w="26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Current assets:</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Cash, cash equivalents and short-term investments</w:t>
            </w:r>
          </w:p>
        </w:tc>
        <w:tc>
          <w:tcPr>
            <w:tcW w:w="3000" w:type="dxa"/>
            <w:vAlign w:val="bottom"/>
            <w:gridSpan w:val="2"/>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529,474</w:t>
            </w:r>
          </w:p>
        </w:tc>
        <w:tc>
          <w:tcPr>
            <w:tcW w:w="260" w:type="dxa"/>
            <w:vAlign w:val="bottom"/>
          </w:tcPr>
          <w:p>
            <w:pPr>
              <w:spacing w:after="0"/>
              <w:rPr>
                <w:sz w:val="18"/>
                <w:szCs w:val="18"/>
                <w:color w:val="auto"/>
              </w:rPr>
            </w:pPr>
          </w:p>
        </w:tc>
        <w:tc>
          <w:tcPr>
            <w:tcW w:w="32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w w:val="88"/>
              </w:rPr>
              <w:t>$</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596,380</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Accounts receivable, net</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386,542</w:t>
            </w: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328,283</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Inventory</w:t>
            </w:r>
          </w:p>
        </w:tc>
        <w:tc>
          <w:tcPr>
            <w:tcW w:w="2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381,508</w:t>
            </w: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247,403</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268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14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119,388</w:t>
            </w:r>
          </w:p>
        </w:tc>
        <w:tc>
          <w:tcPr>
            <w:tcW w:w="26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14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175,969</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76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Total current assets</w:t>
            </w:r>
          </w:p>
        </w:tc>
        <w:tc>
          <w:tcPr>
            <w:tcW w:w="2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1,416,912</w:t>
            </w: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1,348,035</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418,900</w:t>
            </w: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440,943</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Goodwill and acquired intangible assets</w:t>
            </w:r>
          </w:p>
        </w:tc>
        <w:tc>
          <w:tcPr>
            <w:tcW w:w="2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2,476,299</w:t>
            </w: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2,558,363</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Other non current assets</w:t>
            </w:r>
          </w:p>
        </w:tc>
        <w:tc>
          <w:tcPr>
            <w:tcW w:w="268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14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157,033</w:t>
            </w:r>
          </w:p>
        </w:tc>
        <w:tc>
          <w:tcPr>
            <w:tcW w:w="26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14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180,359</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760" w:type="dxa"/>
            <w:vAlign w:val="bottom"/>
            <w:tcBorders>
              <w:bottom w:val="single" w:sz="8" w:color="CCEEFF"/>
            </w:tcBorders>
          </w:tcPr>
          <w:p>
            <w:pPr>
              <w:ind w:left="380"/>
              <w:spacing w:after="0"/>
              <w:rPr>
                <w:sz w:val="20"/>
                <w:szCs w:val="20"/>
                <w:color w:val="auto"/>
              </w:rPr>
            </w:pPr>
            <w:r>
              <w:rPr>
                <w:rFonts w:ascii="Times New Roman" w:cs="Times New Roman" w:eastAsia="Times New Roman" w:hAnsi="Times New Roman"/>
                <w:sz w:val="18"/>
                <w:szCs w:val="18"/>
                <w:color w:val="auto"/>
              </w:rPr>
              <w:t>Total assets</w:t>
            </w:r>
          </w:p>
        </w:tc>
        <w:tc>
          <w:tcPr>
            <w:tcW w:w="2680" w:type="dxa"/>
            <w:vAlign w:val="bottom"/>
            <w:tcBorders>
              <w:bottom w:val="single" w:sz="8" w:color="CCEEFF"/>
            </w:tcBorders>
          </w:tcPr>
          <w:p>
            <w:pPr>
              <w:spacing w:after="0"/>
              <w:rPr>
                <w:sz w:val="18"/>
                <w:szCs w:val="18"/>
                <w:color w:val="auto"/>
              </w:rPr>
            </w:pPr>
          </w:p>
        </w:tc>
        <w:tc>
          <w:tcPr>
            <w:tcW w:w="320" w:type="dxa"/>
            <w:vAlign w:val="bottom"/>
            <w:tcBorders>
              <w:bottom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w w:val="88"/>
              </w:rPr>
              <w:t>$</w:t>
            </w:r>
          </w:p>
        </w:tc>
        <w:tc>
          <w:tcPr>
            <w:tcW w:w="14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4,469,144</w:t>
            </w:r>
          </w:p>
        </w:tc>
        <w:tc>
          <w:tcPr>
            <w:tcW w:w="260" w:type="dxa"/>
            <w:vAlign w:val="bottom"/>
            <w:tcBorders>
              <w:bottom w:val="single" w:sz="8" w:color="CCEEFF"/>
            </w:tcBorders>
          </w:tcPr>
          <w:p>
            <w:pPr>
              <w:spacing w:after="0"/>
              <w:rPr>
                <w:sz w:val="18"/>
                <w:szCs w:val="18"/>
                <w:color w:val="auto"/>
              </w:rPr>
            </w:pPr>
          </w:p>
        </w:tc>
        <w:tc>
          <w:tcPr>
            <w:tcW w:w="320" w:type="dxa"/>
            <w:vAlign w:val="bottom"/>
            <w:tcBorders>
              <w:bottom w:val="single" w:sz="8" w:color="auto"/>
            </w:tcBorders>
          </w:tcPr>
          <w:p>
            <w:pPr>
              <w:jc w:val="right"/>
              <w:ind w:right="130"/>
              <w:spacing w:after="0"/>
              <w:rPr>
                <w:sz w:val="20"/>
                <w:szCs w:val="20"/>
                <w:color w:val="auto"/>
              </w:rPr>
            </w:pPr>
            <w:r>
              <w:rPr>
                <w:rFonts w:ascii="Times New Roman" w:cs="Times New Roman" w:eastAsia="Times New Roman" w:hAnsi="Times New Roman"/>
                <w:sz w:val="18"/>
                <w:szCs w:val="18"/>
                <w:color w:val="auto"/>
                <w:w w:val="88"/>
              </w:rPr>
              <w:t>$</w:t>
            </w:r>
          </w:p>
        </w:tc>
        <w:tc>
          <w:tcPr>
            <w:tcW w:w="14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4,527,700</w:t>
            </w:r>
          </w:p>
        </w:tc>
        <w:tc>
          <w:tcPr>
            <w:tcW w:w="12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spacing w:after="0"/>
              <w:rPr>
                <w:sz w:val="18"/>
                <w:szCs w:val="18"/>
                <w:color w:val="auto"/>
              </w:rPr>
            </w:pP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2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Current liabilities:</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Accounts payable</w:t>
            </w:r>
          </w:p>
        </w:tc>
        <w:tc>
          <w:tcPr>
            <w:tcW w:w="3000" w:type="dxa"/>
            <w:vAlign w:val="bottom"/>
            <w:gridSpan w:val="2"/>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209,417</w:t>
            </w:r>
          </w:p>
        </w:tc>
        <w:tc>
          <w:tcPr>
            <w:tcW w:w="260" w:type="dxa"/>
            <w:vAlign w:val="bottom"/>
          </w:tcPr>
          <w:p>
            <w:pPr>
              <w:spacing w:after="0"/>
              <w:rPr>
                <w:sz w:val="18"/>
                <w:szCs w:val="18"/>
                <w:color w:val="auto"/>
              </w:rPr>
            </w:pPr>
          </w:p>
        </w:tc>
        <w:tc>
          <w:tcPr>
            <w:tcW w:w="32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w w:val="88"/>
              </w:rPr>
              <w:t>$</w:t>
            </w: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244,959</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Accrued liabilities</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284,345</w:t>
            </w: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373,282</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Income taxes payable</w:t>
            </w:r>
          </w:p>
        </w:tc>
        <w:tc>
          <w:tcPr>
            <w:tcW w:w="2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25,187</w:t>
            </w: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29,078</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Deferred income</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76,292</w:t>
            </w: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46,459</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Borders>
              <w:bottom w:val="single" w:sz="8" w:color="CCEEFF"/>
            </w:tcBorders>
          </w:tcPr>
          <w:p>
            <w:pPr>
              <w:ind w:left="200"/>
              <w:spacing w:after="0"/>
              <w:rPr>
                <w:sz w:val="20"/>
                <w:szCs w:val="20"/>
                <w:color w:val="auto"/>
              </w:rPr>
            </w:pPr>
            <w:r>
              <w:rPr>
                <w:rFonts w:ascii="Times New Roman" w:cs="Times New Roman" w:eastAsia="Times New Roman" w:hAnsi="Times New Roman"/>
                <w:sz w:val="18"/>
                <w:szCs w:val="18"/>
                <w:color w:val="auto"/>
              </w:rPr>
              <w:t>Current portion of capital lease obligations</w:t>
            </w:r>
          </w:p>
        </w:tc>
        <w:tc>
          <w:tcPr>
            <w:tcW w:w="2680" w:type="dxa"/>
            <w:vAlign w:val="bottom"/>
            <w:tcBorders>
              <w:bottom w:val="single" w:sz="8" w:color="CCEEFF"/>
            </w:tcBorders>
          </w:tcPr>
          <w:p>
            <w:pPr>
              <w:spacing w:after="0"/>
              <w:rPr>
                <w:sz w:val="18"/>
                <w:szCs w:val="18"/>
                <w:color w:val="auto"/>
              </w:rPr>
            </w:pPr>
          </w:p>
        </w:tc>
        <w:tc>
          <w:tcPr>
            <w:tcW w:w="320" w:type="dxa"/>
            <w:vAlign w:val="bottom"/>
            <w:tcBorders>
              <w:bottom w:val="single" w:sz="8" w:color="auto"/>
            </w:tcBorders>
          </w:tcPr>
          <w:p>
            <w:pPr>
              <w:spacing w:after="0"/>
              <w:rPr>
                <w:sz w:val="18"/>
                <w:szCs w:val="18"/>
                <w:color w:val="auto"/>
              </w:rPr>
            </w:pPr>
          </w:p>
        </w:tc>
        <w:tc>
          <w:tcPr>
            <w:tcW w:w="14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4,656</w:t>
            </w:r>
          </w:p>
        </w:tc>
        <w:tc>
          <w:tcPr>
            <w:tcW w:w="260" w:type="dxa"/>
            <w:vAlign w:val="bottom"/>
            <w:tcBorders>
              <w:bottom w:val="single" w:sz="8" w:color="CCEEFF"/>
            </w:tcBorders>
          </w:tcPr>
          <w:p>
            <w:pPr>
              <w:spacing w:after="0"/>
              <w:rPr>
                <w:sz w:val="18"/>
                <w:szCs w:val="18"/>
                <w:color w:val="auto"/>
              </w:rPr>
            </w:pPr>
          </w:p>
        </w:tc>
        <w:tc>
          <w:tcPr>
            <w:tcW w:w="320" w:type="dxa"/>
            <w:vAlign w:val="bottom"/>
            <w:tcBorders>
              <w:bottom w:val="single" w:sz="8" w:color="auto"/>
            </w:tcBorders>
          </w:tcPr>
          <w:p>
            <w:pPr>
              <w:spacing w:after="0"/>
              <w:rPr>
                <w:sz w:val="18"/>
                <w:szCs w:val="18"/>
                <w:color w:val="auto"/>
              </w:rPr>
            </w:pPr>
          </w:p>
        </w:tc>
        <w:tc>
          <w:tcPr>
            <w:tcW w:w="14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17,408</w:t>
            </w:r>
          </w:p>
        </w:tc>
        <w:tc>
          <w:tcPr>
            <w:tcW w:w="12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760" w:type="dxa"/>
            <w:vAlign w:val="bottom"/>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599,897</w:t>
            </w: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711,186</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Capital lease obligations</w:t>
            </w:r>
          </w:p>
        </w:tc>
        <w:tc>
          <w:tcPr>
            <w:tcW w:w="2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8,141</w:t>
            </w: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17,096</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Term loan obligations</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391,750</w:t>
            </w: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394,750</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Borders>
              <w:bottom w:val="single" w:sz="8" w:color="CCEEFF"/>
            </w:tcBorders>
          </w:tcPr>
          <w:p>
            <w:pPr>
              <w:ind w:left="20"/>
              <w:spacing w:after="0"/>
              <w:rPr>
                <w:sz w:val="20"/>
                <w:szCs w:val="20"/>
                <w:color w:val="auto"/>
              </w:rPr>
            </w:pPr>
            <w:r>
              <w:rPr>
                <w:rFonts w:ascii="Times New Roman" w:cs="Times New Roman" w:eastAsia="Times New Roman" w:hAnsi="Times New Roman"/>
                <w:sz w:val="18"/>
                <w:szCs w:val="18"/>
                <w:color w:val="auto"/>
              </w:rPr>
              <w:t>Other long-term liabilities</w:t>
            </w:r>
          </w:p>
        </w:tc>
        <w:tc>
          <w:tcPr>
            <w:tcW w:w="2680" w:type="dxa"/>
            <w:vAlign w:val="bottom"/>
            <w:tcBorders>
              <w:bottom w:val="single" w:sz="8" w:color="CCEEFF"/>
            </w:tcBorders>
          </w:tcPr>
          <w:p>
            <w:pPr>
              <w:spacing w:after="0"/>
              <w:rPr>
                <w:sz w:val="18"/>
                <w:szCs w:val="18"/>
                <w:color w:val="auto"/>
              </w:rPr>
            </w:pPr>
          </w:p>
        </w:tc>
        <w:tc>
          <w:tcPr>
            <w:tcW w:w="320" w:type="dxa"/>
            <w:vAlign w:val="bottom"/>
            <w:tcBorders>
              <w:bottom w:val="single" w:sz="8" w:color="auto"/>
            </w:tcBorders>
          </w:tcPr>
          <w:p>
            <w:pPr>
              <w:spacing w:after="0"/>
              <w:rPr>
                <w:sz w:val="18"/>
                <w:szCs w:val="18"/>
                <w:color w:val="auto"/>
              </w:rPr>
            </w:pPr>
          </w:p>
        </w:tc>
        <w:tc>
          <w:tcPr>
            <w:tcW w:w="14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162,887</w:t>
            </w:r>
          </w:p>
        </w:tc>
        <w:tc>
          <w:tcPr>
            <w:tcW w:w="260" w:type="dxa"/>
            <w:vAlign w:val="bottom"/>
            <w:tcBorders>
              <w:bottom w:val="single" w:sz="8" w:color="CCEEFF"/>
            </w:tcBorders>
          </w:tcPr>
          <w:p>
            <w:pPr>
              <w:spacing w:after="0"/>
              <w:rPr>
                <w:sz w:val="18"/>
                <w:szCs w:val="18"/>
                <w:color w:val="auto"/>
              </w:rPr>
            </w:pPr>
          </w:p>
        </w:tc>
        <w:tc>
          <w:tcPr>
            <w:tcW w:w="320" w:type="dxa"/>
            <w:vAlign w:val="bottom"/>
            <w:tcBorders>
              <w:bottom w:val="single" w:sz="8" w:color="auto"/>
            </w:tcBorders>
          </w:tcPr>
          <w:p>
            <w:pPr>
              <w:spacing w:after="0"/>
              <w:rPr>
                <w:sz w:val="18"/>
                <w:szCs w:val="18"/>
                <w:color w:val="auto"/>
              </w:rPr>
            </w:pPr>
          </w:p>
        </w:tc>
        <w:tc>
          <w:tcPr>
            <w:tcW w:w="14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177,484</w:t>
            </w:r>
          </w:p>
        </w:tc>
        <w:tc>
          <w:tcPr>
            <w:tcW w:w="12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760" w:type="dxa"/>
            <w:vAlign w:val="bottom"/>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Total liabilities</w:t>
            </w:r>
          </w:p>
        </w:tc>
        <w:tc>
          <w:tcPr>
            <w:tcW w:w="268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14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1,162,675</w:t>
            </w:r>
          </w:p>
        </w:tc>
        <w:tc>
          <w:tcPr>
            <w:tcW w:w="26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14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1,300,516</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760" w:type="dxa"/>
            <w:vAlign w:val="bottom"/>
          </w:tcPr>
          <w:p>
            <w:pPr>
              <w:spacing w:after="0"/>
              <w:rPr>
                <w:sz w:val="18"/>
                <w:szCs w:val="18"/>
                <w:color w:val="auto"/>
              </w:rPr>
            </w:pPr>
          </w:p>
        </w:tc>
        <w:tc>
          <w:tcPr>
            <w:tcW w:w="2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Shareholders’ equity:</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Common stock</w:t>
            </w:r>
          </w:p>
        </w:tc>
        <w:tc>
          <w:tcPr>
            <w:tcW w:w="2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1,185</w:t>
            </w: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1,175</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3,997,037</w:t>
            </w:r>
          </w:p>
        </w:tc>
        <w:tc>
          <w:tcPr>
            <w:tcW w:w="2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3,802,509</w:t>
            </w:r>
          </w:p>
        </w:tc>
        <w:tc>
          <w:tcPr>
            <w:tcW w:w="12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Accumulated other comprehensive gain</w:t>
            </w:r>
          </w:p>
        </w:tc>
        <w:tc>
          <w:tcPr>
            <w:tcW w:w="26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495</w:t>
            </w:r>
          </w:p>
        </w:tc>
        <w:tc>
          <w:tcPr>
            <w:tcW w:w="2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Accumulated deficit</w:t>
            </w:r>
          </w:p>
        </w:tc>
        <w:tc>
          <w:tcPr>
            <w:tcW w:w="26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(692,248 )</w:t>
            </w:r>
          </w:p>
        </w:tc>
        <w:tc>
          <w:tcPr>
            <w:tcW w:w="320" w:type="dxa"/>
            <w:vAlign w:val="bottom"/>
            <w:shd w:val="clear" w:color="auto" w:fill="CCEEFF"/>
          </w:tcPr>
          <w:p>
            <w:pPr>
              <w:spacing w:after="0"/>
              <w:rPr>
                <w:sz w:val="18"/>
                <w:szCs w:val="18"/>
                <w:color w:val="auto"/>
              </w:rPr>
            </w:pPr>
          </w:p>
        </w:tc>
        <w:tc>
          <w:tcPr>
            <w:tcW w:w="160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(576,528 )</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760" w:type="dxa"/>
            <w:vAlign w:val="bottom"/>
            <w:tcBorders>
              <w:bottom w:val="single" w:sz="8" w:color="CCEEFF"/>
            </w:tcBorders>
          </w:tcPr>
          <w:p>
            <w:pPr>
              <w:ind w:left="38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268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14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3,306,469</w:t>
            </w:r>
          </w:p>
        </w:tc>
        <w:tc>
          <w:tcPr>
            <w:tcW w:w="260" w:type="dxa"/>
            <w:vAlign w:val="bottom"/>
            <w:tcBorders>
              <w:bottom w:val="single" w:sz="8" w:color="CCEEFF"/>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14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3,227,184</w:t>
            </w:r>
          </w:p>
        </w:tc>
        <w:tc>
          <w:tcPr>
            <w:tcW w:w="12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76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2680" w:type="dxa"/>
            <w:vAlign w:val="bottom"/>
            <w:tcBorders>
              <w:bottom w:val="single" w:sz="8" w:color="CCEEFF"/>
            </w:tcBorders>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w w:val="88"/>
              </w:rPr>
              <w:t>$</w:t>
            </w:r>
          </w:p>
        </w:tc>
        <w:tc>
          <w:tcPr>
            <w:tcW w:w="14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4,469,144</w:t>
            </w:r>
          </w:p>
        </w:tc>
        <w:tc>
          <w:tcPr>
            <w:tcW w:w="260" w:type="dxa"/>
            <w:vAlign w:val="bottom"/>
            <w:tcBorders>
              <w:bottom w:val="single" w:sz="8" w:color="CCEEFF"/>
            </w:tcBorders>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w w:val="88"/>
              </w:rPr>
              <w:t>$</w:t>
            </w:r>
          </w:p>
        </w:tc>
        <w:tc>
          <w:tcPr>
            <w:tcW w:w="14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4,527,700</w:t>
            </w:r>
          </w:p>
        </w:tc>
        <w:tc>
          <w:tcPr>
            <w:tcW w:w="120" w:type="dxa"/>
            <w:vAlign w:val="bottom"/>
            <w:tcBorders>
              <w:bottom w:val="single" w:sz="8" w:color="CCEEFF"/>
            </w:tcBorders>
            <w:shd w:val="clear" w:color="auto" w:fill="CCEEFF"/>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5"/>
        </w:trPr>
        <w:tc>
          <w:tcPr>
            <w:tcW w:w="4760" w:type="dxa"/>
            <w:vAlign w:val="bottom"/>
          </w:tcPr>
          <w:p>
            <w:pPr>
              <w:spacing w:after="0"/>
              <w:rPr>
                <w:sz w:val="24"/>
                <w:szCs w:val="24"/>
                <w:color w:val="auto"/>
              </w:rPr>
            </w:pPr>
          </w:p>
        </w:tc>
        <w:tc>
          <w:tcPr>
            <w:tcW w:w="2680" w:type="dxa"/>
            <w:vAlign w:val="bottom"/>
          </w:tcPr>
          <w:p>
            <w:pPr>
              <w:jc w:val="right"/>
              <w:ind w:right="1590"/>
              <w:spacing w:after="0"/>
              <w:rPr>
                <w:sz w:val="20"/>
                <w:szCs w:val="20"/>
                <w:color w:val="auto"/>
              </w:rPr>
            </w:pPr>
            <w:r>
              <w:rPr>
                <w:rFonts w:ascii="Times New Roman" w:cs="Times New Roman" w:eastAsia="Times New Roman" w:hAnsi="Times New Roman"/>
                <w:sz w:val="18"/>
                <w:szCs w:val="18"/>
                <w:color w:val="auto"/>
              </w:rPr>
              <w:t>8</w:t>
            </w:r>
          </w:p>
        </w:tc>
        <w:tc>
          <w:tcPr>
            <w:tcW w:w="3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8"/>
        </w:trPr>
        <w:tc>
          <w:tcPr>
            <w:tcW w:w="4760" w:type="dxa"/>
            <w:vAlign w:val="bottom"/>
            <w:tcBorders>
              <w:bottom w:val="single" w:sz="8" w:color="010101"/>
            </w:tcBorders>
          </w:tcPr>
          <w:p>
            <w:pPr>
              <w:spacing w:after="0"/>
              <w:rPr>
                <w:sz w:val="10"/>
                <w:szCs w:val="10"/>
                <w:color w:val="auto"/>
              </w:rPr>
            </w:pPr>
          </w:p>
        </w:tc>
        <w:tc>
          <w:tcPr>
            <w:tcW w:w="2680" w:type="dxa"/>
            <w:vAlign w:val="bottom"/>
            <w:tcBorders>
              <w:bottom w:val="single" w:sz="8" w:color="010101"/>
            </w:tcBorders>
          </w:tcPr>
          <w:p>
            <w:pPr>
              <w:spacing w:after="0"/>
              <w:rPr>
                <w:sz w:val="10"/>
                <w:szCs w:val="10"/>
                <w:color w:val="auto"/>
              </w:rPr>
            </w:pPr>
          </w:p>
        </w:tc>
        <w:tc>
          <w:tcPr>
            <w:tcW w:w="320" w:type="dxa"/>
            <w:vAlign w:val="bottom"/>
            <w:tcBorders>
              <w:bottom w:val="single" w:sz="8" w:color="010101"/>
            </w:tcBorders>
          </w:tcPr>
          <w:p>
            <w:pPr>
              <w:spacing w:after="0"/>
              <w:rPr>
                <w:sz w:val="10"/>
                <w:szCs w:val="10"/>
                <w:color w:val="auto"/>
              </w:rPr>
            </w:pPr>
          </w:p>
        </w:tc>
        <w:tc>
          <w:tcPr>
            <w:tcW w:w="1480" w:type="dxa"/>
            <w:vAlign w:val="bottom"/>
            <w:tcBorders>
              <w:bottom w:val="single" w:sz="8" w:color="010101"/>
            </w:tcBorders>
          </w:tcPr>
          <w:p>
            <w:pPr>
              <w:spacing w:after="0"/>
              <w:rPr>
                <w:sz w:val="10"/>
                <w:szCs w:val="10"/>
                <w:color w:val="auto"/>
              </w:rPr>
            </w:pPr>
          </w:p>
        </w:tc>
        <w:tc>
          <w:tcPr>
            <w:tcW w:w="260" w:type="dxa"/>
            <w:vAlign w:val="bottom"/>
            <w:tcBorders>
              <w:bottom w:val="single" w:sz="8" w:color="010101"/>
            </w:tcBorders>
          </w:tcPr>
          <w:p>
            <w:pPr>
              <w:spacing w:after="0"/>
              <w:rPr>
                <w:sz w:val="10"/>
                <w:szCs w:val="10"/>
                <w:color w:val="auto"/>
              </w:rPr>
            </w:pPr>
          </w:p>
        </w:tc>
        <w:tc>
          <w:tcPr>
            <w:tcW w:w="320" w:type="dxa"/>
            <w:vAlign w:val="bottom"/>
            <w:tcBorders>
              <w:bottom w:val="single" w:sz="8" w:color="010101"/>
            </w:tcBorders>
          </w:tcPr>
          <w:p>
            <w:pPr>
              <w:spacing w:after="0"/>
              <w:rPr>
                <w:sz w:val="10"/>
                <w:szCs w:val="10"/>
                <w:color w:val="auto"/>
              </w:rPr>
            </w:pPr>
          </w:p>
        </w:tc>
        <w:tc>
          <w:tcPr>
            <w:tcW w:w="1480" w:type="dxa"/>
            <w:vAlign w:val="bottom"/>
            <w:tcBorders>
              <w:bottom w:val="single" w:sz="8" w:color="010101"/>
            </w:tcBorders>
          </w:tcPr>
          <w:p>
            <w:pPr>
              <w:spacing w:after="0"/>
              <w:rPr>
                <w:sz w:val="10"/>
                <w:szCs w:val="10"/>
                <w:color w:val="auto"/>
              </w:rPr>
            </w:pPr>
          </w:p>
        </w:tc>
        <w:tc>
          <w:tcPr>
            <w:tcW w:w="120" w:type="dxa"/>
            <w:vAlign w:val="bottom"/>
            <w:tcBorders>
              <w:bottom w:val="single" w:sz="8" w:color="010101"/>
            </w:tcBorders>
          </w:tcPr>
          <w:p>
            <w:pPr>
              <w:spacing w:after="0"/>
              <w:rPr>
                <w:sz w:val="10"/>
                <w:szCs w:val="10"/>
                <w:color w:val="auto"/>
              </w:rPr>
            </w:pPr>
          </w:p>
        </w:tc>
        <w:tc>
          <w:tcPr>
            <w:tcW w:w="40" w:type="dxa"/>
            <w:vAlign w:val="bottom"/>
            <w:tcBorders>
              <w:bottom w:val="single" w:sz="8" w:color="010101"/>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337" w:right="19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44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abstractNum>
  <w:abstractNum w:abstractNumId="5">
    <w:nsid w:val="507ED7A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2019-12-14T20:24:02Z</dcterms:created>
  <dcterms:modified xsi:type="dcterms:W3CDTF">2019-12-14T20:24:02Z</dcterms:modified>
</cp:coreProperties>
</file>