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37"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4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199"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16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Securities Exchange Act of 1934</w:t>
      </w:r>
    </w:p>
    <w:p>
      <w:pPr>
        <w:spacing w:after="0" w:line="155"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Date of Report (Date of earliest event reported): October 26, 2007</w:t>
      </w:r>
    </w:p>
    <w:p>
      <w:pPr>
        <w:spacing w:after="0" w:line="17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pacing w:after="0" w:line="97" w:lineRule="exact"/>
        <w:rPr>
          <w:sz w:val="24"/>
          <w:szCs w:val="24"/>
          <w:color w:val="auto"/>
        </w:rPr>
      </w:pPr>
    </w:p>
    <w:tbl>
      <w:tblPr>
        <w:tblLayout w:type="fixed"/>
        <w:tblInd w:w="1020" w:type="dxa"/>
        <w:tblCellMar>
          <w:top w:w="0" w:type="dxa"/>
          <w:left w:w="0" w:type="dxa"/>
          <w:bottom w:w="0" w:type="dxa"/>
          <w:right w:w="0" w:type="dxa"/>
        </w:tblCellMar>
      </w:tblPr>
      <w:tr>
        <w:trPr>
          <w:trHeight w:val="220"/>
        </w:trPr>
        <w:tc>
          <w:tcPr>
            <w:tcW w:w="3040" w:type="dxa"/>
            <w:vAlign w:val="bottom"/>
          </w:tcPr>
          <w:p>
            <w:pPr>
              <w:jc w:val="center"/>
              <w:ind w:right="790"/>
              <w:spacing w:after="0"/>
              <w:rPr>
                <w:sz w:val="20"/>
                <w:szCs w:val="20"/>
                <w:color w:val="auto"/>
              </w:rPr>
            </w:pPr>
            <w:r>
              <w:rPr>
                <w:rFonts w:ascii="Arial" w:cs="Arial" w:eastAsia="Arial" w:hAnsi="Arial"/>
                <w:sz w:val="18"/>
                <w:szCs w:val="18"/>
                <w:b w:val="1"/>
                <w:bCs w:val="1"/>
                <w:color w:val="auto"/>
                <w:w w:val="92"/>
              </w:rPr>
              <w:t>Bermuda</w:t>
            </w:r>
          </w:p>
        </w:tc>
        <w:tc>
          <w:tcPr>
            <w:tcW w:w="3860" w:type="dxa"/>
            <w:vAlign w:val="bottom"/>
          </w:tcPr>
          <w:p>
            <w:pPr>
              <w:jc w:val="right"/>
              <w:ind w:right="1570"/>
              <w:spacing w:after="0"/>
              <w:rPr>
                <w:sz w:val="20"/>
                <w:szCs w:val="20"/>
                <w:color w:val="auto"/>
              </w:rPr>
            </w:pPr>
            <w:r>
              <w:rPr>
                <w:rFonts w:ascii="Arial" w:cs="Arial" w:eastAsia="Arial" w:hAnsi="Arial"/>
                <w:sz w:val="18"/>
                <w:szCs w:val="18"/>
                <w:b w:val="1"/>
                <w:bCs w:val="1"/>
                <w:color w:val="auto"/>
              </w:rPr>
              <w:t>0-30877</w:t>
            </w:r>
          </w:p>
        </w:tc>
        <w:tc>
          <w:tcPr>
            <w:tcW w:w="2300" w:type="dxa"/>
            <w:vAlign w:val="bottom"/>
          </w:tcPr>
          <w:p>
            <w:pPr>
              <w:jc w:val="center"/>
              <w:ind w:left="890"/>
              <w:spacing w:after="0"/>
              <w:rPr>
                <w:sz w:val="20"/>
                <w:szCs w:val="20"/>
                <w:color w:val="auto"/>
              </w:rPr>
            </w:pPr>
            <w:r>
              <w:rPr>
                <w:rFonts w:ascii="Arial" w:cs="Arial" w:eastAsia="Arial" w:hAnsi="Arial"/>
                <w:sz w:val="18"/>
                <w:szCs w:val="18"/>
                <w:b w:val="1"/>
                <w:bCs w:val="1"/>
                <w:color w:val="auto"/>
                <w:w w:val="91"/>
              </w:rPr>
              <w:t>77-0481679</w:t>
            </w:r>
          </w:p>
        </w:tc>
      </w:tr>
      <w:tr>
        <w:trPr>
          <w:trHeight w:val="216"/>
        </w:trPr>
        <w:tc>
          <w:tcPr>
            <w:tcW w:w="3040" w:type="dxa"/>
            <w:vAlign w:val="bottom"/>
          </w:tcPr>
          <w:p>
            <w:pPr>
              <w:jc w:val="center"/>
              <w:ind w:right="790"/>
              <w:spacing w:after="0"/>
              <w:rPr>
                <w:sz w:val="20"/>
                <w:szCs w:val="20"/>
                <w:color w:val="auto"/>
              </w:rPr>
            </w:pPr>
            <w:r>
              <w:rPr>
                <w:rFonts w:ascii="Arial" w:cs="Arial" w:eastAsia="Arial" w:hAnsi="Arial"/>
                <w:sz w:val="18"/>
                <w:szCs w:val="18"/>
                <w:color w:val="auto"/>
                <w:w w:val="92"/>
              </w:rPr>
              <w:t>(State or Other Jurisdiction of</w:t>
            </w:r>
          </w:p>
        </w:tc>
        <w:tc>
          <w:tcPr>
            <w:tcW w:w="3860" w:type="dxa"/>
            <w:vAlign w:val="bottom"/>
          </w:tcPr>
          <w:p>
            <w:pPr>
              <w:jc w:val="center"/>
              <w:spacing w:after="0"/>
              <w:rPr>
                <w:sz w:val="20"/>
                <w:szCs w:val="20"/>
                <w:color w:val="auto"/>
              </w:rPr>
            </w:pPr>
            <w:r>
              <w:rPr>
                <w:rFonts w:ascii="Arial" w:cs="Arial" w:eastAsia="Arial" w:hAnsi="Arial"/>
                <w:sz w:val="18"/>
                <w:szCs w:val="18"/>
                <w:color w:val="auto"/>
                <w:w w:val="92"/>
              </w:rPr>
              <w:t>(Commission File Number)</w:t>
            </w:r>
          </w:p>
        </w:tc>
        <w:tc>
          <w:tcPr>
            <w:tcW w:w="2300" w:type="dxa"/>
            <w:vAlign w:val="bottom"/>
          </w:tcPr>
          <w:p>
            <w:pPr>
              <w:jc w:val="center"/>
              <w:ind w:left="890"/>
              <w:spacing w:after="0"/>
              <w:rPr>
                <w:sz w:val="20"/>
                <w:szCs w:val="20"/>
                <w:color w:val="auto"/>
              </w:rPr>
            </w:pPr>
            <w:r>
              <w:rPr>
                <w:rFonts w:ascii="Arial" w:cs="Arial" w:eastAsia="Arial" w:hAnsi="Arial"/>
                <w:sz w:val="18"/>
                <w:szCs w:val="18"/>
                <w:color w:val="auto"/>
                <w:w w:val="93"/>
              </w:rPr>
              <w:t>(I.R.S. Employer</w:t>
            </w:r>
          </w:p>
        </w:tc>
      </w:tr>
      <w:tr>
        <w:trPr>
          <w:trHeight w:val="230"/>
        </w:trPr>
        <w:tc>
          <w:tcPr>
            <w:tcW w:w="3040" w:type="dxa"/>
            <w:vAlign w:val="bottom"/>
          </w:tcPr>
          <w:p>
            <w:pPr>
              <w:jc w:val="center"/>
              <w:ind w:right="790"/>
              <w:spacing w:after="0"/>
              <w:rPr>
                <w:sz w:val="20"/>
                <w:szCs w:val="20"/>
                <w:color w:val="auto"/>
              </w:rPr>
            </w:pPr>
            <w:r>
              <w:rPr>
                <w:rFonts w:ascii="Arial" w:cs="Arial" w:eastAsia="Arial" w:hAnsi="Arial"/>
                <w:sz w:val="18"/>
                <w:szCs w:val="18"/>
                <w:color w:val="auto"/>
                <w:w w:val="93"/>
              </w:rPr>
              <w:t>Incorporation)</w:t>
            </w:r>
          </w:p>
        </w:tc>
        <w:tc>
          <w:tcPr>
            <w:tcW w:w="3860" w:type="dxa"/>
            <w:vAlign w:val="bottom"/>
          </w:tcPr>
          <w:p>
            <w:pPr>
              <w:spacing w:after="0"/>
              <w:rPr>
                <w:sz w:val="20"/>
                <w:szCs w:val="20"/>
                <w:color w:val="auto"/>
              </w:rPr>
            </w:pPr>
          </w:p>
        </w:tc>
        <w:tc>
          <w:tcPr>
            <w:tcW w:w="2300" w:type="dxa"/>
            <w:vAlign w:val="bottom"/>
          </w:tcPr>
          <w:p>
            <w:pPr>
              <w:jc w:val="center"/>
              <w:ind w:left="870"/>
              <w:spacing w:after="0"/>
              <w:rPr>
                <w:sz w:val="20"/>
                <w:szCs w:val="20"/>
                <w:color w:val="auto"/>
              </w:rPr>
            </w:pPr>
            <w:r>
              <w:rPr>
                <w:rFonts w:ascii="Arial" w:cs="Arial" w:eastAsia="Arial" w:hAnsi="Arial"/>
                <w:sz w:val="18"/>
                <w:szCs w:val="18"/>
                <w:color w:val="auto"/>
                <w:w w:val="95"/>
              </w:rPr>
              <w:t>Identification No.)</w:t>
            </w:r>
          </w:p>
        </w:tc>
      </w:tr>
    </w:tbl>
    <w:p>
      <w:pPr>
        <w:spacing w:after="0" w:line="373"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ind w:left="5580" w:hanging="428"/>
        <w:spacing w:after="0"/>
        <w:tabs>
          <w:tab w:leader="none" w:pos="5580"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296-6395</w:t>
      </w:r>
    </w:p>
    <w:p>
      <w:pPr>
        <w:spacing w:after="0" w:line="27" w:lineRule="exact"/>
        <w:rPr>
          <w:rFonts w:ascii="Arial" w:cs="Arial" w:eastAsia="Arial" w:hAnsi="Arial"/>
          <w:sz w:val="18"/>
          <w:szCs w:val="18"/>
          <w:b w:val="1"/>
          <w:bCs w:val="1"/>
          <w:color w:val="auto"/>
        </w:rPr>
      </w:pPr>
    </w:p>
    <w:p>
      <w:pPr>
        <w:ind w:left="4560"/>
        <w:spacing w:after="0"/>
        <w:rPr>
          <w:rFonts w:ascii="Arial" w:cs="Arial" w:eastAsia="Arial" w:hAnsi="Arial"/>
          <w:sz w:val="18"/>
          <w:szCs w:val="18"/>
          <w:b w:val="1"/>
          <w:bCs w:val="1"/>
          <w:color w:val="auto"/>
        </w:rPr>
      </w:pPr>
      <w:r>
        <w:rPr>
          <w:rFonts w:ascii="Arial" w:cs="Arial" w:eastAsia="Arial" w:hAnsi="Arial"/>
          <w:sz w:val="18"/>
          <w:szCs w:val="18"/>
          <w:color w:val="auto"/>
        </w:rPr>
        <w:t>(Registrant’s telephone number,</w:t>
      </w:r>
    </w:p>
    <w:p>
      <w:pPr>
        <w:spacing w:after="0" w:line="9" w:lineRule="exact"/>
        <w:rPr>
          <w:rFonts w:ascii="Arial" w:cs="Arial" w:eastAsia="Arial" w:hAnsi="Arial"/>
          <w:sz w:val="18"/>
          <w:szCs w:val="18"/>
          <w:b w:val="1"/>
          <w:bCs w:val="1"/>
          <w:color w:val="auto"/>
        </w:rPr>
      </w:pPr>
    </w:p>
    <w:p>
      <w:pPr>
        <w:ind w:left="4980"/>
        <w:spacing w:after="0"/>
        <w:rPr>
          <w:rFonts w:ascii="Arial" w:cs="Arial" w:eastAsia="Arial" w:hAnsi="Arial"/>
          <w:sz w:val="18"/>
          <w:szCs w:val="18"/>
          <w:b w:val="1"/>
          <w:bCs w:val="1"/>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3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198"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18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18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135255</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177800</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269875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8" w:lineRule="exact"/>
        <w:rPr>
          <w:sz w:val="24"/>
          <w:szCs w:val="24"/>
          <w:color w:val="auto"/>
        </w:rPr>
      </w:pPr>
    </w:p>
    <w:p>
      <w:pPr>
        <w:ind w:right="64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Election of Director</w:t>
      </w:r>
    </w:p>
    <w:p>
      <w:pPr>
        <w:spacing w:after="0" w:line="225" w:lineRule="exact"/>
        <w:rPr>
          <w:sz w:val="24"/>
          <w:szCs w:val="24"/>
          <w:color w:val="auto"/>
        </w:rPr>
      </w:pPr>
    </w:p>
    <w:p>
      <w:pPr>
        <w:ind w:right="80" w:firstLine="648"/>
        <w:spacing w:after="0" w:line="286" w:lineRule="auto"/>
        <w:rPr>
          <w:sz w:val="20"/>
          <w:szCs w:val="20"/>
          <w:color w:val="auto"/>
        </w:rPr>
      </w:pPr>
      <w:r>
        <w:rPr>
          <w:rFonts w:ascii="Arial" w:cs="Arial" w:eastAsia="Arial" w:hAnsi="Arial"/>
          <w:sz w:val="17"/>
          <w:szCs w:val="17"/>
          <w:color w:val="auto"/>
        </w:rPr>
        <w:t>On October 26, 2007, the board of directors (the “Board”) of Marvell Technology Group Ltd. (the “Company”) elected Juergen W. Gromer to serve as a member of the Company’s Board, effective as of the same day. Dr. Juergen was appointed for a term that extends until the 2008 annual meeting of the shareholders. Dr. Gromer was appointed to serve on the executive compensation and governance committees of the Board.</w:t>
      </w:r>
    </w:p>
    <w:p>
      <w:pPr>
        <w:spacing w:after="0" w:line="166" w:lineRule="exact"/>
        <w:rPr>
          <w:sz w:val="24"/>
          <w:szCs w:val="24"/>
          <w:color w:val="auto"/>
        </w:rPr>
      </w:pPr>
    </w:p>
    <w:p>
      <w:pPr>
        <w:ind w:right="80" w:firstLine="648"/>
        <w:spacing w:after="0" w:line="290" w:lineRule="auto"/>
        <w:rPr>
          <w:sz w:val="20"/>
          <w:szCs w:val="20"/>
          <w:color w:val="auto"/>
        </w:rPr>
      </w:pPr>
      <w:r>
        <w:rPr>
          <w:rFonts w:ascii="Arial" w:cs="Arial" w:eastAsia="Arial" w:hAnsi="Arial"/>
          <w:sz w:val="16"/>
          <w:szCs w:val="16"/>
          <w:color w:val="auto"/>
        </w:rPr>
        <w:t>Juergen W. Gromer has been the President of Tyco Electronics (“Tyco”) since April 1999, a position from which he will retire on December 31, 2007. He has served on Tyco’s board of directors since its inception in June 2007 and has announced that he plans to remain on Tyco’s board of directors beyond his retirement. Dr. Gromer has more than twenty years of experience at Tyco and AMP Incorporated (acquired by Tyco in 1999), serving in a wide variety of regional and global assignments, including Senior Vice President, Worldwide Sales and Service; President, Global Automotive Division Corporate Vice President; Vice President of Central and Eastern Europe; and General Manager of AMP Germany. He is chairman of the board of the Society for Economic Development of the District Bregstrasse/Hessen, a member of SAE and the Advisory Board of Commercebank, a director of the board and Vice President of the American Chamber of Commerce in Germany, a member of the board of RWE Rhein-Ruhr AG and a member of the board of WABCO Holdings, Inc. Dr. Gromer received his undergraduate degree and Ph.D. in Physics from the University of Stuttgart, Germany.</w:t>
      </w:r>
    </w:p>
    <w:p>
      <w:pPr>
        <w:spacing w:after="0" w:line="166" w:lineRule="exact"/>
        <w:rPr>
          <w:sz w:val="24"/>
          <w:szCs w:val="24"/>
          <w:color w:val="auto"/>
        </w:rPr>
      </w:pPr>
    </w:p>
    <w:p>
      <w:pPr>
        <w:ind w:left="660"/>
        <w:spacing w:after="0"/>
        <w:rPr>
          <w:sz w:val="20"/>
          <w:szCs w:val="20"/>
          <w:color w:val="auto"/>
        </w:rPr>
      </w:pPr>
      <w:r>
        <w:rPr>
          <w:rFonts w:ascii="Arial" w:cs="Arial" w:eastAsia="Arial" w:hAnsi="Arial"/>
          <w:sz w:val="17"/>
          <w:szCs w:val="17"/>
          <w:color w:val="auto"/>
        </w:rPr>
        <w:t>The election to the Board of Dr. Gromer was not pursuant to any arrangement or understanding between Dr. Gromer or any third party.</w:t>
      </w:r>
    </w:p>
    <w:p>
      <w:pPr>
        <w:spacing w:after="0" w:line="237" w:lineRule="exact"/>
        <w:rPr>
          <w:sz w:val="24"/>
          <w:szCs w:val="24"/>
          <w:color w:val="auto"/>
        </w:rPr>
      </w:pPr>
    </w:p>
    <w:p>
      <w:pPr>
        <w:ind w:right="220" w:firstLine="648"/>
        <w:spacing w:after="0" w:line="342" w:lineRule="auto"/>
        <w:rPr>
          <w:sz w:val="20"/>
          <w:szCs w:val="20"/>
          <w:color w:val="auto"/>
        </w:rPr>
      </w:pPr>
      <w:r>
        <w:rPr>
          <w:rFonts w:ascii="Arial" w:cs="Arial" w:eastAsia="Arial" w:hAnsi="Arial"/>
          <w:sz w:val="16"/>
          <w:szCs w:val="16"/>
          <w:color w:val="auto"/>
        </w:rPr>
        <w:t>As of the date of this report, neither Dr. Gromer nor any member of his immediate family is a party, either directly or indirectly, to any transaction that the Company is aware of that is required to be reported pursuant to Item 404(a) of Regulation S-K under the Securities Exchange Act of 1934.</w:t>
      </w:r>
    </w:p>
    <w:p>
      <w:pPr>
        <w:spacing w:after="0" w:line="124" w:lineRule="exact"/>
        <w:rPr>
          <w:sz w:val="24"/>
          <w:szCs w:val="24"/>
          <w:color w:val="auto"/>
        </w:rPr>
      </w:pPr>
    </w:p>
    <w:p>
      <w:pPr>
        <w:ind w:right="140" w:firstLine="648"/>
        <w:spacing w:after="0" w:line="342" w:lineRule="auto"/>
        <w:rPr>
          <w:sz w:val="20"/>
          <w:szCs w:val="20"/>
          <w:color w:val="auto"/>
        </w:rPr>
      </w:pPr>
      <w:r>
        <w:rPr>
          <w:rFonts w:ascii="Arial" w:cs="Arial" w:eastAsia="Arial" w:hAnsi="Arial"/>
          <w:sz w:val="16"/>
          <w:szCs w:val="16"/>
          <w:color w:val="auto"/>
        </w:rPr>
        <w:t>No new compensation arrangement was entered into in connection with the appointment to the Board of Dr. Gromer. Dr. Gromer will receive the Company’s standard compensation arrangements applicable to a director who is not an employee of the Company, as well as automatic grants of options for</w:t>
      </w:r>
    </w:p>
    <w:p>
      <w:pPr>
        <w:sectPr>
          <w:pgSz w:w="11900" w:h="16975" w:orient="portrait"/>
          <w:cols w:equalWidth="0" w:num="1">
            <w:col w:w="11380"/>
          </w:cols>
          <w:pgMar w:left="240" w:top="530" w:right="279" w:bottom="0" w:gutter="0" w:footer="0" w:header="0"/>
        </w:sectPr>
      </w:pPr>
    </w:p>
    <w:bookmarkStart w:id="1" w:name="page2"/>
    <w:bookmarkEnd w:id="1"/>
    <w:p>
      <w:pPr>
        <w:ind w:right="140"/>
        <w:spacing w:after="0" w:line="259" w:lineRule="auto"/>
        <w:rPr>
          <w:sz w:val="20"/>
          <w:szCs w:val="20"/>
          <w:color w:val="auto"/>
        </w:rPr>
      </w:pPr>
      <w:r>
        <w:rPr>
          <w:rFonts w:ascii="Arial" w:cs="Arial" w:eastAsia="Arial" w:hAnsi="Arial"/>
          <w:sz w:val="18"/>
          <w:szCs w:val="18"/>
          <w:color w:val="auto"/>
        </w:rPr>
        <w:t>common shares in accordance with the terms of the 2007 Director Stock Incentive Plan, as disclosed in the Company’s 2007 Proxy Statement on Schedule 14A (the “2007 Proxy Statement”), filed with the Securities and Exchange Commission on September 14, 2007. The 2007 Director Stock Incentive Plan was amended on October 19, 2007 and is filed as an exhibit to the Company’s Current Report on Form 8-K, dated October 19, 2007 and filed with the Securities and Exchange Commission on October 25, 2007.</w:t>
      </w:r>
    </w:p>
    <w:p>
      <w:pPr>
        <w:spacing w:after="0" w:line="187" w:lineRule="exact"/>
        <w:rPr>
          <w:sz w:val="20"/>
          <w:szCs w:val="20"/>
          <w:color w:val="auto"/>
        </w:rPr>
      </w:pPr>
    </w:p>
    <w:p>
      <w:pPr>
        <w:ind w:right="60" w:firstLine="648"/>
        <w:spacing w:after="0" w:line="277" w:lineRule="auto"/>
        <w:rPr>
          <w:sz w:val="20"/>
          <w:szCs w:val="20"/>
          <w:color w:val="auto"/>
        </w:rPr>
      </w:pPr>
      <w:r>
        <w:rPr>
          <w:rFonts w:ascii="Arial" w:cs="Arial" w:eastAsia="Arial" w:hAnsi="Arial"/>
          <w:sz w:val="18"/>
          <w:szCs w:val="18"/>
          <w:color w:val="auto"/>
        </w:rPr>
        <w:t>The Board has determined that Dr. Gromer will qualify as “independent” under the guidelines promulgated by the Nasdaq Stock Market, Inc. and the applicable Securities and Exchange Commission rules.</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election of Dr. Gromer was announced in the press release attached hereto as Exhibit 99.1 and incorporated by reference herein.</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 Exhibits.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99.1 Press Release, dated October 29, 2007, regarding the election of a new director.</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October 29, 2007</w:t>
      </w:r>
    </w:p>
    <w:p>
      <w:pPr>
        <w:spacing w:after="0" w:line="225" w:lineRule="exact"/>
        <w:rPr>
          <w:sz w:val="20"/>
          <w:szCs w:val="20"/>
          <w:color w:val="auto"/>
        </w:rPr>
      </w:pPr>
    </w:p>
    <w:p>
      <w:pPr>
        <w:ind w:left="694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7020" w:type="dxa"/>
        <w:tblCellMar>
          <w:top w:w="0" w:type="dxa"/>
          <w:left w:w="0" w:type="dxa"/>
          <w:bottom w:w="0" w:type="dxa"/>
          <w:right w:w="0" w:type="dxa"/>
        </w:tblCellMar>
      </w:tblPr>
      <w:tr>
        <w:trPr>
          <w:trHeight w:val="230"/>
        </w:trPr>
        <w:tc>
          <w:tcPr>
            <w:tcW w:w="340" w:type="dxa"/>
            <w:vAlign w:val="bottom"/>
          </w:tcPr>
          <w:p>
            <w:pPr>
              <w:spacing w:after="0"/>
              <w:rPr>
                <w:sz w:val="20"/>
                <w:szCs w:val="20"/>
                <w:color w:val="auto"/>
              </w:rPr>
            </w:pPr>
            <w:r>
              <w:rPr>
                <w:rFonts w:ascii="Arial" w:cs="Arial" w:eastAsia="Arial" w:hAnsi="Arial"/>
                <w:sz w:val="18"/>
                <w:szCs w:val="18"/>
                <w:color w:val="auto"/>
              </w:rPr>
              <w:t>By:</w:t>
            </w:r>
          </w:p>
        </w:tc>
        <w:tc>
          <w:tcPr>
            <w:tcW w:w="40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2"/>
              </w:rPr>
              <w:t>/s/ Michael Rashkin</w:t>
            </w:r>
          </w:p>
        </w:tc>
      </w:tr>
      <w:tr>
        <w:trPr>
          <w:trHeight w:val="195"/>
        </w:trPr>
        <w:tc>
          <w:tcPr>
            <w:tcW w:w="340" w:type="dxa"/>
            <w:vAlign w:val="bottom"/>
          </w:tcPr>
          <w:p>
            <w:pPr>
              <w:spacing w:after="0"/>
              <w:rPr>
                <w:sz w:val="16"/>
                <w:szCs w:val="16"/>
                <w:color w:val="auto"/>
              </w:rPr>
            </w:pPr>
          </w:p>
        </w:tc>
        <w:tc>
          <w:tcPr>
            <w:tcW w:w="4060" w:type="dxa"/>
            <w:vAlign w:val="bottom"/>
          </w:tcPr>
          <w:p>
            <w:pPr>
              <w:jc w:val="center"/>
              <w:spacing w:after="0" w:line="195" w:lineRule="exact"/>
              <w:rPr>
                <w:sz w:val="20"/>
                <w:szCs w:val="20"/>
                <w:color w:val="auto"/>
              </w:rPr>
            </w:pPr>
            <w:r>
              <w:rPr>
                <w:rFonts w:ascii="Arial" w:cs="Arial" w:eastAsia="Arial" w:hAnsi="Arial"/>
                <w:sz w:val="18"/>
                <w:szCs w:val="18"/>
                <w:color w:val="auto"/>
                <w:w w:val="92"/>
              </w:rPr>
              <w:t>Michael Rashkin</w:t>
            </w:r>
          </w:p>
        </w:tc>
      </w:tr>
      <w:tr>
        <w:trPr>
          <w:trHeight w:val="230"/>
        </w:trPr>
        <w:tc>
          <w:tcPr>
            <w:tcW w:w="340" w:type="dxa"/>
            <w:vAlign w:val="bottom"/>
          </w:tcPr>
          <w:p>
            <w:pPr>
              <w:spacing w:after="0"/>
              <w:rPr>
                <w:sz w:val="20"/>
                <w:szCs w:val="20"/>
                <w:color w:val="auto"/>
              </w:rPr>
            </w:pPr>
          </w:p>
        </w:tc>
        <w:tc>
          <w:tcPr>
            <w:tcW w:w="4060" w:type="dxa"/>
            <w:vAlign w:val="bottom"/>
          </w:tcPr>
          <w:p>
            <w:pPr>
              <w:jc w:val="center"/>
              <w:spacing w:after="0"/>
              <w:rPr>
                <w:sz w:val="20"/>
                <w:szCs w:val="20"/>
                <w:color w:val="auto"/>
              </w:rPr>
            </w:pPr>
            <w:r>
              <w:rPr>
                <w:rFonts w:ascii="Arial" w:cs="Arial" w:eastAsia="Arial" w:hAnsi="Arial"/>
                <w:sz w:val="18"/>
                <w:szCs w:val="18"/>
                <w:color w:val="auto"/>
                <w:w w:val="95"/>
              </w:rPr>
              <w:t>Interim Chief Financial Officer</w:t>
            </w:r>
          </w:p>
        </w:tc>
      </w:tr>
    </w:tbl>
    <w:p>
      <w:pPr>
        <w:spacing w:after="0" w:line="200" w:lineRule="exact"/>
        <w:rPr>
          <w:sz w:val="20"/>
          <w:szCs w:val="20"/>
          <w:color w:val="auto"/>
        </w:rPr>
      </w:pPr>
    </w:p>
    <w:p>
      <w:pPr>
        <w:spacing w:after="0" w:line="21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8680" w:type="dxa"/>
            <w:vAlign w:val="bottom"/>
          </w:tcPr>
          <w:p>
            <w:pPr>
              <w:jc w:val="center"/>
              <w:ind w:right="2710"/>
              <w:spacing w:after="0"/>
              <w:rPr>
                <w:sz w:val="20"/>
                <w:szCs w:val="20"/>
                <w:color w:val="auto"/>
              </w:rPr>
            </w:pPr>
            <w:r>
              <w:rPr>
                <w:rFonts w:ascii="Arial" w:cs="Arial" w:eastAsia="Arial" w:hAnsi="Arial"/>
                <w:sz w:val="18"/>
                <w:szCs w:val="18"/>
                <w:b w:val="1"/>
                <w:bCs w:val="1"/>
                <w:color w:val="auto"/>
              </w:rPr>
              <w:t>EXHIBIT INDEX</w:t>
            </w:r>
          </w:p>
        </w:tc>
      </w:tr>
      <w:tr>
        <w:trPr>
          <w:trHeight w:val="783"/>
        </w:trPr>
        <w:tc>
          <w:tcPr>
            <w:tcW w:w="20" w:type="dxa"/>
            <w:vAlign w:val="bottom"/>
          </w:tcPr>
          <w:p>
            <w:pPr>
              <w:spacing w:after="0"/>
              <w:rPr>
                <w:sz w:val="24"/>
                <w:szCs w:val="24"/>
                <w:color w:val="auto"/>
              </w:rPr>
            </w:pPr>
          </w:p>
        </w:tc>
        <w:tc>
          <w:tcPr>
            <w:tcW w:w="700" w:type="dxa"/>
            <w:vAlign w:val="bottom"/>
          </w:tcPr>
          <w:p>
            <w:pPr>
              <w:spacing w:after="0"/>
              <w:rPr>
                <w:sz w:val="20"/>
                <w:szCs w:val="20"/>
                <w:color w:val="auto"/>
              </w:rPr>
            </w:pPr>
            <w:r>
              <w:rPr>
                <w:rFonts w:ascii="Arial" w:cs="Arial" w:eastAsia="Arial" w:hAnsi="Arial"/>
                <w:sz w:val="14"/>
                <w:szCs w:val="14"/>
                <w:b w:val="1"/>
                <w:bCs w:val="1"/>
                <w:color w:val="auto"/>
                <w:w w:val="92"/>
              </w:rPr>
              <w:t>Exhibit No.</w:t>
            </w:r>
          </w:p>
        </w:tc>
        <w:tc>
          <w:tcPr>
            <w:tcW w:w="10740" w:type="dxa"/>
            <w:vAlign w:val="bottom"/>
            <w:gridSpan w:val="3"/>
          </w:tcPr>
          <w:p>
            <w:pPr>
              <w:ind w:left="1360"/>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8680" w:type="dxa"/>
            <w:vAlign w:val="bottom"/>
          </w:tcPr>
          <w:p>
            <w:pPr>
              <w:spacing w:after="0" w:line="20" w:lineRule="exact"/>
              <w:rPr>
                <w:sz w:val="1"/>
                <w:szCs w:val="1"/>
                <w:color w:val="auto"/>
              </w:rPr>
            </w:pPr>
          </w:p>
        </w:tc>
      </w:tr>
      <w:tr>
        <w:trPr>
          <w:trHeight w:val="426"/>
        </w:trPr>
        <w:tc>
          <w:tcPr>
            <w:tcW w:w="20" w:type="dxa"/>
            <w:vAlign w:val="bottom"/>
          </w:tcPr>
          <w:p>
            <w:pPr>
              <w:spacing w:after="0"/>
              <w:rPr>
                <w:sz w:val="24"/>
                <w:szCs w:val="24"/>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99.1</w:t>
            </w:r>
          </w:p>
        </w:tc>
        <w:tc>
          <w:tcPr>
            <w:tcW w:w="10740" w:type="dxa"/>
            <w:vAlign w:val="bottom"/>
            <w:gridSpan w:val="3"/>
          </w:tcPr>
          <w:p>
            <w:pPr>
              <w:ind w:left="1360"/>
              <w:spacing w:after="0"/>
              <w:rPr>
                <w:sz w:val="20"/>
                <w:szCs w:val="20"/>
                <w:color w:val="auto"/>
              </w:rPr>
            </w:pPr>
            <w:r>
              <w:rPr>
                <w:rFonts w:ascii="Arial" w:cs="Arial" w:eastAsia="Arial" w:hAnsi="Arial"/>
                <w:sz w:val="18"/>
                <w:szCs w:val="18"/>
                <w:color w:val="auto"/>
              </w:rPr>
              <w:t>Press Release, dated October 29, 2007, regarding the election of a new director.</w:t>
            </w:r>
          </w:p>
        </w:tc>
      </w:tr>
      <w:tr>
        <w:trPr>
          <w:trHeight w:val="432"/>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740" w:type="dxa"/>
            <w:vAlign w:val="bottom"/>
            <w:gridSpan w:val="3"/>
          </w:tcPr>
          <w:p>
            <w:pPr>
              <w:jc w:val="right"/>
              <w:ind w:right="5610"/>
              <w:spacing w:after="0"/>
              <w:rPr>
                <w:sz w:val="20"/>
                <w:szCs w:val="20"/>
                <w:color w:val="auto"/>
              </w:rPr>
            </w:pPr>
            <w:r>
              <w:rPr>
                <w:rFonts w:ascii="Arial" w:cs="Arial" w:eastAsia="Arial" w:hAnsi="Arial"/>
                <w:sz w:val="18"/>
                <w:szCs w:val="18"/>
                <w:color w:val="auto"/>
              </w:rPr>
              <w:t>4</w:t>
            </w:r>
          </w:p>
        </w:tc>
      </w:tr>
      <w:tr>
        <w:trPr>
          <w:trHeight w:val="240"/>
        </w:trPr>
        <w:tc>
          <w:tcPr>
            <w:tcW w:w="20" w:type="dxa"/>
            <w:vAlign w:val="bottom"/>
            <w:tcBorders>
              <w:bottom w:val="single" w:sz="8" w:color="010101"/>
            </w:tcBorders>
          </w:tcPr>
          <w:p>
            <w:pPr>
              <w:spacing w:after="0"/>
              <w:rPr>
                <w:sz w:val="20"/>
                <w:szCs w:val="20"/>
                <w:color w:val="auto"/>
              </w:rPr>
            </w:pPr>
          </w:p>
        </w:tc>
        <w:tc>
          <w:tcPr>
            <w:tcW w:w="700" w:type="dxa"/>
            <w:vAlign w:val="bottom"/>
            <w:tcBorders>
              <w:bottom w:val="single" w:sz="8" w:color="010101"/>
            </w:tcBorders>
          </w:tcPr>
          <w:p>
            <w:pPr>
              <w:spacing w:after="0"/>
              <w:rPr>
                <w:sz w:val="20"/>
                <w:szCs w:val="20"/>
                <w:color w:val="auto"/>
              </w:rPr>
            </w:pPr>
          </w:p>
        </w:tc>
        <w:tc>
          <w:tcPr>
            <w:tcW w:w="1360" w:type="dxa"/>
            <w:vAlign w:val="bottom"/>
            <w:tcBorders>
              <w:bottom w:val="single" w:sz="8" w:color="010101"/>
            </w:tcBorders>
          </w:tcPr>
          <w:p>
            <w:pPr>
              <w:spacing w:after="0"/>
              <w:rPr>
                <w:sz w:val="20"/>
                <w:szCs w:val="20"/>
                <w:color w:val="auto"/>
              </w:rPr>
            </w:pPr>
          </w:p>
        </w:tc>
        <w:tc>
          <w:tcPr>
            <w:tcW w:w="700" w:type="dxa"/>
            <w:vAlign w:val="bottom"/>
            <w:tcBorders>
              <w:bottom w:val="single" w:sz="8" w:color="010101"/>
            </w:tcBorders>
          </w:tcPr>
          <w:p>
            <w:pPr>
              <w:spacing w:after="0"/>
              <w:rPr>
                <w:sz w:val="20"/>
                <w:szCs w:val="20"/>
                <w:color w:val="auto"/>
              </w:rPr>
            </w:pPr>
          </w:p>
        </w:tc>
        <w:tc>
          <w:tcPr>
            <w:tcW w:w="8680" w:type="dxa"/>
            <w:vAlign w:val="bottom"/>
            <w:tcBorders>
              <w:bottom w:val="single" w:sz="8" w:color="010101"/>
            </w:tcBorders>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990600</wp:posOffset>
            </wp:positionH>
            <wp:positionV relativeFrom="paragraph">
              <wp:posOffset>-704850</wp:posOffset>
            </wp:positionV>
            <wp:extent cx="4763"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763" cy="8890"/>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6135370</wp:posOffset>
            </wp:positionH>
            <wp:positionV relativeFrom="paragraph">
              <wp:posOffset>154940</wp:posOffset>
            </wp:positionV>
            <wp:extent cx="900430" cy="4718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900430" cy="471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IMMEDIATE RELEASE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More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Diane Vanasse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Marvell Public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408-242-0027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dvanasse@marvell.com</w:t>
      </w:r>
    </w:p>
    <w:p>
      <w:pPr>
        <w:spacing w:after="0" w:line="200" w:lineRule="exact"/>
        <w:rPr>
          <w:sz w:val="20"/>
          <w:szCs w:val="20"/>
          <w:color w:val="auto"/>
        </w:rPr>
      </w:pPr>
    </w:p>
    <w:p>
      <w:pPr>
        <w:spacing w:after="0" w:line="223"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JUERGEN W. GROMER JOINS MARVELL TECHNOLOGY GROUP’S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OF DIRECTORS</w:t>
      </w:r>
    </w:p>
    <w:p>
      <w:pPr>
        <w:spacing w:after="0" w:line="211"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SANTA CLARA, Calif., October 29, 2007 — Marvell®, (NASDAQ: MRVL), a leader in storage, communications, and consumer silicon solutions, today announced that Dr. Juergen W. Gromer has joined the Company’s Board of Directors, effective immediately.</w:t>
      </w:r>
    </w:p>
    <w:p>
      <w:pPr>
        <w:spacing w:after="0" w:line="170" w:lineRule="exact"/>
        <w:rPr>
          <w:sz w:val="20"/>
          <w:szCs w:val="20"/>
          <w:color w:val="auto"/>
        </w:rPr>
      </w:pPr>
    </w:p>
    <w:p>
      <w:pPr>
        <w:jc w:val="both"/>
        <w:ind w:right="140"/>
        <w:spacing w:after="0" w:line="286" w:lineRule="auto"/>
        <w:rPr>
          <w:sz w:val="20"/>
          <w:szCs w:val="20"/>
          <w:color w:val="auto"/>
        </w:rPr>
      </w:pPr>
      <w:r>
        <w:rPr>
          <w:rFonts w:ascii="Arial" w:cs="Arial" w:eastAsia="Arial" w:hAnsi="Arial"/>
          <w:sz w:val="17"/>
          <w:szCs w:val="17"/>
          <w:color w:val="auto"/>
        </w:rPr>
        <w:t>“I am very excited that Juergen Gromer is now a member of Marvell’s Board of Directors,” said Dr. Sehat Sutardja, Marvell’s Chairman, President, and Chief Executive Officer. “Juergen’s experience, particularly in his position overseeing the great advancements at Tyco Electronics, makes him a perfect fit for Marvell and I know that his leadership and industry know-how will be a great asset to the Board and to all of Marvell.”</w:t>
      </w:r>
    </w:p>
    <w:p>
      <w:pPr>
        <w:spacing w:after="0" w:line="166"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“It is an honor to be a part of the Marvell Board of Directors,” said Dr. Gromer. “I am eager to work with my fellow Board members and to help Marvell capitalize on the great opportunities ahead.”</w:t>
      </w:r>
    </w:p>
    <w:p>
      <w:pPr>
        <w:spacing w:after="0" w:line="170"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Dr. Gromer will serve as a member of the executive compensation committee and governance committee of the Board. Dr. Gromer’s term will extend until the 2008 annual general meeting of shareholders.</w:t>
      </w:r>
    </w:p>
    <w:p>
      <w:pPr>
        <w:spacing w:after="0" w:line="170" w:lineRule="exact"/>
        <w:rPr>
          <w:sz w:val="20"/>
          <w:szCs w:val="20"/>
          <w:color w:val="auto"/>
        </w:rPr>
      </w:pPr>
    </w:p>
    <w:p>
      <w:pPr>
        <w:ind w:right="160"/>
        <w:spacing w:after="0" w:line="290" w:lineRule="auto"/>
        <w:rPr>
          <w:sz w:val="20"/>
          <w:szCs w:val="20"/>
          <w:color w:val="auto"/>
        </w:rPr>
      </w:pPr>
      <w:r>
        <w:rPr>
          <w:rFonts w:ascii="Arial" w:cs="Arial" w:eastAsia="Arial" w:hAnsi="Arial"/>
          <w:sz w:val="16"/>
          <w:szCs w:val="16"/>
          <w:color w:val="auto"/>
        </w:rPr>
        <w:t>Juergen W. Gromer has been the President of Tyco Electronics (“Tyco”) since April 1999, a position from which he will retire on December 31, 2007. He has served on Tyco’s board of directors since its inception in June 2007 and has announced that he plans to remain on Tyco’s board of directors beyond his retirement. Dr. Gromer has more than twenty years of experience at Tyco and AMP Incorporated (acquired by Tyco in 1999), serving in a wide variety of regional and global assignments, including Senior Vice President, Worldwide Sales and Service; President, Global Automotive Division Corporate Vice President; Vice President of Central and Eastern Europe; and General Manager of AMP Germany. He is chairman of the board of the Society for Economic Development of the District Bregstrasse/Hessen, a member of SAE and the Advisory Board of Commercebank, a director of the board and Vice President of the American Chamber of Commerce in Germany, a member of the board of RWE Rhein-Ruhr AG and a member of the board of WABCO Holdings, Inc. Dr. Gromer received his undergraduate degree and Ph.D. in Physics from the University of Stuttgart, Germany.</w:t>
      </w:r>
    </w:p>
    <w:p>
      <w:pPr>
        <w:spacing w:after="0" w:line="3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7" w:lineRule="exact"/>
        <w:rPr>
          <w:sz w:val="20"/>
          <w:szCs w:val="20"/>
          <w:color w:val="auto"/>
        </w:rPr>
      </w:pPr>
    </w:p>
    <w:p>
      <w:pPr>
        <w:ind w:right="560"/>
        <w:spacing w:after="0" w:line="261" w:lineRule="auto"/>
        <w:rPr>
          <w:sz w:val="20"/>
          <w:szCs w:val="20"/>
          <w:color w:val="auto"/>
        </w:rPr>
      </w:pPr>
      <w:r>
        <w:rPr>
          <w:rFonts w:ascii="Arial" w:cs="Arial" w:eastAsia="Arial" w:hAnsi="Arial"/>
          <w:sz w:val="18"/>
          <w:szCs w:val="18"/>
          <w:color w:val="auto"/>
        </w:rPr>
        <w:t>Marvell (Nasdaq: MRVL) is a leader in development of storage, communications, and consumer silicon solutions. The company’s diverse product portfolio includes switching, transceiver,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-212090</wp:posOffset>
            </wp:positionH>
            <wp:positionV relativeFrom="paragraph">
              <wp:posOffset>192405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jc w:val="both"/>
        <w:ind w:right="220"/>
        <w:spacing w:after="0" w:line="264" w:lineRule="auto"/>
        <w:rPr>
          <w:sz w:val="20"/>
          <w:szCs w:val="20"/>
          <w:color w:val="auto"/>
        </w:rPr>
      </w:pPr>
      <w:r>
        <w:rPr>
          <w:rFonts w:ascii="Arial" w:cs="Arial" w:eastAsia="Arial" w:hAnsi="Arial"/>
          <w:sz w:val="18"/>
          <w:szCs w:val="18"/>
          <w:color w:val="auto"/>
        </w:rPr>
        <w:t>communications controller, wireless, and storage solutions that power the entire communications infrastructure including enterprise, metro, home, and storage networking. As used in this release, the terms “company” and “Marvell” refer to Marvell Technology Group Ltd. and its subsidiaries. For more information, visit http://www.marvell.com.</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is a registered trademark of Marvell or its affiliates.</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Other names and brands may be claimed as the property of Marvell, Marvell’s affiliates, or other parties.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-212090</wp:posOffset>
            </wp:positionH>
            <wp:positionV relativeFrom="paragraph">
              <wp:posOffset>81280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080"/>
      </w:cols>
      <w:pgMar w:left="58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44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jpe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2019-12-14T19:00:27Z</dcterms:created>
  <dcterms:modified xsi:type="dcterms:W3CDTF">2019-12-14T19:00:27Z</dcterms:modified>
</cp:coreProperties>
</file>