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26035</wp:posOffset>
            </wp:positionH>
            <wp:positionV relativeFrom="paragraph">
              <wp:posOffset>-5715</wp:posOffset>
            </wp:positionV>
            <wp:extent cx="144780" cy="1955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2"/>
        <w:spacing w:after="0" w:line="187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50158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015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4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SOPHIE MICHAEL J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10/19/2007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6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60" w:type="dxa"/>
            <w:vAlign w:val="bottom"/>
            <w:gridSpan w:val="2"/>
          </w:tcPr>
          <w:p>
            <w:pPr>
              <w:ind w:left="8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No Securities Beneficially Owned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36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11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8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17.48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10/19/2007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8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50,000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10/19/2017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7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50,000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4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Stock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1. Vests 33.33% on October 19, 2008; vests 33.33% on October 19, 2009; and 33.33% on October 19, 2010.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Michael Rashkin by Power of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0</wp:posOffset>
            </wp:positionV>
            <wp:extent cx="132207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07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-11430</wp:posOffset>
            </wp:positionV>
            <wp:extent cx="39370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10/23/2007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-3175</wp:posOffset>
            </wp:positionH>
            <wp:positionV relativeFrom="paragraph">
              <wp:posOffset>6350</wp:posOffset>
            </wp:positionV>
            <wp:extent cx="50419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940" w:space="22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209534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2019-12-18T04:58:23Z</dcterms:created>
  <dcterms:modified xsi:type="dcterms:W3CDTF">2019-12-18T04:58:23Z</dcterms:modified>
</cp:coreProperties>
</file>