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294640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337820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spacing w:after="0" w:line="4"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Washington, D.C. 20549</w:t>
      </w:r>
    </w:p>
    <w:p>
      <w:pPr>
        <w:spacing w:after="0" w:line="176"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3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CURRENT REPORT</w:t>
      </w:r>
    </w:p>
    <w:p>
      <w:pPr>
        <w:spacing w:after="0" w:line="216"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Pursuant to Section 13 or 15(d) of the</w:t>
      </w:r>
    </w:p>
    <w:p>
      <w:pPr>
        <w:spacing w:after="0" w:line="1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Securities Exchange Act of 1934</w:t>
      </w:r>
    </w:p>
    <w:p>
      <w:pPr>
        <w:spacing w:after="0" w:line="187"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color w:val="auto"/>
        </w:rPr>
        <w:t xml:space="preserve">Date of Report (Date of earliest event reported): </w:t>
      </w:r>
      <w:r>
        <w:rPr>
          <w:rFonts w:ascii="Times New Roman" w:cs="Times New Roman" w:eastAsia="Times New Roman" w:hAnsi="Times New Roman"/>
          <w:sz w:val="18"/>
          <w:szCs w:val="18"/>
          <w:b w:val="1"/>
          <w:bCs w:val="1"/>
          <w:color w:val="auto"/>
        </w:rPr>
        <w:t>November 27, 2007</w:t>
      </w:r>
    </w:p>
    <w:p>
      <w:pPr>
        <w:spacing w:after="0" w:line="200"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MARVELL TECHNOLOGY GROUP LTD.</w:t>
      </w:r>
    </w:p>
    <w:p>
      <w:pPr>
        <w:spacing w:after="0" w:line="46"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color w:val="auto"/>
        </w:rPr>
        <w:t>(Exact name of registrant as specified in its charter)</w:t>
      </w:r>
    </w:p>
    <w:p>
      <w:pPr>
        <w:spacing w:after="0" w:line="201" w:lineRule="exact"/>
        <w:rPr>
          <w:sz w:val="24"/>
          <w:szCs w:val="24"/>
          <w:color w:val="auto"/>
        </w:rPr>
      </w:pPr>
    </w:p>
    <w:tbl>
      <w:tblPr>
        <w:tblLayout w:type="fixed"/>
        <w:tblInd w:w="920" w:type="dxa"/>
        <w:tblCellMar>
          <w:top w:w="0" w:type="dxa"/>
          <w:left w:w="0" w:type="dxa"/>
          <w:bottom w:w="0" w:type="dxa"/>
          <w:right w:w="0" w:type="dxa"/>
        </w:tblCellMar>
      </w:tblPr>
      <w:tr>
        <w:trPr>
          <w:trHeight w:val="220"/>
        </w:trPr>
        <w:tc>
          <w:tcPr>
            <w:tcW w:w="2880" w:type="dxa"/>
            <w:vAlign w:val="bottom"/>
          </w:tcPr>
          <w:p>
            <w:pPr>
              <w:jc w:val="center"/>
              <w:ind w:right="830"/>
              <w:spacing w:after="0"/>
              <w:rPr>
                <w:sz w:val="20"/>
                <w:szCs w:val="20"/>
                <w:color w:val="auto"/>
              </w:rPr>
            </w:pPr>
            <w:r>
              <w:rPr>
                <w:rFonts w:ascii="Times New Roman" w:cs="Times New Roman" w:eastAsia="Times New Roman" w:hAnsi="Times New Roman"/>
                <w:sz w:val="18"/>
                <w:szCs w:val="18"/>
                <w:b w:val="1"/>
                <w:bCs w:val="1"/>
                <w:color w:val="auto"/>
                <w:w w:val="99"/>
              </w:rPr>
              <w:t>Bermuda</w:t>
            </w:r>
          </w:p>
        </w:tc>
        <w:tc>
          <w:tcPr>
            <w:tcW w:w="3960" w:type="dxa"/>
            <w:vAlign w:val="bottom"/>
          </w:tcPr>
          <w:p>
            <w:pPr>
              <w:jc w:val="right"/>
              <w:ind w:right="1670"/>
              <w:spacing w:after="0"/>
              <w:rPr>
                <w:sz w:val="20"/>
                <w:szCs w:val="20"/>
                <w:color w:val="auto"/>
              </w:rPr>
            </w:pPr>
            <w:r>
              <w:rPr>
                <w:rFonts w:ascii="Times New Roman" w:cs="Times New Roman" w:eastAsia="Times New Roman" w:hAnsi="Times New Roman"/>
                <w:sz w:val="18"/>
                <w:szCs w:val="18"/>
                <w:b w:val="1"/>
                <w:bCs w:val="1"/>
                <w:color w:val="auto"/>
              </w:rPr>
              <w:t>0-30877</w:t>
            </w:r>
          </w:p>
        </w:tc>
        <w:tc>
          <w:tcPr>
            <w:tcW w:w="2420" w:type="dxa"/>
            <w:vAlign w:val="bottom"/>
          </w:tcPr>
          <w:p>
            <w:pPr>
              <w:jc w:val="center"/>
              <w:ind w:left="990"/>
              <w:spacing w:after="0"/>
              <w:rPr>
                <w:sz w:val="20"/>
                <w:szCs w:val="20"/>
                <w:color w:val="auto"/>
              </w:rPr>
            </w:pPr>
            <w:r>
              <w:rPr>
                <w:rFonts w:ascii="Times New Roman" w:cs="Times New Roman" w:eastAsia="Times New Roman" w:hAnsi="Times New Roman"/>
                <w:sz w:val="18"/>
                <w:szCs w:val="18"/>
                <w:b w:val="1"/>
                <w:bCs w:val="1"/>
                <w:color w:val="auto"/>
                <w:w w:val="98"/>
              </w:rPr>
              <w:t>77-0481679</w:t>
            </w:r>
          </w:p>
        </w:tc>
      </w:tr>
      <w:tr>
        <w:trPr>
          <w:trHeight w:val="216"/>
        </w:trPr>
        <w:tc>
          <w:tcPr>
            <w:tcW w:w="2880" w:type="dxa"/>
            <w:vAlign w:val="bottom"/>
          </w:tcPr>
          <w:p>
            <w:pPr>
              <w:jc w:val="center"/>
              <w:ind w:right="830"/>
              <w:spacing w:after="0"/>
              <w:rPr>
                <w:sz w:val="20"/>
                <w:szCs w:val="20"/>
                <w:color w:val="auto"/>
              </w:rPr>
            </w:pPr>
            <w:r>
              <w:rPr>
                <w:rFonts w:ascii="Times New Roman" w:cs="Times New Roman" w:eastAsia="Times New Roman" w:hAnsi="Times New Roman"/>
                <w:sz w:val="18"/>
                <w:szCs w:val="18"/>
                <w:color w:val="auto"/>
              </w:rPr>
              <w:t>(State or Other Jurisdiction</w:t>
            </w:r>
          </w:p>
        </w:tc>
        <w:tc>
          <w:tcPr>
            <w:tcW w:w="3960" w:type="dxa"/>
            <w:vAlign w:val="bottom"/>
          </w:tcPr>
          <w:p>
            <w:pPr>
              <w:jc w:val="center"/>
              <w:ind w:right="70"/>
              <w:spacing w:after="0"/>
              <w:rPr>
                <w:sz w:val="20"/>
                <w:szCs w:val="20"/>
                <w:color w:val="auto"/>
              </w:rPr>
            </w:pPr>
            <w:r>
              <w:rPr>
                <w:rFonts w:ascii="Times New Roman" w:cs="Times New Roman" w:eastAsia="Times New Roman" w:hAnsi="Times New Roman"/>
                <w:sz w:val="18"/>
                <w:szCs w:val="18"/>
                <w:color w:val="auto"/>
              </w:rPr>
              <w:t>(Commission File Number)</w:t>
            </w:r>
          </w:p>
        </w:tc>
        <w:tc>
          <w:tcPr>
            <w:tcW w:w="2420" w:type="dxa"/>
            <w:vAlign w:val="bottom"/>
          </w:tcPr>
          <w:p>
            <w:pPr>
              <w:jc w:val="center"/>
              <w:ind w:left="990"/>
              <w:spacing w:after="0"/>
              <w:rPr>
                <w:sz w:val="20"/>
                <w:szCs w:val="20"/>
                <w:color w:val="auto"/>
              </w:rPr>
            </w:pPr>
            <w:r>
              <w:rPr>
                <w:rFonts w:ascii="Times New Roman" w:cs="Times New Roman" w:eastAsia="Times New Roman" w:hAnsi="Times New Roman"/>
                <w:sz w:val="18"/>
                <w:szCs w:val="18"/>
                <w:color w:val="auto"/>
                <w:w w:val="99"/>
              </w:rPr>
              <w:t>(I.R.S. Employer</w:t>
            </w:r>
          </w:p>
        </w:tc>
      </w:tr>
      <w:tr>
        <w:trPr>
          <w:trHeight w:val="234"/>
        </w:trPr>
        <w:tc>
          <w:tcPr>
            <w:tcW w:w="2880" w:type="dxa"/>
            <w:vAlign w:val="bottom"/>
          </w:tcPr>
          <w:p>
            <w:pPr>
              <w:jc w:val="center"/>
              <w:ind w:right="830"/>
              <w:spacing w:after="0"/>
              <w:rPr>
                <w:sz w:val="20"/>
                <w:szCs w:val="20"/>
                <w:color w:val="auto"/>
              </w:rPr>
            </w:pPr>
            <w:r>
              <w:rPr>
                <w:rFonts w:ascii="Times New Roman" w:cs="Times New Roman" w:eastAsia="Times New Roman" w:hAnsi="Times New Roman"/>
                <w:sz w:val="18"/>
                <w:szCs w:val="18"/>
                <w:color w:val="auto"/>
              </w:rPr>
              <w:t>of Incorporation)</w:t>
            </w:r>
          </w:p>
        </w:tc>
        <w:tc>
          <w:tcPr>
            <w:tcW w:w="3960" w:type="dxa"/>
            <w:vAlign w:val="bottom"/>
          </w:tcPr>
          <w:p>
            <w:pPr>
              <w:spacing w:after="0"/>
              <w:rPr>
                <w:sz w:val="20"/>
                <w:szCs w:val="20"/>
                <w:color w:val="auto"/>
              </w:rPr>
            </w:pPr>
          </w:p>
        </w:tc>
        <w:tc>
          <w:tcPr>
            <w:tcW w:w="2420" w:type="dxa"/>
            <w:vAlign w:val="bottom"/>
          </w:tcPr>
          <w:p>
            <w:pPr>
              <w:jc w:val="center"/>
              <w:ind w:left="990"/>
              <w:spacing w:after="0"/>
              <w:rPr>
                <w:sz w:val="20"/>
                <w:szCs w:val="20"/>
                <w:color w:val="auto"/>
              </w:rPr>
            </w:pPr>
            <w:r>
              <w:rPr>
                <w:rFonts w:ascii="Times New Roman" w:cs="Times New Roman" w:eastAsia="Times New Roman" w:hAnsi="Times New Roman"/>
                <w:sz w:val="18"/>
                <w:szCs w:val="18"/>
                <w:color w:val="auto"/>
                <w:w w:val="99"/>
              </w:rPr>
              <w:t>Identification No.)</w:t>
            </w:r>
          </w:p>
        </w:tc>
      </w:tr>
    </w:tbl>
    <w:p>
      <w:pPr>
        <w:spacing w:after="0" w:line="200" w:lineRule="exact"/>
        <w:rPr>
          <w:sz w:val="24"/>
          <w:szCs w:val="24"/>
          <w:color w:val="auto"/>
        </w:rPr>
      </w:pPr>
    </w:p>
    <w:p>
      <w:pPr>
        <w:spacing w:after="0" w:line="210"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Canon’s Court</w:t>
      </w:r>
    </w:p>
    <w:p>
      <w:pPr>
        <w:spacing w:after="0" w:line="31"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22 Victoria Street</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Hamilton HM 12</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color w:val="auto"/>
        </w:rPr>
        <w:t>(Address of principal executive offices)</w:t>
      </w:r>
    </w:p>
    <w:p>
      <w:pPr>
        <w:spacing w:after="0" w:line="203" w:lineRule="exact"/>
        <w:rPr>
          <w:sz w:val="24"/>
          <w:szCs w:val="24"/>
          <w:color w:val="auto"/>
        </w:rPr>
      </w:pPr>
    </w:p>
    <w:p>
      <w:pPr>
        <w:ind w:left="5580" w:hanging="428"/>
        <w:spacing w:after="0"/>
        <w:tabs>
          <w:tab w:leader="none" w:pos="5580" w:val="left"/>
        </w:tabs>
        <w:numPr>
          <w:ilvl w:val="0"/>
          <w:numId w:val="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296-6395</w:t>
      </w:r>
    </w:p>
    <w:p>
      <w:pPr>
        <w:spacing w:after="0" w:line="31" w:lineRule="exact"/>
        <w:rPr>
          <w:rFonts w:ascii="Times New Roman" w:cs="Times New Roman" w:eastAsia="Times New Roman" w:hAnsi="Times New Roman"/>
          <w:sz w:val="18"/>
          <w:szCs w:val="18"/>
          <w:b w:val="1"/>
          <w:bCs w:val="1"/>
          <w:color w:val="auto"/>
        </w:rPr>
      </w:pPr>
    </w:p>
    <w:p>
      <w:pPr>
        <w:ind w:left="4560"/>
        <w:spacing w:after="0"/>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(Registrant’s telephone number,</w:t>
      </w:r>
    </w:p>
    <w:p>
      <w:pPr>
        <w:spacing w:after="0" w:line="9" w:lineRule="exact"/>
        <w:rPr>
          <w:rFonts w:ascii="Times New Roman" w:cs="Times New Roman" w:eastAsia="Times New Roman" w:hAnsi="Times New Roman"/>
          <w:sz w:val="18"/>
          <w:szCs w:val="18"/>
          <w:b w:val="1"/>
          <w:bCs w:val="1"/>
          <w:color w:val="auto"/>
        </w:rPr>
      </w:pPr>
    </w:p>
    <w:p>
      <w:pPr>
        <w:ind w:left="4980"/>
        <w:spacing w:after="0"/>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including area code)</w:t>
      </w:r>
    </w:p>
    <w:p>
      <w:pPr>
        <w:spacing w:after="0" w:line="203"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N/A</w:t>
      </w:r>
    </w:p>
    <w:p>
      <w:pPr>
        <w:spacing w:after="0" w:line="31"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color w:val="auto"/>
        </w:rPr>
        <w:t>(Former name or former address, if changed since last report.)</w:t>
      </w:r>
    </w:p>
    <w:p>
      <w:pPr>
        <w:spacing w:after="0" w:line="200" w:lineRule="exact"/>
        <w:rPr>
          <w:sz w:val="24"/>
          <w:szCs w:val="24"/>
          <w:color w:val="auto"/>
        </w:rPr>
      </w:pPr>
    </w:p>
    <w:p>
      <w:pPr>
        <w:spacing w:after="0" w:line="223" w:lineRule="exact"/>
        <w:rPr>
          <w:sz w:val="24"/>
          <w:szCs w:val="24"/>
          <w:color w:val="auto"/>
        </w:rPr>
      </w:pPr>
    </w:p>
    <w:p>
      <w:pPr>
        <w:ind w:right="40"/>
        <w:spacing w:after="0" w:line="282"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62" w:lineRule="exact"/>
        <w:rPr>
          <w:sz w:val="24"/>
          <w:szCs w:val="24"/>
          <w:color w:val="auto"/>
        </w:rPr>
      </w:pPr>
    </w:p>
    <w:p>
      <w:pPr>
        <w:ind w:left="180" w:hanging="172"/>
        <w:spacing w:after="0"/>
        <w:tabs>
          <w:tab w:leader="none" w:pos="18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Written communications pursuant to Rule 425 under the Securities Act (17 CFR 230.425)</w:t>
      </w:r>
    </w:p>
    <w:p>
      <w:pPr>
        <w:spacing w:after="0" w:line="225" w:lineRule="exact"/>
        <w:rPr>
          <w:rFonts w:ascii="Times New Roman" w:cs="Times New Roman" w:eastAsia="Times New Roman" w:hAnsi="Times New Roman"/>
          <w:sz w:val="18"/>
          <w:szCs w:val="18"/>
          <w:color w:val="auto"/>
        </w:rPr>
      </w:pPr>
    </w:p>
    <w:p>
      <w:pPr>
        <w:ind w:left="180" w:hanging="172"/>
        <w:spacing w:after="0"/>
        <w:tabs>
          <w:tab w:leader="none" w:pos="18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Soliciting material pursuant to Rule 14a-12 under the Exchange Act (17 CFR 240.14a-12)</w:t>
      </w:r>
    </w:p>
    <w:p>
      <w:pPr>
        <w:spacing w:after="0" w:line="225" w:lineRule="exact"/>
        <w:rPr>
          <w:rFonts w:ascii="Times New Roman" w:cs="Times New Roman" w:eastAsia="Times New Roman" w:hAnsi="Times New Roman"/>
          <w:sz w:val="18"/>
          <w:szCs w:val="18"/>
          <w:color w:val="auto"/>
        </w:rPr>
      </w:pPr>
    </w:p>
    <w:p>
      <w:pPr>
        <w:ind w:left="180" w:hanging="172"/>
        <w:spacing w:after="0"/>
        <w:tabs>
          <w:tab w:leader="none" w:pos="18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Pre-commencement communications pursuant to Rule 14d-2(b) under the Exchange Act (17 CFR 240.14d-2(b))</w:t>
      </w:r>
    </w:p>
    <w:p>
      <w:pPr>
        <w:spacing w:after="0" w:line="225" w:lineRule="exact"/>
        <w:rPr>
          <w:rFonts w:ascii="Times New Roman" w:cs="Times New Roman" w:eastAsia="Times New Roman" w:hAnsi="Times New Roman"/>
          <w:sz w:val="18"/>
          <w:szCs w:val="18"/>
          <w:color w:val="auto"/>
        </w:rPr>
      </w:pPr>
    </w:p>
    <w:p>
      <w:pPr>
        <w:ind w:left="180" w:hanging="172"/>
        <w:spacing w:after="0"/>
        <w:tabs>
          <w:tab w:leader="none" w:pos="18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292100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334645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564515</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7"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Item 2.05 Costs Associated with Exit or Disposal Activities.</w:t>
      </w:r>
    </w:p>
    <w:p>
      <w:pPr>
        <w:spacing w:after="0" w:line="229" w:lineRule="exact"/>
        <w:rPr>
          <w:sz w:val="24"/>
          <w:szCs w:val="24"/>
          <w:color w:val="auto"/>
        </w:rPr>
      </w:pPr>
    </w:p>
    <w:p>
      <w:pPr>
        <w:ind w:right="40" w:firstLine="648"/>
        <w:spacing w:after="0" w:line="258" w:lineRule="auto"/>
        <w:rPr>
          <w:sz w:val="20"/>
          <w:szCs w:val="20"/>
          <w:color w:val="auto"/>
        </w:rPr>
      </w:pPr>
      <w:r>
        <w:rPr>
          <w:rFonts w:ascii="Times New Roman" w:cs="Times New Roman" w:eastAsia="Times New Roman" w:hAnsi="Times New Roman"/>
          <w:sz w:val="18"/>
          <w:szCs w:val="18"/>
          <w:color w:val="auto"/>
        </w:rPr>
        <w:t>Today, Marvell Technology Group Ltd. (“Marvell”) announced a plan to reduce operating expenses and help meet financial targets with a worldwide reduction in force of approximately 400 employees, or approximately 7% of Marvell’s total workforce. Marvell expects to incur a restructuring charge in connection with the plan of up to $8 million in the fourth quarter of fiscal 2008 related to severance and other expenses. The workforce reduction will affect all functions of Marvell’s global workforce, and in particular positions based in the United States and Israel, and to a lesser degree, other international locations. The plan is expected to be completed in the fourth quarter of fiscal 2008.</w:t>
      </w:r>
    </w:p>
    <w:p>
      <w:pPr>
        <w:spacing w:after="0" w:line="180"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Safe Harbor Statement</w:t>
      </w:r>
    </w:p>
    <w:p>
      <w:pPr>
        <w:spacing w:after="0" w:line="229" w:lineRule="exact"/>
        <w:rPr>
          <w:sz w:val="24"/>
          <w:szCs w:val="24"/>
          <w:color w:val="auto"/>
        </w:rPr>
      </w:pPr>
    </w:p>
    <w:p>
      <w:pPr>
        <w:spacing w:after="0" w:line="255" w:lineRule="auto"/>
        <w:rPr>
          <w:sz w:val="20"/>
          <w:szCs w:val="20"/>
          <w:color w:val="auto"/>
        </w:rPr>
      </w:pPr>
      <w:r>
        <w:rPr>
          <w:rFonts w:ascii="Times New Roman" w:cs="Times New Roman" w:eastAsia="Times New Roman" w:hAnsi="Times New Roman"/>
          <w:sz w:val="18"/>
          <w:szCs w:val="18"/>
          <w:color w:val="auto"/>
        </w:rPr>
        <w:t>This Item 2.05 contains forward-looking statements, including those regarding the expected restructuring charges, expected reduction in operating expenses and anticipated timing of the above plan. All forward-looking statements are based on management’s estimates, projections and assumptions as of the date hereof and include the assumptions that underlie such statements. These statements are subject to known and unknown risks and uncertainties that could cause actual results to differ materially from those expressed or implied by such statements, including but not limited to the risks that Marvell may incur charges and cash expenditures in connection with the Plan that are higher than anticipated or in other fiscal periods than anticipated, the Plan will not strengthen Marvell’s profitability, Marvell will not achieve anticipated cost savings due to increased expenses in other areas of its business, and the other risks described under the caption “Risk Factors” and elsewhere in Marvell’s SEC filings. Marvell undertakes no obligation to revise or update any forward-looking statements.</w:t>
      </w:r>
    </w:p>
    <w:p>
      <w:pPr>
        <w:sectPr>
          <w:pgSz w:w="11900" w:h="16838" w:orient="portrait"/>
          <w:cols w:equalWidth="0" w:num="1">
            <w:col w:w="11420"/>
          </w:cols>
          <w:pgMar w:left="240" w:top="741" w:right="239" w:bottom="0" w:gutter="0" w:footer="0" w:header="0"/>
        </w:sectPr>
      </w:pPr>
    </w:p>
    <w:bookmarkStart w:id="1" w:name="page2"/>
    <w:bookmarkEnd w:id="1"/>
    <w:p>
      <w:pPr>
        <w:jc w:val="center"/>
        <w:ind w:right="40"/>
        <w:spacing w:after="0"/>
        <w:rPr>
          <w:sz w:val="20"/>
          <w:szCs w:val="20"/>
          <w:color w:val="auto"/>
        </w:rPr>
      </w:pPr>
      <w:r>
        <w:rPr>
          <w:rFonts w:ascii="Times New Roman" w:cs="Times New Roman" w:eastAsia="Times New Roman" w:hAnsi="Times New Roman"/>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60"/>
          </w:cols>
          <w:pgMar w:left="240" w:top="337" w:right="19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21" w:lineRule="exact"/>
        <w:rPr>
          <w:sz w:val="20"/>
          <w:szCs w:val="20"/>
          <w:color w:val="auto"/>
        </w:rPr>
      </w:pPr>
    </w:p>
    <w:p>
      <w:pPr>
        <w:jc w:val="center"/>
        <w:ind w:right="40"/>
        <w:spacing w:after="0"/>
        <w:rPr>
          <w:sz w:val="20"/>
          <w:szCs w:val="20"/>
          <w:color w:val="auto"/>
        </w:rPr>
      </w:pPr>
      <w:r>
        <w:rPr>
          <w:rFonts w:ascii="Times New Roman" w:cs="Times New Roman" w:eastAsia="Times New Roman" w:hAnsi="Times New Roman"/>
          <w:sz w:val="18"/>
          <w:szCs w:val="18"/>
          <w:b w:val="1"/>
          <w:bCs w:val="1"/>
          <w:color w:val="auto"/>
        </w:rPr>
        <w:t>SIGNATURE</w:t>
      </w:r>
    </w:p>
    <w:p>
      <w:pPr>
        <w:spacing w:after="0" w:line="229" w:lineRule="exact"/>
        <w:rPr>
          <w:sz w:val="20"/>
          <w:szCs w:val="20"/>
          <w:color w:val="auto"/>
        </w:rPr>
      </w:pPr>
    </w:p>
    <w:p>
      <w:pPr>
        <w:ind w:right="80" w:firstLine="648"/>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62"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Dated: November 27, 2007</w:t>
      </w:r>
    </w:p>
    <w:p>
      <w:pPr>
        <w:spacing w:after="0" w:line="225" w:lineRule="exact"/>
        <w:rPr>
          <w:sz w:val="20"/>
          <w:szCs w:val="20"/>
          <w:color w:val="auto"/>
        </w:rPr>
      </w:pPr>
    </w:p>
    <w:p>
      <w:pPr>
        <w:jc w:val="center"/>
        <w:ind w:right="20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4480" w:type="dxa"/>
            <w:vAlign w:val="bottom"/>
          </w:tcPr>
          <w:p>
            <w:pPr>
              <w:ind w:left="4040"/>
              <w:spacing w:after="0"/>
              <w:rPr>
                <w:sz w:val="20"/>
                <w:szCs w:val="20"/>
                <w:color w:val="auto"/>
              </w:rPr>
            </w:pPr>
            <w:r>
              <w:rPr>
                <w:rFonts w:ascii="Times New Roman" w:cs="Times New Roman" w:eastAsia="Times New Roman" w:hAnsi="Times New Roman"/>
                <w:sz w:val="18"/>
                <w:szCs w:val="18"/>
                <w:color w:val="auto"/>
              </w:rPr>
              <w:t>By:</w:t>
            </w:r>
          </w:p>
        </w:tc>
        <w:tc>
          <w:tcPr>
            <w:tcW w:w="5380" w:type="dxa"/>
            <w:vAlign w:val="bottom"/>
            <w:tcBorders>
              <w:bottom w:val="single" w:sz="8" w:color="auto"/>
            </w:tcBorders>
          </w:tcPr>
          <w:p>
            <w:pPr>
              <w:ind w:left="2080"/>
              <w:spacing w:after="0"/>
              <w:rPr>
                <w:sz w:val="20"/>
                <w:szCs w:val="20"/>
                <w:color w:val="auto"/>
              </w:rPr>
            </w:pPr>
            <w:r>
              <w:rPr>
                <w:rFonts w:ascii="Times New Roman" w:cs="Times New Roman" w:eastAsia="Times New Roman" w:hAnsi="Times New Roman"/>
                <w:sz w:val="18"/>
                <w:szCs w:val="18"/>
                <w:color w:val="auto"/>
              </w:rPr>
              <w:t>/s/ Michael Rashkin</w:t>
            </w:r>
          </w:p>
        </w:tc>
        <w:tc>
          <w:tcPr>
            <w:tcW w:w="1600" w:type="dxa"/>
            <w:vAlign w:val="bottom"/>
          </w:tcPr>
          <w:p>
            <w:pPr>
              <w:spacing w:after="0"/>
              <w:rPr>
                <w:sz w:val="20"/>
                <w:szCs w:val="20"/>
                <w:color w:val="auto"/>
              </w:rPr>
            </w:pPr>
          </w:p>
        </w:tc>
      </w:tr>
      <w:tr>
        <w:trPr>
          <w:trHeight w:val="191"/>
        </w:trPr>
        <w:tc>
          <w:tcPr>
            <w:tcW w:w="4480" w:type="dxa"/>
            <w:vAlign w:val="bottom"/>
          </w:tcPr>
          <w:p>
            <w:pPr>
              <w:spacing w:after="0"/>
              <w:rPr>
                <w:sz w:val="16"/>
                <w:szCs w:val="16"/>
                <w:color w:val="auto"/>
              </w:rPr>
            </w:pPr>
          </w:p>
        </w:tc>
        <w:tc>
          <w:tcPr>
            <w:tcW w:w="5380" w:type="dxa"/>
            <w:vAlign w:val="bottom"/>
          </w:tcPr>
          <w:p>
            <w:pPr>
              <w:ind w:left="2080"/>
              <w:spacing w:after="0" w:line="191" w:lineRule="exact"/>
              <w:rPr>
                <w:sz w:val="20"/>
                <w:szCs w:val="20"/>
                <w:color w:val="auto"/>
              </w:rPr>
            </w:pPr>
            <w:r>
              <w:rPr>
                <w:rFonts w:ascii="Times New Roman" w:cs="Times New Roman" w:eastAsia="Times New Roman" w:hAnsi="Times New Roman"/>
                <w:sz w:val="18"/>
                <w:szCs w:val="18"/>
                <w:color w:val="auto"/>
              </w:rPr>
              <w:t>Michael Rashkin</w:t>
            </w:r>
          </w:p>
        </w:tc>
        <w:tc>
          <w:tcPr>
            <w:tcW w:w="1600" w:type="dxa"/>
            <w:vAlign w:val="bottom"/>
          </w:tcPr>
          <w:p>
            <w:pPr>
              <w:spacing w:after="0"/>
              <w:rPr>
                <w:sz w:val="16"/>
                <w:szCs w:val="16"/>
                <w:color w:val="auto"/>
              </w:rPr>
            </w:pPr>
          </w:p>
        </w:tc>
      </w:tr>
      <w:tr>
        <w:trPr>
          <w:trHeight w:val="234"/>
        </w:trPr>
        <w:tc>
          <w:tcPr>
            <w:tcW w:w="4480" w:type="dxa"/>
            <w:vAlign w:val="bottom"/>
          </w:tcPr>
          <w:p>
            <w:pPr>
              <w:spacing w:after="0"/>
              <w:rPr>
                <w:sz w:val="20"/>
                <w:szCs w:val="20"/>
                <w:color w:val="auto"/>
              </w:rPr>
            </w:pPr>
          </w:p>
        </w:tc>
        <w:tc>
          <w:tcPr>
            <w:tcW w:w="5380" w:type="dxa"/>
            <w:vAlign w:val="bottom"/>
          </w:tcPr>
          <w:p>
            <w:pPr>
              <w:ind w:left="1500"/>
              <w:spacing w:after="0"/>
              <w:rPr>
                <w:sz w:val="20"/>
                <w:szCs w:val="20"/>
                <w:color w:val="auto"/>
              </w:rPr>
            </w:pPr>
            <w:r>
              <w:rPr>
                <w:rFonts w:ascii="Times New Roman" w:cs="Times New Roman" w:eastAsia="Times New Roman" w:hAnsi="Times New Roman"/>
                <w:sz w:val="18"/>
                <w:szCs w:val="18"/>
                <w:color w:val="auto"/>
              </w:rPr>
              <w:t>Interim Chief Financial Officer</w:t>
            </w:r>
          </w:p>
        </w:tc>
        <w:tc>
          <w:tcPr>
            <w:tcW w:w="1600" w:type="dxa"/>
            <w:vAlign w:val="bottom"/>
          </w:tcPr>
          <w:p>
            <w:pPr>
              <w:spacing w:after="0"/>
              <w:rPr>
                <w:sz w:val="20"/>
                <w:szCs w:val="20"/>
                <w:color w:val="auto"/>
              </w:rPr>
            </w:pPr>
          </w:p>
        </w:tc>
      </w:tr>
      <w:tr>
        <w:trPr>
          <w:trHeight w:val="432"/>
        </w:trPr>
        <w:tc>
          <w:tcPr>
            <w:tcW w:w="4480" w:type="dxa"/>
            <w:vAlign w:val="bottom"/>
          </w:tcPr>
          <w:p>
            <w:pPr>
              <w:spacing w:after="0"/>
              <w:rPr>
                <w:sz w:val="24"/>
                <w:szCs w:val="24"/>
                <w:color w:val="auto"/>
              </w:rPr>
            </w:pPr>
          </w:p>
        </w:tc>
        <w:tc>
          <w:tcPr>
            <w:tcW w:w="5380" w:type="dxa"/>
            <w:vAlign w:val="bottom"/>
          </w:tcPr>
          <w:p>
            <w:pPr>
              <w:jc w:val="right"/>
              <w:ind w:right="4010"/>
              <w:spacing w:after="0"/>
              <w:rPr>
                <w:sz w:val="20"/>
                <w:szCs w:val="20"/>
                <w:color w:val="auto"/>
              </w:rPr>
            </w:pPr>
            <w:r>
              <w:rPr>
                <w:rFonts w:ascii="Times New Roman" w:cs="Times New Roman" w:eastAsia="Times New Roman" w:hAnsi="Times New Roman"/>
                <w:sz w:val="18"/>
                <w:szCs w:val="18"/>
                <w:color w:val="auto"/>
              </w:rPr>
              <w:t>3</w:t>
            </w:r>
          </w:p>
        </w:tc>
        <w:tc>
          <w:tcPr>
            <w:tcW w:w="1600" w:type="dxa"/>
            <w:vAlign w:val="bottom"/>
          </w:tcPr>
          <w:p>
            <w:pPr>
              <w:spacing w:after="0"/>
              <w:rPr>
                <w:sz w:val="24"/>
                <w:szCs w:val="24"/>
                <w:color w:val="auto"/>
              </w:rPr>
            </w:pPr>
          </w:p>
        </w:tc>
      </w:tr>
      <w:tr>
        <w:trPr>
          <w:trHeight w:val="132"/>
        </w:trPr>
        <w:tc>
          <w:tcPr>
            <w:tcW w:w="4480" w:type="dxa"/>
            <w:vAlign w:val="bottom"/>
            <w:tcBorders>
              <w:bottom w:val="single" w:sz="8" w:color="010101"/>
            </w:tcBorders>
          </w:tcPr>
          <w:p>
            <w:pPr>
              <w:spacing w:after="0"/>
              <w:rPr>
                <w:sz w:val="11"/>
                <w:szCs w:val="11"/>
                <w:color w:val="auto"/>
              </w:rPr>
            </w:pPr>
          </w:p>
        </w:tc>
        <w:tc>
          <w:tcPr>
            <w:tcW w:w="5380" w:type="dxa"/>
            <w:vAlign w:val="bottom"/>
            <w:tcBorders>
              <w:bottom w:val="single" w:sz="8" w:color="010101"/>
            </w:tcBorders>
          </w:tcPr>
          <w:p>
            <w:pPr>
              <w:spacing w:after="0"/>
              <w:rPr>
                <w:sz w:val="11"/>
                <w:szCs w:val="11"/>
                <w:color w:val="auto"/>
              </w:rPr>
            </w:pPr>
          </w:p>
        </w:tc>
        <w:tc>
          <w:tcPr>
            <w:tcW w:w="1600" w:type="dxa"/>
            <w:vAlign w:val="bottom"/>
            <w:tcBorders>
              <w:bottom w:val="single" w:sz="8" w:color="010101"/>
            </w:tcBorders>
          </w:tcPr>
          <w:p>
            <w:pPr>
              <w:spacing w:after="0"/>
              <w:rPr>
                <w:sz w:val="11"/>
                <w:szCs w:val="1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sectPr>
      <w:pgSz w:w="11900" w:h="16838" w:orient="portrait"/>
      <w:cols w:equalWidth="0" w:num="1">
        <w:col w:w="11460"/>
      </w:cols>
      <w:pgMar w:left="240" w:top="337" w:right="19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441"/>
    </w:lvl>
  </w:abstractNum>
  <w:abstractNum w:abstractNumId="1">
    <w:nsid w:val="66334873"/>
    <w:multiLevelType w:val="hybridMultilevel"/>
    <w:lvl w:ilvl="0">
      <w:lvlJc w:val="left"/>
      <w:lvlText w:val="o"/>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2019-12-14T20:23:51Z</dcterms:created>
  <dcterms:modified xsi:type="dcterms:W3CDTF">2019-12-14T20:23:51Z</dcterms:modified>
</cp:coreProperties>
</file>