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444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ind w:left="2540"/>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142240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8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SCHEDULE TO</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(Rule 13e-4)</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TENDER OFFER STATEMENT UNDER SECTION 14(d)(1) OR 13(e)(1) OF</w:t>
      </w: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THE SECURITIES EXCHANGE ACT OF 1934</w:t>
      </w:r>
    </w:p>
    <w:p>
      <w:pPr>
        <w:spacing w:after="0" w:line="3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Subject Company (Issuer) and Name of Filing Person (Offeror))</w:t>
      </w:r>
    </w:p>
    <w:p>
      <w:pPr>
        <w:spacing w:after="0" w:line="20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Options to Purchase Common Shares, Par Value $0.002 Per Share</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(Title of Class of Securities)</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G5876H105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(CUSIP Number of Class of Securities)</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(Underlying Options to Purchase Common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203200</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3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Michael Rashkin</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 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address, and telephone numbers of person authorized to receive notices and communications on behalf of filing persons)</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Copies to:</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Carmen Chang, Esq.</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Tom Savage, Esq.</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Wilson Sonsini Goodrich &amp; Rosati</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Professional Corporation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650 Page Mill Road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Palo Alto, CA 94304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Tel: (650)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211455</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9"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4260" w:type="dxa"/>
            <w:vAlign w:val="bottom"/>
            <w:tcBorders>
              <w:top w:val="single" w:sz="8" w:color="auto"/>
              <w:bottom w:val="single" w:sz="8" w:color="auto"/>
            </w:tcBorders>
          </w:tcPr>
          <w:p>
            <w:pPr>
              <w:spacing w:after="0"/>
              <w:rPr>
                <w:sz w:val="19"/>
                <w:szCs w:val="19"/>
                <w:color w:val="auto"/>
              </w:rPr>
            </w:pPr>
          </w:p>
        </w:tc>
        <w:tc>
          <w:tcPr>
            <w:tcW w:w="716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b w:val="1"/>
                <w:bCs w:val="1"/>
                <w:color w:val="auto"/>
              </w:rPr>
              <w:t>CALCULATION OF FILING FEE</w:t>
            </w:r>
          </w:p>
        </w:tc>
      </w:tr>
      <w:tr>
        <w:trPr>
          <w:trHeight w:val="210"/>
        </w:trPr>
        <w:tc>
          <w:tcPr>
            <w:tcW w:w="4260" w:type="dxa"/>
            <w:vAlign w:val="bottom"/>
            <w:tcBorders>
              <w:bottom w:val="single" w:sz="8" w:color="auto"/>
            </w:tcBorders>
          </w:tcPr>
          <w:p>
            <w:pPr>
              <w:jc w:val="center"/>
              <w:ind w:left="2330"/>
              <w:spacing w:after="0"/>
              <w:rPr>
                <w:sz w:val="20"/>
                <w:szCs w:val="20"/>
                <w:color w:val="auto"/>
              </w:rPr>
            </w:pPr>
            <w:r>
              <w:rPr>
                <w:rFonts w:ascii="Arial" w:cs="Arial" w:eastAsia="Arial" w:hAnsi="Arial"/>
                <w:sz w:val="18"/>
                <w:szCs w:val="18"/>
                <w:color w:val="auto"/>
                <w:w w:val="90"/>
              </w:rPr>
              <w:t>Transaction Valuation*</w:t>
            </w:r>
          </w:p>
        </w:tc>
        <w:tc>
          <w:tcPr>
            <w:tcW w:w="7160" w:type="dxa"/>
            <w:vAlign w:val="bottom"/>
            <w:tcBorders>
              <w:bottom w:val="single" w:sz="8" w:color="auto"/>
            </w:tcBorders>
          </w:tcPr>
          <w:p>
            <w:pPr>
              <w:jc w:val="center"/>
              <w:ind w:left="2330"/>
              <w:spacing w:after="0"/>
              <w:rPr>
                <w:sz w:val="20"/>
                <w:szCs w:val="20"/>
                <w:color w:val="auto"/>
              </w:rPr>
            </w:pPr>
            <w:r>
              <w:rPr>
                <w:rFonts w:ascii="Arial" w:cs="Arial" w:eastAsia="Arial" w:hAnsi="Arial"/>
                <w:sz w:val="18"/>
                <w:szCs w:val="18"/>
                <w:color w:val="auto"/>
                <w:w w:val="93"/>
              </w:rPr>
              <w:t>Amount of Filing Fee*</w:t>
            </w:r>
          </w:p>
        </w:tc>
      </w:tr>
      <w:tr>
        <w:trPr>
          <w:trHeight w:val="210"/>
        </w:trPr>
        <w:tc>
          <w:tcPr>
            <w:tcW w:w="4260" w:type="dxa"/>
            <w:vAlign w:val="bottom"/>
            <w:tcBorders>
              <w:bottom w:val="single" w:sz="8" w:color="auto"/>
            </w:tcBorders>
          </w:tcPr>
          <w:p>
            <w:pPr>
              <w:jc w:val="center"/>
              <w:ind w:left="2330"/>
              <w:spacing w:after="0"/>
              <w:rPr>
                <w:sz w:val="20"/>
                <w:szCs w:val="20"/>
                <w:color w:val="auto"/>
              </w:rPr>
            </w:pPr>
            <w:r>
              <w:rPr>
                <w:rFonts w:ascii="Arial" w:cs="Arial" w:eastAsia="Arial" w:hAnsi="Arial"/>
                <w:sz w:val="18"/>
                <w:szCs w:val="18"/>
                <w:color w:val="auto"/>
                <w:w w:val="94"/>
              </w:rPr>
              <w:t>Not Applicable*</w:t>
            </w:r>
          </w:p>
        </w:tc>
        <w:tc>
          <w:tcPr>
            <w:tcW w:w="7160" w:type="dxa"/>
            <w:vAlign w:val="bottom"/>
            <w:tcBorders>
              <w:bottom w:val="single" w:sz="8" w:color="auto"/>
            </w:tcBorders>
          </w:tcPr>
          <w:p>
            <w:pPr>
              <w:jc w:val="center"/>
              <w:ind w:left="2310"/>
              <w:spacing w:after="0"/>
              <w:rPr>
                <w:sz w:val="20"/>
                <w:szCs w:val="20"/>
                <w:color w:val="auto"/>
              </w:rPr>
            </w:pPr>
            <w:r>
              <w:rPr>
                <w:rFonts w:ascii="Arial" w:cs="Arial" w:eastAsia="Arial" w:hAnsi="Arial"/>
                <w:sz w:val="18"/>
                <w:szCs w:val="18"/>
                <w:color w:val="auto"/>
                <w:w w:val="94"/>
              </w:rPr>
              <w:t>Not Applicable*</w:t>
            </w:r>
          </w:p>
        </w:tc>
      </w:tr>
    </w:tbl>
    <w:p>
      <w:pPr>
        <w:spacing w:after="0" w:line="202" w:lineRule="exact"/>
        <w:rPr>
          <w:sz w:val="24"/>
          <w:szCs w:val="24"/>
          <w:color w:val="auto"/>
        </w:rPr>
      </w:pPr>
    </w:p>
    <w:p>
      <w:pPr>
        <w:ind w:left="500" w:right="60" w:hanging="301"/>
        <w:spacing w:after="0" w:line="277" w:lineRule="auto"/>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A filing fee is not required in connection with this filing as it relates solely to preliminary communications made before the commencement of a tender offer.</w:t>
      </w:r>
    </w:p>
    <w:p>
      <w:pPr>
        <w:spacing w:after="0" w:line="62" w:lineRule="exact"/>
        <w:rPr>
          <w:sz w:val="24"/>
          <w:szCs w:val="24"/>
          <w:color w:val="auto"/>
        </w:rPr>
      </w:pPr>
    </w:p>
    <w:p>
      <w:pPr>
        <w:ind w:left="340" w:right="180" w:hanging="332"/>
        <w:spacing w:after="0" w:line="277" w:lineRule="auto"/>
        <w:tabs>
          <w:tab w:leader="none" w:pos="244" w:val="left"/>
        </w:tabs>
        <w:numPr>
          <w:ilvl w:val="0"/>
          <w:numId w:val="2"/>
        </w:numPr>
        <w:rPr>
          <w:rFonts w:ascii="Arial" w:cs="Arial" w:eastAsia="Arial" w:hAnsi="Arial"/>
          <w:sz w:val="18"/>
          <w:szCs w:val="18"/>
          <w:color w:val="auto"/>
        </w:rPr>
      </w:pPr>
      <w:r>
        <w:rPr>
          <w:rFonts w:ascii="Arial" w:cs="Arial" w:eastAsia="Arial" w:hAnsi="Arial"/>
          <w:sz w:val="18"/>
          <w:szCs w:val="18"/>
          <w:color w:val="auto"/>
        </w:rPr>
        <w:t>Check the box if any part of the fee is offset as provided by Rule 0-11(a)(2) and identify the filing with which the offsetting fee was previously paid. Identify the previous filing by registration statement number, or the Form or Schedule and the date of its filing.</w:t>
      </w:r>
    </w:p>
    <w:p>
      <w:pPr>
        <w:spacing w:after="0" w:line="62" w:lineRule="exact"/>
        <w:rPr>
          <w:sz w:val="24"/>
          <w:szCs w:val="24"/>
          <w:color w:val="auto"/>
        </w:rPr>
      </w:pPr>
    </w:p>
    <w:p>
      <w:pPr>
        <w:spacing w:after="0"/>
        <w:rPr>
          <w:sz w:val="20"/>
          <w:szCs w:val="20"/>
          <w:color w:val="auto"/>
        </w:rPr>
      </w:pPr>
      <w:r>
        <w:rPr>
          <w:rFonts w:ascii="Arial" w:cs="Arial" w:eastAsia="Arial" w:hAnsi="Arial"/>
          <w:sz w:val="18"/>
          <w:szCs w:val="18"/>
          <w:color w:val="auto"/>
        </w:rPr>
        <w:t>Amount Previously Paid: Not applicable</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Form or Registration No.: Not applicable</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Filing Party: Not applicable</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Date Filed: Not applicable</w:t>
      </w:r>
    </w:p>
    <w:p>
      <w:pPr>
        <w:spacing w:after="0" w:line="117" w:lineRule="exact"/>
        <w:rPr>
          <w:sz w:val="24"/>
          <w:szCs w:val="24"/>
          <w:color w:val="auto"/>
        </w:rPr>
      </w:pPr>
    </w:p>
    <w:p>
      <w:pPr>
        <w:ind w:right="2600" w:firstLine="8"/>
        <w:spacing w:after="0" w:line="397" w:lineRule="auto"/>
        <w:tabs>
          <w:tab w:leader="none" w:pos="205"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box if the filing relates solely to preliminary communications made before the commencement of a tender offer. Check the appropriate boxes below to designate any transactions to which the statement relates:</w:t>
      </w:r>
    </w:p>
    <w:p>
      <w:pPr>
        <w:spacing w:after="0" w:line="2" w:lineRule="exact"/>
        <w:rPr>
          <w:sz w:val="24"/>
          <w:szCs w:val="24"/>
          <w:color w:val="auto"/>
        </w:rPr>
      </w:pPr>
    </w:p>
    <w:p>
      <w:pPr>
        <w:ind w:left="340" w:right="7660" w:hanging="8"/>
        <w:spacing w:after="0" w:line="422" w:lineRule="auto"/>
        <w:tabs>
          <w:tab w:leader="none" w:pos="568" w:val="left"/>
        </w:tabs>
        <w:numPr>
          <w:ilvl w:val="0"/>
          <w:numId w:val="4"/>
        </w:numPr>
        <w:rPr>
          <w:rFonts w:ascii="Arial" w:cs="Arial" w:eastAsia="Arial" w:hAnsi="Arial"/>
          <w:sz w:val="16"/>
          <w:szCs w:val="16"/>
          <w:color w:val="auto"/>
        </w:rPr>
      </w:pPr>
      <w:r>
        <w:rPr>
          <w:rFonts w:ascii="Arial" w:cs="Arial" w:eastAsia="Arial" w:hAnsi="Arial"/>
          <w:sz w:val="16"/>
          <w:szCs w:val="16"/>
          <w:color w:val="auto"/>
        </w:rPr>
        <w:t>third-party tender offer subject to Rule 14d-1. x issuer tender offer subject to Rule 13e-4.</w:t>
      </w:r>
    </w:p>
    <w:p>
      <w:pPr>
        <w:spacing w:after="0" w:line="1" w:lineRule="exact"/>
        <w:rPr>
          <w:rFonts w:ascii="Arial" w:cs="Arial" w:eastAsia="Arial" w:hAnsi="Arial"/>
          <w:sz w:val="16"/>
          <w:szCs w:val="16"/>
          <w:color w:val="auto"/>
        </w:rPr>
      </w:pPr>
    </w:p>
    <w:p>
      <w:pPr>
        <w:ind w:left="560" w:hanging="228"/>
        <w:spacing w:after="0"/>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going-private transaction subject to Rule 13e-3.</w:t>
      </w:r>
    </w:p>
    <w:p>
      <w:pPr>
        <w:spacing w:after="0" w:line="109" w:lineRule="exact"/>
        <w:rPr>
          <w:rFonts w:ascii="Arial" w:cs="Arial" w:eastAsia="Arial" w:hAnsi="Arial"/>
          <w:sz w:val="18"/>
          <w:szCs w:val="18"/>
          <w:color w:val="auto"/>
        </w:rPr>
      </w:pPr>
    </w:p>
    <w:p>
      <w:pPr>
        <w:ind w:left="560" w:hanging="228"/>
        <w:spacing w:after="0"/>
        <w:tabs>
          <w:tab w:leader="none" w:pos="560" w:val="left"/>
        </w:tabs>
        <w:numPr>
          <w:ilvl w:val="0"/>
          <w:numId w:val="4"/>
        </w:numPr>
        <w:rPr>
          <w:rFonts w:ascii="Arial" w:cs="Arial" w:eastAsia="Arial" w:hAnsi="Arial"/>
          <w:sz w:val="19"/>
          <w:szCs w:val="19"/>
          <w:color w:val="auto"/>
        </w:rPr>
      </w:pPr>
      <w:r>
        <w:rPr>
          <w:rFonts w:ascii="Arial" w:cs="Arial" w:eastAsia="Arial" w:hAnsi="Arial"/>
          <w:sz w:val="19"/>
          <w:szCs w:val="19"/>
          <w:color w:val="auto"/>
        </w:rPr>
        <w:t>amendment to Schedule 13D under Rule 13d-2.</w:t>
      </w:r>
    </w:p>
    <w:p>
      <w:pPr>
        <w:spacing w:after="0" w:line="106" w:lineRule="exact"/>
        <w:rPr>
          <w:sz w:val="24"/>
          <w:szCs w:val="24"/>
          <w:color w:val="auto"/>
        </w:rPr>
      </w:pPr>
    </w:p>
    <w:p>
      <w:pPr>
        <w:spacing w:after="0"/>
        <w:rPr>
          <w:sz w:val="20"/>
          <w:szCs w:val="20"/>
          <w:color w:val="auto"/>
        </w:rPr>
      </w:pPr>
      <w:r>
        <w:rPr>
          <w:rFonts w:ascii="Arial" w:cs="Arial" w:eastAsia="Arial" w:hAnsi="Arial"/>
          <w:sz w:val="19"/>
          <w:szCs w:val="19"/>
          <w:color w:val="auto"/>
        </w:rPr>
        <w:t>Check the following box if the filing fee is a final amendment reporting the results of the tender offer: 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287020</wp:posOffset>
            </wp:positionV>
            <wp:extent cx="7246620" cy="26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330200</wp:posOffset>
            </wp:positionV>
            <wp:extent cx="7246620"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ectPr>
          <w:pgSz w:w="11900" w:h="16838" w:orient="portrait"/>
          <w:cols w:equalWidth="0" w:num="1">
            <w:col w:w="11420"/>
          </w:cols>
          <w:pgMar w:left="240" w:top="774" w:right="239" w:bottom="245" w:gutter="0" w:footer="0" w:header="0"/>
        </w:sectPr>
      </w:pPr>
    </w:p>
    <w:bookmarkStart w:id="1" w:name="page2"/>
    <w:bookmarkEnd w:id="1"/>
    <w:p>
      <w:pPr>
        <w:ind w:left="160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FORM OF E-MAIL TO SANTA CLARA EMPLOYEES WHO HOLD DISCOUNTED STOCK OPTIONS</w:t>
      </w:r>
    </w:p>
    <w:p>
      <w:pPr>
        <w:spacing w:after="0" w:line="229" w:lineRule="exact"/>
        <w:rPr>
          <w:sz w:val="20"/>
          <w:szCs w:val="20"/>
          <w:color w:val="auto"/>
        </w:rPr>
      </w:pPr>
    </w:p>
    <w:p>
      <w:pPr>
        <w:ind w:left="40"/>
        <w:spacing w:after="0"/>
        <w:tabs>
          <w:tab w:leader="none" w:pos="780" w:val="left"/>
        </w:tabs>
        <w:rPr>
          <w:sz w:val="20"/>
          <w:szCs w:val="20"/>
          <w:color w:val="auto"/>
        </w:rPr>
      </w:pPr>
      <w:r>
        <w:rPr>
          <w:rFonts w:ascii="Arial" w:cs="Arial" w:eastAsia="Arial" w:hAnsi="Arial"/>
          <w:sz w:val="18"/>
          <w:szCs w:val="18"/>
          <w:color w:val="auto"/>
        </w:rPr>
        <w:t>Subject:</w:t>
      </w:r>
      <w:r>
        <w:rPr>
          <w:sz w:val="20"/>
          <w:szCs w:val="20"/>
          <w:color w:val="auto"/>
        </w:rPr>
        <w:tab/>
      </w:r>
      <w:r>
        <w:rPr>
          <w:rFonts w:ascii="Arial" w:cs="Arial" w:eastAsia="Arial" w:hAnsi="Arial"/>
          <w:sz w:val="16"/>
          <w:szCs w:val="16"/>
          <w:color w:val="auto"/>
        </w:rPr>
        <w:t>Potential solution to stock option penalty tax</w:t>
      </w:r>
    </w:p>
    <w:p>
      <w:pPr>
        <w:spacing w:after="0" w:line="221" w:lineRule="exact"/>
        <w:rPr>
          <w:sz w:val="20"/>
          <w:szCs w:val="20"/>
          <w:color w:val="auto"/>
        </w:rPr>
      </w:pPr>
    </w:p>
    <w:p>
      <w:pPr>
        <w:ind w:left="40"/>
        <w:spacing w:after="0"/>
        <w:tabs>
          <w:tab w:leader="none" w:pos="780" w:val="left"/>
        </w:tabs>
        <w:rPr>
          <w:sz w:val="20"/>
          <w:szCs w:val="20"/>
          <w:color w:val="auto"/>
        </w:rPr>
      </w:pPr>
      <w:r>
        <w:rPr>
          <w:rFonts w:ascii="Arial" w:cs="Arial" w:eastAsia="Arial" w:hAnsi="Arial"/>
          <w:sz w:val="18"/>
          <w:szCs w:val="18"/>
          <w:b w:val="1"/>
          <w:bCs w:val="1"/>
          <w:color w:val="auto"/>
        </w:rPr>
        <w:t>What:</w:t>
        <w:tab/>
        <w:t>Invitation to an Education Session on Discounted Options</w:t>
      </w:r>
    </w:p>
    <w:p>
      <w:pPr>
        <w:spacing w:after="0" w:line="225" w:lineRule="exact"/>
        <w:rPr>
          <w:sz w:val="20"/>
          <w:szCs w:val="20"/>
          <w:color w:val="auto"/>
        </w:rPr>
      </w:pPr>
    </w:p>
    <w:p>
      <w:pPr>
        <w:ind w:left="40"/>
        <w:spacing w:after="0"/>
        <w:tabs>
          <w:tab w:leader="none" w:pos="780" w:val="left"/>
        </w:tabs>
        <w:rPr>
          <w:sz w:val="20"/>
          <w:szCs w:val="20"/>
          <w:color w:val="auto"/>
        </w:rPr>
      </w:pPr>
      <w:r>
        <w:rPr>
          <w:rFonts w:ascii="Arial" w:cs="Arial" w:eastAsia="Arial" w:hAnsi="Arial"/>
          <w:sz w:val="36"/>
          <w:szCs w:val="36"/>
          <w:b w:val="1"/>
          <w:bCs w:val="1"/>
          <w:color w:val="auto"/>
          <w:vertAlign w:val="superscript"/>
        </w:rPr>
        <w:t>Where:</w:t>
      </w:r>
      <w:r>
        <w:rPr>
          <w:sz w:val="20"/>
          <w:szCs w:val="20"/>
          <w:color w:val="auto"/>
        </w:rPr>
        <w:tab/>
      </w:r>
      <w:r>
        <w:rPr>
          <w:rFonts w:ascii="Arial" w:cs="Arial" w:eastAsia="Arial" w:hAnsi="Arial"/>
          <w:sz w:val="16"/>
          <w:szCs w:val="16"/>
          <w:b w:val="1"/>
          <w:bCs w:val="1"/>
          <w:color w:val="auto"/>
        </w:rPr>
        <w:t>UC Berkeley Conference Room, Building #5, 2</w:t>
      </w:r>
      <w:r>
        <w:rPr>
          <w:rFonts w:ascii="Arial" w:cs="Arial" w:eastAsia="Arial" w:hAnsi="Arial"/>
          <w:sz w:val="26"/>
          <w:szCs w:val="26"/>
          <w:b w:val="1"/>
          <w:bCs w:val="1"/>
          <w:color w:val="auto"/>
          <w:vertAlign w:val="superscript"/>
        </w:rPr>
        <w:t>nd</w:t>
      </w:r>
      <w:r>
        <w:rPr>
          <w:rFonts w:ascii="Arial" w:cs="Arial" w:eastAsia="Arial" w:hAnsi="Arial"/>
          <w:sz w:val="16"/>
          <w:szCs w:val="16"/>
          <w:b w:val="1"/>
          <w:bCs w:val="1"/>
          <w:color w:val="auto"/>
        </w:rPr>
        <w:t xml:space="preserve"> Floor</w:t>
      </w:r>
    </w:p>
    <w:p>
      <w:pPr>
        <w:spacing w:after="0" w:line="61" w:lineRule="exact"/>
        <w:rPr>
          <w:sz w:val="20"/>
          <w:szCs w:val="20"/>
          <w:color w:val="auto"/>
        </w:rPr>
      </w:pPr>
    </w:p>
    <w:p>
      <w:pPr>
        <w:ind w:left="40"/>
        <w:spacing w:after="0"/>
        <w:tabs>
          <w:tab w:leader="none" w:pos="780" w:val="left"/>
        </w:tabs>
        <w:rPr>
          <w:sz w:val="20"/>
          <w:szCs w:val="20"/>
          <w:color w:val="auto"/>
        </w:rPr>
      </w:pPr>
      <w:r>
        <w:rPr>
          <w:rFonts w:ascii="Arial" w:cs="Arial" w:eastAsia="Arial" w:hAnsi="Arial"/>
          <w:sz w:val="18"/>
          <w:szCs w:val="18"/>
          <w:b w:val="1"/>
          <w:bCs w:val="1"/>
          <w:color w:val="auto"/>
        </w:rPr>
        <w:t>When:</w:t>
        <w:tab/>
        <w:t>Session 1 — Tuesday, November 13 at 10:00 am PST</w:t>
      </w:r>
    </w:p>
    <w:p>
      <w:pPr>
        <w:spacing w:after="0" w:line="223"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2 — Tuesday, November 13 at 2:00 pm PST</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3 — Friday, November 16 at 10:00 am PST</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4 — Tuesday, November 20 at 10:00 pm PST</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5 — Wednesday, December 5 at 4:00 pm PST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Dear Employee:</w:t>
      </w:r>
    </w:p>
    <w:p>
      <w:pPr>
        <w:spacing w:after="0" w:line="225" w:lineRule="exact"/>
        <w:rPr>
          <w:sz w:val="20"/>
          <w:szCs w:val="20"/>
          <w:color w:val="auto"/>
        </w:rPr>
      </w:pPr>
    </w:p>
    <w:p>
      <w:pPr>
        <w:ind w:right="80" w:firstLine="648"/>
        <w:spacing w:after="0" w:line="342" w:lineRule="auto"/>
        <w:rPr>
          <w:sz w:val="20"/>
          <w:szCs w:val="20"/>
          <w:color w:val="auto"/>
        </w:rPr>
      </w:pPr>
      <w:r>
        <w:rPr>
          <w:rFonts w:ascii="Arial" w:cs="Arial" w:eastAsia="Arial" w:hAnsi="Arial"/>
          <w:sz w:val="16"/>
          <w:szCs w:val="16"/>
          <w:color w:val="auto"/>
        </w:rPr>
        <w:t>Our records show that you hold a discounted stock option. There are severe tax implications if you exercise your discounted option. To alleviate the tax, Marvell is planning to commence a tender offer to allow you to raise your exercise price to the correct price and will compensate you for the increase.</w:t>
      </w:r>
    </w:p>
    <w:p>
      <w:pPr>
        <w:spacing w:after="0" w:line="124" w:lineRule="exact"/>
        <w:rPr>
          <w:sz w:val="20"/>
          <w:szCs w:val="20"/>
          <w:color w:val="auto"/>
        </w:rPr>
      </w:pPr>
    </w:p>
    <w:p>
      <w:pPr>
        <w:ind w:right="80" w:firstLine="648"/>
        <w:spacing w:after="0" w:line="264" w:lineRule="auto"/>
        <w:rPr>
          <w:sz w:val="20"/>
          <w:szCs w:val="20"/>
          <w:color w:val="auto"/>
        </w:rPr>
      </w:pPr>
      <w:r>
        <w:rPr>
          <w:rFonts w:ascii="Arial" w:cs="Arial" w:eastAsia="Arial" w:hAnsi="Arial"/>
          <w:sz w:val="18"/>
          <w:szCs w:val="18"/>
          <w:color w:val="auto"/>
        </w:rPr>
        <w:t>This is a complicated topic. As such, we request that you attend one of five upcoming education sessions. Each session will feature a presentation of the proposed tender offer, followed by an open-forum Q&amp;A. An opportunity to ask questions privately will also be available. Participation in the sessions is optional, but highly recommended.</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Thank you for your patience in this matter. We look forward to your participation.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Sarah Spengler</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Manager, Stock Administration</w:t>
      </w:r>
    </w:p>
    <w:p>
      <w:pPr>
        <w:spacing w:after="0" w:line="31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IMPORTANT INFORMATION</w:t>
      </w:r>
    </w:p>
    <w:p>
      <w:pPr>
        <w:spacing w:after="0" w:line="225"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THIS EMAIL MESSAGE DOES NOT CONSTITUTE AN OFFER TO AMEND, OR A SOLICITATION OF AN OFFER TO AMEND, ANY OPTIONS TO PURCHASE MARVELL COMMON STOCK. IF MARVELL SUBSEQUENTLY DETERMINES TO PROCEED WITH THE TENDER OFFER REFERRED TO ABOVE, THE OFFER WILL ONLY BE MADE THROUGH AN OFFER TO AMEND AND RELATED MATERIALS, WHICH WILL BE DISTRIBUTED TO ALL ELIGIBLE OPTION HOLDERS ON THE COMMENCEMENT DATE OF THE TENDER OFFER. THE OFFER TO AMEND AND RELATED MATERIALS ALSO WILL BE AVAILABLE FREE OF CHARGE TO OPTION HOLDERS AND SHAREHOLDERS AT THE SEC’S WEBSITE AT WWW.SEC.GOV ON AND AFTER THAT DATE. IN ADDITION, SHAREHOLDERS AND OPTION HOLDERS MAY REQUEST A FREE COPY OF THE OFFER TO AMEND AND RELATED MATERIALS FROM MARVELL FOLLOWING THE TIME THAT SUCH DOCUMENTS BECOME AVAILABLE. ALL ELIGIBLE OPTION HOLDERS ARE ADVISED TO READ THESE MATERIALS IF AND WHEN THEY BECOME AVAILABLE, AS THEY WILL CONTAIN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337820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Arial" w:cs="Arial" w:eastAsia="Arial" w:hAnsi="Arial"/>
          <w:sz w:val="18"/>
          <w:szCs w:val="18"/>
          <w:color w:val="auto"/>
        </w:rPr>
        <w:t>IMPORTANT INFORMATION TO HELP OPTION HOLDERS DECIDE WHETHER OR NOT TO ACCEPT THE TENDER OFFER.</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FORM OF E-MAIL TO NON-SANTA CLARA EMPLOYEES WHO HOLD DISCOUNTED STOCK OPTIONS</w:t>
      </w:r>
    </w:p>
    <w:p>
      <w:pPr>
        <w:spacing w:after="0" w:line="200" w:lineRule="exact"/>
        <w:rPr>
          <w:sz w:val="20"/>
          <w:szCs w:val="20"/>
          <w:color w:val="auto"/>
        </w:rPr>
      </w:pPr>
    </w:p>
    <w:p>
      <w:pPr>
        <w:spacing w:after="0" w:line="245" w:lineRule="exact"/>
        <w:rPr>
          <w:sz w:val="20"/>
          <w:szCs w:val="20"/>
          <w:color w:val="auto"/>
        </w:rPr>
      </w:pPr>
    </w:p>
    <w:p>
      <w:pPr>
        <w:ind w:left="40"/>
        <w:spacing w:after="0"/>
        <w:tabs>
          <w:tab w:leader="none" w:pos="780" w:val="left"/>
        </w:tabs>
        <w:rPr>
          <w:sz w:val="20"/>
          <w:szCs w:val="20"/>
          <w:color w:val="auto"/>
        </w:rPr>
      </w:pPr>
      <w:r>
        <w:rPr>
          <w:rFonts w:ascii="Arial" w:cs="Arial" w:eastAsia="Arial" w:hAnsi="Arial"/>
          <w:sz w:val="18"/>
          <w:szCs w:val="18"/>
          <w:color w:val="auto"/>
        </w:rPr>
        <w:t>Subject:</w:t>
      </w:r>
      <w:r>
        <w:rPr>
          <w:sz w:val="20"/>
          <w:szCs w:val="20"/>
          <w:color w:val="auto"/>
        </w:rPr>
        <w:tab/>
      </w:r>
      <w:r>
        <w:rPr>
          <w:rFonts w:ascii="Arial" w:cs="Arial" w:eastAsia="Arial" w:hAnsi="Arial"/>
          <w:sz w:val="16"/>
          <w:szCs w:val="16"/>
          <w:color w:val="auto"/>
        </w:rPr>
        <w:t>Potential solution to stock option penalty tax</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Dear Employee:</w:t>
      </w:r>
    </w:p>
    <w:p>
      <w:pPr>
        <w:spacing w:after="0" w:line="225" w:lineRule="exact"/>
        <w:rPr>
          <w:sz w:val="20"/>
          <w:szCs w:val="20"/>
          <w:color w:val="auto"/>
        </w:rPr>
      </w:pPr>
    </w:p>
    <w:p>
      <w:pPr>
        <w:ind w:right="380"/>
        <w:spacing w:after="0" w:line="342" w:lineRule="auto"/>
        <w:rPr>
          <w:sz w:val="20"/>
          <w:szCs w:val="20"/>
          <w:color w:val="auto"/>
        </w:rPr>
      </w:pPr>
      <w:r>
        <w:rPr>
          <w:rFonts w:ascii="Arial" w:cs="Arial" w:eastAsia="Arial" w:hAnsi="Arial"/>
          <w:sz w:val="16"/>
          <w:szCs w:val="16"/>
          <w:color w:val="auto"/>
        </w:rPr>
        <w:t>Our records show that you hold a discounted stock option. There are severe tax implications if you exercise your discounted option. To alleviate the tax, Marvell is planning to commence a tender offer to allow you to raise your exercise price to the correct price and will compensate you for the increase.</w:t>
      </w:r>
    </w:p>
    <w:p>
      <w:pPr>
        <w:spacing w:after="0" w:line="124" w:lineRule="exact"/>
        <w:rPr>
          <w:sz w:val="20"/>
          <w:szCs w:val="20"/>
          <w:color w:val="auto"/>
        </w:rPr>
      </w:pPr>
    </w:p>
    <w:p>
      <w:pPr>
        <w:jc w:val="both"/>
        <w:ind w:right="220"/>
        <w:spacing w:after="0" w:line="264" w:lineRule="auto"/>
        <w:rPr>
          <w:sz w:val="20"/>
          <w:szCs w:val="20"/>
          <w:color w:val="auto"/>
        </w:rPr>
      </w:pPr>
      <w:r>
        <w:rPr>
          <w:rFonts w:ascii="Arial" w:cs="Arial" w:eastAsia="Arial" w:hAnsi="Arial"/>
          <w:sz w:val="18"/>
          <w:szCs w:val="18"/>
          <w:color w:val="auto"/>
        </w:rPr>
        <w:t>This is a complicated topic. As such, we request that you call-in to one of five upcoming education sessions. Each session will feature a presentation of the proposed tender offer, followed by an open-forum Q&amp;A. Participation in the sessions is optional, but highly recommended. Please plan to call in for one of the five live presentations listed below.</w:t>
      </w:r>
    </w:p>
    <w:p>
      <w:pPr>
        <w:spacing w:after="0" w:line="177" w:lineRule="exact"/>
        <w:rPr>
          <w:sz w:val="20"/>
          <w:szCs w:val="20"/>
          <w:color w:val="auto"/>
        </w:rPr>
      </w:pPr>
    </w:p>
    <w:p>
      <w:pPr>
        <w:ind w:left="40"/>
        <w:spacing w:after="0"/>
        <w:tabs>
          <w:tab w:leader="none" w:pos="780" w:val="left"/>
        </w:tabs>
        <w:rPr>
          <w:sz w:val="20"/>
          <w:szCs w:val="20"/>
          <w:color w:val="auto"/>
        </w:rPr>
      </w:pPr>
      <w:r>
        <w:rPr>
          <w:rFonts w:ascii="Arial" w:cs="Arial" w:eastAsia="Arial" w:hAnsi="Arial"/>
          <w:sz w:val="18"/>
          <w:szCs w:val="18"/>
          <w:b w:val="1"/>
          <w:bCs w:val="1"/>
          <w:color w:val="auto"/>
        </w:rPr>
        <w:t>When:</w:t>
        <w:tab/>
        <w:t>Session 1 — Tuesday, November 13 at 10:00 am PST</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2 — Tuesday, November 13 at 2:00 pm PST</w:t>
      </w:r>
    </w:p>
    <w:p>
      <w:pPr>
        <w:sectPr>
          <w:pgSz w:w="11900" w:h="16838" w:orient="portrait"/>
          <w:cols w:equalWidth="0" w:num="1">
            <w:col w:w="11420"/>
          </w:cols>
          <w:pgMar w:left="240" w:top="729" w:right="239" w:bottom="0" w:gutter="0" w:footer="0" w:header="0"/>
        </w:sectPr>
      </w:pPr>
    </w:p>
    <w:bookmarkStart w:id="2" w:name="page3"/>
    <w:bookmarkEnd w:id="2"/>
    <w:p>
      <w:pPr>
        <w:ind w:left="800"/>
        <w:spacing w:after="0"/>
        <w:rPr>
          <w:sz w:val="20"/>
          <w:szCs w:val="20"/>
          <w:color w:val="auto"/>
        </w:rPr>
      </w:pPr>
      <w:r>
        <w:rPr>
          <w:rFonts w:ascii="Arial" w:cs="Arial" w:eastAsia="Arial" w:hAnsi="Arial"/>
          <w:sz w:val="18"/>
          <w:szCs w:val="18"/>
          <w:b w:val="1"/>
          <w:bCs w:val="1"/>
          <w:color w:val="auto"/>
        </w:rPr>
        <w:t>Session 3 — Friday, November 16 at 10:00 am PST</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4 — Tuesday, November 20 at 10:00 pm PST</w:t>
      </w:r>
    </w:p>
    <w:p>
      <w:pPr>
        <w:spacing w:after="0" w:line="225" w:lineRule="exact"/>
        <w:rPr>
          <w:sz w:val="20"/>
          <w:szCs w:val="20"/>
          <w:color w:val="auto"/>
        </w:rPr>
      </w:pPr>
    </w:p>
    <w:p>
      <w:pPr>
        <w:ind w:left="800"/>
        <w:spacing w:after="0"/>
        <w:rPr>
          <w:sz w:val="20"/>
          <w:szCs w:val="20"/>
          <w:color w:val="auto"/>
        </w:rPr>
      </w:pPr>
      <w:r>
        <w:rPr>
          <w:rFonts w:ascii="Arial" w:cs="Arial" w:eastAsia="Arial" w:hAnsi="Arial"/>
          <w:sz w:val="18"/>
          <w:szCs w:val="18"/>
          <w:b w:val="1"/>
          <w:bCs w:val="1"/>
          <w:color w:val="auto"/>
        </w:rPr>
        <w:t>Session 5 — Wednesday, December 5 at 4:00 pm PST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Thank you for your patience in this matter. We look forward to your participation.</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Sarah Spengler</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Manager, Stock Administration</w:t>
      </w:r>
    </w:p>
    <w:p>
      <w:pPr>
        <w:spacing w:after="0" w:line="21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[Logistical Information Omitted]</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IMPORTANT INFORMATION</w:t>
      </w:r>
    </w:p>
    <w:p>
      <w:pPr>
        <w:spacing w:after="0" w:line="225"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THIS EMAIL MESSAGE DOES NOT CONSTITUTE AN OFFER TO AMEND, OR A SOLICITATION OF AN OFFER TO AMEND, ANY OPTIONS TO PURCHASE MARVELL COMMON STOCK. IF MARVELL SUBSEQUENTLY DETERMINES TO PROCEED WITH THE TENDER OFFER REFERRED TO ABOVE, THE OFFER WILL ONLY BE MADE THROUGH AN OFFER TO AMEND AND RELATED MATERIALS, WHICH WILL BE DISTRIBUTED TO ALL ELIGIBLE OPTION HOLDERS ON THE COMMENCEMENT DATE OF THE TENDER OFFER. THE OFFER TO AMEND AND RELATED MATERIALS ALSO WILL BE AVAILABLE FREE OF CHARGE TO OPTION HOLDERS AND SHAREHOLDERS AT THE SEC’S WEBSITE AT WWW.SEC.GOV ON AND AFTER THAT DATE. IN ADDITION, SHAREHOLDERS AND OPTION HOLDERS MAY REQUEST A FREE COPY OF THE OFFER TO AMEND AND RELATED MATERIALS FROM MARVELL FOLLOWING THE TIME THAT SUCH DOCUMENTS BECOME AVAILABLE. ALL ELIGIBLE OPTION HOLDERS ARE ADVISED TO READ THESE MATERIALS IF AND WHEN THEY BECOME AVAILABLE, AS THEY WILL CONTAIN IMPORTANT INFORMATION TO HELP OPTION HOLDERS DECIDE WHETHER OR NOT TO ACCEPT THE TENDER OFFER.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336550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o"/>
      <w:numFmt w:val="bullet"/>
      <w:start w:val="1"/>
    </w:lvl>
  </w:abstractNum>
  <w:abstractNum w:abstractNumId="2">
    <w:nsid w:val="2AE8944A"/>
    <w:multiLevelType w:val="hybridMultilevel"/>
    <w:lvl w:ilvl="0">
      <w:lvlJc w:val="left"/>
      <w:lvlText w:val="x"/>
      <w:numFmt w:val="bullet"/>
      <w:start w:val="1"/>
    </w:lvl>
  </w:abstractNum>
  <w:abstractNum w:abstractNumId="3">
    <w:nsid w:val="625558EC"/>
    <w:multiLevelType w:val="hybridMultilevel"/>
    <w:lvl w:ilvl="0">
      <w:lvlJc w:val="left"/>
      <w:lvlText w:val="o"/>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2019-12-14T20:22:53Z</dcterms:created>
  <dcterms:modified xsi:type="dcterms:W3CDTF">2019-12-14T20:22:53Z</dcterms:modified>
</cp:coreProperties>
</file>