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1"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DOCUMENT TYPE SC 13G/A</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TEXT</w:t>
      </w:r>
    </w:p>
    <w:p>
      <w:pPr>
        <w:spacing w:after="0" w:line="386"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SECURITIES AND EXCHANGE COMMISSION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Washington, D.C. 20549</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SCHEDULE 13G</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Under the Securities Exchange Act of 1934</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Amendment # 3</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Name of Issuer: MARVELL TECHNOLOGY GROUP LTD</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_____________________________________________________</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Title of Class</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of Securities: Common Stock</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CUSIP Number: G5876H105</w:t>
      </w:r>
    </w:p>
    <w:p>
      <w:pPr>
        <w:spacing w:after="0" w:line="197" w:lineRule="exact"/>
        <w:rPr>
          <w:sz w:val="24"/>
          <w:szCs w:val="24"/>
          <w:color w:val="auto"/>
        </w:rPr>
      </w:pPr>
    </w:p>
    <w:p>
      <w:pPr>
        <w:ind w:right="4659" w:firstLine="8"/>
        <w:spacing w:after="0" w:line="500" w:lineRule="auto"/>
        <w:tabs>
          <w:tab w:leader="none" w:pos="292"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NAME AND I.R.S. IDENTIFICATION NO. OF REPORTING PERSON Prudential Financial, Inc. 22-3703799</w:t>
      </w:r>
    </w:p>
    <w:p>
      <w:pPr>
        <w:spacing w:after="0" w:line="1"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2.) MEMBER OF A GROUP: (a) N/A</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(b) N/A</w:t>
      </w:r>
    </w:p>
    <w:p>
      <w:pPr>
        <w:spacing w:after="0" w:line="197" w:lineRule="exact"/>
        <w:rPr>
          <w:sz w:val="24"/>
          <w:szCs w:val="24"/>
          <w:color w:val="auto"/>
        </w:rPr>
      </w:pPr>
    </w:p>
    <w:p>
      <w:pPr>
        <w:ind w:left="300" w:hanging="292"/>
        <w:spacing w:after="0"/>
        <w:tabs>
          <w:tab w:leader="none" w:pos="30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SEC USE ONLY:</w:t>
      </w:r>
    </w:p>
    <w:p>
      <w:pPr>
        <w:spacing w:after="0" w:line="200" w:lineRule="exact"/>
        <w:rPr>
          <w:rFonts w:ascii="Courier New" w:cs="Courier New" w:eastAsia="Courier New" w:hAnsi="Courier New"/>
          <w:sz w:val="16"/>
          <w:szCs w:val="16"/>
          <w:color w:val="auto"/>
        </w:rPr>
      </w:pPr>
    </w:p>
    <w:p>
      <w:pPr>
        <w:spacing w:after="0" w:line="375"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PLACE OF ORGANIZATION: New Jersey</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NUMBER OF SHARES BENEFICIALLY OWNED BY REPORTING PERSON WITH:</w:t>
      </w:r>
    </w:p>
    <w:p>
      <w:pPr>
        <w:spacing w:after="0" w:line="197" w:lineRule="exact"/>
        <w:rPr>
          <w:sz w:val="24"/>
          <w:szCs w:val="24"/>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Sole Voting Power: Not Applicable</w:t>
      </w:r>
    </w:p>
    <w:p>
      <w:pPr>
        <w:spacing w:after="0" w:line="7"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Shared Voting Power: Not Applicable</w:t>
      </w:r>
    </w:p>
    <w:p>
      <w:pPr>
        <w:spacing w:after="0" w:line="7"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Sole Dispositive Power: Not Applicable</w:t>
      </w:r>
    </w:p>
    <w:p>
      <w:pPr>
        <w:spacing w:after="0" w:line="7"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Shared Dispositive Power: Not Applicable</w:t>
      </w:r>
    </w:p>
    <w:p>
      <w:pPr>
        <w:spacing w:after="0" w:line="196"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AGGREGATE AMOUNT BENEFICIALLY OWNED:</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Not Applicable</w:t>
      </w:r>
    </w:p>
    <w:p>
      <w:pPr>
        <w:spacing w:after="0" w:line="197" w:lineRule="exact"/>
        <w:rPr>
          <w:sz w:val="24"/>
          <w:szCs w:val="24"/>
          <w:color w:val="auto"/>
        </w:rPr>
      </w:pPr>
    </w:p>
    <w:p>
      <w:pPr>
        <w:ind w:left="400" w:hanging="392"/>
        <w:spacing w:after="0"/>
        <w:tabs>
          <w:tab w:leader="none" w:pos="40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AGGREGATE AMOUNT IN ROW (9) EXCLUDES SHARES: Not Applicable</w:t>
      </w:r>
    </w:p>
    <w:p>
      <w:pPr>
        <w:spacing w:after="0" w:line="196" w:lineRule="exact"/>
        <w:rPr>
          <w:rFonts w:ascii="Courier New" w:cs="Courier New" w:eastAsia="Courier New" w:hAnsi="Courier New"/>
          <w:sz w:val="16"/>
          <w:szCs w:val="16"/>
          <w:color w:val="auto"/>
        </w:rPr>
      </w:pPr>
    </w:p>
    <w:p>
      <w:pPr>
        <w:ind w:left="400" w:hanging="392"/>
        <w:spacing w:after="0"/>
        <w:tabs>
          <w:tab w:leader="none" w:pos="40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PERCENT OF CLASS REPRESENTED BY AMOUNT IN ROW (9):</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Not Applicable</w:t>
      </w:r>
    </w:p>
    <w:p>
      <w:pPr>
        <w:spacing w:after="0" w:line="197" w:lineRule="exact"/>
        <w:rPr>
          <w:sz w:val="24"/>
          <w:szCs w:val="24"/>
          <w:color w:val="auto"/>
        </w:rPr>
      </w:pPr>
    </w:p>
    <w:p>
      <w:pPr>
        <w:ind w:right="7099" w:firstLine="8"/>
        <w:spacing w:after="0" w:line="500" w:lineRule="auto"/>
        <w:tabs>
          <w:tab w:leader="none" w:pos="389"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TYPE OF REPORTING PERSON: HC ITEM 1(a). NAME OF ISSUER: MARVELL TECHNOLOGY GROUP LTD</w:t>
      </w:r>
    </w:p>
    <w:p>
      <w:pPr>
        <w:spacing w:after="0" w:line="1"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ITEM 1(b). ADDRESS OF ISSUER'S EXECUTIVE OFFICES:</w:t>
      </w:r>
    </w:p>
    <w:p>
      <w:pPr>
        <w:spacing w:after="0" w:line="196" w:lineRule="exact"/>
        <w:rPr>
          <w:rFonts w:ascii="Courier New" w:cs="Courier New" w:eastAsia="Courier New" w:hAnsi="Courier New"/>
          <w:sz w:val="16"/>
          <w:szCs w:val="16"/>
          <w:color w:val="auto"/>
        </w:rPr>
      </w:pPr>
    </w:p>
    <w:p>
      <w:pPr>
        <w:ind w:right="1839"/>
        <w:spacing w:after="0" w:line="500"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MARVELL TECHNOLOGY GROUP LTD Canon's Court 22 Victoria Street Hamilton, HM 12, Bermuda ITEM 2(a). NAME OF PERSON FILING:</w:t>
      </w:r>
    </w:p>
    <w:p>
      <w:pPr>
        <w:spacing w:after="0" w:line="1"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Prudential Financial, Inc.</w:t>
      </w:r>
    </w:p>
    <w:p>
      <w:pPr>
        <w:spacing w:after="0" w:line="196"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ITEM 2(b). ADDRESS OF PRINCIPAL BUSINESS OFFICE:</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751 Broad Street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Newark, New Jersey 07102-3777</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2(c). CITIZENSHIP:</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New Jersey</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2(d). TITLE OF CLASS OF SECURITIES:</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Common Stock</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2(e). CUSIP NUMBER:</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G5876H105</w:t>
      </w:r>
    </w:p>
    <w:p>
      <w:pPr>
        <w:spacing w:after="0" w:line="197" w:lineRule="exact"/>
        <w:rPr>
          <w:sz w:val="24"/>
          <w:szCs w:val="24"/>
          <w:color w:val="auto"/>
        </w:rPr>
      </w:pPr>
    </w:p>
    <w:p>
      <w:pPr>
        <w:ind w:right="3299"/>
        <w:spacing w:after="0" w:line="251" w:lineRule="auto"/>
        <w:rPr>
          <w:sz w:val="20"/>
          <w:szCs w:val="20"/>
          <w:color w:val="auto"/>
        </w:rPr>
      </w:pPr>
      <w:r>
        <w:rPr>
          <w:rFonts w:ascii="Courier New" w:cs="Courier New" w:eastAsia="Courier New" w:hAnsi="Courier New"/>
          <w:sz w:val="16"/>
          <w:szCs w:val="16"/>
          <w:color w:val="auto"/>
        </w:rPr>
        <w:t>ITEM 3. The Person filing this statement is a Parent Holding Company as defined in Section 240.13d-1(b)(1)(ii)(G) of the Securities Exchange Act of 1934.</w:t>
      </w:r>
    </w:p>
    <w:p>
      <w:pPr>
        <w:spacing w:after="0" w:line="18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4. OWNERSHIP:</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(a) Number of Shares</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Beneficially Owned: Not Applicable</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(b) Percent of Class:</w:t>
      </w:r>
    </w:p>
    <w:p>
      <w:pPr>
        <w:sectPr>
          <w:pgSz w:w="11900" w:h="16890" w:orient="portrait"/>
          <w:cols w:equalWidth="0" w:num="1">
            <w:col w:w="10219"/>
          </w:cols>
          <w:pgMar w:left="240" w:top="248" w:right="1440" w:bottom="0" w:gutter="0" w:footer="0" w:header="0"/>
        </w:sectPr>
      </w:pPr>
    </w:p>
    <w:bookmarkStart w:id="1" w:name="page2"/>
    <w:bookmarkEnd w:id="1"/>
    <w:tbl>
      <w:tblPr>
        <w:tblLayout w:type="fixed"/>
        <w:tblInd w:w="0" w:type="dxa"/>
        <w:tblCellMar>
          <w:top w:w="0" w:type="dxa"/>
          <w:left w:w="0" w:type="dxa"/>
          <w:bottom w:w="0" w:type="dxa"/>
          <w:right w:w="0" w:type="dxa"/>
        </w:tblCellMar>
      </w:tblPr>
      <w:tr>
        <w:trPr>
          <w:trHeight w:val="183"/>
        </w:trPr>
        <w:tc>
          <w:tcPr>
            <w:tcW w:w="2400" w:type="dxa"/>
            <w:vAlign w:val="bottom"/>
          </w:tcPr>
          <w:p>
            <w:pPr>
              <w:spacing w:after="0"/>
              <w:rPr>
                <w:sz w:val="20"/>
                <w:szCs w:val="20"/>
                <w:color w:val="auto"/>
              </w:rPr>
            </w:pPr>
            <w:r>
              <w:rPr>
                <w:rFonts w:ascii="Courier New" w:cs="Courier New" w:eastAsia="Courier New" w:hAnsi="Courier New"/>
                <w:sz w:val="16"/>
                <w:szCs w:val="16"/>
                <w:color w:val="auto"/>
              </w:rPr>
              <w:t>(c) Powers</w:t>
            </w:r>
          </w:p>
        </w:tc>
        <w:tc>
          <w:tcPr>
            <w:tcW w:w="1980" w:type="dxa"/>
            <w:vAlign w:val="bottom"/>
          </w:tcPr>
          <w:p>
            <w:pPr>
              <w:ind w:left="140"/>
              <w:spacing w:after="0"/>
              <w:rPr>
                <w:sz w:val="20"/>
                <w:szCs w:val="20"/>
                <w:color w:val="auto"/>
              </w:rPr>
            </w:pPr>
            <w:r>
              <w:rPr>
                <w:rFonts w:ascii="Courier New" w:cs="Courier New" w:eastAsia="Courier New" w:hAnsi="Courier New"/>
                <w:sz w:val="16"/>
                <w:szCs w:val="16"/>
                <w:color w:val="auto"/>
              </w:rPr>
              <w:t>No. Of Shares</w:t>
            </w:r>
          </w:p>
        </w:tc>
      </w:tr>
      <w:tr>
        <w:trPr>
          <w:trHeight w:val="378"/>
        </w:trPr>
        <w:tc>
          <w:tcPr>
            <w:tcW w:w="2400" w:type="dxa"/>
            <w:vAlign w:val="bottom"/>
          </w:tcPr>
          <w:p>
            <w:pPr>
              <w:ind w:left="300"/>
              <w:spacing w:after="0"/>
              <w:rPr>
                <w:sz w:val="20"/>
                <w:szCs w:val="20"/>
                <w:color w:val="auto"/>
              </w:rPr>
            </w:pPr>
            <w:r>
              <w:rPr>
                <w:rFonts w:ascii="Courier New" w:cs="Courier New" w:eastAsia="Courier New" w:hAnsi="Courier New"/>
                <w:sz w:val="16"/>
                <w:szCs w:val="16"/>
                <w:color w:val="auto"/>
              </w:rPr>
              <w:t>-----------</w:t>
            </w:r>
          </w:p>
        </w:tc>
        <w:tc>
          <w:tcPr>
            <w:tcW w:w="1980" w:type="dxa"/>
            <w:vAlign w:val="bottom"/>
          </w:tcPr>
          <w:p>
            <w:pPr>
              <w:jc w:val="center"/>
              <w:spacing w:after="0"/>
              <w:rPr>
                <w:sz w:val="20"/>
                <w:szCs w:val="20"/>
                <w:color w:val="auto"/>
              </w:rPr>
            </w:pPr>
            <w:r>
              <w:rPr>
                <w:rFonts w:ascii="Courier New" w:cs="Courier New" w:eastAsia="Courier New" w:hAnsi="Courier New"/>
                <w:sz w:val="16"/>
                <w:szCs w:val="16"/>
                <w:color w:val="auto"/>
              </w:rPr>
              <w:t>--------------------</w:t>
            </w:r>
          </w:p>
        </w:tc>
      </w:tr>
      <w:tr>
        <w:trPr>
          <w:trHeight w:val="378"/>
        </w:trPr>
        <w:tc>
          <w:tcPr>
            <w:tcW w:w="2400" w:type="dxa"/>
            <w:vAlign w:val="bottom"/>
          </w:tcPr>
          <w:p>
            <w:pPr>
              <w:spacing w:after="0"/>
              <w:rPr>
                <w:sz w:val="20"/>
                <w:szCs w:val="20"/>
                <w:color w:val="auto"/>
              </w:rPr>
            </w:pPr>
            <w:r>
              <w:rPr>
                <w:rFonts w:ascii="Courier New" w:cs="Courier New" w:eastAsia="Courier New" w:hAnsi="Courier New"/>
                <w:sz w:val="16"/>
                <w:szCs w:val="16"/>
                <w:color w:val="auto"/>
              </w:rPr>
              <w:t>Sole power to vote or</w:t>
            </w:r>
          </w:p>
        </w:tc>
        <w:tc>
          <w:tcPr>
            <w:tcW w:w="1980" w:type="dxa"/>
            <w:vAlign w:val="bottom"/>
          </w:tcPr>
          <w:p>
            <w:pPr>
              <w:ind w:left="240"/>
              <w:spacing w:after="0"/>
              <w:rPr>
                <w:sz w:val="20"/>
                <w:szCs w:val="20"/>
                <w:color w:val="auto"/>
              </w:rPr>
            </w:pPr>
            <w:r>
              <w:rPr>
                <w:rFonts w:ascii="Courier New" w:cs="Courier New" w:eastAsia="Courier New" w:hAnsi="Courier New"/>
                <w:sz w:val="16"/>
                <w:szCs w:val="16"/>
                <w:color w:val="auto"/>
              </w:rPr>
              <w:t>Not Applicable</w:t>
            </w:r>
          </w:p>
        </w:tc>
      </w:tr>
      <w:tr>
        <w:trPr>
          <w:trHeight w:val="189"/>
        </w:trPr>
        <w:tc>
          <w:tcPr>
            <w:tcW w:w="2400" w:type="dxa"/>
            <w:vAlign w:val="bottom"/>
          </w:tcPr>
          <w:p>
            <w:pPr>
              <w:spacing w:after="0"/>
              <w:rPr>
                <w:sz w:val="20"/>
                <w:szCs w:val="20"/>
                <w:color w:val="auto"/>
              </w:rPr>
            </w:pPr>
            <w:r>
              <w:rPr>
                <w:rFonts w:ascii="Courier New" w:cs="Courier New" w:eastAsia="Courier New" w:hAnsi="Courier New"/>
                <w:sz w:val="16"/>
                <w:szCs w:val="16"/>
                <w:color w:val="auto"/>
              </w:rPr>
              <w:t>to direct the vote</w:t>
            </w:r>
          </w:p>
        </w:tc>
        <w:tc>
          <w:tcPr>
            <w:tcW w:w="1980" w:type="dxa"/>
            <w:vAlign w:val="bottom"/>
          </w:tcPr>
          <w:p>
            <w:pPr>
              <w:spacing w:after="0"/>
              <w:rPr>
                <w:sz w:val="16"/>
                <w:szCs w:val="16"/>
                <w:color w:val="auto"/>
              </w:rPr>
            </w:pPr>
          </w:p>
        </w:tc>
      </w:tr>
      <w:tr>
        <w:trPr>
          <w:trHeight w:val="378"/>
        </w:trPr>
        <w:tc>
          <w:tcPr>
            <w:tcW w:w="2400" w:type="dxa"/>
            <w:vAlign w:val="bottom"/>
          </w:tcPr>
          <w:p>
            <w:pPr>
              <w:spacing w:after="0"/>
              <w:rPr>
                <w:sz w:val="20"/>
                <w:szCs w:val="20"/>
                <w:color w:val="auto"/>
              </w:rPr>
            </w:pPr>
            <w:r>
              <w:rPr>
                <w:rFonts w:ascii="Courier New" w:cs="Courier New" w:eastAsia="Courier New" w:hAnsi="Courier New"/>
                <w:sz w:val="16"/>
                <w:szCs w:val="16"/>
                <w:color w:val="auto"/>
              </w:rPr>
              <w:t>Shared power to vote or</w:t>
            </w:r>
          </w:p>
        </w:tc>
        <w:tc>
          <w:tcPr>
            <w:tcW w:w="1980" w:type="dxa"/>
            <w:vAlign w:val="bottom"/>
          </w:tcPr>
          <w:p>
            <w:pPr>
              <w:jc w:val="center"/>
              <w:spacing w:after="0"/>
              <w:rPr>
                <w:sz w:val="20"/>
                <w:szCs w:val="20"/>
                <w:color w:val="auto"/>
              </w:rPr>
            </w:pPr>
            <w:r>
              <w:rPr>
                <w:rFonts w:ascii="Courier New" w:cs="Courier New" w:eastAsia="Courier New" w:hAnsi="Courier New"/>
                <w:sz w:val="16"/>
                <w:szCs w:val="16"/>
                <w:color w:val="auto"/>
              </w:rPr>
              <w:t>Not Applicable</w:t>
            </w:r>
          </w:p>
        </w:tc>
      </w:tr>
      <w:tr>
        <w:trPr>
          <w:trHeight w:val="189"/>
        </w:trPr>
        <w:tc>
          <w:tcPr>
            <w:tcW w:w="2400" w:type="dxa"/>
            <w:vAlign w:val="bottom"/>
          </w:tcPr>
          <w:p>
            <w:pPr>
              <w:spacing w:after="0"/>
              <w:rPr>
                <w:sz w:val="20"/>
                <w:szCs w:val="20"/>
                <w:color w:val="auto"/>
              </w:rPr>
            </w:pPr>
            <w:r>
              <w:rPr>
                <w:rFonts w:ascii="Courier New" w:cs="Courier New" w:eastAsia="Courier New" w:hAnsi="Courier New"/>
                <w:sz w:val="16"/>
                <w:szCs w:val="16"/>
                <w:color w:val="auto"/>
              </w:rPr>
              <w:t>to direct the vote</w:t>
            </w:r>
          </w:p>
        </w:tc>
        <w:tc>
          <w:tcPr>
            <w:tcW w:w="1980" w:type="dxa"/>
            <w:vAlign w:val="bottom"/>
          </w:tcPr>
          <w:p>
            <w:pPr>
              <w:spacing w:after="0"/>
              <w:rPr>
                <w:sz w:val="16"/>
                <w:szCs w:val="16"/>
                <w:color w:val="auto"/>
              </w:rPr>
            </w:pPr>
          </w:p>
        </w:tc>
      </w:tr>
      <w:tr>
        <w:trPr>
          <w:trHeight w:val="378"/>
        </w:trPr>
        <w:tc>
          <w:tcPr>
            <w:tcW w:w="2400" w:type="dxa"/>
            <w:vAlign w:val="bottom"/>
          </w:tcPr>
          <w:p>
            <w:pPr>
              <w:spacing w:after="0"/>
              <w:rPr>
                <w:sz w:val="20"/>
                <w:szCs w:val="20"/>
                <w:color w:val="auto"/>
              </w:rPr>
            </w:pPr>
            <w:r>
              <w:rPr>
                <w:rFonts w:ascii="Courier New" w:cs="Courier New" w:eastAsia="Courier New" w:hAnsi="Courier New"/>
                <w:sz w:val="16"/>
                <w:szCs w:val="16"/>
                <w:color w:val="auto"/>
              </w:rPr>
              <w:t>Sole power to dispose or</w:t>
            </w:r>
          </w:p>
        </w:tc>
        <w:tc>
          <w:tcPr>
            <w:tcW w:w="1980" w:type="dxa"/>
            <w:vAlign w:val="bottom"/>
          </w:tcPr>
          <w:p>
            <w:pPr>
              <w:ind w:left="240"/>
              <w:spacing w:after="0"/>
              <w:rPr>
                <w:sz w:val="20"/>
                <w:szCs w:val="20"/>
                <w:color w:val="auto"/>
              </w:rPr>
            </w:pPr>
            <w:r>
              <w:rPr>
                <w:rFonts w:ascii="Courier New" w:cs="Courier New" w:eastAsia="Courier New" w:hAnsi="Courier New"/>
                <w:sz w:val="16"/>
                <w:szCs w:val="16"/>
                <w:color w:val="auto"/>
              </w:rPr>
              <w:t>Not Applicable</w:t>
            </w:r>
          </w:p>
        </w:tc>
      </w:tr>
      <w:tr>
        <w:trPr>
          <w:trHeight w:val="189"/>
        </w:trPr>
        <w:tc>
          <w:tcPr>
            <w:tcW w:w="2400" w:type="dxa"/>
            <w:vAlign w:val="bottom"/>
          </w:tcPr>
          <w:p>
            <w:pPr>
              <w:spacing w:after="0"/>
              <w:rPr>
                <w:sz w:val="20"/>
                <w:szCs w:val="20"/>
                <w:color w:val="auto"/>
              </w:rPr>
            </w:pPr>
            <w:r>
              <w:rPr>
                <w:rFonts w:ascii="Courier New" w:cs="Courier New" w:eastAsia="Courier New" w:hAnsi="Courier New"/>
                <w:sz w:val="16"/>
                <w:szCs w:val="16"/>
                <w:color w:val="auto"/>
              </w:rPr>
              <w:t>to direct disposition</w:t>
            </w:r>
          </w:p>
        </w:tc>
        <w:tc>
          <w:tcPr>
            <w:tcW w:w="1980" w:type="dxa"/>
            <w:vAlign w:val="bottom"/>
          </w:tcPr>
          <w:p>
            <w:pPr>
              <w:spacing w:after="0"/>
              <w:rPr>
                <w:sz w:val="16"/>
                <w:szCs w:val="16"/>
                <w:color w:val="auto"/>
              </w:rPr>
            </w:pPr>
          </w:p>
        </w:tc>
      </w:tr>
      <w:tr>
        <w:trPr>
          <w:trHeight w:val="378"/>
        </w:trPr>
        <w:tc>
          <w:tcPr>
            <w:tcW w:w="2400" w:type="dxa"/>
            <w:vAlign w:val="bottom"/>
          </w:tcPr>
          <w:p>
            <w:pPr>
              <w:spacing w:after="0"/>
              <w:rPr>
                <w:sz w:val="20"/>
                <w:szCs w:val="20"/>
                <w:color w:val="auto"/>
              </w:rPr>
            </w:pPr>
            <w:r>
              <w:rPr>
                <w:rFonts w:ascii="Courier New" w:cs="Courier New" w:eastAsia="Courier New" w:hAnsi="Courier New"/>
                <w:sz w:val="16"/>
                <w:szCs w:val="16"/>
                <w:color w:val="auto"/>
              </w:rPr>
              <w:t>Shared power to dispose</w:t>
            </w:r>
          </w:p>
        </w:tc>
        <w:tc>
          <w:tcPr>
            <w:tcW w:w="1980" w:type="dxa"/>
            <w:vAlign w:val="bottom"/>
          </w:tcPr>
          <w:p>
            <w:pPr>
              <w:jc w:val="center"/>
              <w:spacing w:after="0"/>
              <w:rPr>
                <w:sz w:val="20"/>
                <w:szCs w:val="20"/>
                <w:color w:val="auto"/>
              </w:rPr>
            </w:pPr>
            <w:r>
              <w:rPr>
                <w:rFonts w:ascii="Courier New" w:cs="Courier New" w:eastAsia="Courier New" w:hAnsi="Courier New"/>
                <w:sz w:val="16"/>
                <w:szCs w:val="16"/>
                <w:color w:val="auto"/>
              </w:rPr>
              <w:t>Not Applicable</w:t>
            </w:r>
          </w:p>
        </w:tc>
      </w:tr>
      <w:tr>
        <w:trPr>
          <w:trHeight w:val="189"/>
        </w:trPr>
        <w:tc>
          <w:tcPr>
            <w:tcW w:w="2400" w:type="dxa"/>
            <w:vAlign w:val="bottom"/>
          </w:tcPr>
          <w:p>
            <w:pPr>
              <w:spacing w:after="0"/>
              <w:rPr>
                <w:sz w:val="20"/>
                <w:szCs w:val="20"/>
                <w:color w:val="auto"/>
              </w:rPr>
            </w:pPr>
            <w:r>
              <w:rPr>
                <w:rFonts w:ascii="Courier New" w:cs="Courier New" w:eastAsia="Courier New" w:hAnsi="Courier New"/>
                <w:sz w:val="16"/>
                <w:szCs w:val="16"/>
                <w:color w:val="auto"/>
              </w:rPr>
              <w:t>or to direct disposition</w:t>
            </w:r>
          </w:p>
        </w:tc>
        <w:tc>
          <w:tcPr>
            <w:tcW w:w="1980" w:type="dxa"/>
            <w:vAlign w:val="bottom"/>
          </w:tcPr>
          <w:p>
            <w:pPr>
              <w:spacing w:after="0"/>
              <w:rPr>
                <w:sz w:val="16"/>
                <w:szCs w:val="16"/>
                <w:color w:val="auto"/>
              </w:rPr>
            </w:pPr>
          </w:p>
        </w:tc>
      </w:tr>
    </w:tbl>
    <w:p>
      <w:pPr>
        <w:spacing w:after="0" w:line="35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5. OWNERSHIP OF 5% OR LESS OF A CLASS:</w:t>
      </w:r>
    </w:p>
    <w:p>
      <w:pPr>
        <w:spacing w:after="0" w:line="197" w:lineRule="exact"/>
        <w:rPr>
          <w:sz w:val="20"/>
          <w:szCs w:val="20"/>
          <w:color w:val="auto"/>
        </w:rPr>
      </w:pPr>
    </w:p>
    <w:p>
      <w:pPr>
        <w:spacing w:after="0" w:line="252" w:lineRule="auto"/>
        <w:rPr>
          <w:sz w:val="20"/>
          <w:szCs w:val="20"/>
          <w:color w:val="auto"/>
        </w:rPr>
      </w:pPr>
      <w:r>
        <w:rPr>
          <w:rFonts w:ascii="Courier New" w:cs="Courier New" w:eastAsia="Courier New" w:hAnsi="Courier New"/>
          <w:sz w:val="16"/>
          <w:szCs w:val="16"/>
          <w:color w:val="auto"/>
        </w:rPr>
        <w:t>Prudential Financial, Inc. through its beneficial ownership of the Item 7 listed entities has ceased to be deemed the beneficial owner of more than 5% of the outstanding Common Stock of this issuer.</w:t>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6. OWNERSHIP OF MORE THAN 5% ON BEHALF OF</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ANOTHER PERSON:</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 Applicable</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7. IDENTIFICATION AND CLASSIFICATION OF THE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SUBSIDIARY WHICH ACQUIRED THE SECURITY BEING</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REPORTED ON BY THE ULTIMATE PARENT COMPANY:</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See Exhibit A</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 IDENTIFICATION AND CLASSIFICATION OF</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MEMBERS OF THE GROUP:</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 Applicable</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9. NOTICE OF DISSOLUTION OF GROUP:</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 Applicable</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10. CERTIFICATION:</w:t>
      </w:r>
    </w:p>
    <w:p>
      <w:pPr>
        <w:spacing w:after="0" w:line="359" w:lineRule="exact"/>
        <w:rPr>
          <w:sz w:val="20"/>
          <w:szCs w:val="20"/>
          <w:color w:val="auto"/>
        </w:rPr>
      </w:pPr>
    </w:p>
    <w:p>
      <w:pPr>
        <w:ind w:right="3700"/>
        <w:spacing w:after="0" w:line="250" w:lineRule="auto"/>
        <w:rPr>
          <w:sz w:val="20"/>
          <w:szCs w:val="20"/>
          <w:color w:val="auto"/>
        </w:rPr>
      </w:pPr>
      <w:r>
        <w:rPr>
          <w:rFonts w:ascii="Courier New" w:cs="Courier New" w:eastAsia="Courier New" w:hAnsi="Courier New"/>
          <w:sz w:val="16"/>
          <w:szCs w:val="16"/>
          <w:color w:val="auto"/>
        </w:rPr>
        <w:t>By signing below, Prudential Financial, Inc. certifies that, to the best of its knowledge and belief, the securities referred to above were acquired</w:t>
      </w:r>
    </w:p>
    <w:p>
      <w:pPr>
        <w:spacing w:after="0" w:line="1" w:lineRule="exact"/>
        <w:rPr>
          <w:sz w:val="20"/>
          <w:szCs w:val="20"/>
          <w:color w:val="auto"/>
        </w:rPr>
      </w:pPr>
    </w:p>
    <w:p>
      <w:pPr>
        <w:ind w:right="3880"/>
        <w:spacing w:after="0" w:line="250" w:lineRule="auto"/>
        <w:rPr>
          <w:sz w:val="20"/>
          <w:szCs w:val="20"/>
          <w:color w:val="auto"/>
        </w:rPr>
      </w:pPr>
      <w:r>
        <w:rPr>
          <w:rFonts w:ascii="Courier New" w:cs="Courier New" w:eastAsia="Courier New" w:hAnsi="Courier New"/>
          <w:sz w:val="16"/>
          <w:szCs w:val="16"/>
          <w:color w:val="auto"/>
        </w:rPr>
        <w:t>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0" w:lineRule="exact"/>
        <w:rPr>
          <w:sz w:val="20"/>
          <w:szCs w:val="20"/>
          <w:color w:val="auto"/>
        </w:rPr>
      </w:pPr>
    </w:p>
    <w:p>
      <w:pPr>
        <w:spacing w:after="0" w:line="315" w:lineRule="exact"/>
        <w:rPr>
          <w:sz w:val="20"/>
          <w:szCs w:val="20"/>
          <w:color w:val="auto"/>
        </w:rPr>
      </w:pPr>
    </w:p>
    <w:p>
      <w:pPr>
        <w:ind w:right="3400"/>
        <w:spacing w:after="0" w:line="251" w:lineRule="auto"/>
        <w:rPr>
          <w:sz w:val="20"/>
          <w:szCs w:val="20"/>
          <w:color w:val="auto"/>
        </w:rPr>
      </w:pPr>
      <w:r>
        <w:rPr>
          <w:rFonts w:ascii="Courier New" w:cs="Courier New" w:eastAsia="Courier New" w:hAnsi="Courier New"/>
          <w:sz w:val="16"/>
          <w:szCs w:val="16"/>
          <w:color w:val="auto"/>
        </w:rPr>
        <w:t>The filing of this statement should not be construed as an admission that Prudential Financial, Inc. is, for purposes of Sections 13 or 16 of the Securities Exchange Act of 1934, the beneficial owner of such shares.</w:t>
      </w:r>
    </w:p>
    <w:p>
      <w:pPr>
        <w:spacing w:after="0" w:line="35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SIGNATURE</w:t>
      </w:r>
    </w:p>
    <w:p>
      <w:pPr>
        <w:spacing w:after="0" w:line="197" w:lineRule="exact"/>
        <w:rPr>
          <w:sz w:val="20"/>
          <w:szCs w:val="20"/>
          <w:color w:val="auto"/>
        </w:rPr>
      </w:pPr>
    </w:p>
    <w:p>
      <w:pPr>
        <w:ind w:right="4080"/>
        <w:spacing w:after="0" w:line="251" w:lineRule="auto"/>
        <w:rPr>
          <w:sz w:val="20"/>
          <w:szCs w:val="20"/>
          <w:color w:val="auto"/>
        </w:rPr>
      </w:pPr>
      <w:r>
        <w:rPr>
          <w:rFonts w:ascii="Courier New" w:cs="Courier New" w:eastAsia="Courier New" w:hAnsi="Courier New"/>
          <w:sz w:val="16"/>
          <w:szCs w:val="16"/>
          <w:color w:val="auto"/>
        </w:rPr>
        <w:t>After reasonable inquiry and to the best of its knowledge and belief, Prudential Financial, Inc. certifies that the information set forth in this statement is true, complete and correct.</w:t>
      </w:r>
    </w:p>
    <w:p>
      <w:pPr>
        <w:spacing w:after="0" w:line="18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PRUDENTIAL FINANCIAL, INC.</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By: Frank Adamo</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Second Vice President</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Date: 11/09/2007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 of: 10/31/2007</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Exhibit 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6. OWNERSHIP:</w:t>
      </w:r>
    </w:p>
    <w:p>
      <w:pPr>
        <w:sectPr>
          <w:pgSz w:w="11900" w:h="16838" w:orient="portrait"/>
          <w:cols w:equalWidth="0" w:num="1">
            <w:col w:w="11380"/>
          </w:cols>
          <w:pgMar w:left="240" w:top="680" w:right="27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7. IDENTIFICATION/CLASSIFICATION:</w:t>
      </w:r>
    </w:p>
    <w:p>
      <w:pPr>
        <w:sectPr>
          <w:pgSz w:w="11900" w:h="16838" w:orient="portrait"/>
          <w:cols w:equalWidth="0" w:num="1">
            <w:col w:w="11380"/>
          </w:cols>
          <w:pgMar w:left="240" w:top="680" w:right="279" w:bottom="0" w:gutter="0" w:footer="0" w:header="0"/>
          <w:type w:val="continuous"/>
        </w:sectPr>
      </w:pPr>
    </w:p>
    <w:bookmarkStart w:id="2" w:name="page3"/>
    <w:bookmarkEnd w:id="2"/>
    <w:p>
      <w:pPr>
        <w:spacing w:after="0" w:line="252" w:lineRule="auto"/>
        <w:rPr>
          <w:sz w:val="20"/>
          <w:szCs w:val="20"/>
          <w:color w:val="auto"/>
        </w:rPr>
      </w:pPr>
      <w:r>
        <w:rPr>
          <w:rFonts w:ascii="Courier New" w:cs="Courier New" w:eastAsia="Courier New" w:hAnsi="Courier New"/>
          <w:sz w:val="16"/>
          <w:szCs w:val="16"/>
          <w:color w:val="auto"/>
        </w:rPr>
        <w:t>Prudential Financial, Inc. is a Parent Holding Company and the direct or indirect parent of the following Registered Investment Advisers and Broker Dealers:</w:t>
      </w:r>
    </w:p>
    <w:p>
      <w:pPr>
        <w:sectPr>
          <w:pgSz w:w="11900" w:h="16838" w:orient="portrait"/>
          <w:cols w:equalWidth="0" w:num="1">
            <w:col w:w="11280"/>
          </w:cols>
          <w:pgMar w:left="240" w:top="329" w:right="37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The Prudential Insurance Company of America</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Investment Management, Inc.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Jennison Associates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Pramerica Asset Management, Inc.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Investments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Private Placement Investors, L.P.</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PRUCO Securities,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Investment Management Services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Equity Group,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American Skandia Investment Services, Inc.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American Skandia Marketing, Inc.</w:t>
      </w:r>
    </w:p>
    <w:p>
      <w:pPr>
        <w:spacing w:after="0" w:line="8" w:lineRule="exact"/>
        <w:rPr>
          <w:sz w:val="20"/>
          <w:szCs w:val="20"/>
          <w:color w:val="auto"/>
        </w:rPr>
      </w:pPr>
    </w:p>
    <w:p>
      <w:pPr>
        <w:ind w:left="980"/>
        <w:spacing w:after="0"/>
        <w:rPr>
          <w:sz w:val="20"/>
          <w:szCs w:val="20"/>
          <w:color w:val="auto"/>
        </w:rPr>
      </w:pPr>
      <w:r>
        <w:rPr>
          <w:rFonts w:ascii="Courier New" w:cs="Courier New" w:eastAsia="Courier New" w:hAnsi="Courier New"/>
          <w:sz w:val="16"/>
          <w:szCs w:val="16"/>
          <w:b w:val="1"/>
          <w:bCs w:val="1"/>
          <w:color w:val="auto"/>
        </w:rPr>
        <w:t>Quantitative Management Associates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International Investments Advisers, LLC</w:t>
      </w:r>
    </w:p>
    <w:p>
      <w:pPr>
        <w:spacing w:after="0" w:line="8" w:lineRule="exact"/>
        <w:rPr>
          <w:sz w:val="20"/>
          <w:szCs w:val="20"/>
          <w:color w:val="auto"/>
        </w:rPr>
      </w:pPr>
    </w:p>
    <w:p>
      <w:pPr>
        <w:ind w:left="980"/>
        <w:spacing w:after="0"/>
        <w:rPr>
          <w:sz w:val="20"/>
          <w:szCs w:val="20"/>
          <w:color w:val="auto"/>
        </w:rPr>
      </w:pPr>
      <w:r>
        <w:rPr>
          <w:rFonts w:ascii="Courier New" w:cs="Courier New" w:eastAsia="Courier New" w:hAnsi="Courier New"/>
          <w:sz w:val="16"/>
          <w:szCs w:val="16"/>
          <w:b w:val="1"/>
          <w:bCs w:val="1"/>
          <w:color w:val="auto"/>
        </w:rPr>
        <w:t>Global Portfolio Strategies, Inc.</w:t>
      </w:r>
    </w:p>
    <w:p>
      <w:pPr>
        <w:spacing w:after="0" w:line="8" w:lineRule="exact"/>
        <w:rPr>
          <w:sz w:val="20"/>
          <w:szCs w:val="20"/>
          <w:color w:val="auto"/>
        </w:rPr>
      </w:pPr>
    </w:p>
    <w:p>
      <w:pPr>
        <w:ind w:left="980"/>
        <w:spacing w:after="0"/>
        <w:tabs>
          <w:tab w:leader="none" w:pos="5440" w:val="left"/>
        </w:tabs>
        <w:rPr>
          <w:sz w:val="20"/>
          <w:szCs w:val="20"/>
          <w:color w:val="auto"/>
        </w:rPr>
      </w:pPr>
      <w:r>
        <w:rPr>
          <w:rFonts w:ascii="Courier New" w:cs="Courier New" w:eastAsia="Courier New" w:hAnsi="Courier New"/>
          <w:sz w:val="16"/>
          <w:szCs w:val="16"/>
          <w:b w:val="1"/>
          <w:bCs w:val="1"/>
          <w:color w:val="auto"/>
        </w:rPr>
        <w:t>Pru Global Securities, LLC</w:t>
      </w:r>
      <w:r>
        <w:rPr>
          <w:sz w:val="20"/>
          <w:szCs w:val="20"/>
          <w:color w:val="auto"/>
        </w:rPr>
        <w:tab/>
      </w:r>
      <w:r>
        <w:rPr>
          <w:rFonts w:ascii="Courier New" w:cs="Courier New" w:eastAsia="Courier New" w:hAnsi="Courier New"/>
          <w:sz w:val="15"/>
          <w:szCs w:val="15"/>
          <w:b w:val="1"/>
          <w:bCs w:val="1"/>
          <w:color w:val="auto"/>
        </w:rPr>
        <w:t>BD</w:t>
      </w:r>
    </w:p>
    <w:p>
      <w:pPr>
        <w:spacing w:after="0" w:line="8" w:lineRule="exact"/>
        <w:rPr>
          <w:sz w:val="20"/>
          <w:szCs w:val="20"/>
          <w:color w:val="auto"/>
        </w:rPr>
      </w:pPr>
    </w:p>
    <w:p>
      <w:pPr>
        <w:ind w:left="980"/>
        <w:spacing w:after="0"/>
        <w:tabs>
          <w:tab w:leader="none" w:pos="5440" w:val="left"/>
        </w:tabs>
        <w:rPr>
          <w:sz w:val="20"/>
          <w:szCs w:val="20"/>
          <w:color w:val="auto"/>
        </w:rPr>
      </w:pPr>
      <w:r>
        <w:rPr>
          <w:rFonts w:ascii="Courier New" w:cs="Courier New" w:eastAsia="Courier New" w:hAnsi="Courier New"/>
          <w:sz w:val="16"/>
          <w:szCs w:val="16"/>
          <w:b w:val="1"/>
          <w:bCs w:val="1"/>
          <w:color w:val="auto"/>
        </w:rPr>
        <w:t>Prudential Financial Derivatives, LLC</w:t>
      </w:r>
      <w:r>
        <w:rPr>
          <w:sz w:val="20"/>
          <w:szCs w:val="20"/>
          <w:color w:val="auto"/>
        </w:rPr>
        <w:tab/>
      </w:r>
      <w:r>
        <w:rPr>
          <w:rFonts w:ascii="Courier New" w:cs="Courier New" w:eastAsia="Courier New" w:hAnsi="Courier New"/>
          <w:sz w:val="15"/>
          <w:szCs w:val="15"/>
          <w:b w:val="1"/>
          <w:bCs w:val="1"/>
          <w:color w:val="auto"/>
        </w:rPr>
        <w:t>BD</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IC,IA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IA,PN</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IA,BD</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BD</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BD</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BD</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IA</w:t>
      </w:r>
    </w:p>
    <w:sectPr>
      <w:pgSz w:w="11900" w:h="16838" w:orient="portrait"/>
      <w:cols w:equalWidth="0" w:num="2">
        <w:col w:w="5940" w:space="200"/>
        <w:col w:w="5140"/>
      </w:cols>
      <w:pgMar w:left="240" w:top="329" w:right="37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decimal"/>
      <w:start w:val="1"/>
    </w:lvl>
  </w:abstractNum>
  <w:abstractNum w:abstractNumId="1">
    <w:nsid w:val="2AE8944A"/>
    <w:multiLevelType w:val="hybridMultilevel"/>
    <w:lvl w:ilvl="0">
      <w:lvlJc w:val="left"/>
      <w:lvlText w:val="%1)"/>
      <w:numFmt w:val="decimal"/>
      <w:start w:val="3"/>
    </w:lvl>
  </w:abstractNum>
  <w:abstractNum w:abstractNumId="2">
    <w:nsid w:val="625558EC"/>
    <w:multiLevelType w:val="hybridMultilevel"/>
    <w:lvl w:ilvl="0">
      <w:lvlJc w:val="left"/>
      <w:lvlText w:val="%1)"/>
      <w:numFmt w:val="decimal"/>
      <w:start w:val="5"/>
    </w:lvl>
  </w:abstractNum>
  <w:abstractNum w:abstractNumId="3">
    <w:nsid w:val="238E1F29"/>
    <w:multiLevelType w:val="hybridMultilevel"/>
    <w:lvl w:ilvl="0">
      <w:lvlJc w:val="left"/>
      <w:lvlText w:val="%1)"/>
      <w:numFmt w:val="decimal"/>
      <w:start w:val="10"/>
    </w:lvl>
  </w:abstractNum>
  <w:abstractNum w:abstractNumId="4">
    <w:nsid w:val="46E87CCD"/>
    <w:multiLevelType w:val="hybridMultilevel"/>
    <w:lvl w:ilvl="0">
      <w:lvlJc w:val="left"/>
      <w:lvlText w:val="%1)"/>
      <w:numFmt w:val="decimal"/>
      <w:start w:val="12"/>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2019-12-14T19:00:22Z</dcterms:created>
  <dcterms:modified xsi:type="dcterms:W3CDTF">2019-12-14T19:00:22Z</dcterms:modified>
</cp:coreProperties>
</file>