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October 12, 2007</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530" w:right="279" w:bottom="0" w:gutter="0" w:footer="0" w:header="0"/>
        </w:sectPr>
      </w:pPr>
    </w:p>
    <w:p>
      <w:pPr>
        <w:spacing w:after="0" w:line="205" w:lineRule="exact"/>
        <w:rPr>
          <w:sz w:val="24"/>
          <w:szCs w:val="24"/>
          <w:color w:val="auto"/>
        </w:rPr>
      </w:pPr>
    </w:p>
    <w:p>
      <w:pPr>
        <w:jc w:val="center"/>
        <w:ind w:right="34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jc w:val="center"/>
        <w:ind w:right="340"/>
        <w:spacing w:after="0"/>
        <w:rPr>
          <w:sz w:val="20"/>
          <w:szCs w:val="20"/>
          <w:color w:val="auto"/>
        </w:rPr>
      </w:pPr>
      <w:r>
        <w:rPr>
          <w:rFonts w:ascii="Arial" w:cs="Arial" w:eastAsia="Arial" w:hAnsi="Arial"/>
          <w:sz w:val="16"/>
          <w:szCs w:val="16"/>
          <w:color w:val="auto"/>
        </w:rPr>
        <w:t>(State or Other Jurisdiction of 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ind w:left="24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ind w:left="40"/>
        <w:spacing w:after="0"/>
        <w:rPr>
          <w:sz w:val="20"/>
          <w:szCs w:val="20"/>
          <w:color w:val="auto"/>
        </w:rPr>
      </w:pPr>
      <w:r>
        <w:rPr>
          <w:rFonts w:ascii="Arial" w:cs="Arial" w:eastAsia="Arial" w:hAnsi="Arial"/>
          <w:sz w:val="17"/>
          <w:szCs w:val="17"/>
          <w:color w:val="auto"/>
        </w:rPr>
        <w:t>(I.R.S. Employer</w:t>
      </w:r>
    </w:p>
    <w:p>
      <w:pPr>
        <w:spacing w:after="0" w:line="21" w:lineRule="exact"/>
        <w:rPr>
          <w:sz w:val="24"/>
          <w:szCs w:val="24"/>
          <w:color w:val="auto"/>
        </w:rPr>
      </w:pPr>
    </w:p>
    <w:p>
      <w:pPr>
        <w:spacing w:after="0"/>
        <w:rPr>
          <w:sz w:val="20"/>
          <w:szCs w:val="20"/>
          <w:color w:val="auto"/>
        </w:rPr>
      </w:pPr>
      <w:r>
        <w:rPr>
          <w:rFonts w:ascii="Arial" w:cs="Arial" w:eastAsia="Arial" w:hAnsi="Arial"/>
          <w:sz w:val="17"/>
          <w:szCs w:val="17"/>
          <w:color w:val="auto"/>
        </w:rPr>
        <w:t>Identification No.)</w:t>
      </w:r>
    </w:p>
    <w:p>
      <w:pPr>
        <w:spacing w:after="0" w:line="200" w:lineRule="exact"/>
        <w:rPr>
          <w:sz w:val="24"/>
          <w:szCs w:val="24"/>
          <w:color w:val="auto"/>
        </w:rPr>
      </w:pPr>
    </w:p>
    <w:p>
      <w:pPr>
        <w:sectPr>
          <w:pgSz w:w="11900" w:h="16838" w:orient="portrait"/>
          <w:cols w:equalWidth="0" w:num="3">
            <w:col w:w="4020" w:space="720"/>
            <w:col w:w="3460" w:space="720"/>
            <w:col w:w="2460"/>
          </w:cols>
          <w:pgMar w:left="240" w:top="530" w:right="279" w:bottom="0" w:gutter="0" w:footer="0" w:header="0"/>
          <w:type w:val="continuous"/>
        </w:sectPr>
      </w:pPr>
    </w:p>
    <w:p>
      <w:pPr>
        <w:spacing w:after="0" w:line="18"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6"/>
          <w:szCs w:val="16"/>
          <w:color w:val="auto"/>
        </w:rPr>
        <w:t>(Address of principal executive offices)</w:t>
      </w:r>
    </w:p>
    <w:p>
      <w:pPr>
        <w:spacing w:after="0" w:line="23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including area code)</w:t>
      </w:r>
    </w:p>
    <w:p>
      <w:pPr>
        <w:sectPr>
          <w:pgSz w:w="11900" w:h="16838" w:orient="portrait"/>
          <w:cols w:equalWidth="0" w:num="1">
            <w:col w:w="11380"/>
          </w:cols>
          <w:pgMar w:left="240" w:top="530" w:right="279" w:bottom="0" w:gutter="0" w:footer="0" w:header="0"/>
          <w:type w:val="continuous"/>
        </w:sectPr>
      </w:pPr>
    </w:p>
    <w:p>
      <w:pPr>
        <w:spacing w:after="0" w:line="20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11"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424180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Item 8.01 Other Events.</w:t>
      </w:r>
    </w:p>
    <w:p>
      <w:pPr>
        <w:spacing w:after="0" w:line="229" w:lineRule="exact"/>
        <w:rPr>
          <w:sz w:val="24"/>
          <w:szCs w:val="24"/>
          <w:color w:val="auto"/>
        </w:rPr>
      </w:pPr>
    </w:p>
    <w:p>
      <w:pPr>
        <w:ind w:right="40"/>
        <w:spacing w:after="0" w:line="308" w:lineRule="auto"/>
        <w:rPr>
          <w:sz w:val="20"/>
          <w:szCs w:val="20"/>
          <w:color w:val="auto"/>
        </w:rPr>
      </w:pPr>
      <w:r>
        <w:rPr>
          <w:rFonts w:ascii="Arial" w:cs="Arial" w:eastAsia="Arial" w:hAnsi="Arial"/>
          <w:sz w:val="17"/>
          <w:szCs w:val="17"/>
          <w:color w:val="auto"/>
        </w:rPr>
        <w:t>On October 12, 2007, the Company issued a press release entitled “Marvell Technology Group, Ltd. Receives Wells Notice Concerning Previously Disclosed Investigation.” The press release is attached to this Form 8-K as Exhibit 99.1 and is incorporated by reference into this current report.</w:t>
      </w:r>
    </w:p>
    <w:p>
      <w:pPr>
        <w:spacing w:after="0" w:line="143" w:lineRule="exact"/>
        <w:rPr>
          <w:sz w:val="24"/>
          <w:szCs w:val="24"/>
          <w:color w:val="auto"/>
        </w:rPr>
      </w:pPr>
    </w:p>
    <w:p>
      <w:pPr>
        <w:spacing w:after="0"/>
        <w:tabs>
          <w:tab w:leader="none" w:pos="14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4"/>
          <w:szCs w:val="24"/>
          <w:color w:val="auto"/>
        </w:rPr>
      </w:pPr>
    </w:p>
    <w:p>
      <w:pPr>
        <w:ind w:left="1500" w:hanging="844"/>
        <w:spacing w:after="0"/>
        <w:tabs>
          <w:tab w:leader="none" w:pos="1500" w:val="left"/>
        </w:tabs>
        <w:numPr>
          <w:ilvl w:val="0"/>
          <w:numId w:val="1"/>
        </w:numPr>
        <w:rPr>
          <w:rFonts w:ascii="Arial" w:cs="Arial" w:eastAsia="Arial" w:hAnsi="Arial"/>
          <w:sz w:val="18"/>
          <w:szCs w:val="18"/>
          <w:color w:val="auto"/>
        </w:rPr>
      </w:pPr>
      <w:r>
        <w:rPr>
          <w:rFonts w:ascii="Arial" w:cs="Arial" w:eastAsia="Arial" w:hAnsi="Arial"/>
          <w:sz w:val="18"/>
          <w:szCs w:val="18"/>
          <w:color w:val="auto"/>
        </w:rPr>
        <w:t>Exhibits.</w:t>
      </w:r>
    </w:p>
    <w:p>
      <w:pPr>
        <w:spacing w:after="0" w:line="225" w:lineRule="exact"/>
        <w:rPr>
          <w:rFonts w:ascii="Arial" w:cs="Arial" w:eastAsia="Arial" w:hAnsi="Arial"/>
          <w:sz w:val="18"/>
          <w:szCs w:val="18"/>
          <w:color w:val="auto"/>
        </w:rPr>
      </w:pPr>
    </w:p>
    <w:p>
      <w:pPr>
        <w:ind w:left="1500"/>
        <w:spacing w:after="0"/>
        <w:rPr>
          <w:rFonts w:ascii="Arial" w:cs="Arial" w:eastAsia="Arial" w:hAnsi="Arial"/>
          <w:sz w:val="18"/>
          <w:szCs w:val="18"/>
          <w:color w:val="auto"/>
        </w:rPr>
      </w:pPr>
      <w:r>
        <w:rPr>
          <w:rFonts w:ascii="Arial" w:cs="Arial" w:eastAsia="Arial" w:hAnsi="Arial"/>
          <w:sz w:val="18"/>
          <w:szCs w:val="18"/>
          <w:color w:val="auto"/>
        </w:rPr>
        <w:t>99.1</w:t>
      </w:r>
      <w:r>
        <w:rPr>
          <w:rFonts w:ascii="Arial" w:cs="Arial" w:eastAsia="Arial" w:hAnsi="Arial"/>
          <w:sz w:val="15"/>
          <w:szCs w:val="15"/>
          <w:color w:val="auto"/>
        </w:rPr>
        <w:t>Press Release dated October 12, 2007.</w:t>
      </w:r>
    </w:p>
    <w:p>
      <w:pPr>
        <w:spacing w:after="0" w:line="225"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4"/>
          <w:szCs w:val="24"/>
          <w:color w:val="auto"/>
        </w:rPr>
      </w:pPr>
    </w:p>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4"/>
          <w:szCs w:val="24"/>
          <w:color w:val="auto"/>
        </w:rPr>
      </w:pPr>
    </w:p>
    <w:p>
      <w:pPr>
        <w:ind w:left="660"/>
        <w:spacing w:after="0"/>
        <w:rPr>
          <w:sz w:val="20"/>
          <w:szCs w:val="20"/>
          <w:color w:val="auto"/>
        </w:rPr>
      </w:pPr>
      <w:r>
        <w:rPr>
          <w:rFonts w:ascii="Arial" w:cs="Arial" w:eastAsia="Arial" w:hAnsi="Arial"/>
          <w:sz w:val="18"/>
          <w:szCs w:val="18"/>
          <w:color w:val="auto"/>
        </w:rPr>
        <w:t>Dated: October 15, 2007</w:t>
      </w:r>
    </w:p>
    <w:p>
      <w:pPr>
        <w:sectPr>
          <w:pgSz w:w="11900" w:h="16838" w:orient="portrait"/>
          <w:cols w:equalWidth="0" w:num="1">
            <w:col w:w="11380"/>
          </w:cols>
          <w:pgMar w:left="240" w:top="530" w:right="279" w:bottom="0" w:gutter="0" w:footer="0" w:header="0"/>
          <w:type w:val="continuous"/>
        </w:sectPr>
      </w:pPr>
    </w:p>
    <w:bookmarkStart w:id="1" w:name="page2"/>
    <w:bookmarkEnd w:id="1"/>
    <w:p>
      <w:pPr>
        <w:jc w:val="right"/>
        <w:ind w:right="252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6120" w:type="dxa"/>
            <w:vAlign w:val="bottom"/>
          </w:tcPr>
          <w:p>
            <w:pPr>
              <w:jc w:val="right"/>
              <w:ind w:right="30"/>
              <w:spacing w:after="0"/>
              <w:rPr>
                <w:sz w:val="20"/>
                <w:szCs w:val="20"/>
                <w:color w:val="auto"/>
              </w:rPr>
            </w:pPr>
            <w:r>
              <w:rPr>
                <w:rFonts w:ascii="Arial" w:cs="Arial" w:eastAsia="Arial" w:hAnsi="Arial"/>
                <w:sz w:val="18"/>
                <w:szCs w:val="18"/>
                <w:color w:val="auto"/>
              </w:rPr>
              <w:t>By:</w:t>
            </w:r>
          </w:p>
        </w:tc>
        <w:tc>
          <w:tcPr>
            <w:tcW w:w="34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2"/>
              </w:rPr>
              <w:t>/s/ Michael Rashkin</w:t>
            </w:r>
          </w:p>
        </w:tc>
        <w:tc>
          <w:tcPr>
            <w:tcW w:w="1940" w:type="dxa"/>
            <w:vAlign w:val="bottom"/>
          </w:tcPr>
          <w:p>
            <w:pPr>
              <w:spacing w:after="0"/>
              <w:rPr>
                <w:sz w:val="20"/>
                <w:szCs w:val="20"/>
                <w:color w:val="auto"/>
              </w:rPr>
            </w:pPr>
          </w:p>
        </w:tc>
      </w:tr>
      <w:tr>
        <w:trPr>
          <w:trHeight w:val="195"/>
        </w:trPr>
        <w:tc>
          <w:tcPr>
            <w:tcW w:w="6120" w:type="dxa"/>
            <w:vAlign w:val="bottom"/>
          </w:tcPr>
          <w:p>
            <w:pPr>
              <w:spacing w:after="0"/>
              <w:rPr>
                <w:sz w:val="16"/>
                <w:szCs w:val="16"/>
                <w:color w:val="auto"/>
              </w:rPr>
            </w:pPr>
          </w:p>
        </w:tc>
        <w:tc>
          <w:tcPr>
            <w:tcW w:w="3400" w:type="dxa"/>
            <w:vAlign w:val="bottom"/>
          </w:tcPr>
          <w:p>
            <w:pPr>
              <w:ind w:left="1200"/>
              <w:spacing w:after="0" w:line="195" w:lineRule="exact"/>
              <w:rPr>
                <w:sz w:val="20"/>
                <w:szCs w:val="20"/>
                <w:color w:val="auto"/>
              </w:rPr>
            </w:pPr>
            <w:r>
              <w:rPr>
                <w:rFonts w:ascii="Arial" w:cs="Arial" w:eastAsia="Arial" w:hAnsi="Arial"/>
                <w:sz w:val="18"/>
                <w:szCs w:val="18"/>
                <w:color w:val="auto"/>
              </w:rPr>
              <w:t>Michael Rashkin,</w:t>
            </w:r>
          </w:p>
        </w:tc>
        <w:tc>
          <w:tcPr>
            <w:tcW w:w="1940" w:type="dxa"/>
            <w:vAlign w:val="bottom"/>
          </w:tcPr>
          <w:p>
            <w:pPr>
              <w:spacing w:after="0"/>
              <w:rPr>
                <w:sz w:val="16"/>
                <w:szCs w:val="16"/>
                <w:color w:val="auto"/>
              </w:rPr>
            </w:pPr>
          </w:p>
        </w:tc>
      </w:tr>
      <w:tr>
        <w:trPr>
          <w:trHeight w:val="230"/>
        </w:trPr>
        <w:tc>
          <w:tcPr>
            <w:tcW w:w="6120" w:type="dxa"/>
            <w:vAlign w:val="bottom"/>
          </w:tcPr>
          <w:p>
            <w:pPr>
              <w:spacing w:after="0"/>
              <w:rPr>
                <w:sz w:val="20"/>
                <w:szCs w:val="20"/>
                <w:color w:val="auto"/>
              </w:rPr>
            </w:pPr>
          </w:p>
        </w:tc>
        <w:tc>
          <w:tcPr>
            <w:tcW w:w="3400" w:type="dxa"/>
            <w:vAlign w:val="bottom"/>
          </w:tcPr>
          <w:p>
            <w:pPr>
              <w:jc w:val="center"/>
              <w:spacing w:after="0"/>
              <w:rPr>
                <w:sz w:val="20"/>
                <w:szCs w:val="20"/>
                <w:color w:val="auto"/>
              </w:rPr>
            </w:pPr>
            <w:r>
              <w:rPr>
                <w:rFonts w:ascii="Arial" w:cs="Arial" w:eastAsia="Arial" w:hAnsi="Arial"/>
                <w:sz w:val="18"/>
                <w:szCs w:val="18"/>
                <w:color w:val="auto"/>
                <w:w w:val="94"/>
              </w:rPr>
              <w:t>Interim Chief Financial Officer</w:t>
            </w:r>
          </w:p>
        </w:tc>
        <w:tc>
          <w:tcPr>
            <w:tcW w:w="1940" w:type="dxa"/>
            <w:vAlign w:val="bottom"/>
          </w:tcPr>
          <w:p>
            <w:pPr>
              <w:spacing w:after="0"/>
              <w:rPr>
                <w:sz w:val="20"/>
                <w:szCs w:val="20"/>
                <w:color w:val="auto"/>
              </w:rPr>
            </w:pPr>
          </w:p>
        </w:tc>
      </w:tr>
      <w:tr>
        <w:trPr>
          <w:trHeight w:val="432"/>
        </w:trPr>
        <w:tc>
          <w:tcPr>
            <w:tcW w:w="6120" w:type="dxa"/>
            <w:vAlign w:val="bottom"/>
          </w:tcPr>
          <w:p>
            <w:pPr>
              <w:jc w:val="right"/>
              <w:ind w:right="270"/>
              <w:spacing w:after="0"/>
              <w:rPr>
                <w:sz w:val="20"/>
                <w:szCs w:val="20"/>
                <w:color w:val="auto"/>
              </w:rPr>
            </w:pPr>
            <w:r>
              <w:rPr>
                <w:rFonts w:ascii="Arial" w:cs="Arial" w:eastAsia="Arial" w:hAnsi="Arial"/>
                <w:sz w:val="18"/>
                <w:szCs w:val="18"/>
                <w:color w:val="auto"/>
              </w:rPr>
              <w:t>3</w:t>
            </w:r>
          </w:p>
        </w:tc>
        <w:tc>
          <w:tcPr>
            <w:tcW w:w="3400" w:type="dxa"/>
            <w:vAlign w:val="bottom"/>
          </w:tcPr>
          <w:p>
            <w:pPr>
              <w:spacing w:after="0"/>
              <w:rPr>
                <w:sz w:val="24"/>
                <w:szCs w:val="24"/>
                <w:color w:val="auto"/>
              </w:rPr>
            </w:pPr>
          </w:p>
        </w:tc>
        <w:tc>
          <w:tcPr>
            <w:tcW w:w="1940" w:type="dxa"/>
            <w:vAlign w:val="bottom"/>
          </w:tcPr>
          <w:p>
            <w:pPr>
              <w:spacing w:after="0"/>
              <w:rPr>
                <w:sz w:val="24"/>
                <w:szCs w:val="24"/>
                <w:color w:val="auto"/>
              </w:rPr>
            </w:pPr>
          </w:p>
        </w:tc>
      </w:tr>
      <w:tr>
        <w:trPr>
          <w:trHeight w:val="132"/>
        </w:trPr>
        <w:tc>
          <w:tcPr>
            <w:tcW w:w="6120" w:type="dxa"/>
            <w:vAlign w:val="bottom"/>
            <w:tcBorders>
              <w:bottom w:val="single" w:sz="8" w:color="010101"/>
            </w:tcBorders>
          </w:tcPr>
          <w:p>
            <w:pPr>
              <w:spacing w:after="0"/>
              <w:rPr>
                <w:sz w:val="11"/>
                <w:szCs w:val="11"/>
                <w:color w:val="auto"/>
              </w:rPr>
            </w:pPr>
          </w:p>
        </w:tc>
        <w:tc>
          <w:tcPr>
            <w:tcW w:w="3400" w:type="dxa"/>
            <w:vAlign w:val="bottom"/>
            <w:tcBorders>
              <w:bottom w:val="single" w:sz="8" w:color="010101"/>
            </w:tcBorders>
          </w:tcPr>
          <w:p>
            <w:pPr>
              <w:spacing w:after="0"/>
              <w:rPr>
                <w:sz w:val="11"/>
                <w:szCs w:val="11"/>
                <w:color w:val="auto"/>
              </w:rPr>
            </w:pPr>
          </w:p>
        </w:tc>
        <w:tc>
          <w:tcPr>
            <w:tcW w:w="1940" w:type="dxa"/>
            <w:vAlign w:val="bottom"/>
            <w:tcBorders>
              <w:bottom w:val="single" w:sz="8" w:color="01010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326"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EXHIBIT INDEX</w:t>
      </w:r>
    </w:p>
    <w:p>
      <w:pPr>
        <w:spacing w:after="0" w:line="221" w:lineRule="exact"/>
        <w:rPr>
          <w:sz w:val="20"/>
          <w:szCs w:val="20"/>
          <w:color w:val="auto"/>
        </w:rPr>
      </w:pPr>
    </w:p>
    <w:p>
      <w:pPr>
        <w:spacing w:after="0"/>
        <w:tabs>
          <w:tab w:leader="none" w:pos="5920" w:val="left"/>
        </w:tabs>
        <w:rPr>
          <w:sz w:val="20"/>
          <w:szCs w:val="20"/>
          <w:color w:val="auto"/>
        </w:rPr>
      </w:pPr>
      <w:r>
        <w:rPr>
          <w:rFonts w:ascii="Arial" w:cs="Arial" w:eastAsia="Arial" w:hAnsi="Arial"/>
          <w:sz w:val="14"/>
          <w:szCs w:val="14"/>
          <w:b w:val="1"/>
          <w:bCs w:val="1"/>
          <w:color w:val="auto"/>
        </w:rPr>
        <w:t>Exhibit No.</w:t>
      </w:r>
      <w:r>
        <w:rPr>
          <w:sz w:val="20"/>
          <w:szCs w:val="20"/>
          <w:color w:val="auto"/>
        </w:rPr>
        <w:tab/>
      </w:r>
      <w:r>
        <w:rPr>
          <w:rFonts w:ascii="Arial" w:cs="Arial" w:eastAsia="Arial" w:hAnsi="Arial"/>
          <w:sz w:val="13"/>
          <w:szCs w:val="13"/>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6350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6" w:lineRule="exact"/>
        <w:rPr>
          <w:sz w:val="20"/>
          <w:szCs w:val="20"/>
          <w:color w:val="auto"/>
        </w:rPr>
      </w:pPr>
    </w:p>
    <w:p>
      <w:pPr>
        <w:ind w:left="320"/>
        <w:spacing w:after="0"/>
        <w:tabs>
          <w:tab w:leader="none" w:pos="114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October 12, 2007.</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60"/>
          </w:cols>
          <w:pgMar w:left="240" w:top="125" w:right="199" w:bottom="1440" w:gutter="0" w:footer="0" w:header="0"/>
        </w:sectPr>
      </w:pPr>
    </w:p>
    <w:bookmarkStart w:id="2" w:name="page3"/>
    <w:bookmarkEnd w:id="2"/>
    <w:p>
      <w:pPr>
        <w:jc w:val="right"/>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More Information Contact:</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Joele Frank/Eric Brielmann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Joele Frank, Wilkinson Brimmer Katcher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212-355-4449  ext. 147</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Receives Wells Notice Concerning Previously Disclosed Investigation</w:t>
      </w:r>
    </w:p>
    <w:p>
      <w:pPr>
        <w:spacing w:after="0" w:line="225" w:lineRule="exact"/>
        <w:rPr>
          <w:sz w:val="20"/>
          <w:szCs w:val="20"/>
          <w:color w:val="auto"/>
        </w:rPr>
      </w:pPr>
    </w:p>
    <w:p>
      <w:pPr>
        <w:ind w:right="40"/>
        <w:spacing w:after="0" w:line="292" w:lineRule="auto"/>
        <w:rPr>
          <w:sz w:val="20"/>
          <w:szCs w:val="20"/>
          <w:color w:val="auto"/>
        </w:rPr>
      </w:pPr>
      <w:r>
        <w:rPr>
          <w:rFonts w:ascii="Arial" w:cs="Arial" w:eastAsia="Arial" w:hAnsi="Arial"/>
          <w:sz w:val="16"/>
          <w:szCs w:val="16"/>
          <w:b w:val="1"/>
          <w:bCs w:val="1"/>
          <w:color w:val="auto"/>
        </w:rPr>
        <w:t xml:space="preserve">SANTA CLARA, Calif. (Oct. 12, 2007) </w:t>
      </w:r>
      <w:r>
        <w:rPr>
          <w:rFonts w:ascii="Arial" w:cs="Arial" w:eastAsia="Arial" w:hAnsi="Arial"/>
          <w:sz w:val="16"/>
          <w:szCs w:val="16"/>
          <w:color w:val="auto"/>
        </w:rPr>
        <w:t>— Marvell Technology Group, Ltd. (Nasdaq: MRVL) today announced that it has received a “Wells Notice” from</w:t>
      </w:r>
      <w:r>
        <w:rPr>
          <w:rFonts w:ascii="Arial" w:cs="Arial" w:eastAsia="Arial" w:hAnsi="Arial"/>
          <w:sz w:val="16"/>
          <w:szCs w:val="16"/>
          <w:b w:val="1"/>
          <w:bCs w:val="1"/>
          <w:color w:val="auto"/>
        </w:rPr>
        <w:t xml:space="preserve"> </w:t>
      </w:r>
      <w:r>
        <w:rPr>
          <w:rFonts w:ascii="Arial" w:cs="Arial" w:eastAsia="Arial" w:hAnsi="Arial"/>
          <w:sz w:val="16"/>
          <w:szCs w:val="16"/>
          <w:color w:val="auto"/>
        </w:rPr>
        <w:t>the staff of the United States Securities and Exchange Commission (“SEC”) relating to a previously disclosed investigation of the Company’s historic option-granting practices. Weili Dai, Director of Strategic Marketing and Business Development, who is not an officer or director of Marvell, also received a notice. The notices indicate that the staff intends to recommend to the Commission that it bring civil actions against the recipients for injunctive relief and civil monetary penalties. Under the process established by the SEC, the recipients have the opportunity to respond in writing to the “Wells Notice” before the staff makes a formal recommendation regarding what actions, if any, should be brought by the Commission. The Company continues to cooperate with the SEC and will endeavor to reach a resolution of the matter with the staff before any action is filed, but cannot guarantee that it will be able to do so.</w:t>
      </w:r>
    </w:p>
    <w:p>
      <w:pPr>
        <w:spacing w:after="0" w:line="166" w:lineRule="exact"/>
        <w:rPr>
          <w:sz w:val="20"/>
          <w:szCs w:val="20"/>
          <w:color w:val="auto"/>
        </w:rPr>
      </w:pPr>
    </w:p>
    <w:p>
      <w:pPr>
        <w:spacing w:after="0"/>
        <w:rPr>
          <w:sz w:val="20"/>
          <w:szCs w:val="20"/>
          <w:color w:val="auto"/>
        </w:rPr>
      </w:pPr>
      <w:r>
        <w:rPr>
          <w:rFonts w:ascii="Arial" w:cs="Arial" w:eastAsia="Arial" w:hAnsi="Arial"/>
          <w:sz w:val="17"/>
          <w:szCs w:val="17"/>
          <w:color w:val="auto"/>
        </w:rPr>
        <w:t>The staff also advised the Company that it is not at this time recommending enforcement action against any current officers or directors of Marvell.</w:t>
      </w:r>
    </w:p>
    <w:p>
      <w:pPr>
        <w:spacing w:after="0" w:line="23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29" w:lineRule="exact"/>
        <w:rPr>
          <w:sz w:val="20"/>
          <w:szCs w:val="20"/>
          <w:color w:val="auto"/>
        </w:rPr>
      </w:pPr>
    </w:p>
    <w:p>
      <w:pPr>
        <w:spacing w:after="0" w:line="286" w:lineRule="auto"/>
        <w:rPr>
          <w:sz w:val="20"/>
          <w:szCs w:val="20"/>
          <w:color w:val="auto"/>
        </w:rPr>
      </w:pPr>
      <w:r>
        <w:rPr>
          <w:rFonts w:ascii="Arial" w:cs="Arial" w:eastAsia="Arial" w:hAnsi="Arial"/>
          <w:sz w:val="17"/>
          <w:szCs w:val="17"/>
          <w:color w:val="auto"/>
        </w:rPr>
        <w:t>Marvell (NASDAQ: MRVL) is a leader in development of storage, communications, and consumer silicon solutions. The company’s diverse product portfolio includes switching, transceiver, communications controller, wireless and storage solutions that power the entire communications infrastructure including enterprise, metro, home and storage networking. Marvell may be contacted at (408) 222-2500 or at www.marvell.com.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180975</wp:posOffset>
            </wp:positionV>
            <wp:extent cx="7267575"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lowerLetter"/>
      <w:start w:val="4"/>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2019-12-14T18:59:41Z</dcterms:created>
  <dcterms:modified xsi:type="dcterms:W3CDTF">2019-12-14T18:59:41Z</dcterms:modified>
</cp:coreProperties>
</file>