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5"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Date of Report (Date of earliest event reported): December 6, 2007</w:t>
      </w:r>
    </w:p>
    <w:p>
      <w:pPr>
        <w:spacing w:after="0" w:line="19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48" w:orient="portrait"/>
          <w:cols w:equalWidth="0" w:num="1">
            <w:col w:w="11380"/>
          </w:cols>
          <w:pgMar w:left="240" w:top="530" w:right="279" w:bottom="0" w:gutter="0" w:footer="0" w:header="0"/>
        </w:sectPr>
      </w:pPr>
    </w:p>
    <w:p>
      <w:pPr>
        <w:spacing w:after="0" w:line="205" w:lineRule="exact"/>
        <w:rPr>
          <w:sz w:val="24"/>
          <w:szCs w:val="24"/>
          <w:color w:val="auto"/>
        </w:rPr>
      </w:pPr>
    </w:p>
    <w:p>
      <w:pPr>
        <w:jc w:val="center"/>
        <w:ind w:left="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left="4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1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5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48" w:orient="portrait"/>
          <w:cols w:equalWidth="0" w:num="3">
            <w:col w:w="4000" w:space="720"/>
            <w:col w:w="3100" w:space="720"/>
            <w:col w:w="2840"/>
          </w:cols>
          <w:pgMar w:left="240" w:top="530" w:right="279" w:bottom="0" w:gutter="0" w:footer="0" w:header="0"/>
          <w:type w:val="continuous"/>
        </w:sectPr>
      </w:pPr>
    </w:p>
    <w:p>
      <w:pPr>
        <w:spacing w:after="0" w:line="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48" w:orient="portrait"/>
          <w:cols w:equalWidth="0" w:num="1">
            <w:col w:w="11380"/>
          </w:cols>
          <w:pgMar w:left="240" w:top="530"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699135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ind w:right="6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Departure of Director; Appointment of Audit Committee Chairman</w:t>
      </w:r>
    </w:p>
    <w:p>
      <w:pPr>
        <w:spacing w:after="0" w:line="225" w:lineRule="exact"/>
        <w:rPr>
          <w:sz w:val="24"/>
          <w:szCs w:val="24"/>
          <w:color w:val="auto"/>
        </w:rPr>
      </w:pPr>
    </w:p>
    <w:p>
      <w:pPr>
        <w:ind w:right="360" w:firstLine="648"/>
        <w:spacing w:after="0" w:line="312" w:lineRule="auto"/>
        <w:rPr>
          <w:sz w:val="20"/>
          <w:szCs w:val="20"/>
          <w:color w:val="auto"/>
        </w:rPr>
      </w:pPr>
      <w:r>
        <w:rPr>
          <w:rFonts w:ascii="Arial" w:cs="Arial" w:eastAsia="Arial" w:hAnsi="Arial"/>
          <w:sz w:val="16"/>
          <w:szCs w:val="16"/>
          <w:color w:val="auto"/>
        </w:rPr>
        <w:t>On December 6, 2007, Michael Sophie resigned from the board of directors (the “Board”), including the audit and executive compensation committees thereof, of the registrant. Mr. Sophie’s resignation was not based on any disagreements between Mr. Sophie and the registrant relating to the registrant’s operations, policies or practices, including without limitation the registrant’s accounting practices and compensation practices.</w:t>
      </w:r>
    </w:p>
    <w:p>
      <w:pPr>
        <w:spacing w:after="0" w:line="147" w:lineRule="exact"/>
        <w:rPr>
          <w:sz w:val="24"/>
          <w:szCs w:val="24"/>
          <w:color w:val="auto"/>
        </w:rPr>
      </w:pPr>
    </w:p>
    <w:p>
      <w:pPr>
        <w:ind w:right="300" w:firstLine="648"/>
        <w:spacing w:after="0" w:line="277" w:lineRule="auto"/>
        <w:rPr>
          <w:sz w:val="20"/>
          <w:szCs w:val="20"/>
          <w:color w:val="auto"/>
        </w:rPr>
      </w:pPr>
      <w:r>
        <w:rPr>
          <w:rFonts w:ascii="Arial" w:cs="Arial" w:eastAsia="Arial" w:hAnsi="Arial"/>
          <w:sz w:val="18"/>
          <w:szCs w:val="18"/>
          <w:color w:val="auto"/>
        </w:rPr>
        <w:t>On December 7, the Board appointed Dr. Juergen Gromer, a member of the Board, to the audit committee of the Board. Dr. Gromer will serve as chairman of the committee.</w:t>
      </w:r>
    </w:p>
    <w:p>
      <w:pPr>
        <w:spacing w:after="0" w:line="38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ectPr>
          <w:pgSz w:w="11900" w:h="16848" w:orient="portrait"/>
          <w:cols w:equalWidth="0" w:num="1">
            <w:col w:w="11380"/>
          </w:cols>
          <w:pgMar w:left="240" w:top="530" w:right="279" w:bottom="0" w:gutter="0" w:footer="0" w:header="0"/>
          <w:type w:val="continuous"/>
        </w:sectPr>
      </w:pPr>
    </w:p>
    <w:bookmarkStart w:id="1" w:name="page2"/>
    <w:bookmarkEnd w:id="1"/>
    <w:p>
      <w:pPr>
        <w:ind w:left="660"/>
        <w:spacing w:after="0"/>
        <w:rPr>
          <w:sz w:val="20"/>
          <w:szCs w:val="20"/>
          <w:color w:val="auto"/>
        </w:rPr>
      </w:pPr>
      <w:r>
        <w:rPr>
          <w:rFonts w:ascii="Arial" w:cs="Arial" w:eastAsia="Arial" w:hAnsi="Arial"/>
          <w:sz w:val="18"/>
          <w:szCs w:val="18"/>
          <w:color w:val="auto"/>
        </w:rPr>
        <w:t>Dated: December 12, 2007</w:t>
      </w:r>
    </w:p>
    <w:p>
      <w:pPr>
        <w:spacing w:after="0" w:line="225"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040" w:type="dxa"/>
            <w:vAlign w:val="bottom"/>
          </w:tcPr>
          <w:p>
            <w:pPr>
              <w:jc w:val="right"/>
              <w:ind w:right="150"/>
              <w:spacing w:after="0"/>
              <w:rPr>
                <w:sz w:val="20"/>
                <w:szCs w:val="20"/>
                <w:color w:val="auto"/>
              </w:rPr>
            </w:pPr>
            <w:r>
              <w:rPr>
                <w:rFonts w:ascii="Arial" w:cs="Arial" w:eastAsia="Arial" w:hAnsi="Arial"/>
                <w:sz w:val="18"/>
                <w:szCs w:val="18"/>
                <w:color w:val="auto"/>
              </w:rPr>
              <w:t>By:</w:t>
            </w:r>
          </w:p>
        </w:tc>
        <w:tc>
          <w:tcPr>
            <w:tcW w:w="44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Michael Rashkin</w:t>
            </w:r>
          </w:p>
        </w:tc>
        <w:tc>
          <w:tcPr>
            <w:tcW w:w="980" w:type="dxa"/>
            <w:vAlign w:val="bottom"/>
          </w:tcPr>
          <w:p>
            <w:pPr>
              <w:spacing w:after="0"/>
              <w:rPr>
                <w:sz w:val="20"/>
                <w:szCs w:val="20"/>
                <w:color w:val="auto"/>
              </w:rPr>
            </w:pPr>
          </w:p>
        </w:tc>
      </w:tr>
      <w:tr>
        <w:trPr>
          <w:trHeight w:val="195"/>
        </w:trPr>
        <w:tc>
          <w:tcPr>
            <w:tcW w:w="6040" w:type="dxa"/>
            <w:vAlign w:val="bottom"/>
          </w:tcPr>
          <w:p>
            <w:pPr>
              <w:spacing w:after="0"/>
              <w:rPr>
                <w:sz w:val="16"/>
                <w:szCs w:val="16"/>
                <w:color w:val="auto"/>
              </w:rPr>
            </w:pPr>
          </w:p>
        </w:tc>
        <w:tc>
          <w:tcPr>
            <w:tcW w:w="4440" w:type="dxa"/>
            <w:vAlign w:val="bottom"/>
          </w:tcPr>
          <w:p>
            <w:pPr>
              <w:jc w:val="center"/>
              <w:spacing w:after="0" w:line="195" w:lineRule="exact"/>
              <w:rPr>
                <w:sz w:val="20"/>
                <w:szCs w:val="20"/>
                <w:color w:val="auto"/>
              </w:rPr>
            </w:pPr>
            <w:r>
              <w:rPr>
                <w:rFonts w:ascii="Arial" w:cs="Arial" w:eastAsia="Arial" w:hAnsi="Arial"/>
                <w:sz w:val="18"/>
                <w:szCs w:val="18"/>
                <w:color w:val="auto"/>
                <w:w w:val="93"/>
              </w:rPr>
              <w:t>Michael Rashkin</w:t>
            </w:r>
          </w:p>
        </w:tc>
        <w:tc>
          <w:tcPr>
            <w:tcW w:w="980" w:type="dxa"/>
            <w:vAlign w:val="bottom"/>
          </w:tcPr>
          <w:p>
            <w:pPr>
              <w:spacing w:after="0"/>
              <w:rPr>
                <w:sz w:val="16"/>
                <w:szCs w:val="16"/>
                <w:color w:val="auto"/>
              </w:rPr>
            </w:pPr>
          </w:p>
        </w:tc>
      </w:tr>
      <w:tr>
        <w:trPr>
          <w:trHeight w:val="230"/>
        </w:trPr>
        <w:tc>
          <w:tcPr>
            <w:tcW w:w="6040" w:type="dxa"/>
            <w:vAlign w:val="bottom"/>
          </w:tcPr>
          <w:p>
            <w:pPr>
              <w:spacing w:after="0"/>
              <w:rPr>
                <w:sz w:val="20"/>
                <w:szCs w:val="20"/>
                <w:color w:val="auto"/>
              </w:rPr>
            </w:pPr>
          </w:p>
        </w:tc>
        <w:tc>
          <w:tcPr>
            <w:tcW w:w="4440" w:type="dxa"/>
            <w:vAlign w:val="bottom"/>
          </w:tcPr>
          <w:p>
            <w:pPr>
              <w:jc w:val="center"/>
              <w:spacing w:after="0"/>
              <w:rPr>
                <w:sz w:val="20"/>
                <w:szCs w:val="20"/>
                <w:color w:val="auto"/>
              </w:rPr>
            </w:pPr>
            <w:r>
              <w:rPr>
                <w:rFonts w:ascii="Arial" w:cs="Arial" w:eastAsia="Arial" w:hAnsi="Arial"/>
                <w:sz w:val="18"/>
                <w:szCs w:val="18"/>
                <w:color w:val="auto"/>
                <w:w w:val="94"/>
              </w:rPr>
              <w:t>Interim Chief Financial Officer</w:t>
            </w:r>
          </w:p>
        </w:tc>
        <w:tc>
          <w:tcPr>
            <w:tcW w:w="980" w:type="dxa"/>
            <w:vAlign w:val="bottom"/>
          </w:tcPr>
          <w:p>
            <w:pPr>
              <w:spacing w:after="0"/>
              <w:rPr>
                <w:sz w:val="20"/>
                <w:szCs w:val="20"/>
                <w:color w:val="auto"/>
              </w:rPr>
            </w:pPr>
          </w:p>
        </w:tc>
      </w:tr>
      <w:tr>
        <w:trPr>
          <w:trHeight w:val="648"/>
        </w:trPr>
        <w:tc>
          <w:tcPr>
            <w:tcW w:w="6040" w:type="dxa"/>
            <w:vAlign w:val="bottom"/>
          </w:tcPr>
          <w:p>
            <w:pPr>
              <w:jc w:val="right"/>
              <w:ind w:right="190"/>
              <w:spacing w:after="0"/>
              <w:rPr>
                <w:sz w:val="20"/>
                <w:szCs w:val="20"/>
                <w:color w:val="auto"/>
              </w:rPr>
            </w:pPr>
            <w:r>
              <w:rPr>
                <w:rFonts w:ascii="Arial" w:cs="Arial" w:eastAsia="Arial" w:hAnsi="Arial"/>
                <w:sz w:val="18"/>
                <w:szCs w:val="18"/>
                <w:color w:val="auto"/>
              </w:rPr>
              <w:t>3</w:t>
            </w:r>
          </w:p>
        </w:tc>
        <w:tc>
          <w:tcPr>
            <w:tcW w:w="444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32"/>
        </w:trPr>
        <w:tc>
          <w:tcPr>
            <w:tcW w:w="6040" w:type="dxa"/>
            <w:vAlign w:val="bottom"/>
            <w:tcBorders>
              <w:bottom w:val="single" w:sz="8" w:color="010101"/>
            </w:tcBorders>
          </w:tcPr>
          <w:p>
            <w:pPr>
              <w:spacing w:after="0"/>
              <w:rPr>
                <w:sz w:val="11"/>
                <w:szCs w:val="11"/>
                <w:color w:val="auto"/>
              </w:rPr>
            </w:pPr>
          </w:p>
        </w:tc>
        <w:tc>
          <w:tcPr>
            <w:tcW w:w="4440" w:type="dxa"/>
            <w:vAlign w:val="bottom"/>
            <w:tcBorders>
              <w:bottom w:val="single" w:sz="8" w:color="010101"/>
            </w:tcBorders>
          </w:tcPr>
          <w:p>
            <w:pPr>
              <w:spacing w:after="0"/>
              <w:rPr>
                <w:sz w:val="11"/>
                <w:szCs w:val="11"/>
                <w:color w:val="auto"/>
              </w:rPr>
            </w:pPr>
          </w:p>
        </w:tc>
        <w:tc>
          <w:tcPr>
            <w:tcW w:w="98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341"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2019-12-14T19:22:20Z</dcterms:created>
  <dcterms:modified xsi:type="dcterms:W3CDTF">2019-12-14T19:22:20Z</dcterms:modified>
</cp:coreProperties>
</file>