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March 6, 2008</w:t>
      </w:r>
    </w:p>
    <w:p>
      <w:pPr>
        <w:spacing w:after="0" w:line="202" w:lineRule="exact"/>
        <w:rPr>
          <w:sz w:val="24"/>
          <w:szCs w:val="24"/>
          <w:color w:val="auto"/>
        </w:rPr>
      </w:pPr>
    </w:p>
    <w:p>
      <w:pPr>
        <w:jc w:val="center"/>
        <w:ind w:right="40"/>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60"/>
          </w:cols>
          <w:pgMar w:left="240" w:top="530" w:right="199" w:bottom="0" w:gutter="0" w:footer="0" w:header="0"/>
        </w:sectPr>
      </w:pPr>
    </w:p>
    <w:p>
      <w:pPr>
        <w:spacing w:after="0" w:line="205" w:lineRule="exact"/>
        <w:rPr>
          <w:sz w:val="24"/>
          <w:szCs w:val="24"/>
          <w:color w:val="auto"/>
        </w:rPr>
      </w:pPr>
    </w:p>
    <w:p>
      <w:pPr>
        <w:jc w:val="center"/>
        <w:ind w:right="3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4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2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2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20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20" w:space="720"/>
            <w:col w:w="3460" w:space="720"/>
            <w:col w:w="2540"/>
          </w:cols>
          <w:pgMar w:left="240" w:top="530" w:right="199" w:bottom="0" w:gutter="0" w:footer="0" w:header="0"/>
          <w:type w:val="continuous"/>
        </w:sectPr>
      </w:pPr>
    </w:p>
    <w:p>
      <w:pPr>
        <w:spacing w:after="0" w:line="18" w:lineRule="exact"/>
        <w:rPr>
          <w:sz w:val="24"/>
          <w:szCs w:val="24"/>
          <w:color w:val="auto"/>
        </w:rPr>
      </w:pPr>
    </w:p>
    <w:p>
      <w:pPr>
        <w:jc w:val="center"/>
        <w:ind w:right="40"/>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40"/>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40"/>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40"/>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40"/>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40"/>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40"/>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40"/>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60"/>
          </w:cols>
          <w:pgMar w:left="240" w:top="530" w:right="199" w:bottom="0" w:gutter="0" w:footer="0" w:header="0"/>
          <w:type w:val="continuous"/>
        </w:sectPr>
      </w:pPr>
    </w:p>
    <w:p>
      <w:pPr>
        <w:spacing w:after="0" w:line="207" w:lineRule="exact"/>
        <w:rPr>
          <w:sz w:val="24"/>
          <w:szCs w:val="24"/>
          <w:color w:val="auto"/>
        </w:rPr>
      </w:pPr>
    </w:p>
    <w:p>
      <w:pPr>
        <w:jc w:val="center"/>
        <w:ind w:right="40"/>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40"/>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8" w:lineRule="exact"/>
        <w:rPr>
          <w:sz w:val="24"/>
          <w:szCs w:val="24"/>
          <w:color w:val="auto"/>
        </w:rPr>
      </w:pPr>
    </w:p>
    <w:tbl>
      <w:tblPr>
        <w:tblLayout w:type="fixed"/>
        <w:tblInd w:w="0" w:type="dxa"/>
        <w:tblCellMar>
          <w:top w:w="0" w:type="dxa"/>
          <w:left w:w="0" w:type="dxa"/>
          <w:bottom w:w="0" w:type="dxa"/>
          <w:right w:w="0" w:type="dxa"/>
        </w:tblCellMar>
      </w:tblPr>
      <w:tr>
        <w:trPr>
          <w:trHeight w:val="207"/>
        </w:trPr>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4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40" w:type="dxa"/>
            <w:vAlign w:val="bottom"/>
            <w:gridSpan w:val="3"/>
          </w:tcPr>
          <w:p>
            <w:pPr>
              <w:jc w:val="center"/>
              <w:ind w:right="4350"/>
              <w:spacing w:after="0"/>
              <w:rPr>
                <w:sz w:val="20"/>
                <w:szCs w:val="20"/>
                <w:color w:val="auto"/>
              </w:rPr>
            </w:pPr>
            <w:r>
              <w:rPr>
                <w:rFonts w:ascii="Arial" w:cs="Arial" w:eastAsia="Arial" w:hAnsi="Arial"/>
                <w:sz w:val="18"/>
                <w:szCs w:val="18"/>
                <w:b w:val="1"/>
                <w:bCs w:val="1"/>
                <w:color w:val="auto"/>
                <w:w w:val="98"/>
              </w:rPr>
              <w:t>TABLE OF CONTENTS</w:t>
            </w:r>
          </w:p>
        </w:tc>
      </w:tr>
      <w:tr>
        <w:trPr>
          <w:trHeight w:val="412"/>
        </w:trPr>
        <w:tc>
          <w:tcPr>
            <w:tcW w:w="720" w:type="dxa"/>
            <w:vAlign w:val="bottom"/>
          </w:tcPr>
          <w:p>
            <w:pPr>
              <w:spacing w:after="0"/>
              <w:rPr>
                <w:rFonts w:ascii="Arial" w:cs="Arial" w:eastAsia="Arial" w:hAnsi="Arial"/>
                <w:sz w:val="18"/>
                <w:szCs w:val="18"/>
                <w:color w:val="0000EE"/>
                <w:w w:val="93"/>
              </w:rPr>
            </w:pPr>
            <w:hyperlink w:anchor="page1">
              <w:r>
                <w:rPr>
                  <w:rFonts w:ascii="Arial" w:cs="Arial" w:eastAsia="Arial" w:hAnsi="Arial"/>
                  <w:sz w:val="18"/>
                  <w:szCs w:val="18"/>
                  <w:color w:val="0000EE"/>
                  <w:w w:val="93"/>
                </w:rPr>
                <w:t>Item 2.02</w:t>
              </w:r>
            </w:hyperlink>
          </w:p>
        </w:tc>
        <w:tc>
          <w:tcPr>
            <w:tcW w:w="3700" w:type="dxa"/>
            <w:vAlign w:val="bottom"/>
            <w:gridSpan w:val="5"/>
          </w:tcPr>
          <w:p>
            <w:pPr>
              <w:ind w:left="20"/>
              <w:spacing w:after="0"/>
              <w:rPr>
                <w:rFonts w:ascii="Arial" w:cs="Arial" w:eastAsia="Arial" w:hAnsi="Arial"/>
                <w:sz w:val="18"/>
                <w:szCs w:val="18"/>
                <w:color w:val="0000EE"/>
                <w:w w:val="99"/>
              </w:rPr>
            </w:pPr>
            <w:hyperlink w:anchor="page1">
              <w:r>
                <w:rPr>
                  <w:rFonts w:ascii="Arial" w:cs="Arial" w:eastAsia="Arial" w:hAnsi="Arial"/>
                  <w:sz w:val="18"/>
                  <w:szCs w:val="18"/>
                  <w:color w:val="0000EE"/>
                  <w:w w:val="99"/>
                </w:rPr>
                <w:t>Results of Operations and Financial Condition</w:t>
              </w:r>
            </w:hyperlink>
          </w:p>
        </w:tc>
        <w:tc>
          <w:tcPr>
            <w:tcW w:w="340" w:type="dxa"/>
            <w:vAlign w:val="bottom"/>
          </w:tcPr>
          <w:p>
            <w:pPr>
              <w:spacing w:after="0"/>
              <w:rPr>
                <w:sz w:val="24"/>
                <w:szCs w:val="24"/>
                <w:color w:val="auto"/>
              </w:rPr>
            </w:pPr>
          </w:p>
        </w:tc>
        <w:tc>
          <w:tcPr>
            <w:tcW w:w="1920" w:type="dxa"/>
            <w:vAlign w:val="bottom"/>
            <w:tcBorders>
              <w:top w:val="single" w:sz="8" w:color="auto"/>
            </w:tcBorders>
          </w:tcPr>
          <w:p>
            <w:pPr>
              <w:spacing w:after="0"/>
              <w:rPr>
                <w:sz w:val="24"/>
                <w:szCs w:val="24"/>
                <w:color w:val="auto"/>
              </w:rPr>
            </w:pPr>
          </w:p>
        </w:tc>
        <w:tc>
          <w:tcPr>
            <w:tcW w:w="4780" w:type="dxa"/>
            <w:vAlign w:val="bottom"/>
          </w:tcPr>
          <w:p>
            <w:pPr>
              <w:jc w:val="right"/>
              <w:ind w:right="610"/>
              <w:spacing w:after="0"/>
              <w:rPr>
                <w:sz w:val="20"/>
                <w:szCs w:val="20"/>
                <w:color w:val="auto"/>
              </w:rPr>
            </w:pPr>
            <w:r>
              <w:rPr>
                <w:rFonts w:ascii="Arial" w:cs="Arial" w:eastAsia="Arial" w:hAnsi="Arial"/>
                <w:sz w:val="18"/>
                <w:szCs w:val="18"/>
                <w:color w:val="auto"/>
              </w:rPr>
              <w:t>3</w:t>
            </w:r>
          </w:p>
        </w:tc>
      </w:tr>
      <w:tr>
        <w:trPr>
          <w:trHeight w:val="196"/>
        </w:trPr>
        <w:tc>
          <w:tcPr>
            <w:tcW w:w="720" w:type="dxa"/>
            <w:vAlign w:val="bottom"/>
            <w:tcBorders>
              <w:top w:val="single" w:sz="8" w:color="0000EE"/>
            </w:tcBorders>
          </w:tcPr>
          <w:p>
            <w:pPr>
              <w:spacing w:after="0" w:line="196" w:lineRule="exact"/>
              <w:rPr>
                <w:rFonts w:ascii="Arial" w:cs="Arial" w:eastAsia="Arial" w:hAnsi="Arial"/>
                <w:sz w:val="18"/>
                <w:szCs w:val="18"/>
                <w:color w:val="0000EE"/>
                <w:w w:val="93"/>
              </w:rPr>
            </w:pPr>
            <w:hyperlink w:anchor="page3">
              <w:r>
                <w:rPr>
                  <w:rFonts w:ascii="Arial" w:cs="Arial" w:eastAsia="Arial" w:hAnsi="Arial"/>
                  <w:sz w:val="18"/>
                  <w:szCs w:val="18"/>
                  <w:color w:val="0000EE"/>
                  <w:w w:val="93"/>
                </w:rPr>
                <w:t>Item 8.01</w:t>
              </w:r>
            </w:hyperlink>
          </w:p>
        </w:tc>
        <w:tc>
          <w:tcPr>
            <w:tcW w:w="3360" w:type="dxa"/>
            <w:vAlign w:val="bottom"/>
            <w:tcBorders>
              <w:top w:val="single" w:sz="8" w:color="0000EE"/>
            </w:tcBorders>
            <w:gridSpan w:val="4"/>
          </w:tcPr>
          <w:p>
            <w:pPr>
              <w:ind w:left="20"/>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Other Events</w:t>
              </w:r>
            </w:hyperlink>
          </w:p>
        </w:tc>
        <w:tc>
          <w:tcPr>
            <w:tcW w:w="340" w:type="dxa"/>
            <w:vAlign w:val="bottom"/>
          </w:tcPr>
          <w:p>
            <w:pPr>
              <w:spacing w:after="0"/>
              <w:rPr>
                <w:sz w:val="17"/>
                <w:szCs w:val="17"/>
                <w:color w:val="auto"/>
              </w:rPr>
            </w:pPr>
          </w:p>
        </w:tc>
        <w:tc>
          <w:tcPr>
            <w:tcW w:w="7040" w:type="dxa"/>
            <w:vAlign w:val="bottom"/>
            <w:gridSpan w:val="3"/>
          </w:tcPr>
          <w:p>
            <w:pPr>
              <w:jc w:val="right"/>
              <w:ind w:right="610"/>
              <w:spacing w:after="0" w:line="196" w:lineRule="exact"/>
              <w:rPr>
                <w:sz w:val="20"/>
                <w:szCs w:val="20"/>
                <w:color w:val="auto"/>
              </w:rPr>
            </w:pPr>
            <w:r>
              <w:rPr>
                <w:rFonts w:ascii="Arial" w:cs="Arial" w:eastAsia="Arial" w:hAnsi="Arial"/>
                <w:sz w:val="18"/>
                <w:szCs w:val="18"/>
                <w:color w:val="auto"/>
              </w:rPr>
              <w:t>5</w:t>
            </w:r>
          </w:p>
        </w:tc>
      </w:tr>
      <w:tr>
        <w:trPr>
          <w:trHeight w:val="196"/>
        </w:trPr>
        <w:tc>
          <w:tcPr>
            <w:tcW w:w="720" w:type="dxa"/>
            <w:vAlign w:val="bottom"/>
            <w:tcBorders>
              <w:top w:val="single" w:sz="8" w:color="0000EE"/>
            </w:tcBorders>
          </w:tcPr>
          <w:p>
            <w:pPr>
              <w:spacing w:after="0" w:line="196" w:lineRule="exact"/>
              <w:rPr>
                <w:rFonts w:ascii="Arial" w:cs="Arial" w:eastAsia="Arial" w:hAnsi="Arial"/>
                <w:sz w:val="18"/>
                <w:szCs w:val="18"/>
                <w:color w:val="0000EE"/>
                <w:w w:val="93"/>
              </w:rPr>
            </w:pPr>
            <w:hyperlink w:anchor="page3">
              <w:r>
                <w:rPr>
                  <w:rFonts w:ascii="Arial" w:cs="Arial" w:eastAsia="Arial" w:hAnsi="Arial"/>
                  <w:sz w:val="18"/>
                  <w:szCs w:val="18"/>
                  <w:color w:val="0000EE"/>
                  <w:w w:val="93"/>
                </w:rPr>
                <w:t>Item 9.01</w:t>
              </w:r>
            </w:hyperlink>
          </w:p>
        </w:tc>
        <w:tc>
          <w:tcPr>
            <w:tcW w:w="960" w:type="dxa"/>
            <w:vAlign w:val="bottom"/>
            <w:tcBorders>
              <w:top w:val="single" w:sz="8" w:color="0000EE"/>
            </w:tcBorders>
            <w:gridSpan w:val="3"/>
          </w:tcPr>
          <w:p>
            <w:pPr>
              <w:ind w:left="20"/>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Exhibits</w:t>
              </w:r>
            </w:hyperlink>
          </w:p>
        </w:tc>
        <w:tc>
          <w:tcPr>
            <w:tcW w:w="2740" w:type="dxa"/>
            <w:vAlign w:val="bottom"/>
            <w:gridSpan w:val="2"/>
          </w:tcPr>
          <w:p>
            <w:pPr>
              <w:spacing w:after="0"/>
              <w:rPr>
                <w:sz w:val="17"/>
                <w:szCs w:val="17"/>
                <w:color w:val="auto"/>
              </w:rPr>
            </w:pPr>
          </w:p>
        </w:tc>
        <w:tc>
          <w:tcPr>
            <w:tcW w:w="7040" w:type="dxa"/>
            <w:vAlign w:val="bottom"/>
            <w:gridSpan w:val="3"/>
          </w:tcPr>
          <w:p>
            <w:pPr>
              <w:jc w:val="right"/>
              <w:ind w:right="610"/>
              <w:spacing w:after="0" w:line="196" w:lineRule="exact"/>
              <w:rPr>
                <w:sz w:val="20"/>
                <w:szCs w:val="20"/>
                <w:color w:val="auto"/>
              </w:rPr>
            </w:pPr>
            <w:r>
              <w:rPr>
                <w:rFonts w:ascii="Arial" w:cs="Arial" w:eastAsia="Arial" w:hAnsi="Arial"/>
                <w:sz w:val="18"/>
                <w:szCs w:val="18"/>
                <w:color w:val="auto"/>
              </w:rPr>
              <w:t>5</w:t>
            </w:r>
          </w:p>
        </w:tc>
      </w:tr>
      <w:tr>
        <w:trPr>
          <w:trHeight w:val="196"/>
        </w:trPr>
        <w:tc>
          <w:tcPr>
            <w:tcW w:w="134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SIGNATURE</w:t>
              </w:r>
            </w:hyperlink>
          </w:p>
        </w:tc>
        <w:tc>
          <w:tcPr>
            <w:tcW w:w="3080" w:type="dxa"/>
            <w:vAlign w:val="bottom"/>
            <w:gridSpan w:val="3"/>
          </w:tcPr>
          <w:p>
            <w:pPr>
              <w:spacing w:after="0"/>
              <w:rPr>
                <w:sz w:val="17"/>
                <w:szCs w:val="17"/>
                <w:color w:val="auto"/>
              </w:rPr>
            </w:pPr>
          </w:p>
        </w:tc>
        <w:tc>
          <w:tcPr>
            <w:tcW w:w="7040" w:type="dxa"/>
            <w:vAlign w:val="bottom"/>
            <w:gridSpan w:val="3"/>
          </w:tcPr>
          <w:p>
            <w:pPr>
              <w:jc w:val="right"/>
              <w:ind w:right="610"/>
              <w:spacing w:after="0" w:line="196" w:lineRule="exact"/>
              <w:rPr>
                <w:sz w:val="20"/>
                <w:szCs w:val="20"/>
                <w:color w:val="auto"/>
              </w:rPr>
            </w:pPr>
            <w:r>
              <w:rPr>
                <w:rFonts w:ascii="Arial" w:cs="Arial" w:eastAsia="Arial" w:hAnsi="Arial"/>
                <w:sz w:val="18"/>
                <w:szCs w:val="18"/>
                <w:color w:val="auto"/>
              </w:rPr>
              <w:t>6</w:t>
            </w:r>
          </w:p>
        </w:tc>
      </w:tr>
      <w:tr>
        <w:trPr>
          <w:trHeight w:val="20"/>
        </w:trPr>
        <w:tc>
          <w:tcPr>
            <w:tcW w:w="1000" w:type="dxa"/>
            <w:vAlign w:val="bottom"/>
            <w:gridSpan w:val="2"/>
            <w:shd w:val="clear" w:color="auto" w:fill="0000EE"/>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080" w:type="dxa"/>
            <w:vAlign w:val="bottom"/>
            <w:gridSpan w:val="3"/>
          </w:tcPr>
          <w:p>
            <w:pPr>
              <w:spacing w:after="0" w:line="20" w:lineRule="exact"/>
              <w:rPr>
                <w:sz w:val="1"/>
                <w:szCs w:val="1"/>
                <w:color w:val="auto"/>
              </w:rPr>
            </w:pPr>
          </w:p>
        </w:tc>
        <w:tc>
          <w:tcPr>
            <w:tcW w:w="7040" w:type="dxa"/>
            <w:vAlign w:val="bottom"/>
            <w:gridSpan w:val="3"/>
          </w:tcPr>
          <w:p>
            <w:pPr>
              <w:spacing w:after="0" w:line="20" w:lineRule="exact"/>
              <w:rPr>
                <w:sz w:val="1"/>
                <w:szCs w:val="1"/>
                <w:color w:val="auto"/>
              </w:rPr>
            </w:pPr>
          </w:p>
        </w:tc>
      </w:tr>
      <w:tr>
        <w:trPr>
          <w:trHeight w:val="196"/>
        </w:trPr>
        <w:tc>
          <w:tcPr>
            <w:tcW w:w="4420" w:type="dxa"/>
            <w:vAlign w:val="bottom"/>
            <w:gridSpan w:val="6"/>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EXHIBIT INDEX</w:t>
              </w:r>
            </w:hyperlink>
          </w:p>
        </w:tc>
        <w:tc>
          <w:tcPr>
            <w:tcW w:w="7040" w:type="dxa"/>
            <w:vAlign w:val="bottom"/>
            <w:gridSpan w:val="3"/>
          </w:tcPr>
          <w:p>
            <w:pPr>
              <w:jc w:val="right"/>
              <w:ind w:right="610"/>
              <w:spacing w:after="0" w:line="196" w:lineRule="exact"/>
              <w:rPr>
                <w:sz w:val="20"/>
                <w:szCs w:val="20"/>
                <w:color w:val="auto"/>
              </w:rPr>
            </w:pPr>
            <w:r>
              <w:rPr>
                <w:rFonts w:ascii="Arial" w:cs="Arial" w:eastAsia="Arial" w:hAnsi="Arial"/>
                <w:sz w:val="18"/>
                <w:szCs w:val="18"/>
                <w:color w:val="auto"/>
              </w:rPr>
              <w:t>7</w:t>
            </w:r>
          </w:p>
        </w:tc>
      </w:tr>
      <w:tr>
        <w:trPr>
          <w:trHeight w:val="453"/>
        </w:trPr>
        <w:tc>
          <w:tcPr>
            <w:tcW w:w="72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340" w:type="dxa"/>
            <w:vAlign w:val="bottom"/>
            <w:tcBorders>
              <w:top w:val="single" w:sz="8" w:color="0000EE"/>
            </w:tcBorders>
          </w:tcPr>
          <w:p>
            <w:pPr>
              <w:spacing w:after="0"/>
              <w:rPr>
                <w:sz w:val="24"/>
                <w:szCs w:val="24"/>
                <w:color w:val="auto"/>
              </w:rPr>
            </w:pPr>
          </w:p>
        </w:tc>
        <w:tc>
          <w:tcPr>
            <w:tcW w:w="34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60" w:type="dxa"/>
            <w:vAlign w:val="bottom"/>
            <w:gridSpan w:val="2"/>
          </w:tcPr>
          <w:p>
            <w:pPr>
              <w:jc w:val="right"/>
              <w:ind w:right="920"/>
              <w:spacing w:after="0"/>
              <w:rPr>
                <w:sz w:val="20"/>
                <w:szCs w:val="20"/>
                <w:color w:val="auto"/>
              </w:rPr>
            </w:pPr>
            <w:r>
              <w:rPr>
                <w:rFonts w:ascii="Arial" w:cs="Arial" w:eastAsia="Arial" w:hAnsi="Arial"/>
                <w:sz w:val="18"/>
                <w:szCs w:val="18"/>
                <w:color w:val="auto"/>
              </w:rPr>
              <w:t>2</w:t>
            </w:r>
          </w:p>
        </w:tc>
        <w:tc>
          <w:tcPr>
            <w:tcW w:w="4780" w:type="dxa"/>
            <w:vAlign w:val="bottom"/>
          </w:tcPr>
          <w:p>
            <w:pPr>
              <w:spacing w:after="0"/>
              <w:rPr>
                <w:sz w:val="24"/>
                <w:szCs w:val="24"/>
                <w:color w:val="auto"/>
              </w:rPr>
            </w:pPr>
          </w:p>
        </w:tc>
      </w:tr>
      <w:tr>
        <w:trPr>
          <w:trHeight w:val="132"/>
        </w:trPr>
        <w:tc>
          <w:tcPr>
            <w:tcW w:w="72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340" w:type="dxa"/>
            <w:vAlign w:val="bottom"/>
            <w:tcBorders>
              <w:bottom w:val="single" w:sz="8" w:color="010101"/>
            </w:tcBorders>
          </w:tcPr>
          <w:p>
            <w:pPr>
              <w:spacing w:after="0"/>
              <w:rPr>
                <w:sz w:val="11"/>
                <w:szCs w:val="11"/>
                <w:color w:val="auto"/>
              </w:rPr>
            </w:pPr>
          </w:p>
        </w:tc>
        <w:tc>
          <w:tcPr>
            <w:tcW w:w="340" w:type="dxa"/>
            <w:vAlign w:val="bottom"/>
            <w:tcBorders>
              <w:bottom w:val="single" w:sz="8" w:color="010101"/>
            </w:tcBorders>
          </w:tcPr>
          <w:p>
            <w:pPr>
              <w:spacing w:after="0"/>
              <w:rPr>
                <w:sz w:val="11"/>
                <w:szCs w:val="11"/>
                <w:color w:val="auto"/>
              </w:rPr>
            </w:pPr>
          </w:p>
        </w:tc>
        <w:tc>
          <w:tcPr>
            <w:tcW w:w="2400" w:type="dxa"/>
            <w:vAlign w:val="bottom"/>
            <w:tcBorders>
              <w:bottom w:val="single" w:sz="8" w:color="010101"/>
            </w:tcBorders>
          </w:tcPr>
          <w:p>
            <w:pPr>
              <w:spacing w:after="0"/>
              <w:rPr>
                <w:sz w:val="11"/>
                <w:szCs w:val="11"/>
                <w:color w:val="auto"/>
              </w:rPr>
            </w:pPr>
          </w:p>
        </w:tc>
        <w:tc>
          <w:tcPr>
            <w:tcW w:w="340" w:type="dxa"/>
            <w:vAlign w:val="bottom"/>
            <w:tcBorders>
              <w:bottom w:val="single" w:sz="8" w:color="010101"/>
            </w:tcBorders>
          </w:tcPr>
          <w:p>
            <w:pPr>
              <w:spacing w:after="0"/>
              <w:rPr>
                <w:sz w:val="11"/>
                <w:szCs w:val="11"/>
                <w:color w:val="auto"/>
              </w:rPr>
            </w:pPr>
          </w:p>
        </w:tc>
        <w:tc>
          <w:tcPr>
            <w:tcW w:w="340" w:type="dxa"/>
            <w:vAlign w:val="bottom"/>
            <w:tcBorders>
              <w:bottom w:val="single" w:sz="8" w:color="010101"/>
            </w:tcBorders>
          </w:tcPr>
          <w:p>
            <w:pPr>
              <w:spacing w:after="0"/>
              <w:rPr>
                <w:sz w:val="11"/>
                <w:szCs w:val="11"/>
                <w:color w:val="auto"/>
              </w:rPr>
            </w:pPr>
          </w:p>
        </w:tc>
        <w:tc>
          <w:tcPr>
            <w:tcW w:w="1920" w:type="dxa"/>
            <w:vAlign w:val="bottom"/>
            <w:tcBorders>
              <w:bottom w:val="single" w:sz="8" w:color="010101"/>
            </w:tcBorders>
          </w:tcPr>
          <w:p>
            <w:pPr>
              <w:spacing w:after="0"/>
              <w:rPr>
                <w:sz w:val="11"/>
                <w:szCs w:val="11"/>
                <w:color w:val="auto"/>
              </w:rPr>
            </w:pPr>
          </w:p>
        </w:tc>
        <w:tc>
          <w:tcPr>
            <w:tcW w:w="478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0"/>
          <w:szCs w:val="20"/>
          <w:color w:val="auto"/>
        </w:rPr>
      </w:pPr>
    </w:p>
    <w:p>
      <w:pPr>
        <w:ind w:right="180" w:firstLine="648"/>
        <w:spacing w:after="0" w:line="279" w:lineRule="auto"/>
        <w:rPr>
          <w:sz w:val="20"/>
          <w:szCs w:val="20"/>
          <w:color w:val="auto"/>
        </w:rPr>
      </w:pPr>
      <w:r>
        <w:rPr>
          <w:rFonts w:ascii="Arial" w:cs="Arial" w:eastAsia="Arial" w:hAnsi="Arial"/>
          <w:sz w:val="17"/>
          <w:szCs w:val="17"/>
          <w:color w:val="auto"/>
        </w:rPr>
        <w:t>The information in Item 2.02 of this Current Report, including the accompanying exhibit,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71" w:lineRule="exact"/>
        <w:rPr>
          <w:sz w:val="20"/>
          <w:szCs w:val="20"/>
          <w:color w:val="auto"/>
        </w:rPr>
      </w:pPr>
    </w:p>
    <w:p>
      <w:pPr>
        <w:ind w:right="220" w:firstLine="648"/>
        <w:spacing w:after="0" w:line="308" w:lineRule="auto"/>
        <w:rPr>
          <w:sz w:val="20"/>
          <w:szCs w:val="20"/>
          <w:color w:val="auto"/>
        </w:rPr>
      </w:pPr>
      <w:r>
        <w:rPr>
          <w:rFonts w:ascii="Arial" w:cs="Arial" w:eastAsia="Arial" w:hAnsi="Arial"/>
          <w:sz w:val="17"/>
          <w:szCs w:val="17"/>
          <w:color w:val="auto"/>
        </w:rPr>
        <w:t>On March 6, 2008, Marvell Technology Group Ltd. (“Marvell”) issued a press release regarding its financial results for its fourth fiscal quarter and fiscal year ended February 2, 2008. A copy of the press release is furnished herewith as Exhibit 99.1 and is incorporated by reference herein.</w:t>
      </w:r>
    </w:p>
    <w:p>
      <w:pPr>
        <w:sectPr>
          <w:pgSz w:w="11900" w:h="16838" w:orient="portrait"/>
          <w:cols w:equalWidth="0" w:num="1">
            <w:col w:w="11460"/>
          </w:cols>
          <w:pgMar w:left="240" w:top="530" w:right="199" w:bottom="0" w:gutter="0" w:footer="0" w:header="0"/>
          <w:type w:val="continuous"/>
        </w:sectPr>
      </w:pPr>
    </w:p>
    <w:bookmarkStart w:id="1" w:name="page2"/>
    <w:bookmarkEnd w:id="1"/>
    <w:p>
      <w:pPr>
        <w:spacing w:after="0" w:line="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0"/>
          <w:szCs w:val="20"/>
          <w:color w:val="auto"/>
        </w:rPr>
      </w:pPr>
    </w:p>
    <w:p>
      <w:pPr>
        <w:ind w:right="220" w:firstLine="648"/>
        <w:spacing w:after="0" w:line="286" w:lineRule="auto"/>
        <w:rPr>
          <w:sz w:val="20"/>
          <w:szCs w:val="20"/>
          <w:color w:val="auto"/>
        </w:rPr>
      </w:pPr>
      <w:r>
        <w:rPr>
          <w:rFonts w:ascii="Arial" w:cs="Arial" w:eastAsia="Arial" w:hAnsi="Arial"/>
          <w:sz w:val="17"/>
          <w:szCs w:val="17"/>
          <w:color w:val="auto"/>
        </w:rPr>
        <w:t>In addition to disclosing financial results calculated in accordance with GAAP, Marvell also reports adjusted net income and net income per share, referred to respectively as “non-GAAP net income” and “non-GAAP net income per share.” Non-GAAP measures exclude the effect of stock-based compensation, amortization of acquired intangible assets, cumulative effect of change in accounting principle and restructuring costs.</w:t>
      </w:r>
    </w:p>
    <w:p>
      <w:pPr>
        <w:spacing w:after="0" w:line="166" w:lineRule="exact"/>
        <w:rPr>
          <w:sz w:val="20"/>
          <w:szCs w:val="20"/>
          <w:color w:val="auto"/>
        </w:rPr>
      </w:pPr>
    </w:p>
    <w:p>
      <w:pPr>
        <w:ind w:right="20" w:firstLine="648"/>
        <w:spacing w:after="0" w:line="297" w:lineRule="auto"/>
        <w:rPr>
          <w:sz w:val="20"/>
          <w:szCs w:val="20"/>
          <w:color w:val="auto"/>
        </w:rPr>
      </w:pPr>
      <w:r>
        <w:rPr>
          <w:rFonts w:ascii="Arial" w:cs="Arial" w:eastAsia="Arial" w:hAnsi="Arial"/>
          <w:sz w:val="16"/>
          <w:szCs w:val="16"/>
          <w:color w:val="auto"/>
        </w:rPr>
        <w:t>Non-GAAP net income per share is calculated by dividing non-GAAP net income by non-GAAP weighted average shares - diluted. For purposes of calculating non-GAAP net income per share, the GAAP diluted weighted average shares outstanding is adjusted to exclude the benefits of FASB Statement of Financial Accounting Standards No. 123 (revised 2004), “Share Based Payments” (“SFAS 123R”) compensation costs attributable to future services and not yet recognized in the financial statements that are treated as proceeds assumed to be used to repurchased shares under the GAAP treasury stock method. GAAP diluted weighted average shares outstanding also includes the dilutive/antidilutive effects of warrants, common stock options and restricted stock.</w:t>
      </w:r>
    </w:p>
    <w:p>
      <w:pPr>
        <w:spacing w:after="0" w:line="158" w:lineRule="exact"/>
        <w:rPr>
          <w:sz w:val="20"/>
          <w:szCs w:val="20"/>
          <w:color w:val="auto"/>
        </w:rPr>
      </w:pPr>
    </w:p>
    <w:p>
      <w:pPr>
        <w:ind w:right="20" w:firstLine="648"/>
        <w:spacing w:after="0" w:line="297" w:lineRule="auto"/>
        <w:rPr>
          <w:sz w:val="20"/>
          <w:szCs w:val="20"/>
          <w:color w:val="auto"/>
        </w:rPr>
      </w:pPr>
      <w:r>
        <w:rPr>
          <w:rFonts w:ascii="Arial" w:cs="Arial" w:eastAsia="Arial" w:hAnsi="Arial"/>
          <w:sz w:val="16"/>
          <w:szCs w:val="16"/>
          <w:color w:val="auto"/>
        </w:rPr>
        <w:t>These non-GAAP measures should be considered in addition to, and not as a substitute for, the results prepared in accordance with GAAP. Marvell’s management believes the non-GAAP information is useful because it can enhance the understanding of the company’s ongoing economic performance and Marvell therefore uses non-GAAP reporting internally to evaluate and manage its operations.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our results with that of other companies in our industry.</w:t>
      </w:r>
    </w:p>
    <w:p>
      <w:pPr>
        <w:spacing w:after="0" w:line="158" w:lineRule="exact"/>
        <w:rPr>
          <w:sz w:val="20"/>
          <w:szCs w:val="20"/>
          <w:color w:val="auto"/>
        </w:rPr>
      </w:pPr>
    </w:p>
    <w:p>
      <w:pPr>
        <w:jc w:val="both"/>
        <w:ind w:right="220" w:firstLine="648"/>
        <w:spacing w:after="0" w:line="342" w:lineRule="auto"/>
        <w:rPr>
          <w:sz w:val="20"/>
          <w:szCs w:val="20"/>
          <w:color w:val="auto"/>
        </w:rPr>
      </w:pPr>
      <w:r>
        <w:rPr>
          <w:rFonts w:ascii="Arial" w:cs="Arial" w:eastAsia="Arial" w:hAnsi="Arial"/>
          <w:sz w:val="16"/>
          <w:szCs w:val="16"/>
          <w:color w:val="auto"/>
        </w:rPr>
        <w:t>Externally, we believe that investors may find our non-GAAP net income information useful in their assessment of our operating performance and the valuation of our company. Internally, our non-GAAP net income and non-GAAP net income per share are used by management in the following areas:</w:t>
      </w:r>
    </w:p>
    <w:p>
      <w:pPr>
        <w:spacing w:after="0" w:line="124" w:lineRule="exact"/>
        <w:rPr>
          <w:sz w:val="20"/>
          <w:szCs w:val="20"/>
          <w:color w:val="auto"/>
        </w:rPr>
      </w:pPr>
    </w:p>
    <w:p>
      <w:pPr>
        <w:ind w:left="880" w:hanging="480"/>
        <w:spacing w:after="0"/>
        <w:tabs>
          <w:tab w:leader="none" w:pos="88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determination of Pro Forma EPS target-based stock-based bonus compensation for our executive officers;</w:t>
      </w:r>
    </w:p>
    <w:p>
      <w:pPr>
        <w:spacing w:after="0" w:line="225" w:lineRule="exact"/>
        <w:rPr>
          <w:rFonts w:ascii="Arial" w:cs="Arial" w:eastAsia="Arial" w:hAnsi="Arial"/>
          <w:sz w:val="18"/>
          <w:szCs w:val="18"/>
          <w:color w:val="auto"/>
        </w:rPr>
      </w:pPr>
    </w:p>
    <w:p>
      <w:pPr>
        <w:ind w:left="880" w:hanging="480"/>
        <w:spacing w:after="0"/>
        <w:tabs>
          <w:tab w:leader="none" w:pos="88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evaluation of Marvell’s operating performance;</w:t>
      </w:r>
    </w:p>
    <w:p>
      <w:pPr>
        <w:spacing w:after="0" w:line="225" w:lineRule="exact"/>
        <w:rPr>
          <w:rFonts w:ascii="Arial" w:cs="Arial" w:eastAsia="Arial" w:hAnsi="Arial"/>
          <w:sz w:val="18"/>
          <w:szCs w:val="18"/>
          <w:color w:val="auto"/>
        </w:rPr>
      </w:pPr>
    </w:p>
    <w:p>
      <w:pPr>
        <w:ind w:left="880" w:hanging="480"/>
        <w:spacing w:after="0"/>
        <w:tabs>
          <w:tab w:leader="none" w:pos="88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establishment of internal operating budgets; and</w:t>
      </w:r>
    </w:p>
    <w:p>
      <w:pPr>
        <w:spacing w:after="0" w:line="225" w:lineRule="exact"/>
        <w:rPr>
          <w:rFonts w:ascii="Arial" w:cs="Arial" w:eastAsia="Arial" w:hAnsi="Arial"/>
          <w:sz w:val="18"/>
          <w:szCs w:val="18"/>
          <w:color w:val="auto"/>
        </w:rPr>
      </w:pPr>
    </w:p>
    <w:p>
      <w:pPr>
        <w:ind w:left="880" w:hanging="480"/>
        <w:spacing w:after="0"/>
        <w:tabs>
          <w:tab w:leader="none" w:pos="88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performance comparisons with internal forecasts and targeted business models.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Non-GAAP net income reflects net income adjusted for the following items:</w:t>
      </w:r>
    </w:p>
    <w:p>
      <w:pPr>
        <w:spacing w:after="0" w:line="225" w:lineRule="exact"/>
        <w:rPr>
          <w:sz w:val="20"/>
          <w:szCs w:val="20"/>
          <w:color w:val="auto"/>
        </w:rPr>
      </w:pPr>
    </w:p>
    <w:p>
      <w:pPr>
        <w:ind w:left="1020" w:hanging="1012"/>
        <w:spacing w:after="0" w:line="259" w:lineRule="auto"/>
        <w:tabs>
          <w:tab w:leader="none" w:pos="1020" w:val="left"/>
        </w:tabs>
        <w:numPr>
          <w:ilvl w:val="0"/>
          <w:numId w:val="2"/>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our common stock, which is not within the control of management. Accordingly, we exclude this item from its internal operating forecasts and models.</w:t>
      </w:r>
    </w:p>
    <w:p>
      <w:pPr>
        <w:spacing w:after="0" w:line="186" w:lineRule="exact"/>
        <w:rPr>
          <w:rFonts w:ascii="Arial" w:cs="Arial" w:eastAsia="Arial" w:hAnsi="Arial"/>
          <w:sz w:val="18"/>
          <w:szCs w:val="18"/>
          <w:color w:val="auto"/>
        </w:rPr>
      </w:pPr>
    </w:p>
    <w:p>
      <w:pPr>
        <w:ind w:left="1020" w:right="180" w:hanging="1012"/>
        <w:spacing w:after="0" w:line="342" w:lineRule="auto"/>
        <w:tabs>
          <w:tab w:leader="none" w:pos="1020" w:val="left"/>
        </w:tabs>
        <w:numPr>
          <w:ilvl w:val="0"/>
          <w:numId w:val="2"/>
        </w:numPr>
        <w:rPr>
          <w:rFonts w:ascii="Arial" w:cs="Arial" w:eastAsia="Arial" w:hAnsi="Arial"/>
          <w:sz w:val="16"/>
          <w:szCs w:val="16"/>
          <w:color w:val="auto"/>
        </w:rPr>
      </w:pPr>
      <w:r>
        <w:rPr>
          <w:rFonts w:ascii="Arial" w:cs="Arial" w:eastAsia="Arial" w:hAnsi="Arial"/>
          <w:sz w:val="16"/>
          <w:szCs w:val="16"/>
          <w:i w:val="1"/>
          <w:iCs w:val="1"/>
          <w:color w:val="auto"/>
        </w:rPr>
        <w:t>Amortization and write-off of acquired intangible assets</w:t>
      </w:r>
      <w:r>
        <w:rPr>
          <w:rFonts w:ascii="Arial" w:cs="Arial" w:eastAsia="Arial" w:hAnsi="Arial"/>
          <w:sz w:val="16"/>
          <w:szCs w:val="16"/>
          <w:color w:val="auto"/>
        </w:rPr>
        <w:t>. Purchased intangible assets relate primarily to existing and core technology, and</w:t>
      </w:r>
      <w:r>
        <w:rPr>
          <w:rFonts w:ascii="Arial" w:cs="Arial" w:eastAsia="Arial" w:hAnsi="Arial"/>
          <w:sz w:val="16"/>
          <w:szCs w:val="16"/>
          <w:i w:val="1"/>
          <w:iCs w:val="1"/>
          <w:color w:val="auto"/>
        </w:rPr>
        <w:t xml:space="preserve"> </w:t>
      </w:r>
      <w:r>
        <w:rPr>
          <w:rFonts w:ascii="Arial" w:cs="Arial" w:eastAsia="Arial" w:hAnsi="Arial"/>
          <w:sz w:val="16"/>
          <w:szCs w:val="16"/>
          <w:color w:val="auto"/>
        </w:rPr>
        <w:t>customer relationships of acquired businesses. We consider these charges non-cash in nature and unrelated to our core operating performance.</w:t>
      </w:r>
    </w:p>
    <w:p>
      <w:pPr>
        <w:spacing w:after="0" w:line="123" w:lineRule="exact"/>
        <w:rPr>
          <w:rFonts w:ascii="Arial" w:cs="Arial" w:eastAsia="Arial" w:hAnsi="Arial"/>
          <w:sz w:val="16"/>
          <w:szCs w:val="16"/>
          <w:color w:val="auto"/>
        </w:rPr>
      </w:pPr>
    </w:p>
    <w:p>
      <w:pPr>
        <w:ind w:left="1020" w:right="240" w:hanging="1012"/>
        <w:spacing w:after="0" w:line="342" w:lineRule="auto"/>
        <w:tabs>
          <w:tab w:leader="none" w:pos="1020" w:val="left"/>
        </w:tabs>
        <w:numPr>
          <w:ilvl w:val="0"/>
          <w:numId w:val="2"/>
        </w:numPr>
        <w:rPr>
          <w:rFonts w:ascii="Arial" w:cs="Arial" w:eastAsia="Arial" w:hAnsi="Arial"/>
          <w:sz w:val="16"/>
          <w:szCs w:val="16"/>
          <w:color w:val="auto"/>
        </w:rPr>
      </w:pPr>
      <w:r>
        <w:rPr>
          <w:rFonts w:ascii="Arial" w:cs="Arial" w:eastAsia="Arial" w:hAnsi="Arial"/>
          <w:sz w:val="16"/>
          <w:szCs w:val="16"/>
          <w:i w:val="1"/>
          <w:iCs w:val="1"/>
          <w:color w:val="auto"/>
        </w:rPr>
        <w:t>Cumulative effect of change in accounting principle</w:t>
      </w:r>
      <w:r>
        <w:rPr>
          <w:rFonts w:ascii="Arial" w:cs="Arial" w:eastAsia="Arial" w:hAnsi="Arial"/>
          <w:sz w:val="16"/>
          <w:szCs w:val="16"/>
          <w:color w:val="auto"/>
        </w:rPr>
        <w:t>. The cumulative effect of a change in accounting principle, mandated by our adoption of</w:t>
      </w:r>
      <w:r>
        <w:rPr>
          <w:rFonts w:ascii="Arial" w:cs="Arial" w:eastAsia="Arial" w:hAnsi="Arial"/>
          <w:sz w:val="16"/>
          <w:szCs w:val="16"/>
          <w:i w:val="1"/>
          <w:iCs w:val="1"/>
          <w:color w:val="auto"/>
        </w:rPr>
        <w:t xml:space="preserve"> </w:t>
      </w:r>
      <w:r>
        <w:rPr>
          <w:rFonts w:ascii="Arial" w:cs="Arial" w:eastAsia="Arial" w:hAnsi="Arial"/>
          <w:sz w:val="16"/>
          <w:szCs w:val="16"/>
          <w:color w:val="auto"/>
        </w:rPr>
        <w:t>SFAS 123R to account for forfeitures is a non-cash item which management believes, is unrelated to our core operating performance.</w:t>
      </w:r>
    </w:p>
    <w:p>
      <w:pPr>
        <w:spacing w:after="0" w:line="123" w:lineRule="exact"/>
        <w:rPr>
          <w:rFonts w:ascii="Arial" w:cs="Arial" w:eastAsia="Arial" w:hAnsi="Arial"/>
          <w:sz w:val="16"/>
          <w:szCs w:val="16"/>
          <w:color w:val="auto"/>
        </w:rPr>
      </w:pPr>
    </w:p>
    <w:p>
      <w:pPr>
        <w:ind w:left="1020" w:right="360" w:hanging="1012"/>
        <w:spacing w:after="0" w:line="257" w:lineRule="auto"/>
        <w:tabs>
          <w:tab w:leader="none" w:pos="1020" w:val="left"/>
        </w:tabs>
        <w:numPr>
          <w:ilvl w:val="0"/>
          <w:numId w:val="2"/>
        </w:numPr>
        <w:rPr>
          <w:rFonts w:ascii="Arial" w:cs="Arial" w:eastAsia="Arial" w:hAnsi="Arial"/>
          <w:sz w:val="18"/>
          <w:szCs w:val="18"/>
          <w:color w:val="auto"/>
        </w:rPr>
      </w:pPr>
      <w:r>
        <w:rPr>
          <w:rFonts w:ascii="Arial" w:cs="Arial" w:eastAsia="Arial" w:hAnsi="Arial"/>
          <w:sz w:val="18"/>
          <w:szCs w:val="18"/>
          <w:i w:val="1"/>
          <w:iCs w:val="1"/>
          <w:color w:val="auto"/>
        </w:rPr>
        <w:t xml:space="preserve">Restructuring. </w:t>
      </w:r>
      <w:r>
        <w:rPr>
          <w:rFonts w:ascii="Arial" w:cs="Arial" w:eastAsia="Arial" w:hAnsi="Arial"/>
          <w:sz w:val="18"/>
          <w:szCs w:val="18"/>
          <w:color w:val="auto"/>
        </w:rPr>
        <w:t>Restructuring represents charges/losses that are not directly related to the company’s ongoing or core business results.</w:t>
      </w:r>
      <w:r>
        <w:rPr>
          <w:rFonts w:ascii="Arial" w:cs="Arial" w:eastAsia="Arial" w:hAnsi="Arial"/>
          <w:sz w:val="18"/>
          <w:szCs w:val="18"/>
          <w:i w:val="1"/>
          <w:iCs w:val="1"/>
          <w:color w:val="auto"/>
        </w:rPr>
        <w:t xml:space="preserve"> </w:t>
      </w:r>
      <w:r>
        <w:rPr>
          <w:rFonts w:ascii="Arial" w:cs="Arial" w:eastAsia="Arial" w:hAnsi="Arial"/>
          <w:sz w:val="18"/>
          <w:szCs w:val="18"/>
          <w:color w:val="auto"/>
        </w:rPr>
        <w:t>Management regularly excludes such items from internal operating forecasts and models because they are not considered a core operating activity for the company and because the frequency and variability in the nature of the charges can vary significantly from period to period. Excluding this data provides investors with a basis to compare our company against the performance of other companies without this variability.</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225" w:lineRule="exact"/>
        <w:rPr>
          <w:sz w:val="20"/>
          <w:szCs w:val="20"/>
          <w:color w:val="auto"/>
        </w:rPr>
      </w:pPr>
    </w:p>
    <w:p>
      <w:pPr>
        <w:ind w:left="1020" w:right="120" w:hanging="1012"/>
        <w:spacing w:after="0" w:line="272" w:lineRule="auto"/>
        <w:tabs>
          <w:tab w:leader="none" w:pos="1020" w:val="left"/>
        </w:tabs>
        <w:numPr>
          <w:ilvl w:val="0"/>
          <w:numId w:val="3"/>
        </w:numPr>
        <w:rPr>
          <w:rFonts w:ascii="Arial" w:cs="Arial" w:eastAsia="Arial" w:hAnsi="Arial"/>
          <w:sz w:val="17"/>
          <w:szCs w:val="17"/>
          <w:color w:val="auto"/>
        </w:rPr>
      </w:pPr>
      <w:r>
        <w:rPr>
          <w:rFonts w:ascii="Arial" w:cs="Arial" w:eastAsia="Arial" w:hAnsi="Arial"/>
          <w:sz w:val="17"/>
          <w:szCs w:val="17"/>
          <w:color w:val="auto"/>
        </w:rPr>
        <w:t>Non-GAAP net income per share is calculated by dividing non-GAAP net income by non-GAAP weighted average shares - diluted. For purposes of calculating non-GAAP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 shares under the GAAP treasury stock method. GAAP diluted weighted average shares outstanding also includes the antidilutive effects of warrants, common stock options and restricted stock. Since our non-GAAP net income does not reflect the effects of these compensation costs, management believes these amounts should not be applied to the repurchase of shares in calculating non-GAAP net income per share.</w:t>
      </w:r>
    </w:p>
    <w:p>
      <w:pPr>
        <w:spacing w:after="0" w:line="178"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Non-GAAP net income and non-GAAP net income per share should be considered supplemental to, and not as a substitute for, or superior to, financial measures calculated in accordance with GAAP. Non-GAAP financial measures have limitations in that they do not reflect all of the costs associated with the operations of our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our non-GAAP net income should not be construed as an inference that these costs are unusual, infrequent or non-recurring. Some of the limitations in relying on non-GAAP net income and non-GAAP net income per share are:</w:t>
      </w:r>
    </w:p>
    <w:p>
      <w:pPr>
        <w:spacing w:after="0" w:line="178" w:lineRule="exact"/>
        <w:rPr>
          <w:sz w:val="20"/>
          <w:szCs w:val="20"/>
          <w:color w:val="auto"/>
        </w:rPr>
      </w:pPr>
    </w:p>
    <w:p>
      <w:pPr>
        <w:ind w:left="900" w:right="80" w:hanging="597"/>
        <w:spacing w:after="0" w:line="30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Non-GAAP net income does not account for stock compensation expense related to equity awards granted to our employees. Our stock incentive plans are important components of our employee incentive compensation arrangements and are reflected as expenses in our GAAP results under SFAS 123R, effective as of January 29, 2006. Prior to the adoption of SFAS 123R, our GAAP results reflect stock compensation expense under Accounting Principles Board Opinion No. 25, “Accounting for Stock Issued to Employees” and related guidance.</w:t>
      </w:r>
    </w:p>
    <w:p>
      <w:pPr>
        <w:spacing w:after="0" w:line="154" w:lineRule="exact"/>
        <w:rPr>
          <w:rFonts w:ascii="Arial" w:cs="Arial" w:eastAsia="Arial" w:hAnsi="Arial"/>
          <w:sz w:val="16"/>
          <w:szCs w:val="16"/>
          <w:color w:val="auto"/>
        </w:rPr>
      </w:pPr>
    </w:p>
    <w:p>
      <w:pPr>
        <w:jc w:val="both"/>
        <w:ind w:left="900" w:right="160" w:hanging="597"/>
        <w:spacing w:after="0" w:line="34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While amortization of purchased intangible assets does not directly affect our current cash position, such expense represents the declining value of the technology and other intangible assets that we have acquired over their respective expected economic lives. The expense associated with</w:t>
      </w:r>
    </w:p>
    <w:p>
      <w:pPr>
        <w:sectPr>
          <w:pgSz w:w="11900" w:h="16908" w:orient="portrait"/>
          <w:cols w:equalWidth="0" w:num="1">
            <w:col w:w="11420"/>
          </w:cols>
          <w:pgMar w:left="240" w:top="121" w:right="239" w:bottom="0" w:gutter="0" w:footer="0" w:header="0"/>
        </w:sectPr>
      </w:pPr>
    </w:p>
    <w:bookmarkStart w:id="2" w:name="page3"/>
    <w:bookmarkEnd w:id="2"/>
    <w:p>
      <w:pPr>
        <w:ind w:left="900" w:right="260"/>
        <w:spacing w:after="0" w:line="277" w:lineRule="auto"/>
        <w:rPr>
          <w:sz w:val="20"/>
          <w:szCs w:val="20"/>
          <w:color w:val="auto"/>
        </w:rPr>
      </w:pPr>
      <w:r>
        <w:rPr>
          <w:rFonts w:ascii="Arial" w:cs="Arial" w:eastAsia="Arial" w:hAnsi="Arial"/>
          <w:sz w:val="18"/>
          <w:szCs w:val="18"/>
          <w:color w:val="auto"/>
        </w:rPr>
        <w:t>this decline in value is excluded from the non-GAAP net income presentation, and therefore non-GAAP net income does not reflect the costs of acquired intangible assets that supplement our research and development efforts.</w:t>
      </w:r>
    </w:p>
    <w:p>
      <w:pPr>
        <w:spacing w:after="0" w:line="170" w:lineRule="exact"/>
        <w:rPr>
          <w:sz w:val="20"/>
          <w:szCs w:val="20"/>
          <w:color w:val="auto"/>
        </w:rPr>
      </w:pPr>
    </w:p>
    <w:p>
      <w:pPr>
        <w:jc w:val="center"/>
        <w:ind w:right="10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tabs>
          <w:tab w:leader="none" w:pos="116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0"/>
          <w:szCs w:val="20"/>
          <w:color w:val="auto"/>
        </w:rPr>
      </w:pPr>
    </w:p>
    <w:p>
      <w:pPr>
        <w:ind w:right="240" w:firstLine="648"/>
        <w:spacing w:after="0" w:line="259" w:lineRule="auto"/>
        <w:rPr>
          <w:sz w:val="20"/>
          <w:szCs w:val="20"/>
          <w:color w:val="auto"/>
        </w:rPr>
      </w:pPr>
      <w:r>
        <w:rPr>
          <w:rFonts w:ascii="Arial" w:cs="Arial" w:eastAsia="Arial" w:hAnsi="Arial"/>
          <w:sz w:val="18"/>
          <w:szCs w:val="18"/>
          <w:color w:val="auto"/>
        </w:rPr>
        <w:t>Marvell has reached a tentative settlement with the plaintiffs in the previously disclosed federal derivative lawsuits related to historical stock option practices. The Company has accrued $16 million in its fourth quarter 2008 financial statements related to anticipated payments pursuant to the tentative settlement. The tentative settlement requires court approval before it becomes final. Marvell anticipates that the parties will finalize and submit formal settlement documentation to the court in the next few months.</w:t>
      </w:r>
    </w:p>
    <w:p>
      <w:pPr>
        <w:spacing w:after="0" w:line="183" w:lineRule="exact"/>
        <w:rPr>
          <w:sz w:val="20"/>
          <w:szCs w:val="20"/>
          <w:color w:val="auto"/>
        </w:rPr>
      </w:pPr>
    </w:p>
    <w:p>
      <w:pPr>
        <w:spacing w:after="0"/>
        <w:tabs>
          <w:tab w:leader="none" w:pos="11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right="120" w:firstLine="648"/>
        <w:spacing w:after="0" w:line="264" w:lineRule="auto"/>
        <w:rPr>
          <w:sz w:val="20"/>
          <w:szCs w:val="20"/>
          <w:color w:val="auto"/>
        </w:rPr>
      </w:pPr>
      <w:r>
        <w:rPr>
          <w:rFonts w:ascii="Arial" w:cs="Arial" w:eastAsia="Arial" w:hAnsi="Arial"/>
          <w:sz w:val="18"/>
          <w:szCs w:val="18"/>
          <w:color w:val="auto"/>
        </w:rPr>
        <w:t>The information contained in this Item 9.01 and in the accompanying exhibit shall not be deemed filed for purposes of Section 18 of the Exchange Act or incorporated by reference in any filing under the Exchange Act or the Securities Act, except as shall be expressly set forth by specific reference in such filing.</w:t>
      </w:r>
    </w:p>
    <w:p>
      <w:pPr>
        <w:spacing w:after="0" w:line="181" w:lineRule="exact"/>
        <w:rPr>
          <w:sz w:val="20"/>
          <w:szCs w:val="20"/>
          <w:color w:val="auto"/>
        </w:rPr>
      </w:pPr>
    </w:p>
    <w:p>
      <w:pPr>
        <w:ind w:left="1340" w:hanging="684"/>
        <w:spacing w:after="0"/>
        <w:tabs>
          <w:tab w:leader="none" w:pos="134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ind w:left="1340"/>
        <w:spacing w:after="0"/>
        <w:tabs>
          <w:tab w:leader="none" w:pos="22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6, 2008.</w:t>
      </w:r>
    </w:p>
    <w:p>
      <w:pPr>
        <w:spacing w:after="0" w:line="225" w:lineRule="exact"/>
        <w:rPr>
          <w:sz w:val="20"/>
          <w:szCs w:val="20"/>
          <w:color w:val="auto"/>
        </w:rPr>
      </w:pPr>
    </w:p>
    <w:p>
      <w:pPr>
        <w:jc w:val="center"/>
        <w:ind w:right="100"/>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0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March 6, 2008</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980" w:type="dxa"/>
            <w:vAlign w:val="bottom"/>
          </w:tcPr>
          <w:p>
            <w:pPr>
              <w:jc w:val="right"/>
              <w:ind w:right="910"/>
              <w:spacing w:after="0"/>
              <w:rPr>
                <w:sz w:val="20"/>
                <w:szCs w:val="20"/>
                <w:color w:val="auto"/>
              </w:rPr>
            </w:pPr>
            <w:r>
              <w:rPr>
                <w:rFonts w:ascii="Arial" w:cs="Arial" w:eastAsia="Arial" w:hAnsi="Arial"/>
                <w:sz w:val="18"/>
                <w:szCs w:val="18"/>
                <w:color w:val="auto"/>
              </w:rPr>
              <w:t>By:</w:t>
            </w:r>
          </w:p>
        </w:tc>
        <w:tc>
          <w:tcPr>
            <w:tcW w:w="454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George de Urioste</w:t>
            </w:r>
          </w:p>
        </w:tc>
      </w:tr>
      <w:tr>
        <w:trPr>
          <w:trHeight w:val="195"/>
        </w:trPr>
        <w:tc>
          <w:tcPr>
            <w:tcW w:w="6980" w:type="dxa"/>
            <w:vAlign w:val="bottom"/>
          </w:tcPr>
          <w:p>
            <w:pPr>
              <w:spacing w:after="0"/>
              <w:rPr>
                <w:sz w:val="16"/>
                <w:szCs w:val="16"/>
                <w:color w:val="auto"/>
              </w:rPr>
            </w:pPr>
          </w:p>
        </w:tc>
        <w:tc>
          <w:tcPr>
            <w:tcW w:w="4540" w:type="dxa"/>
            <w:vAlign w:val="bottom"/>
            <w:gridSpan w:val="2"/>
          </w:tcPr>
          <w:p>
            <w:pPr>
              <w:spacing w:after="0" w:line="195" w:lineRule="exact"/>
              <w:rPr>
                <w:sz w:val="20"/>
                <w:szCs w:val="20"/>
                <w:color w:val="auto"/>
              </w:rPr>
            </w:pPr>
            <w:r>
              <w:rPr>
                <w:rFonts w:ascii="Arial" w:cs="Arial" w:eastAsia="Arial" w:hAnsi="Arial"/>
                <w:sz w:val="18"/>
                <w:szCs w:val="18"/>
                <w:color w:val="auto"/>
              </w:rPr>
              <w:t>George de Urioste</w:t>
            </w:r>
          </w:p>
        </w:tc>
      </w:tr>
      <w:tr>
        <w:trPr>
          <w:trHeight w:val="230"/>
        </w:trPr>
        <w:tc>
          <w:tcPr>
            <w:tcW w:w="6980" w:type="dxa"/>
            <w:vAlign w:val="bottom"/>
          </w:tcPr>
          <w:p>
            <w:pPr>
              <w:spacing w:after="0"/>
              <w:rPr>
                <w:sz w:val="20"/>
                <w:szCs w:val="20"/>
                <w:color w:val="auto"/>
              </w:rPr>
            </w:pPr>
          </w:p>
        </w:tc>
        <w:tc>
          <w:tcPr>
            <w:tcW w:w="4540" w:type="dxa"/>
            <w:vAlign w:val="bottom"/>
            <w:gridSpan w:val="2"/>
          </w:tcPr>
          <w:p>
            <w:pPr>
              <w:spacing w:after="0"/>
              <w:rPr>
                <w:sz w:val="20"/>
                <w:szCs w:val="20"/>
                <w:color w:val="auto"/>
              </w:rPr>
            </w:pPr>
            <w:r>
              <w:rPr>
                <w:rFonts w:ascii="Arial" w:cs="Arial" w:eastAsia="Arial" w:hAnsi="Arial"/>
                <w:sz w:val="18"/>
                <w:szCs w:val="18"/>
                <w:color w:val="auto"/>
              </w:rPr>
              <w:t>Interim Chief Financial Officer</w:t>
            </w:r>
          </w:p>
        </w:tc>
      </w:tr>
      <w:tr>
        <w:trPr>
          <w:trHeight w:val="432"/>
        </w:trPr>
        <w:tc>
          <w:tcPr>
            <w:tcW w:w="6980" w:type="dxa"/>
            <w:vAlign w:val="bottom"/>
          </w:tcPr>
          <w:p>
            <w:pPr>
              <w:jc w:val="right"/>
              <w:ind w:right="1130"/>
              <w:spacing w:after="0"/>
              <w:rPr>
                <w:sz w:val="20"/>
                <w:szCs w:val="20"/>
                <w:color w:val="auto"/>
              </w:rPr>
            </w:pPr>
            <w:r>
              <w:rPr>
                <w:rFonts w:ascii="Arial" w:cs="Arial" w:eastAsia="Arial" w:hAnsi="Arial"/>
                <w:sz w:val="18"/>
                <w:szCs w:val="18"/>
                <w:color w:val="auto"/>
              </w:rPr>
              <w:t>6</w:t>
            </w:r>
          </w:p>
        </w:tc>
        <w:tc>
          <w:tcPr>
            <w:tcW w:w="448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132"/>
        </w:trPr>
        <w:tc>
          <w:tcPr>
            <w:tcW w:w="6980" w:type="dxa"/>
            <w:vAlign w:val="bottom"/>
            <w:tcBorders>
              <w:bottom w:val="single" w:sz="8" w:color="010101"/>
            </w:tcBorders>
          </w:tcPr>
          <w:p>
            <w:pPr>
              <w:spacing w:after="0"/>
              <w:rPr>
                <w:sz w:val="11"/>
                <w:szCs w:val="11"/>
                <w:color w:val="auto"/>
              </w:rPr>
            </w:pPr>
          </w:p>
        </w:tc>
        <w:tc>
          <w:tcPr>
            <w:tcW w:w="4480" w:type="dxa"/>
            <w:vAlign w:val="bottom"/>
            <w:tcBorders>
              <w:bottom w:val="single" w:sz="8" w:color="010101"/>
            </w:tcBorders>
          </w:tcPr>
          <w:p>
            <w:pPr>
              <w:spacing w:after="0"/>
              <w:rPr>
                <w:sz w:val="11"/>
                <w:szCs w:val="11"/>
                <w:color w:val="auto"/>
              </w:rPr>
            </w:pPr>
          </w:p>
        </w:tc>
        <w:tc>
          <w:tcPr>
            <w:tcW w:w="60" w:type="dxa"/>
            <w:vAlign w:val="bottom"/>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100"/>
        <w:spacing w:after="0"/>
        <w:rPr>
          <w:sz w:val="20"/>
          <w:szCs w:val="20"/>
          <w:color w:val="auto"/>
        </w:rPr>
      </w:pPr>
      <w:r>
        <w:rPr>
          <w:rFonts w:ascii="Arial" w:cs="Arial" w:eastAsia="Arial" w:hAnsi="Arial"/>
          <w:sz w:val="18"/>
          <w:szCs w:val="18"/>
          <w:b w:val="1"/>
          <w:bCs w:val="1"/>
          <w:color w:val="auto"/>
        </w:rPr>
        <w:t>EXHIBIT INDEX</w:t>
      </w:r>
    </w:p>
    <w:p>
      <w:pPr>
        <w:spacing w:after="0" w:line="221" w:lineRule="exact"/>
        <w:rPr>
          <w:sz w:val="20"/>
          <w:szCs w:val="20"/>
          <w:color w:val="auto"/>
        </w:rPr>
      </w:pPr>
    </w:p>
    <w:p>
      <w:pPr>
        <w:spacing w:after="0"/>
        <w:tabs>
          <w:tab w:leader="none" w:pos="592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2"/>
          <w:szCs w:val="12"/>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72466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6" w:lineRule="exact"/>
        <w:rPr>
          <w:sz w:val="20"/>
          <w:szCs w:val="20"/>
          <w:color w:val="auto"/>
        </w:rPr>
      </w:pPr>
    </w:p>
    <w:p>
      <w:pPr>
        <w:ind w:left="360"/>
        <w:spacing w:after="0"/>
        <w:tabs>
          <w:tab w:leader="none" w:pos="11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6, 2008.</w:t>
      </w:r>
    </w:p>
    <w:p>
      <w:pPr>
        <w:spacing w:after="0" w:line="225" w:lineRule="exact"/>
        <w:rPr>
          <w:sz w:val="20"/>
          <w:szCs w:val="20"/>
          <w:color w:val="auto"/>
        </w:rPr>
      </w:pPr>
    </w:p>
    <w:p>
      <w:pPr>
        <w:jc w:val="center"/>
        <w:ind w:right="100"/>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520"/>
          </w:cols>
          <w:pgMar w:left="240" w:top="125" w:right="1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16" w:lineRule="exact"/>
        <w:rPr>
          <w:sz w:val="20"/>
          <w:szCs w:val="20"/>
          <w:color w:val="auto"/>
        </w:rPr>
      </w:pPr>
    </w:p>
    <w:p>
      <w:pPr>
        <w:jc w:val="center"/>
        <w:spacing w:after="0"/>
        <w:rPr>
          <w:sz w:val="20"/>
          <w:szCs w:val="20"/>
          <w:color w:val="auto"/>
        </w:rPr>
      </w:pPr>
      <w:r>
        <w:rPr>
          <w:rFonts w:ascii="Arial" w:cs="Arial" w:eastAsia="Arial" w:hAnsi="Arial"/>
          <w:sz w:val="21"/>
          <w:szCs w:val="21"/>
          <w:b w:val="1"/>
          <w:bCs w:val="1"/>
          <w:color w:val="auto"/>
        </w:rPr>
        <w:t>Marvell Technology Group Ltd. Reports Fourth Quarter and</w:t>
      </w:r>
    </w:p>
    <w:p>
      <w:pPr>
        <w:spacing w:after="0" w:line="2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Fiscal 2008 Results</w:t>
      </w:r>
    </w:p>
    <w:p>
      <w:pPr>
        <w:spacing w:after="0" w:line="191"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Marvell Achieves Record Revenues for FY2008, Up 36 Percent on Prior Year</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GAAP Net Income of $1.3 Million versus Net Loss of $141 Million in Prior Year</w:t>
      </w:r>
    </w:p>
    <w:p>
      <w:pPr>
        <w:sectPr>
          <w:pgSz w:w="11900" w:h="16838" w:orient="portrait"/>
          <w:cols w:equalWidth="0" w:num="1">
            <w:col w:w="11420"/>
          </w:cols>
          <w:pgMar w:left="240" w:top="337" w:right="239" w:bottom="0" w:gutter="0" w:footer="0" w:header="0"/>
        </w:sectPr>
      </w:pPr>
    </w:p>
    <w:p>
      <w:pPr>
        <w:spacing w:after="0" w:line="248" w:lineRule="exact"/>
        <w:rPr>
          <w:sz w:val="20"/>
          <w:szCs w:val="20"/>
          <w:color w:val="auto"/>
        </w:rPr>
      </w:pPr>
    </w:p>
    <w:p>
      <w:pPr>
        <w:ind w:left="20"/>
        <w:spacing w:after="0"/>
        <w:rPr>
          <w:sz w:val="20"/>
          <w:szCs w:val="20"/>
          <w:color w:val="auto"/>
        </w:rPr>
      </w:pPr>
      <w:r>
        <w:rPr>
          <w:rFonts w:ascii="Arial" w:cs="Arial" w:eastAsia="Arial" w:hAnsi="Arial"/>
          <w:sz w:val="16"/>
          <w:szCs w:val="16"/>
          <w:b w:val="1"/>
          <w:bCs w:val="1"/>
          <w:color w:val="auto"/>
        </w:rPr>
        <w:t>For further information, contact:</w:t>
      </w:r>
    </w:p>
    <w:p>
      <w:pPr>
        <w:spacing w:after="0" w:line="50" w:lineRule="exact"/>
        <w:rPr>
          <w:sz w:val="20"/>
          <w:szCs w:val="20"/>
          <w:color w:val="auto"/>
        </w:rPr>
      </w:pPr>
    </w:p>
    <w:p>
      <w:pPr>
        <w:ind w:left="20"/>
        <w:spacing w:after="0"/>
        <w:rPr>
          <w:sz w:val="20"/>
          <w:szCs w:val="20"/>
          <w:color w:val="auto"/>
        </w:rPr>
      </w:pPr>
      <w:r>
        <w:rPr>
          <w:rFonts w:ascii="Arial" w:cs="Arial" w:eastAsia="Arial" w:hAnsi="Arial"/>
          <w:sz w:val="18"/>
          <w:szCs w:val="18"/>
          <w:color w:val="auto"/>
        </w:rPr>
        <w:t>Jeff Palmer</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408-222-8373</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jpalmer@marvell.com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color w:val="auto"/>
        </w:rPr>
        <w:t>Diane Vanasse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dvanasse@marvell.com</w:t>
      </w:r>
    </w:p>
    <w:p>
      <w:pPr>
        <w:spacing w:after="0" w:line="222" w:lineRule="exact"/>
        <w:rPr>
          <w:sz w:val="20"/>
          <w:szCs w:val="20"/>
          <w:color w:val="auto"/>
        </w:rPr>
      </w:pPr>
    </w:p>
    <w:p>
      <w:pPr>
        <w:sectPr>
          <w:pgSz w:w="11900" w:h="16838" w:orient="portrait"/>
          <w:cols w:equalWidth="0" w:num="2">
            <w:col w:w="5020" w:space="720"/>
            <w:col w:w="5680"/>
          </w:cols>
          <w:pgMar w:left="240" w:top="337" w:right="239" w:bottom="0" w:gutter="0" w:footer="0" w:header="0"/>
          <w:type w:val="continuous"/>
        </w:sectPr>
      </w:pPr>
    </w:p>
    <w:p>
      <w:pPr>
        <w:spacing w:after="0" w:line="7" w:lineRule="exact"/>
        <w:rPr>
          <w:sz w:val="20"/>
          <w:szCs w:val="20"/>
          <w:color w:val="auto"/>
        </w:rPr>
      </w:pPr>
    </w:p>
    <w:p>
      <w:pPr>
        <w:ind w:right="460"/>
        <w:spacing w:after="0" w:line="282" w:lineRule="auto"/>
        <w:rPr>
          <w:sz w:val="20"/>
          <w:szCs w:val="20"/>
          <w:color w:val="auto"/>
        </w:rPr>
      </w:pPr>
      <w:r>
        <w:rPr>
          <w:rFonts w:ascii="Arial" w:cs="Arial" w:eastAsia="Arial" w:hAnsi="Arial"/>
          <w:sz w:val="18"/>
          <w:szCs w:val="18"/>
          <w:b w:val="1"/>
          <w:bCs w:val="1"/>
          <w:color w:val="auto"/>
        </w:rPr>
        <w:t xml:space="preserve">Santa Clara, California (March 6, 2008) </w:t>
      </w:r>
      <w:r>
        <w:rPr>
          <w:rFonts w:ascii="Arial" w:cs="Arial" w:eastAsia="Arial" w:hAnsi="Arial"/>
          <w:sz w:val="18"/>
          <w:szCs w:val="18"/>
          <w:color w:val="auto"/>
        </w:rPr>
        <w:t>— Marvell Technology Group Ltd. (NASDAQ: MRVL), a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financial results for its fourth quarter and fiscal year ended February 2, 2008.</w:t>
      </w:r>
    </w:p>
    <w:p>
      <w:pPr>
        <w:spacing w:after="0" w:line="166" w:lineRule="exact"/>
        <w:rPr>
          <w:sz w:val="20"/>
          <w:szCs w:val="20"/>
          <w:color w:val="auto"/>
        </w:rPr>
      </w:pPr>
    </w:p>
    <w:p>
      <w:pPr>
        <w:spacing w:after="0"/>
        <w:rPr>
          <w:sz w:val="20"/>
          <w:szCs w:val="20"/>
          <w:color w:val="auto"/>
        </w:rPr>
      </w:pPr>
      <w:r>
        <w:rPr>
          <w:rFonts w:ascii="Arial" w:cs="Arial" w:eastAsia="Arial" w:hAnsi="Arial"/>
          <w:sz w:val="17"/>
          <w:szCs w:val="17"/>
          <w:color w:val="auto"/>
        </w:rPr>
        <w:t>Net revenue for the fourth quarter of fiscal 2008 was a record $845 million, an increase of 36% over net revenue of $622 million for the fourth quarter of</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fiscal 2007 and an 11% sequential increase from net revenue of $758 million for the third quarter of fiscal 2008. Net income under generally accepted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accounting principles (GAAP) was $1.3 million, or $0.00 per share (diluted), for the fourth quarter of fiscal 2008 compared with net loss under GAAP of</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$140.6 million, or $0.24 per share (diluted), for the fourth quarter of fiscal 2007 and net loss under GAAP of $6.4 million, or $0.01 per share (diluted), for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third quarter of fiscal 2008. Shares used to compute GAAP net income per share (diluted), for the fourth quarter ended February 2, 2008 increased to 627</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million shares compared with 587 million shares used to compute GAAP net loss per share (diluted) for the fourth quarter ended January 27, 2007 and 591</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million shares used to compute GAAP net loss per share (diluted) for the third quarter ended October 27, 2007.</w:t>
      </w:r>
    </w:p>
    <w:p>
      <w:pPr>
        <w:spacing w:after="0" w:line="211" w:lineRule="exact"/>
        <w:rPr>
          <w:sz w:val="20"/>
          <w:szCs w:val="20"/>
          <w:color w:val="auto"/>
        </w:rPr>
      </w:pPr>
    </w:p>
    <w:p>
      <w:pPr>
        <w:jc w:val="both"/>
        <w:ind w:right="20"/>
        <w:spacing w:after="0" w:line="264" w:lineRule="auto"/>
        <w:rPr>
          <w:sz w:val="20"/>
          <w:szCs w:val="20"/>
          <w:color w:val="auto"/>
        </w:rPr>
      </w:pPr>
      <w:r>
        <w:rPr>
          <w:rFonts w:ascii="Arial" w:cs="Arial" w:eastAsia="Arial" w:hAnsi="Arial"/>
          <w:sz w:val="18"/>
          <w:szCs w:val="18"/>
          <w:color w:val="auto"/>
        </w:rPr>
        <w:t>Marvell has reached a tentative settlement with the plaintiffs in the previously disclosed federal derivative lawsuits related to historical stock option practices. The Company has accrued $16 million in its fourth quarter 2008 financial statements related to anticipated payments pursuant to the tentative settlement. The tentative settlement requires court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328295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approval before it becomes final. Marvell anticipates that the parties will finalize and submit formal settlement documentation to the court in the next few months.</w:t>
      </w:r>
    </w:p>
    <w:p>
      <w:pPr>
        <w:spacing w:after="0" w:line="170" w:lineRule="exact"/>
        <w:rPr>
          <w:sz w:val="20"/>
          <w:szCs w:val="20"/>
          <w:color w:val="auto"/>
        </w:rPr>
      </w:pPr>
    </w:p>
    <w:p>
      <w:pPr>
        <w:ind w:right="140"/>
        <w:spacing w:after="0" w:line="293" w:lineRule="auto"/>
        <w:rPr>
          <w:sz w:val="20"/>
          <w:szCs w:val="20"/>
          <w:color w:val="auto"/>
        </w:rPr>
      </w:pPr>
      <w:r>
        <w:rPr>
          <w:rFonts w:ascii="Arial" w:cs="Arial" w:eastAsia="Arial" w:hAnsi="Arial"/>
          <w:sz w:val="16"/>
          <w:szCs w:val="16"/>
          <w:color w:val="auto"/>
        </w:rPr>
        <w:t>“We are pleased with our financial performance this quarter and believe we have turned the corner on improving our profitability,” stated Dr. Sehat Sutardja, Marvell’s President and CEO. “Marvell achieved record revenues during fiscal 2008, putting us on track to achieve a better than $3 billion annual run rate. Our improved operating margins and earnings per share on a pro forma basis demonstrate clear focus on controlling operating costs. The better than anticipated sales trends during the fourth fiscal quarter was due to strong demand for our system-on-a-chip products for the storage market, better than expected demand for our enterprise-class communication products and better than seasonal demand for our cellular products. The results demonstrate successful investment in a broad range of technologies and our ability to integrate these technologies into superior products across many markets.”</w:t>
      </w:r>
    </w:p>
    <w:p>
      <w:pPr>
        <w:spacing w:after="0" w:line="16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Net revenue for the year ended February 2, 2008 was $2,895 million, an increase of 29% over net revenue of $2,238 million for the year ended January 27, 2007. The increase in net revenue during fiscal 2008 is primarily attributable to sales of cellular and wireless communications products. Net loss under GAAP was $114.4 million or $0.19 per share (diluted) for the year ended February 2, 2008 compared with net loss under GAAP of $12.1 million or $0.02 per share (diluted) for the year ended January 27, 2007.</w:t>
      </w:r>
    </w:p>
    <w:p>
      <w:pPr>
        <w:spacing w:after="0" w:line="187" w:lineRule="exact"/>
        <w:rPr>
          <w:sz w:val="20"/>
          <w:szCs w:val="20"/>
          <w:color w:val="auto"/>
        </w:rPr>
      </w:pPr>
    </w:p>
    <w:p>
      <w:pPr>
        <w:ind w:right="420"/>
        <w:spacing w:after="0" w:line="297" w:lineRule="auto"/>
        <w:rPr>
          <w:sz w:val="20"/>
          <w:szCs w:val="20"/>
          <w:color w:val="auto"/>
        </w:rPr>
      </w:pPr>
      <w:r>
        <w:rPr>
          <w:rFonts w:ascii="Arial" w:cs="Arial" w:eastAsia="Arial" w:hAnsi="Arial"/>
          <w:sz w:val="16"/>
          <w:szCs w:val="16"/>
          <w:color w:val="auto"/>
        </w:rPr>
        <w:t>Marvell reports net income (loss) and basic and diluted net income (loss) per share in accordance with GAAP and additionally on a non-GAAP basis. A discussion of Marvell’s use of these non-GAAP financial measures is set forth below, and reconciliations of GAAP net income (loss) to non-GAAP net income for the three months ended February 2, 2008, October 27, 2007 and January 27, 2007 and year ended February 2, 2008 and January 27, 2007, respectively, appear in the financial statements portion of this release. Non-GAAP net income, where applicable, excludes the effect of stock-based compensation, amortization of acquired intangible assets, restructuring costs and cumulative effect of change in accounting principle.</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Non-GAAP net income increased to $122.9 million, or $0.20 per share (diluted) for the fourth quarter of fiscal 2008, a 495% increase as compared with non-GAAP net income of $20.7 million, or $0.03 per share (diluted), for the fourth quarter of fiscal 2007 and an increase of 43% over non-GAAP net income of $86.2 million, or $0.14 per share (diluted) for the third quarter of fiscal 2008. The improvement in non-GAAP net income during the fourth quarter of fiscal 2008 was primarily due to better than anticipated revenue growth of storage and Ethernet connectivity products. Shares used to compute non-GAAP net income per diluted share for the fourth quarter of fiscal 2008 was 627 million shares compared with 634 million shares for the fourth quarter of fiscal 2007 and 631 million shares for the third quarter of fiscal 2008.</w:t>
      </w:r>
    </w:p>
    <w:p>
      <w:pPr>
        <w:spacing w:after="0" w:line="193"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Non-GAAP gross margin for the fourth quarter of fiscal 2008 was 48.7% as compared to non-GAAP gross margin of 48.3% for the third quarter of fiscal 2008 and non-GAAP gross margin of 48.2% for the fourth quarter of fiscal 2007.</w:t>
      </w:r>
    </w:p>
    <w:p>
      <w:pPr>
        <w:spacing w:after="0" w:line="170" w:lineRule="exact"/>
        <w:rPr>
          <w:sz w:val="20"/>
          <w:szCs w:val="20"/>
          <w:color w:val="auto"/>
        </w:rPr>
      </w:pPr>
    </w:p>
    <w:p>
      <w:pPr>
        <w:spacing w:after="0"/>
        <w:rPr>
          <w:sz w:val="20"/>
          <w:szCs w:val="20"/>
          <w:color w:val="auto"/>
        </w:rPr>
      </w:pPr>
      <w:r>
        <w:rPr>
          <w:rFonts w:ascii="Arial" w:cs="Arial" w:eastAsia="Arial" w:hAnsi="Arial"/>
          <w:sz w:val="17"/>
          <w:szCs w:val="17"/>
          <w:color w:val="auto"/>
        </w:rPr>
        <w:t>Non-GAAP net income was $280.1 million, or $0.44 per share (diluted) for the year ended February 2, 2008, compared with non-GAAP net income of</w:t>
      </w:r>
    </w:p>
    <w:p>
      <w:pPr>
        <w:spacing w:after="0" w:line="35" w:lineRule="exact"/>
        <w:rPr>
          <w:sz w:val="20"/>
          <w:szCs w:val="20"/>
          <w:color w:val="auto"/>
        </w:rPr>
      </w:pPr>
    </w:p>
    <w:p>
      <w:pPr>
        <w:ind w:right="100"/>
        <w:spacing w:after="0" w:line="254" w:lineRule="auto"/>
        <w:rPr>
          <w:sz w:val="20"/>
          <w:szCs w:val="20"/>
          <w:color w:val="auto"/>
        </w:rPr>
      </w:pPr>
      <w:r>
        <w:rPr>
          <w:rFonts w:ascii="Arial" w:cs="Arial" w:eastAsia="Arial" w:hAnsi="Arial"/>
          <w:sz w:val="18"/>
          <w:szCs w:val="18"/>
          <w:color w:val="auto"/>
        </w:rPr>
        <w:t>$359.0 million, or $0.56 per share (diluted) for the year ended January 27, 2007. The decline in non-GAAP net income during fiscal 2008 versus fiscal 2007 is primarily due to the integration of the Intel Communication-Applications Processor group into the Marvell organization. Shares used in computing non-GAAP net income per share for the year ended February 2, 2008 decreased to 630 million shares compared with 638 million shares for the year ended January 27, 2007.</w:t>
      </w:r>
    </w:p>
    <w:p>
      <w:pPr>
        <w:sectPr>
          <w:pgSz w:w="11900" w:h="16838" w:orient="portrait"/>
          <w:cols w:equalWidth="0" w:num="1">
            <w:col w:w="11420"/>
          </w:cols>
          <w:pgMar w:left="240" w:top="337" w:right="239" w:bottom="0" w:gutter="0" w:footer="0" w:header="0"/>
          <w:type w:val="continuous"/>
        </w:sectPr>
      </w:pPr>
    </w:p>
    <w:bookmarkStart w:id="4" w:name="page5"/>
    <w:bookmarkEnd w:id="4"/>
    <w:p>
      <w:pPr>
        <w:spacing w:after="0"/>
        <w:rPr>
          <w:sz w:val="20"/>
          <w:szCs w:val="20"/>
          <w:color w:val="auto"/>
        </w:rPr>
      </w:pPr>
      <w:r>
        <w:rPr>
          <w:rFonts w:ascii="Arial" w:cs="Arial" w:eastAsia="Arial" w:hAnsi="Arial"/>
          <w:sz w:val="18"/>
          <w:szCs w:val="18"/>
          <w:color w:val="auto"/>
        </w:rPr>
        <w:t>Non-GAAP gross margin for fiscal 2008 was 48.8% compared to non-GAAP gross margin for fiscal 2007 of 51.3%.</w:t>
      </w:r>
    </w:p>
    <w:p>
      <w:pPr>
        <w:spacing w:after="0" w:line="225"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Marvell will be conducting a conference call today at 1:45 p.m. PST to discuss its fourth quarter business. The call is being webcast by Thomson/CCBN and can be accessed at Marvell’s web site at www.marvell.com. The webcast is also being distributed through Thomson StreetEvents Network. Individual investors can listen to the call at www.earnings.com, Thomson’s individual investor portal, powered by StreetEvents. Institutional investors can access the call via Thomson StreetEvents (www.streetevents.com), a password-protected event management site. The</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conference call will also be available via the web at www.marvell.com. Please visit the Investor Events section. Replay on the Internet will be available until March 6, 2009.</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Non-GAAP net income consists of net income (loss) excluding stock-based compensation expense as well as charges related to acquisitions and other charges and gains that are driven primarily by discrete events that management does not consider to be directly related to the company’s core operating performance. Non-GAAP net income per share is calculated by dividing non-GAAP net income by adjusted GAAP weighted average shares outstanding (diluted). For purposes of calculating non-GAAP net income per share, the calculation of GAAP weighted average shares outstanding (diluted) is adjusted to exclude the benefits of compensation costs attributable to future services and not yet recognized in the financial statements that are treated as proceeds assumed to be used to repurchase shares under the GAAP treasury stock method and also includes the dilutive/antidilutive effects of warrants, common stock options and restricted stock.</w:t>
      </w:r>
    </w:p>
    <w:p>
      <w:pPr>
        <w:spacing w:after="0" w:line="189" w:lineRule="exact"/>
        <w:rPr>
          <w:sz w:val="20"/>
          <w:szCs w:val="20"/>
          <w:color w:val="auto"/>
        </w:rPr>
      </w:pPr>
    </w:p>
    <w:p>
      <w:pPr>
        <w:ind w:right="40"/>
        <w:spacing w:after="0" w:line="270" w:lineRule="auto"/>
        <w:rPr>
          <w:sz w:val="20"/>
          <w:szCs w:val="20"/>
          <w:color w:val="auto"/>
        </w:rPr>
      </w:pPr>
      <w:r>
        <w:rPr>
          <w:rFonts w:ascii="Arial" w:cs="Arial" w:eastAsia="Arial" w:hAnsi="Arial"/>
          <w:sz w:val="17"/>
          <w:szCs w:val="17"/>
          <w:color w:val="auto"/>
        </w:rPr>
        <w:t>Marvell believes that the presentation of non-GAAP net income and non-GAAP net income per share provides important supplemental information to management and investors regarding financial and business trends relating to the company’s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the company’s Current Report on Form 8-K filed today with the SEC. The Form 8-K is available on the SEC’s website</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at </w:t>
      </w:r>
      <w:r>
        <w:rPr>
          <w:rFonts w:ascii="Arial" w:cs="Arial" w:eastAsia="Arial" w:hAnsi="Arial"/>
          <w:sz w:val="18"/>
          <w:szCs w:val="18"/>
          <w:b w:val="1"/>
          <w:bCs w:val="1"/>
          <w:color w:val="auto"/>
        </w:rPr>
        <w:t>www.sec.gov</w:t>
      </w:r>
      <w:r>
        <w:rPr>
          <w:rFonts w:ascii="Arial" w:cs="Arial" w:eastAsia="Arial" w:hAnsi="Arial"/>
          <w:sz w:val="18"/>
          <w:szCs w:val="18"/>
          <w:color w:val="auto"/>
        </w:rPr>
        <w:t xml:space="preserve"> as well as on the Marvell website in the Investors Relations section at www.marvell.com.</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include statements regarding our annual run rate, our ability to monetize our investments, our ability to efficiently integrate technologies, and our anticipated settlement with the plaintiffs in the previously disclosed federal derivative lawsuits related to historical stock option practices. These statements are not guarantees of results and are subject to risks and uncertainties that could cause actual results to differ materially from those anticipated in the forward-looking statements. When Marvell files its Form 10-K for the fourth quarter of fiscal 2008,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Annual Report on Form 10-K, Quarterly Reports on Form 10-Q and Current Reports on Form 8-K, as filed with the Securities and Exchange Commission and other factors detailed from time to time in Marvell’s filings with the Securities and Exchange Commission. Marvell undertakes no obligation to revise or update publicly any forward-looking statements.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30"/>
          <w:szCs w:val="30"/>
          <w:i w:val="1"/>
          <w:iCs w:val="1"/>
          <w:color w:val="auto"/>
          <w:vertAlign w:val="superscript"/>
        </w:rPr>
        <w:t>®</w:t>
      </w:r>
      <w:r>
        <w:rPr>
          <w:rFonts w:ascii="Arial" w:cs="Arial" w:eastAsia="Arial" w:hAnsi="Arial"/>
          <w:sz w:val="18"/>
          <w:szCs w:val="18"/>
          <w:i w:val="1"/>
          <w:iCs w:val="1"/>
          <w:color w:val="auto"/>
        </w:rPr>
        <w:t xml:space="preserve"> and the Marvell logo are trademarks of Marvell.</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w:t>
      </w:r>
    </w:p>
    <w:p>
      <w:pPr>
        <w:sectPr>
          <w:pgSz w:w="11900" w:h="16838" w:orient="portrait"/>
          <w:cols w:equalWidth="0" w:num="1">
            <w:col w:w="11420"/>
          </w:cols>
          <w:pgMar w:left="240" w:top="341" w:right="239" w:bottom="0" w:gutter="0" w:footer="0" w:header="0"/>
        </w:sectPr>
      </w:pPr>
    </w:p>
    <w:bookmarkStart w:id="5" w:name="page6"/>
    <w:bookmarkEnd w:id="5"/>
    <w:p>
      <w:pPr>
        <w:jc w:val="center"/>
        <w:ind w:right="4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40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0" w:type="dxa"/>
            <w:vAlign w:val="bottom"/>
            <w:gridSpan w:val="6"/>
          </w:tcPr>
          <w:p>
            <w:pPr>
              <w:jc w:val="center"/>
              <w:spacing w:after="0"/>
              <w:rPr>
                <w:sz w:val="20"/>
                <w:szCs w:val="20"/>
                <w:color w:val="auto"/>
              </w:rPr>
            </w:pPr>
            <w:r>
              <w:rPr>
                <w:rFonts w:ascii="Arial" w:cs="Arial" w:eastAsia="Arial" w:hAnsi="Arial"/>
                <w:sz w:val="14"/>
                <w:szCs w:val="14"/>
                <w:b w:val="1"/>
                <w:bCs w:val="1"/>
                <w:color w:val="auto"/>
                <w:w w:val="95"/>
              </w:rPr>
              <w:t>Three Months Ended</w:t>
            </w: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20" w:type="dxa"/>
            <w:vAlign w:val="bottom"/>
            <w:gridSpan w:val="8"/>
          </w:tcPr>
          <w:p>
            <w:pPr>
              <w:jc w:val="right"/>
              <w:ind w:right="920"/>
              <w:spacing w:after="0"/>
              <w:rPr>
                <w:sz w:val="20"/>
                <w:szCs w:val="20"/>
                <w:color w:val="auto"/>
              </w:rPr>
            </w:pPr>
            <w:r>
              <w:rPr>
                <w:rFonts w:ascii="Arial" w:cs="Arial" w:eastAsia="Arial" w:hAnsi="Arial"/>
                <w:sz w:val="14"/>
                <w:szCs w:val="14"/>
                <w:b w:val="1"/>
                <w:bCs w:val="1"/>
                <w:color w:val="auto"/>
              </w:rPr>
              <w:t>Year Ended</w:t>
            </w:r>
          </w:p>
        </w:tc>
        <w:tc>
          <w:tcPr>
            <w:tcW w:w="40" w:type="dxa"/>
            <w:vAlign w:val="bottom"/>
          </w:tcPr>
          <w:p>
            <w:pPr>
              <w:spacing w:after="0"/>
              <w:rPr>
                <w:sz w:val="14"/>
                <w:szCs w:val="14"/>
                <w:color w:val="auto"/>
              </w:rPr>
            </w:pPr>
          </w:p>
        </w:tc>
      </w:tr>
      <w:tr>
        <w:trPr>
          <w:trHeight w:val="119"/>
        </w:trPr>
        <w:tc>
          <w:tcPr>
            <w:tcW w:w="408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4"/>
          </w:tcPr>
          <w:p>
            <w:pPr>
              <w:jc w:val="right"/>
              <w:ind w:right="200"/>
              <w:spacing w:after="0" w:line="119" w:lineRule="exact"/>
              <w:rPr>
                <w:sz w:val="20"/>
                <w:szCs w:val="20"/>
                <w:color w:val="auto"/>
              </w:rPr>
            </w:pPr>
            <w:r>
              <w:rPr>
                <w:rFonts w:ascii="Arial" w:cs="Arial" w:eastAsia="Arial" w:hAnsi="Arial"/>
                <w:sz w:val="13"/>
                <w:szCs w:val="13"/>
                <w:b w:val="1"/>
                <w:bCs w:val="1"/>
                <w:color w:val="auto"/>
              </w:rPr>
              <w:t>February 2,</w:t>
            </w:r>
          </w:p>
        </w:tc>
        <w:tc>
          <w:tcPr>
            <w:tcW w:w="10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4"/>
          </w:tcPr>
          <w:p>
            <w:pPr>
              <w:jc w:val="center"/>
              <w:ind w:right="190"/>
              <w:spacing w:after="0" w:line="119" w:lineRule="exact"/>
              <w:rPr>
                <w:sz w:val="20"/>
                <w:szCs w:val="20"/>
                <w:color w:val="auto"/>
              </w:rPr>
            </w:pPr>
            <w:r>
              <w:rPr>
                <w:rFonts w:ascii="Arial" w:cs="Arial" w:eastAsia="Arial" w:hAnsi="Arial"/>
                <w:sz w:val="13"/>
                <w:szCs w:val="13"/>
                <w:b w:val="1"/>
                <w:bCs w:val="1"/>
                <w:color w:val="auto"/>
              </w:rPr>
              <w:t>October 27,</w:t>
            </w:r>
          </w:p>
        </w:tc>
        <w:tc>
          <w:tcPr>
            <w:tcW w:w="40" w:type="dxa"/>
            <w:vAlign w:val="bottom"/>
            <w:tcBorders>
              <w:top w:val="single" w:sz="8" w:color="auto"/>
            </w:tcBorders>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gridSpan w:val="3"/>
          </w:tcPr>
          <w:p>
            <w:pPr>
              <w:jc w:val="right"/>
              <w:ind w:right="111"/>
              <w:spacing w:after="0" w:line="119" w:lineRule="exact"/>
              <w:rPr>
                <w:sz w:val="20"/>
                <w:szCs w:val="20"/>
                <w:color w:val="auto"/>
              </w:rPr>
            </w:pPr>
            <w:r>
              <w:rPr>
                <w:rFonts w:ascii="Arial" w:cs="Arial" w:eastAsia="Arial" w:hAnsi="Arial"/>
                <w:sz w:val="13"/>
                <w:szCs w:val="13"/>
                <w:b w:val="1"/>
                <w:bCs w:val="1"/>
                <w:color w:val="auto"/>
              </w:rPr>
              <w:t>January 27,</w:t>
            </w: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80" w:type="dxa"/>
            <w:vAlign w:val="bottom"/>
            <w:tcBorders>
              <w:top w:val="single" w:sz="8" w:color="auto"/>
            </w:tcBorders>
            <w:gridSpan w:val="4"/>
          </w:tcPr>
          <w:p>
            <w:pPr>
              <w:jc w:val="right"/>
              <w:ind w:right="380"/>
              <w:spacing w:after="0" w:line="119" w:lineRule="exact"/>
              <w:rPr>
                <w:sz w:val="20"/>
                <w:szCs w:val="20"/>
                <w:color w:val="auto"/>
              </w:rPr>
            </w:pPr>
            <w:r>
              <w:rPr>
                <w:rFonts w:ascii="Arial" w:cs="Arial" w:eastAsia="Arial" w:hAnsi="Arial"/>
                <w:sz w:val="13"/>
                <w:szCs w:val="13"/>
                <w:b w:val="1"/>
                <w:bCs w:val="1"/>
                <w:color w:val="auto"/>
              </w:rPr>
              <w:t>February 2,</w:t>
            </w:r>
          </w:p>
        </w:tc>
        <w:tc>
          <w:tcPr>
            <w:tcW w:w="6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gridSpan w:val="2"/>
          </w:tcPr>
          <w:p>
            <w:pPr>
              <w:jc w:val="center"/>
              <w:ind w:right="200"/>
              <w:spacing w:after="0" w:line="119" w:lineRule="exact"/>
              <w:rPr>
                <w:sz w:val="20"/>
                <w:szCs w:val="20"/>
                <w:color w:val="auto"/>
              </w:rPr>
            </w:pPr>
            <w:r>
              <w:rPr>
                <w:rFonts w:ascii="Arial" w:cs="Arial" w:eastAsia="Arial" w:hAnsi="Arial"/>
                <w:sz w:val="13"/>
                <w:szCs w:val="13"/>
                <w:b w:val="1"/>
                <w:bCs w:val="1"/>
                <w:color w:val="auto"/>
              </w:rPr>
              <w:t>January 27,</w:t>
            </w:r>
          </w:p>
        </w:tc>
        <w:tc>
          <w:tcPr>
            <w:tcW w:w="140" w:type="dxa"/>
            <w:vAlign w:val="bottom"/>
          </w:tcPr>
          <w:p>
            <w:pPr>
              <w:spacing w:after="0"/>
              <w:rPr>
                <w:sz w:val="10"/>
                <w:szCs w:val="10"/>
                <w:color w:val="auto"/>
              </w:rPr>
            </w:pPr>
          </w:p>
        </w:tc>
        <w:tc>
          <w:tcPr>
            <w:tcW w:w="40" w:type="dxa"/>
            <w:vAlign w:val="bottom"/>
          </w:tcPr>
          <w:p>
            <w:pPr>
              <w:spacing w:after="0"/>
              <w:rPr>
                <w:sz w:val="10"/>
                <w:szCs w:val="10"/>
                <w:color w:val="auto"/>
              </w:rPr>
            </w:pPr>
          </w:p>
        </w:tc>
      </w:tr>
      <w:tr>
        <w:trPr>
          <w:trHeight w:val="171"/>
        </w:trPr>
        <w:tc>
          <w:tcPr>
            <w:tcW w:w="40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gridSpan w:val="3"/>
          </w:tcPr>
          <w:p>
            <w:pPr>
              <w:jc w:val="right"/>
              <w:ind w:right="331"/>
              <w:spacing w:after="0"/>
              <w:rPr>
                <w:sz w:val="20"/>
                <w:szCs w:val="20"/>
                <w:color w:val="auto"/>
              </w:rPr>
            </w:pPr>
            <w:r>
              <w:rPr>
                <w:rFonts w:ascii="Arial" w:cs="Arial" w:eastAsia="Arial" w:hAnsi="Arial"/>
                <w:sz w:val="14"/>
                <w:szCs w:val="14"/>
                <w:b w:val="1"/>
                <w:bCs w:val="1"/>
                <w:color w:val="auto"/>
              </w:rPr>
              <w:t>2008</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291"/>
              <w:spacing w:after="0"/>
              <w:rPr>
                <w:sz w:val="20"/>
                <w:szCs w:val="20"/>
                <w:color w:val="auto"/>
              </w:rPr>
            </w:pPr>
            <w:r>
              <w:rPr>
                <w:rFonts w:ascii="Arial" w:cs="Arial" w:eastAsia="Arial" w:hAnsi="Arial"/>
                <w:sz w:val="14"/>
                <w:szCs w:val="14"/>
                <w:b w:val="1"/>
                <w:bCs w:val="1"/>
                <w:color w:val="auto"/>
                <w:w w:val="89"/>
              </w:rPr>
              <w:t>2007</w:t>
            </w:r>
          </w:p>
        </w:tc>
        <w:tc>
          <w:tcPr>
            <w:tcW w:w="20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331"/>
              <w:spacing w:after="0"/>
              <w:rPr>
                <w:sz w:val="20"/>
                <w:szCs w:val="20"/>
                <w:color w:val="auto"/>
              </w:rPr>
            </w:pPr>
            <w:r>
              <w:rPr>
                <w:rFonts w:ascii="Arial" w:cs="Arial" w:eastAsia="Arial" w:hAnsi="Arial"/>
                <w:sz w:val="14"/>
                <w:szCs w:val="14"/>
                <w:b w:val="1"/>
                <w:bCs w:val="1"/>
                <w:color w:val="auto"/>
              </w:rPr>
              <w:t>2007</w:t>
            </w: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312"/>
              <w:spacing w:after="0"/>
              <w:rPr>
                <w:sz w:val="20"/>
                <w:szCs w:val="20"/>
                <w:color w:val="auto"/>
              </w:rPr>
            </w:pPr>
            <w:r>
              <w:rPr>
                <w:rFonts w:ascii="Arial" w:cs="Arial" w:eastAsia="Arial" w:hAnsi="Arial"/>
                <w:sz w:val="14"/>
                <w:szCs w:val="14"/>
                <w:b w:val="1"/>
                <w:bCs w:val="1"/>
                <w:color w:val="auto"/>
              </w:rPr>
              <w:t>2008</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center"/>
              <w:ind w:right="72"/>
              <w:spacing w:after="0"/>
              <w:rPr>
                <w:sz w:val="20"/>
                <w:szCs w:val="20"/>
                <w:color w:val="auto"/>
              </w:rPr>
            </w:pPr>
            <w:r>
              <w:rPr>
                <w:rFonts w:ascii="Arial" w:cs="Arial" w:eastAsia="Arial" w:hAnsi="Arial"/>
                <w:sz w:val="14"/>
                <w:szCs w:val="14"/>
                <w:b w:val="1"/>
                <w:bCs w:val="1"/>
                <w:color w:val="auto"/>
                <w:w w:val="89"/>
              </w:rPr>
              <w:t>2007</w:t>
            </w:r>
          </w:p>
        </w:tc>
        <w:tc>
          <w:tcPr>
            <w:tcW w:w="4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r>
      <w:tr>
        <w:trPr>
          <w:trHeight w:val="210"/>
        </w:trPr>
        <w:tc>
          <w:tcPr>
            <w:tcW w:w="4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844,686</w:t>
            </w:r>
          </w:p>
        </w:tc>
        <w:tc>
          <w:tcPr>
            <w:tcW w:w="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758,246</w:t>
            </w:r>
          </w:p>
        </w:tc>
        <w:tc>
          <w:tcPr>
            <w:tcW w:w="20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w:t>
            </w: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621,974</w:t>
            </w: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2,894,693</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2,237,553</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84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438,640</w:t>
            </w:r>
          </w:p>
        </w:tc>
        <w:tc>
          <w:tcPr>
            <w:tcW w:w="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396,209</w:t>
            </w:r>
          </w:p>
        </w:tc>
        <w:tc>
          <w:tcPr>
            <w:tcW w:w="200" w:type="dxa"/>
            <w:vAlign w:val="bottom"/>
            <w:tcBorders>
              <w:bottom w:val="single" w:sz="8" w:color="CCEEFF"/>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324,843</w:t>
            </w:r>
          </w:p>
        </w:tc>
        <w:tc>
          <w:tcPr>
            <w:tcW w:w="14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1,497,796</w:t>
            </w:r>
          </w:p>
        </w:tc>
        <w:tc>
          <w:tcPr>
            <w:tcW w:w="8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6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1,100,241</w:t>
            </w:r>
          </w:p>
        </w:tc>
        <w:tc>
          <w:tcPr>
            <w:tcW w:w="14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406,046</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362,037</w:t>
            </w: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297,131</w:t>
            </w: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1,396,897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1,137,312</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Research and development and other</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266,464</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252,205</w:t>
            </w: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223,399</w:t>
            </w: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988,996</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658,211</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0"/>
              <w:spacing w:after="0"/>
              <w:rPr>
                <w:sz w:val="20"/>
                <w:szCs w:val="20"/>
                <w:color w:val="auto"/>
              </w:rPr>
            </w:pPr>
            <w:r>
              <w:rPr>
                <w:rFonts w:ascii="Arial" w:cs="Arial" w:eastAsia="Arial" w:hAnsi="Arial"/>
                <w:sz w:val="18"/>
                <w:szCs w:val="18"/>
                <w:color w:val="auto"/>
              </w:rPr>
              <w:t>Selling and marketing</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60,504</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46,423</w:t>
            </w: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60,099</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211,261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176,103</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General and administrative</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48,340</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32,537</w:t>
            </w: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35,480</w:t>
            </w: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138,640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114,154</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02"/>
        </w:trPr>
        <w:tc>
          <w:tcPr>
            <w:tcW w:w="4080" w:type="dxa"/>
            <w:vAlign w:val="bottom"/>
          </w:tcPr>
          <w:p>
            <w:pPr>
              <w:ind w:left="200"/>
              <w:spacing w:after="0" w:line="201" w:lineRule="exact"/>
              <w:rPr>
                <w:sz w:val="20"/>
                <w:szCs w:val="20"/>
                <w:color w:val="auto"/>
              </w:rPr>
            </w:pPr>
            <w:r>
              <w:rPr>
                <w:rFonts w:ascii="Arial" w:cs="Arial" w:eastAsia="Arial" w:hAnsi="Arial"/>
                <w:sz w:val="18"/>
                <w:szCs w:val="18"/>
                <w:color w:val="auto"/>
              </w:rPr>
              <w:t>Amortization and write-off of acquired</w:t>
            </w:r>
          </w:p>
        </w:tc>
        <w:tc>
          <w:tcPr>
            <w:tcW w:w="8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4080" w:type="dxa"/>
            <w:vAlign w:val="bottom"/>
          </w:tcPr>
          <w:p>
            <w:pPr>
              <w:ind w:left="380"/>
              <w:spacing w:after="0"/>
              <w:rPr>
                <w:sz w:val="20"/>
                <w:szCs w:val="20"/>
                <w:color w:val="auto"/>
              </w:rPr>
            </w:pPr>
            <w:r>
              <w:rPr>
                <w:rFonts w:ascii="Arial" w:cs="Arial" w:eastAsia="Arial" w:hAnsi="Arial"/>
                <w:sz w:val="18"/>
                <w:szCs w:val="18"/>
                <w:color w:val="auto"/>
              </w:rPr>
              <w:t>of acquired intangible assets (a)</w:t>
            </w:r>
          </w:p>
        </w:tc>
        <w:tc>
          <w:tcPr>
            <w:tcW w:w="8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43,810</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37,311</w:t>
            </w:r>
          </w:p>
        </w:tc>
        <w:tc>
          <w:tcPr>
            <w:tcW w:w="2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37,826</w:t>
            </w: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155,734</w:t>
            </w: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109,987</w:t>
            </w: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216"/>
        </w:trPr>
        <w:tc>
          <w:tcPr>
            <w:tcW w:w="40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Acquired in-process research and development</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77,800</w:t>
            </w: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77,800</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0"/>
              <w:spacing w:after="0"/>
              <w:rPr>
                <w:sz w:val="20"/>
                <w:szCs w:val="20"/>
                <w:color w:val="auto"/>
              </w:rPr>
            </w:pPr>
            <w:r>
              <w:rPr>
                <w:rFonts w:ascii="Arial" w:cs="Arial" w:eastAsia="Arial" w:hAnsi="Arial"/>
                <w:sz w:val="18"/>
                <w:szCs w:val="18"/>
                <w:color w:val="auto"/>
              </w:rPr>
              <w:t>Restructuring</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7,856</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7,856</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3"/>
          </w:tcPr>
          <w:p>
            <w:pPr>
              <w:jc w:val="right"/>
              <w:ind w:right="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0"/>
        </w:trPr>
        <w:tc>
          <w:tcPr>
            <w:tcW w:w="4080" w:type="dxa"/>
            <w:vAlign w:val="bottom"/>
            <w:tcBorders>
              <w:top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Total operating expenses</w:t>
            </w:r>
          </w:p>
        </w:tc>
        <w:tc>
          <w:tcPr>
            <w:tcW w:w="8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426,974</w:t>
            </w: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368,476</w:t>
            </w:r>
          </w:p>
        </w:tc>
        <w:tc>
          <w:tcPr>
            <w:tcW w:w="2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auto"/>
              <w:bottom w:val="single" w:sz="8" w:color="auto"/>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40" w:type="dxa"/>
            <w:vAlign w:val="bottom"/>
            <w:tcBorders>
              <w:top w:val="single" w:sz="8" w:color="auto"/>
              <w:bottom w:val="single" w:sz="8" w:color="auto"/>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434,604</w:t>
            </w:r>
          </w:p>
        </w:tc>
        <w:tc>
          <w:tcPr>
            <w:tcW w:w="14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1,502,487</w:t>
            </w:r>
          </w:p>
        </w:tc>
        <w:tc>
          <w:tcPr>
            <w:tcW w:w="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auto"/>
              <w:bottom w:val="single" w:sz="8" w:color="auto"/>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96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1,136,255</w:t>
            </w:r>
          </w:p>
        </w:tc>
        <w:tc>
          <w:tcPr>
            <w:tcW w:w="14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080" w:type="dxa"/>
            <w:vAlign w:val="bottom"/>
          </w:tcPr>
          <w:p>
            <w:pPr>
              <w:ind w:left="20"/>
              <w:spacing w:after="0"/>
              <w:rPr>
                <w:sz w:val="20"/>
                <w:szCs w:val="20"/>
                <w:color w:val="auto"/>
              </w:rPr>
            </w:pPr>
            <w:r>
              <w:rPr>
                <w:rFonts w:ascii="Arial" w:cs="Arial" w:eastAsia="Arial" w:hAnsi="Arial"/>
                <w:sz w:val="18"/>
                <w:szCs w:val="18"/>
                <w:color w:val="auto"/>
              </w:rPr>
              <w:t>Operating (loss) income</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8"/>
              </w:rPr>
              <w:t>(20,928</w:t>
            </w:r>
          </w:p>
        </w:tc>
        <w:tc>
          <w:tcPr>
            <w:tcW w:w="8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(6,439</w:t>
            </w:r>
          </w:p>
        </w:tc>
        <w:tc>
          <w:tcPr>
            <w:tcW w:w="20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(137,473</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(105,590</w:t>
            </w:r>
          </w:p>
        </w:tc>
        <w:tc>
          <w:tcPr>
            <w:tcW w:w="200" w:type="dxa"/>
            <w:vAlign w:val="bottom"/>
            <w:gridSpan w:val="2"/>
          </w:tcPr>
          <w:p>
            <w:pPr>
              <w:jc w:val="right"/>
              <w:ind w:right="120"/>
              <w:spacing w:after="0"/>
              <w:rPr>
                <w:sz w:val="20"/>
                <w:szCs w:val="20"/>
                <w:color w:val="auto"/>
              </w:rPr>
            </w:pPr>
            <w:r>
              <w:rPr>
                <w:rFonts w:ascii="Arial" w:cs="Arial" w:eastAsia="Arial" w:hAnsi="Arial"/>
                <w:sz w:val="18"/>
                <w:szCs w:val="18"/>
                <w:color w:val="auto"/>
                <w:w w:val="99"/>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1,057</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and other income (expense), net (b)</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18,864</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(6,048 )</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(2,003 )</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(2,654 )</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13,549</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080" w:type="dxa"/>
            <w:vAlign w:val="bottom"/>
          </w:tcPr>
          <w:p>
            <w:pPr>
              <w:ind w:left="20"/>
              <w:spacing w:after="0"/>
              <w:rPr>
                <w:sz w:val="20"/>
                <w:szCs w:val="20"/>
                <w:color w:val="auto"/>
              </w:rPr>
            </w:pPr>
            <w:r>
              <w:rPr>
                <w:rFonts w:ascii="Arial" w:cs="Arial" w:eastAsia="Arial" w:hAnsi="Arial"/>
                <w:sz w:val="18"/>
                <w:szCs w:val="18"/>
                <w:color w:val="auto"/>
              </w:rPr>
              <w:t>(Loss) income before income taxes</w:t>
            </w:r>
          </w:p>
        </w:tc>
        <w:tc>
          <w:tcPr>
            <w:tcW w:w="84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(2,064</w:t>
            </w:r>
          </w:p>
        </w:tc>
        <w:tc>
          <w:tcPr>
            <w:tcW w:w="8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1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(12,487</w:t>
            </w:r>
          </w:p>
        </w:tc>
        <w:tc>
          <w:tcPr>
            <w:tcW w:w="20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40" w:type="dxa"/>
            <w:vAlign w:val="bottom"/>
            <w:tcBorders>
              <w:top w:val="single" w:sz="8" w:color="auto"/>
            </w:tcBorders>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(139,476</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4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(108,244</w:t>
            </w:r>
          </w:p>
        </w:tc>
        <w:tc>
          <w:tcPr>
            <w:tcW w:w="200" w:type="dxa"/>
            <w:vAlign w:val="bottom"/>
            <w:gridSpan w:val="2"/>
          </w:tcPr>
          <w:p>
            <w:pPr>
              <w:jc w:val="right"/>
              <w:ind w:right="120"/>
              <w:spacing w:after="0"/>
              <w:rPr>
                <w:sz w:val="20"/>
                <w:szCs w:val="20"/>
                <w:color w:val="auto"/>
              </w:rPr>
            </w:pPr>
            <w:r>
              <w:rPr>
                <w:rFonts w:ascii="Arial" w:cs="Arial" w:eastAsia="Arial" w:hAnsi="Arial"/>
                <w:sz w:val="18"/>
                <w:szCs w:val="18"/>
                <w:color w:val="auto"/>
                <w:w w:val="99"/>
              </w:rPr>
              <w:t>)</w:t>
            </w:r>
          </w:p>
        </w:tc>
        <w:tc>
          <w:tcPr>
            <w:tcW w:w="6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14,606</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(Benefit) provision benefit for income taxes</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(3,357 )</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(6,051 )</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1,109</w:t>
            </w: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6,183</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35,547</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080" w:type="dxa"/>
            <w:vAlign w:val="bottom"/>
          </w:tcPr>
          <w:p>
            <w:pPr>
              <w:ind w:left="20"/>
              <w:spacing w:after="0"/>
              <w:rPr>
                <w:sz w:val="20"/>
                <w:szCs w:val="20"/>
                <w:color w:val="auto"/>
              </w:rPr>
            </w:pPr>
            <w:r>
              <w:rPr>
                <w:rFonts w:ascii="Arial" w:cs="Arial" w:eastAsia="Arial" w:hAnsi="Arial"/>
                <w:sz w:val="18"/>
                <w:szCs w:val="18"/>
                <w:color w:val="auto"/>
                <w:w w:val="98"/>
              </w:rPr>
              <w:t>Income (loss) before change in accounting principle</w:t>
            </w:r>
          </w:p>
        </w:tc>
        <w:tc>
          <w:tcPr>
            <w:tcW w:w="84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1,293</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(6,436</w:t>
            </w:r>
          </w:p>
        </w:tc>
        <w:tc>
          <w:tcPr>
            <w:tcW w:w="20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40" w:type="dxa"/>
            <w:vAlign w:val="bottom"/>
            <w:tcBorders>
              <w:top w:val="single" w:sz="8" w:color="auto"/>
            </w:tcBorders>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(140,585</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4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(114,427</w:t>
            </w:r>
          </w:p>
        </w:tc>
        <w:tc>
          <w:tcPr>
            <w:tcW w:w="200" w:type="dxa"/>
            <w:vAlign w:val="bottom"/>
            <w:gridSpan w:val="2"/>
          </w:tcPr>
          <w:p>
            <w:pPr>
              <w:jc w:val="right"/>
              <w:ind w:right="120"/>
              <w:spacing w:after="0"/>
              <w:rPr>
                <w:sz w:val="20"/>
                <w:szCs w:val="20"/>
                <w:color w:val="auto"/>
              </w:rPr>
            </w:pPr>
            <w:r>
              <w:rPr>
                <w:rFonts w:ascii="Arial" w:cs="Arial" w:eastAsia="Arial" w:hAnsi="Arial"/>
                <w:sz w:val="18"/>
                <w:szCs w:val="18"/>
                <w:color w:val="auto"/>
                <w:w w:val="99"/>
              </w:rPr>
              <w:t>)</w:t>
            </w:r>
          </w:p>
        </w:tc>
        <w:tc>
          <w:tcPr>
            <w:tcW w:w="6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(20,941</w:t>
            </w:r>
          </w:p>
        </w:tc>
        <w:tc>
          <w:tcPr>
            <w:tcW w:w="14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8"/>
                <w:szCs w:val="18"/>
                <w:color w:val="auto"/>
              </w:rPr>
            </w:pPr>
          </w:p>
        </w:tc>
      </w:tr>
      <w:tr>
        <w:trPr>
          <w:trHeight w:val="202"/>
        </w:trPr>
        <w:tc>
          <w:tcPr>
            <w:tcW w:w="4080" w:type="dxa"/>
            <w:vAlign w:val="bottom"/>
            <w:shd w:val="clear" w:color="auto" w:fill="CCEEFF"/>
          </w:tcPr>
          <w:p>
            <w:pPr>
              <w:ind w:left="20"/>
              <w:spacing w:after="0" w:line="201" w:lineRule="exact"/>
              <w:rPr>
                <w:sz w:val="20"/>
                <w:szCs w:val="20"/>
                <w:color w:val="auto"/>
              </w:rPr>
            </w:pPr>
            <w:r>
              <w:rPr>
                <w:rFonts w:ascii="Arial" w:cs="Arial" w:eastAsia="Arial" w:hAnsi="Arial"/>
                <w:sz w:val="18"/>
                <w:szCs w:val="18"/>
                <w:color w:val="auto"/>
              </w:rPr>
              <w:t>Cumulative effect of change in accounting</w:t>
            </w:r>
          </w:p>
        </w:tc>
        <w:tc>
          <w:tcPr>
            <w:tcW w:w="8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40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principle, net of tax effect</w:t>
            </w:r>
          </w:p>
        </w:tc>
        <w:tc>
          <w:tcPr>
            <w:tcW w:w="8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0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8,846</w:t>
            </w:r>
          </w:p>
        </w:tc>
        <w:tc>
          <w:tcPr>
            <w:tcW w:w="140" w:type="dxa"/>
            <w:vAlign w:val="bottom"/>
            <w:shd w:val="clear" w:color="auto" w:fill="CCEEFF"/>
          </w:tcPr>
          <w:p>
            <w:pPr>
              <w:spacing w:after="0"/>
              <w:rPr>
                <w:sz w:val="20"/>
                <w:szCs w:val="20"/>
                <w:color w:val="auto"/>
              </w:rPr>
            </w:pPr>
          </w:p>
        </w:tc>
        <w:tc>
          <w:tcPr>
            <w:tcW w:w="40" w:type="dxa"/>
            <w:vAlign w:val="bottom"/>
          </w:tcPr>
          <w:p>
            <w:pPr>
              <w:spacing w:after="0"/>
              <w:rPr>
                <w:sz w:val="20"/>
                <w:szCs w:val="20"/>
                <w:color w:val="auto"/>
              </w:rPr>
            </w:pPr>
          </w:p>
        </w:tc>
      </w:tr>
      <w:tr>
        <w:trPr>
          <w:trHeight w:val="217"/>
        </w:trPr>
        <w:tc>
          <w:tcPr>
            <w:tcW w:w="40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Net income (loss)</w:t>
            </w:r>
          </w:p>
        </w:tc>
        <w:tc>
          <w:tcPr>
            <w:tcW w:w="84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tcBorders>
              <w:top w:val="single" w:sz="8" w:color="auto"/>
              <w:bottom w:val="single" w:sz="8" w:color="auto"/>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1,293</w:t>
            </w:r>
          </w:p>
        </w:tc>
        <w:tc>
          <w:tcPr>
            <w:tcW w:w="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tcBorders>
              <w:top w:val="single" w:sz="8" w:color="auto"/>
              <w:bottom w:val="single" w:sz="8" w:color="auto"/>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(6,436</w:t>
            </w:r>
          </w:p>
        </w:tc>
        <w:tc>
          <w:tcPr>
            <w:tcW w:w="200" w:type="dxa"/>
            <w:vAlign w:val="bottom"/>
            <w:tcBorders>
              <w:bottom w:val="single" w:sz="8" w:color="CCEEFF"/>
            </w:tcBorders>
          </w:tcPr>
          <w:p>
            <w:pPr>
              <w:jc w:val="right"/>
              <w:ind w:right="30"/>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gridSpan w:val="2"/>
          </w:tcPr>
          <w:p>
            <w:pPr>
              <w:jc w:val="right"/>
              <w:ind w:right="80"/>
              <w:spacing w:after="0"/>
              <w:rPr>
                <w:sz w:val="20"/>
                <w:szCs w:val="20"/>
                <w:color w:val="auto"/>
              </w:rPr>
            </w:pPr>
            <w:r>
              <w:rPr>
                <w:rFonts w:ascii="Arial" w:cs="Arial" w:eastAsia="Arial" w:hAnsi="Arial"/>
                <w:sz w:val="18"/>
                <w:szCs w:val="18"/>
                <w:color w:val="auto"/>
                <w:w w:val="79"/>
              </w:rPr>
              <w:t>$</w:t>
            </w:r>
          </w:p>
        </w:tc>
        <w:tc>
          <w:tcPr>
            <w:tcW w:w="40" w:type="dxa"/>
            <w:vAlign w:val="bottom"/>
            <w:tcBorders>
              <w:top w:val="single" w:sz="8" w:color="auto"/>
              <w:bottom w:val="single" w:sz="8" w:color="auto"/>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(140,585</w:t>
            </w: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99"/>
              </w:rPr>
              <w:t>)</w:t>
            </w:r>
          </w:p>
        </w:tc>
        <w:tc>
          <w:tcPr>
            <w:tcW w:w="4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Borders>
              <w:top w:val="single" w:sz="8" w:color="auto"/>
              <w:bottom w:val="single" w:sz="8" w:color="auto"/>
            </w:tcBorders>
          </w:tcPr>
          <w:p>
            <w:pPr>
              <w:spacing w:after="0"/>
              <w:rPr>
                <w:sz w:val="18"/>
                <w:szCs w:val="18"/>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(114,427</w:t>
            </w:r>
          </w:p>
        </w:tc>
        <w:tc>
          <w:tcPr>
            <w:tcW w:w="200" w:type="dxa"/>
            <w:vAlign w:val="bottom"/>
            <w:tcBorders>
              <w:bottom w:val="single" w:sz="8" w:color="CCEEFF"/>
            </w:tcBorders>
            <w:gridSpan w:val="2"/>
          </w:tcPr>
          <w:p>
            <w:pPr>
              <w:jc w:val="right"/>
              <w:ind w:right="120"/>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(12,095</w:t>
            </w: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
              <w:spacing w:after="0"/>
              <w:rPr>
                <w:sz w:val="20"/>
                <w:szCs w:val="20"/>
                <w:color w:val="auto"/>
              </w:rPr>
            </w:pPr>
            <w:r>
              <w:rPr>
                <w:rFonts w:ascii="Arial" w:cs="Arial" w:eastAsia="Arial" w:hAnsi="Arial"/>
                <w:sz w:val="18"/>
                <w:szCs w:val="18"/>
                <w:color w:val="auto"/>
              </w:rPr>
              <w:t>Basic net income (loss) per share:</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02"/>
        </w:trPr>
        <w:tc>
          <w:tcPr>
            <w:tcW w:w="4080" w:type="dxa"/>
            <w:vAlign w:val="bottom"/>
            <w:shd w:val="clear" w:color="auto" w:fill="CCEEFF"/>
          </w:tcPr>
          <w:p>
            <w:pPr>
              <w:ind w:left="200"/>
              <w:spacing w:after="0" w:line="201" w:lineRule="exact"/>
              <w:rPr>
                <w:sz w:val="20"/>
                <w:szCs w:val="20"/>
                <w:color w:val="auto"/>
              </w:rPr>
            </w:pPr>
            <w:r>
              <w:rPr>
                <w:rFonts w:ascii="Arial" w:cs="Arial" w:eastAsia="Arial" w:hAnsi="Arial"/>
                <w:sz w:val="18"/>
                <w:szCs w:val="18"/>
                <w:color w:val="auto"/>
              </w:rPr>
              <w:t>Income (loss) before change in accounting</w:t>
            </w:r>
          </w:p>
        </w:tc>
        <w:tc>
          <w:tcPr>
            <w:tcW w:w="8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4080" w:type="dxa"/>
            <w:vAlign w:val="bottom"/>
            <w:shd w:val="clear" w:color="auto" w:fill="CCEEFF"/>
          </w:tcPr>
          <w:p>
            <w:pPr>
              <w:ind w:left="380"/>
              <w:spacing w:after="0"/>
              <w:rPr>
                <w:sz w:val="20"/>
                <w:szCs w:val="20"/>
                <w:color w:val="auto"/>
              </w:rPr>
            </w:pPr>
            <w:r>
              <w:rPr>
                <w:rFonts w:ascii="Arial" w:cs="Arial" w:eastAsia="Arial" w:hAnsi="Arial"/>
                <w:sz w:val="18"/>
                <w:szCs w:val="18"/>
                <w:color w:val="auto"/>
              </w:rPr>
              <w:t>principle, net of tax effect</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80" w:type="dxa"/>
            <w:vAlign w:val="bottom"/>
            <w:shd w:val="clear" w:color="auto" w:fill="CCEEFF"/>
          </w:tcPr>
          <w:p>
            <w:pPr>
              <w:spacing w:after="0"/>
              <w:rPr>
                <w:sz w:val="20"/>
                <w:szCs w:val="20"/>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0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(0.01 )</w:t>
            </w:r>
          </w:p>
        </w:tc>
        <w:tc>
          <w:tcPr>
            <w:tcW w:w="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w:t>
            </w:r>
          </w:p>
        </w:tc>
        <w:tc>
          <w:tcPr>
            <w:tcW w:w="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(0.24 )</w:t>
            </w:r>
          </w:p>
        </w:tc>
        <w:tc>
          <w:tcPr>
            <w:tcW w:w="40" w:type="dxa"/>
            <w:vAlign w:val="bottom"/>
            <w:shd w:val="clear" w:color="auto" w:fill="CCEEFF"/>
          </w:tcPr>
          <w:p>
            <w:pPr>
              <w:spacing w:after="0"/>
              <w:rPr>
                <w:sz w:val="20"/>
                <w:szCs w:val="20"/>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shd w:val="clear" w:color="auto" w:fill="CCEEFF"/>
          </w:tcPr>
          <w:p>
            <w:pPr>
              <w:spacing w:after="0"/>
              <w:rPr>
                <w:sz w:val="20"/>
                <w:szCs w:val="20"/>
                <w:color w:val="auto"/>
              </w:rPr>
            </w:pPr>
          </w:p>
        </w:tc>
        <w:tc>
          <w:tcPr>
            <w:tcW w:w="10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(0.19 )</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(0.04 )</w:t>
            </w:r>
          </w:p>
        </w:tc>
        <w:tc>
          <w:tcPr>
            <w:tcW w:w="40" w:type="dxa"/>
            <w:vAlign w:val="bottom"/>
          </w:tcPr>
          <w:p>
            <w:pPr>
              <w:spacing w:after="0"/>
              <w:rPr>
                <w:sz w:val="20"/>
                <w:szCs w:val="20"/>
                <w:color w:val="auto"/>
              </w:rPr>
            </w:pPr>
          </w:p>
        </w:tc>
      </w:tr>
      <w:tr>
        <w:trPr>
          <w:trHeight w:val="202"/>
        </w:trPr>
        <w:tc>
          <w:tcPr>
            <w:tcW w:w="4080" w:type="dxa"/>
            <w:vAlign w:val="bottom"/>
          </w:tcPr>
          <w:p>
            <w:pPr>
              <w:ind w:left="200"/>
              <w:spacing w:after="0" w:line="201" w:lineRule="exact"/>
              <w:rPr>
                <w:sz w:val="20"/>
                <w:szCs w:val="20"/>
                <w:color w:val="auto"/>
              </w:rPr>
            </w:pPr>
            <w:r>
              <w:rPr>
                <w:rFonts w:ascii="Arial" w:cs="Arial" w:eastAsia="Arial" w:hAnsi="Arial"/>
                <w:sz w:val="18"/>
                <w:szCs w:val="18"/>
                <w:color w:val="auto"/>
              </w:rPr>
              <w:t>Cumulative effect of change in accounting</w:t>
            </w:r>
          </w:p>
        </w:tc>
        <w:tc>
          <w:tcPr>
            <w:tcW w:w="8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4080" w:type="dxa"/>
            <w:vAlign w:val="bottom"/>
          </w:tcPr>
          <w:p>
            <w:pPr>
              <w:ind w:left="380"/>
              <w:spacing w:after="0"/>
              <w:rPr>
                <w:sz w:val="20"/>
                <w:szCs w:val="20"/>
                <w:color w:val="auto"/>
              </w:rPr>
            </w:pPr>
            <w:r>
              <w:rPr>
                <w:rFonts w:ascii="Arial" w:cs="Arial" w:eastAsia="Arial" w:hAnsi="Arial"/>
                <w:sz w:val="18"/>
                <w:szCs w:val="18"/>
                <w:color w:val="auto"/>
              </w:rPr>
              <w:t>principle, net of tax effect</w:t>
            </w:r>
          </w:p>
        </w:tc>
        <w:tc>
          <w:tcPr>
            <w:tcW w:w="8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4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0.02</w:t>
            </w: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230"/>
        </w:trPr>
        <w:tc>
          <w:tcPr>
            <w:tcW w:w="40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Basic net income (loss) per share</w:t>
            </w:r>
          </w:p>
        </w:tc>
        <w:tc>
          <w:tcPr>
            <w:tcW w:w="84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tcBorders>
              <w:top w:val="single" w:sz="8" w:color="auto"/>
              <w:bottom w:val="single" w:sz="8" w:color="auto"/>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tcBorders>
              <w:top w:val="single" w:sz="8" w:color="auto"/>
              <w:bottom w:val="single" w:sz="8" w:color="auto"/>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spacing w:after="0"/>
              <w:rPr>
                <w:sz w:val="19"/>
                <w:szCs w:val="19"/>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200" w:type="dxa"/>
            <w:vAlign w:val="bottom"/>
            <w:tcBorders>
              <w:top w:val="single" w:sz="8" w:color="CCEEFF"/>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w:t>
            </w:r>
          </w:p>
        </w:tc>
        <w:tc>
          <w:tcPr>
            <w:tcW w:w="40" w:type="dxa"/>
            <w:vAlign w:val="bottom"/>
            <w:tcBorders>
              <w:top w:val="single" w:sz="8" w:color="auto"/>
              <w:bottom w:val="single" w:sz="8" w:color="auto"/>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spacing w:after="0"/>
              <w:rPr>
                <w:sz w:val="19"/>
                <w:szCs w:val="19"/>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00" w:type="dxa"/>
            <w:vAlign w:val="bottom"/>
            <w:tcBorders>
              <w:top w:val="single" w:sz="8" w:color="CCEEFF"/>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(0.02</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r>
      <w:tr>
        <w:trPr>
          <w:trHeight w:val="203"/>
        </w:trPr>
        <w:tc>
          <w:tcPr>
            <w:tcW w:w="4080" w:type="dxa"/>
            <w:vAlign w:val="bottom"/>
          </w:tcPr>
          <w:p>
            <w:pPr>
              <w:ind w:left="20"/>
              <w:spacing w:after="0" w:line="203" w:lineRule="exact"/>
              <w:rPr>
                <w:sz w:val="20"/>
                <w:szCs w:val="20"/>
                <w:color w:val="auto"/>
              </w:rPr>
            </w:pPr>
            <w:r>
              <w:rPr>
                <w:rFonts w:ascii="Arial" w:cs="Arial" w:eastAsia="Arial" w:hAnsi="Arial"/>
                <w:sz w:val="18"/>
                <w:szCs w:val="18"/>
                <w:color w:val="auto"/>
              </w:rPr>
              <w:t>Shares used in basic per share computation</w:t>
            </w:r>
          </w:p>
        </w:tc>
        <w:tc>
          <w:tcPr>
            <w:tcW w:w="8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jc w:val="right"/>
              <w:spacing w:after="0" w:line="203" w:lineRule="exact"/>
              <w:rPr>
                <w:sz w:val="20"/>
                <w:szCs w:val="20"/>
                <w:color w:val="auto"/>
              </w:rPr>
            </w:pPr>
            <w:r>
              <w:rPr>
                <w:rFonts w:ascii="Arial" w:cs="Arial" w:eastAsia="Arial" w:hAnsi="Arial"/>
                <w:sz w:val="18"/>
                <w:szCs w:val="18"/>
                <w:color w:val="auto"/>
                <w:w w:val="92"/>
              </w:rPr>
              <w:t>595,512</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jc w:val="right"/>
              <w:spacing w:after="0" w:line="203" w:lineRule="exact"/>
              <w:rPr>
                <w:sz w:val="20"/>
                <w:szCs w:val="20"/>
                <w:color w:val="auto"/>
              </w:rPr>
            </w:pPr>
            <w:r>
              <w:rPr>
                <w:rFonts w:ascii="Arial" w:cs="Arial" w:eastAsia="Arial" w:hAnsi="Arial"/>
                <w:sz w:val="18"/>
                <w:szCs w:val="18"/>
                <w:color w:val="auto"/>
              </w:rPr>
              <w:t>590,759</w:t>
            </w:r>
          </w:p>
        </w:tc>
        <w:tc>
          <w:tcPr>
            <w:tcW w:w="2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Arial" w:cs="Arial" w:eastAsia="Arial" w:hAnsi="Arial"/>
                <w:sz w:val="18"/>
                <w:szCs w:val="18"/>
                <w:color w:val="auto"/>
              </w:rPr>
              <w:t>587,424</w:t>
            </w: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40" w:type="dxa"/>
            <w:vAlign w:val="bottom"/>
          </w:tcPr>
          <w:p>
            <w:pPr>
              <w:jc w:val="right"/>
              <w:spacing w:after="0" w:line="203" w:lineRule="exact"/>
              <w:rPr>
                <w:sz w:val="20"/>
                <w:szCs w:val="20"/>
                <w:color w:val="auto"/>
              </w:rPr>
            </w:pPr>
            <w:r>
              <w:rPr>
                <w:rFonts w:ascii="Arial" w:cs="Arial" w:eastAsia="Arial" w:hAnsi="Arial"/>
                <w:sz w:val="18"/>
                <w:szCs w:val="18"/>
                <w:color w:val="auto"/>
              </w:rPr>
              <w:t>590,308</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gridSpan w:val="2"/>
          </w:tcPr>
          <w:p>
            <w:pPr>
              <w:jc w:val="right"/>
              <w:ind w:right="20"/>
              <w:spacing w:after="0" w:line="203" w:lineRule="exact"/>
              <w:rPr>
                <w:sz w:val="20"/>
                <w:szCs w:val="20"/>
                <w:color w:val="auto"/>
              </w:rPr>
            </w:pPr>
            <w:r>
              <w:rPr>
                <w:rFonts w:ascii="Arial" w:cs="Arial" w:eastAsia="Arial" w:hAnsi="Arial"/>
                <w:sz w:val="18"/>
                <w:szCs w:val="18"/>
                <w:color w:val="auto"/>
              </w:rPr>
              <w:t>586,152</w:t>
            </w: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16"/>
        </w:trPr>
        <w:tc>
          <w:tcPr>
            <w:tcW w:w="40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
              <w:spacing w:after="0"/>
              <w:rPr>
                <w:sz w:val="20"/>
                <w:szCs w:val="20"/>
                <w:color w:val="auto"/>
              </w:rPr>
            </w:pPr>
            <w:r>
              <w:rPr>
                <w:rFonts w:ascii="Arial" w:cs="Arial" w:eastAsia="Arial" w:hAnsi="Arial"/>
                <w:sz w:val="18"/>
                <w:szCs w:val="18"/>
                <w:color w:val="auto"/>
              </w:rPr>
              <w:t>Diluted net income (loss) per share:</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02"/>
        </w:trPr>
        <w:tc>
          <w:tcPr>
            <w:tcW w:w="4080" w:type="dxa"/>
            <w:vAlign w:val="bottom"/>
            <w:shd w:val="clear" w:color="auto" w:fill="CCEEFF"/>
          </w:tcPr>
          <w:p>
            <w:pPr>
              <w:ind w:left="200"/>
              <w:spacing w:after="0" w:line="201" w:lineRule="exact"/>
              <w:rPr>
                <w:sz w:val="20"/>
                <w:szCs w:val="20"/>
                <w:color w:val="auto"/>
              </w:rPr>
            </w:pPr>
            <w:r>
              <w:rPr>
                <w:rFonts w:ascii="Arial" w:cs="Arial" w:eastAsia="Arial" w:hAnsi="Arial"/>
                <w:sz w:val="18"/>
                <w:szCs w:val="18"/>
                <w:color w:val="auto"/>
              </w:rPr>
              <w:t>Income (loss) before change in accounting</w:t>
            </w:r>
          </w:p>
        </w:tc>
        <w:tc>
          <w:tcPr>
            <w:tcW w:w="8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4080" w:type="dxa"/>
            <w:vAlign w:val="bottom"/>
            <w:shd w:val="clear" w:color="auto" w:fill="CCEEFF"/>
          </w:tcPr>
          <w:p>
            <w:pPr>
              <w:ind w:left="380"/>
              <w:spacing w:after="0"/>
              <w:rPr>
                <w:sz w:val="20"/>
                <w:szCs w:val="20"/>
                <w:color w:val="auto"/>
              </w:rPr>
            </w:pPr>
            <w:r>
              <w:rPr>
                <w:rFonts w:ascii="Arial" w:cs="Arial" w:eastAsia="Arial" w:hAnsi="Arial"/>
                <w:sz w:val="18"/>
                <w:szCs w:val="18"/>
                <w:color w:val="auto"/>
              </w:rPr>
              <w:t>principle, net of tax effect</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80" w:type="dxa"/>
            <w:vAlign w:val="bottom"/>
            <w:shd w:val="clear" w:color="auto" w:fill="CCEEFF"/>
          </w:tcPr>
          <w:p>
            <w:pPr>
              <w:spacing w:after="0"/>
              <w:rPr>
                <w:sz w:val="20"/>
                <w:szCs w:val="20"/>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0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(0.01 )</w:t>
            </w:r>
          </w:p>
        </w:tc>
        <w:tc>
          <w:tcPr>
            <w:tcW w:w="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w:t>
            </w:r>
          </w:p>
        </w:tc>
        <w:tc>
          <w:tcPr>
            <w:tcW w:w="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(0.24 )</w:t>
            </w:r>
          </w:p>
        </w:tc>
        <w:tc>
          <w:tcPr>
            <w:tcW w:w="40" w:type="dxa"/>
            <w:vAlign w:val="bottom"/>
            <w:shd w:val="clear" w:color="auto" w:fill="CCEEFF"/>
          </w:tcPr>
          <w:p>
            <w:pPr>
              <w:spacing w:after="0"/>
              <w:rPr>
                <w:sz w:val="20"/>
                <w:szCs w:val="20"/>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shd w:val="clear" w:color="auto" w:fill="CCEEFF"/>
          </w:tcPr>
          <w:p>
            <w:pPr>
              <w:spacing w:after="0"/>
              <w:rPr>
                <w:sz w:val="20"/>
                <w:szCs w:val="20"/>
                <w:color w:val="auto"/>
              </w:rPr>
            </w:pPr>
          </w:p>
        </w:tc>
        <w:tc>
          <w:tcPr>
            <w:tcW w:w="10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(0.19 )</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(0.04 )</w:t>
            </w:r>
          </w:p>
        </w:tc>
        <w:tc>
          <w:tcPr>
            <w:tcW w:w="40" w:type="dxa"/>
            <w:vAlign w:val="bottom"/>
          </w:tcPr>
          <w:p>
            <w:pPr>
              <w:spacing w:after="0"/>
              <w:rPr>
                <w:sz w:val="20"/>
                <w:szCs w:val="20"/>
                <w:color w:val="auto"/>
              </w:rPr>
            </w:pPr>
          </w:p>
        </w:tc>
      </w:tr>
      <w:tr>
        <w:trPr>
          <w:trHeight w:val="202"/>
        </w:trPr>
        <w:tc>
          <w:tcPr>
            <w:tcW w:w="4080" w:type="dxa"/>
            <w:vAlign w:val="bottom"/>
          </w:tcPr>
          <w:p>
            <w:pPr>
              <w:ind w:left="200"/>
              <w:spacing w:after="0" w:line="201" w:lineRule="exact"/>
              <w:rPr>
                <w:sz w:val="20"/>
                <w:szCs w:val="20"/>
                <w:color w:val="auto"/>
              </w:rPr>
            </w:pPr>
            <w:r>
              <w:rPr>
                <w:rFonts w:ascii="Arial" w:cs="Arial" w:eastAsia="Arial" w:hAnsi="Arial"/>
                <w:sz w:val="18"/>
                <w:szCs w:val="18"/>
                <w:color w:val="auto"/>
              </w:rPr>
              <w:t>Cumulative effect of change in accounting</w:t>
            </w:r>
          </w:p>
        </w:tc>
        <w:tc>
          <w:tcPr>
            <w:tcW w:w="8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4080" w:type="dxa"/>
            <w:vAlign w:val="bottom"/>
          </w:tcPr>
          <w:p>
            <w:pPr>
              <w:ind w:left="380"/>
              <w:spacing w:after="0"/>
              <w:rPr>
                <w:sz w:val="20"/>
                <w:szCs w:val="20"/>
                <w:color w:val="auto"/>
              </w:rPr>
            </w:pPr>
            <w:r>
              <w:rPr>
                <w:rFonts w:ascii="Arial" w:cs="Arial" w:eastAsia="Arial" w:hAnsi="Arial"/>
                <w:sz w:val="18"/>
                <w:szCs w:val="18"/>
                <w:color w:val="auto"/>
              </w:rPr>
              <w:t>principle, net of tax effect</w:t>
            </w:r>
          </w:p>
        </w:tc>
        <w:tc>
          <w:tcPr>
            <w:tcW w:w="8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4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0.02</w:t>
            </w: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230"/>
        </w:trPr>
        <w:tc>
          <w:tcPr>
            <w:tcW w:w="40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Diluted net income (loss) per share</w:t>
            </w:r>
          </w:p>
        </w:tc>
        <w:tc>
          <w:tcPr>
            <w:tcW w:w="84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tcBorders>
              <w:top w:val="single" w:sz="8" w:color="auto"/>
              <w:bottom w:val="single" w:sz="8" w:color="auto"/>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tcBorders>
              <w:top w:val="single" w:sz="8" w:color="auto"/>
              <w:bottom w:val="single" w:sz="8" w:color="auto"/>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spacing w:after="0"/>
              <w:rPr>
                <w:sz w:val="19"/>
                <w:szCs w:val="19"/>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200" w:type="dxa"/>
            <w:vAlign w:val="bottom"/>
            <w:tcBorders>
              <w:top w:val="single" w:sz="8" w:color="CCEEFF"/>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w:t>
            </w:r>
          </w:p>
        </w:tc>
        <w:tc>
          <w:tcPr>
            <w:tcW w:w="40" w:type="dxa"/>
            <w:vAlign w:val="bottom"/>
            <w:tcBorders>
              <w:top w:val="single" w:sz="8" w:color="auto"/>
              <w:bottom w:val="single" w:sz="8" w:color="auto"/>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spacing w:after="0"/>
              <w:rPr>
                <w:sz w:val="19"/>
                <w:szCs w:val="19"/>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00" w:type="dxa"/>
            <w:vAlign w:val="bottom"/>
            <w:tcBorders>
              <w:top w:val="single" w:sz="8" w:color="CCEEFF"/>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(0.02</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r>
      <w:tr>
        <w:trPr>
          <w:trHeight w:val="203"/>
        </w:trPr>
        <w:tc>
          <w:tcPr>
            <w:tcW w:w="4080" w:type="dxa"/>
            <w:vAlign w:val="bottom"/>
          </w:tcPr>
          <w:p>
            <w:pPr>
              <w:ind w:left="20"/>
              <w:spacing w:after="0" w:line="203" w:lineRule="exact"/>
              <w:rPr>
                <w:sz w:val="20"/>
                <w:szCs w:val="20"/>
                <w:color w:val="auto"/>
              </w:rPr>
            </w:pPr>
            <w:r>
              <w:rPr>
                <w:rFonts w:ascii="Arial" w:cs="Arial" w:eastAsia="Arial" w:hAnsi="Arial"/>
                <w:sz w:val="18"/>
                <w:szCs w:val="18"/>
                <w:color w:val="auto"/>
              </w:rPr>
              <w:t>Shares used in diluted per share computation</w:t>
            </w:r>
          </w:p>
        </w:tc>
        <w:tc>
          <w:tcPr>
            <w:tcW w:w="8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jc w:val="right"/>
              <w:spacing w:after="0" w:line="203" w:lineRule="exact"/>
              <w:rPr>
                <w:sz w:val="20"/>
                <w:szCs w:val="20"/>
                <w:color w:val="auto"/>
              </w:rPr>
            </w:pPr>
            <w:r>
              <w:rPr>
                <w:rFonts w:ascii="Arial" w:cs="Arial" w:eastAsia="Arial" w:hAnsi="Arial"/>
                <w:sz w:val="18"/>
                <w:szCs w:val="18"/>
                <w:color w:val="auto"/>
                <w:w w:val="92"/>
              </w:rPr>
              <w:t>626,699</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jc w:val="right"/>
              <w:spacing w:after="0" w:line="203" w:lineRule="exact"/>
              <w:rPr>
                <w:sz w:val="20"/>
                <w:szCs w:val="20"/>
                <w:color w:val="auto"/>
              </w:rPr>
            </w:pPr>
            <w:r>
              <w:rPr>
                <w:rFonts w:ascii="Arial" w:cs="Arial" w:eastAsia="Arial" w:hAnsi="Arial"/>
                <w:sz w:val="18"/>
                <w:szCs w:val="18"/>
                <w:color w:val="auto"/>
              </w:rPr>
              <w:t>590,759</w:t>
            </w:r>
          </w:p>
        </w:tc>
        <w:tc>
          <w:tcPr>
            <w:tcW w:w="2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Arial" w:cs="Arial" w:eastAsia="Arial" w:hAnsi="Arial"/>
                <w:sz w:val="18"/>
                <w:szCs w:val="18"/>
                <w:color w:val="auto"/>
              </w:rPr>
              <w:t>587,424</w:t>
            </w: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40" w:type="dxa"/>
            <w:vAlign w:val="bottom"/>
          </w:tcPr>
          <w:p>
            <w:pPr>
              <w:jc w:val="right"/>
              <w:spacing w:after="0" w:line="203" w:lineRule="exact"/>
              <w:rPr>
                <w:sz w:val="20"/>
                <w:szCs w:val="20"/>
                <w:color w:val="auto"/>
              </w:rPr>
            </w:pPr>
            <w:r>
              <w:rPr>
                <w:rFonts w:ascii="Arial" w:cs="Arial" w:eastAsia="Arial" w:hAnsi="Arial"/>
                <w:sz w:val="18"/>
                <w:szCs w:val="18"/>
                <w:color w:val="auto"/>
              </w:rPr>
              <w:t>590,308</w:t>
            </w: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gridSpan w:val="2"/>
          </w:tcPr>
          <w:p>
            <w:pPr>
              <w:jc w:val="right"/>
              <w:ind w:right="20"/>
              <w:spacing w:after="0" w:line="203" w:lineRule="exact"/>
              <w:rPr>
                <w:sz w:val="20"/>
                <w:szCs w:val="20"/>
                <w:color w:val="auto"/>
              </w:rPr>
            </w:pPr>
            <w:r>
              <w:rPr>
                <w:rFonts w:ascii="Arial" w:cs="Arial" w:eastAsia="Arial" w:hAnsi="Arial"/>
                <w:sz w:val="18"/>
                <w:szCs w:val="18"/>
                <w:color w:val="auto"/>
              </w:rPr>
              <w:t>586,152</w:t>
            </w: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16"/>
        </w:trPr>
        <w:tc>
          <w:tcPr>
            <w:tcW w:w="40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
              <w:spacing w:after="0"/>
              <w:rPr>
                <w:sz w:val="20"/>
                <w:szCs w:val="20"/>
                <w:color w:val="auto"/>
              </w:rPr>
            </w:pPr>
            <w:r>
              <w:rPr>
                <w:rFonts w:ascii="Arial" w:cs="Arial" w:eastAsia="Arial" w:hAnsi="Arial"/>
                <w:sz w:val="18"/>
                <w:szCs w:val="18"/>
                <w:color w:val="auto"/>
              </w:rPr>
              <w:t>(a) Write-off of acquired intangible assets</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7,232</w:t>
            </w:r>
          </w:p>
        </w:tc>
        <w:tc>
          <w:tcPr>
            <w:tcW w:w="8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180" w:type="dxa"/>
            <w:vAlign w:val="bottom"/>
            <w:gridSpan w:val="2"/>
          </w:tcPr>
          <w:p>
            <w:pPr>
              <w:jc w:val="right"/>
              <w:ind w:right="80"/>
              <w:spacing w:after="0"/>
              <w:rPr>
                <w:sz w:val="20"/>
                <w:szCs w:val="20"/>
                <w:color w:val="auto"/>
              </w:rPr>
            </w:pPr>
            <w:r>
              <w:rPr>
                <w:rFonts w:ascii="Arial" w:cs="Arial" w:eastAsia="Arial" w:hAnsi="Arial"/>
                <w:sz w:val="18"/>
                <w:szCs w:val="18"/>
                <w:color w:val="auto"/>
                <w:w w:val="79"/>
              </w:rPr>
              <w:t>$</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7,232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3"/>
          </w:tcPr>
          <w:p>
            <w:pPr>
              <w:jc w:val="right"/>
              <w:ind w:right="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(b) Consists of:</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0"/>
              <w:spacing w:after="0"/>
              <w:rPr>
                <w:sz w:val="20"/>
                <w:szCs w:val="20"/>
                <w:color w:val="auto"/>
              </w:rPr>
            </w:pPr>
            <w:r>
              <w:rPr>
                <w:rFonts w:ascii="Arial" w:cs="Arial" w:eastAsia="Arial" w:hAnsi="Arial"/>
                <w:sz w:val="18"/>
                <w:szCs w:val="18"/>
                <w:color w:val="auto"/>
              </w:rPr>
              <w:t>Interest expense on term loan and capital lease</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(8,898 )</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gridSpan w:val="2"/>
          </w:tcPr>
          <w:p>
            <w:pPr>
              <w:jc w:val="right"/>
              <w:ind w:right="30"/>
              <w:spacing w:after="0"/>
              <w:rPr>
                <w:sz w:val="20"/>
                <w:szCs w:val="20"/>
                <w:color w:val="auto"/>
              </w:rPr>
            </w:pPr>
            <w:r>
              <w:rPr>
                <w:rFonts w:ascii="Arial" w:cs="Arial" w:eastAsia="Arial" w:hAnsi="Arial"/>
                <w:sz w:val="18"/>
                <w:szCs w:val="18"/>
                <w:color w:val="auto"/>
              </w:rPr>
              <w:t>(8,873 )</w:t>
            </w:r>
          </w:p>
        </w:tc>
        <w:tc>
          <w:tcPr>
            <w:tcW w:w="180" w:type="dxa"/>
            <w:vAlign w:val="bottom"/>
            <w:gridSpan w:val="2"/>
          </w:tcPr>
          <w:p>
            <w:pPr>
              <w:jc w:val="right"/>
              <w:ind w:right="80"/>
              <w:spacing w:after="0"/>
              <w:rPr>
                <w:sz w:val="20"/>
                <w:szCs w:val="20"/>
                <w:color w:val="auto"/>
              </w:rPr>
            </w:pPr>
            <w:r>
              <w:rPr>
                <w:rFonts w:ascii="Arial" w:cs="Arial" w:eastAsia="Arial" w:hAnsi="Arial"/>
                <w:sz w:val="18"/>
                <w:szCs w:val="18"/>
                <w:color w:val="auto"/>
                <w:w w:val="79"/>
              </w:rPr>
              <w:t>$</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(8,253 )</w:t>
            </w:r>
          </w:p>
        </w:tc>
        <w:tc>
          <w:tcPr>
            <w:tcW w:w="4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Pr>
          <w:p>
            <w:pPr>
              <w:spacing w:after="0"/>
              <w:rPr>
                <w:sz w:val="18"/>
                <w:szCs w:val="18"/>
                <w:color w:val="auto"/>
              </w:rPr>
            </w:pPr>
          </w:p>
        </w:tc>
        <w:tc>
          <w:tcPr>
            <w:tcW w:w="1040" w:type="dxa"/>
            <w:vAlign w:val="bottom"/>
            <w:gridSpan w:val="3"/>
          </w:tcPr>
          <w:p>
            <w:pPr>
              <w:jc w:val="right"/>
              <w:ind w:right="120"/>
              <w:spacing w:after="0"/>
              <w:rPr>
                <w:sz w:val="20"/>
                <w:szCs w:val="20"/>
                <w:color w:val="auto"/>
              </w:rPr>
            </w:pPr>
            <w:r>
              <w:rPr>
                <w:rFonts w:ascii="Arial" w:cs="Arial" w:eastAsia="Arial" w:hAnsi="Arial"/>
                <w:sz w:val="18"/>
                <w:szCs w:val="18"/>
                <w:color w:val="auto"/>
              </w:rPr>
              <w:t>(34,666 )</w:t>
            </w:r>
          </w:p>
        </w:tc>
        <w:tc>
          <w:tcPr>
            <w:tcW w:w="18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(10,207 )</w:t>
            </w: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Interest expense on supply agreement</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(1,165 )</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(1,645 )</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(5,833 )</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408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Interest income, foreign exchange and other</w:t>
            </w:r>
          </w:p>
        </w:tc>
        <w:tc>
          <w:tcPr>
            <w:tcW w:w="84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28,927</w:t>
            </w:r>
          </w:p>
        </w:tc>
        <w:tc>
          <w:tcPr>
            <w:tcW w:w="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4,470</w:t>
            </w:r>
          </w:p>
        </w:tc>
        <w:tc>
          <w:tcPr>
            <w:tcW w:w="200" w:type="dxa"/>
            <w:vAlign w:val="bottom"/>
            <w:tcBorders>
              <w:bottom w:val="single" w:sz="8" w:color="CCEEFF"/>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6,250</w:t>
            </w:r>
          </w:p>
        </w:tc>
        <w:tc>
          <w:tcPr>
            <w:tcW w:w="14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37,845</w:t>
            </w:r>
          </w:p>
        </w:tc>
        <w:tc>
          <w:tcPr>
            <w:tcW w:w="8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6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23,756</w:t>
            </w:r>
          </w:p>
        </w:tc>
        <w:tc>
          <w:tcPr>
            <w:tcW w:w="14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7"/>
        </w:trPr>
        <w:tc>
          <w:tcPr>
            <w:tcW w:w="4080" w:type="dxa"/>
            <w:vAlign w:val="bottom"/>
            <w:tcBorders>
              <w:bottom w:val="single" w:sz="8" w:color="CCEEFF"/>
            </w:tcBorders>
            <w:shd w:val="clear" w:color="auto" w:fill="CCEEFF"/>
          </w:tcPr>
          <w:p>
            <w:pPr>
              <w:spacing w:after="0"/>
              <w:rPr>
                <w:sz w:val="18"/>
                <w:szCs w:val="18"/>
                <w:color w:val="auto"/>
              </w:rPr>
            </w:pPr>
          </w:p>
        </w:tc>
        <w:tc>
          <w:tcPr>
            <w:tcW w:w="84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tcBorders>
              <w:bottom w:val="single" w:sz="8" w:color="auto"/>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18,864</w:t>
            </w:r>
          </w:p>
        </w:tc>
        <w:tc>
          <w:tcPr>
            <w:tcW w:w="8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8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(6,048</w:t>
            </w:r>
          </w:p>
        </w:tc>
        <w:tc>
          <w:tcPr>
            <w:tcW w:w="2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80" w:type="dxa"/>
            <w:vAlign w:val="bottom"/>
            <w:tcBorders>
              <w:bottom w:val="single" w:sz="8" w:color="auto"/>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w:t>
            </w:r>
          </w:p>
        </w:tc>
        <w:tc>
          <w:tcPr>
            <w:tcW w:w="4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(2,003</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4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(2,654</w:t>
            </w:r>
          </w:p>
        </w:tc>
        <w:tc>
          <w:tcPr>
            <w:tcW w:w="20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9"/>
              </w:rPr>
              <w:t>)</w:t>
            </w:r>
          </w:p>
        </w:tc>
        <w:tc>
          <w:tcPr>
            <w:tcW w:w="1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13,549</w:t>
            </w:r>
          </w:p>
        </w:tc>
        <w:tc>
          <w:tcPr>
            <w:tcW w:w="140" w:type="dxa"/>
            <w:vAlign w:val="bottom"/>
            <w:tcBorders>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432"/>
        </w:trPr>
        <w:tc>
          <w:tcPr>
            <w:tcW w:w="40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4080" w:type="dxa"/>
            <w:vAlign w:val="bottom"/>
            <w:tcBorders>
              <w:bottom w:val="single" w:sz="8" w:color="010101"/>
            </w:tcBorders>
          </w:tcPr>
          <w:p>
            <w:pPr>
              <w:spacing w:after="0"/>
              <w:rPr>
                <w:sz w:val="11"/>
                <w:szCs w:val="11"/>
                <w:color w:val="auto"/>
              </w:rPr>
            </w:pPr>
          </w:p>
        </w:tc>
        <w:tc>
          <w:tcPr>
            <w:tcW w:w="1180" w:type="dxa"/>
            <w:vAlign w:val="bottom"/>
            <w:tcBorders>
              <w:bottom w:val="single" w:sz="8" w:color="010101"/>
            </w:tcBorders>
            <w:gridSpan w:val="3"/>
          </w:tcPr>
          <w:p>
            <w:pPr>
              <w:spacing w:after="0"/>
              <w:rPr>
                <w:sz w:val="11"/>
                <w:szCs w:val="11"/>
                <w:color w:val="auto"/>
              </w:rPr>
            </w:pPr>
          </w:p>
        </w:tc>
        <w:tc>
          <w:tcPr>
            <w:tcW w:w="1240" w:type="dxa"/>
            <w:vAlign w:val="bottom"/>
            <w:tcBorders>
              <w:bottom w:val="single" w:sz="8" w:color="010101"/>
            </w:tcBorders>
            <w:gridSpan w:val="6"/>
          </w:tcPr>
          <w:p>
            <w:pPr>
              <w:spacing w:after="0"/>
              <w:rPr>
                <w:sz w:val="11"/>
                <w:szCs w:val="11"/>
                <w:color w:val="auto"/>
              </w:rPr>
            </w:pPr>
          </w:p>
        </w:tc>
        <w:tc>
          <w:tcPr>
            <w:tcW w:w="1020" w:type="dxa"/>
            <w:vAlign w:val="bottom"/>
            <w:tcBorders>
              <w:bottom w:val="single" w:sz="8" w:color="010101"/>
            </w:tcBorders>
            <w:gridSpan w:val="3"/>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78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84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92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62"/>
        </w:trPr>
        <w:tc>
          <w:tcPr>
            <w:tcW w:w="4080" w:type="dxa"/>
            <w:vAlign w:val="bottom"/>
          </w:tcPr>
          <w:p>
            <w:pPr>
              <w:spacing w:after="0"/>
              <w:rPr>
                <w:sz w:val="24"/>
                <w:szCs w:val="24"/>
                <w:color w:val="auto"/>
              </w:rPr>
            </w:pPr>
          </w:p>
        </w:tc>
        <w:tc>
          <w:tcPr>
            <w:tcW w:w="3440" w:type="dxa"/>
            <w:vAlign w:val="bottom"/>
            <w:gridSpan w:val="12"/>
          </w:tcPr>
          <w:p>
            <w:pPr>
              <w:jc w:val="center"/>
              <w:ind w:right="90"/>
              <w:spacing w:after="0"/>
              <w:rPr>
                <w:sz w:val="20"/>
                <w:szCs w:val="20"/>
                <w:color w:val="auto"/>
              </w:rPr>
            </w:pPr>
            <w:r>
              <w:rPr>
                <w:rFonts w:ascii="Arial" w:cs="Arial" w:eastAsia="Arial" w:hAnsi="Arial"/>
                <w:sz w:val="18"/>
                <w:szCs w:val="18"/>
                <w:b w:val="1"/>
                <w:bCs w:val="1"/>
                <w:color w:val="auto"/>
                <w:w w:val="92"/>
              </w:rPr>
              <w:t>Marvell Technology Group Ltd.</w:t>
            </w: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16"/>
        </w:trPr>
        <w:tc>
          <w:tcPr>
            <w:tcW w:w="4080" w:type="dxa"/>
            <w:vAlign w:val="bottom"/>
          </w:tcPr>
          <w:p>
            <w:pPr>
              <w:spacing w:after="0"/>
              <w:rPr>
                <w:sz w:val="18"/>
                <w:szCs w:val="18"/>
                <w:color w:val="auto"/>
              </w:rPr>
            </w:pPr>
          </w:p>
        </w:tc>
        <w:tc>
          <w:tcPr>
            <w:tcW w:w="3440" w:type="dxa"/>
            <w:vAlign w:val="bottom"/>
            <w:gridSpan w:val="12"/>
          </w:tcPr>
          <w:p>
            <w:pPr>
              <w:jc w:val="center"/>
              <w:ind w:right="90"/>
              <w:spacing w:after="0"/>
              <w:rPr>
                <w:sz w:val="20"/>
                <w:szCs w:val="20"/>
                <w:color w:val="auto"/>
              </w:rPr>
            </w:pPr>
            <w:r>
              <w:rPr>
                <w:rFonts w:ascii="Arial" w:cs="Arial" w:eastAsia="Arial" w:hAnsi="Arial"/>
                <w:sz w:val="18"/>
                <w:szCs w:val="18"/>
                <w:b w:val="1"/>
                <w:bCs w:val="1"/>
                <w:color w:val="auto"/>
                <w:w w:val="91"/>
              </w:rPr>
              <w:t>Reconciliation of Non-GAAP Adjustments</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6"/>
          </w:tcPr>
          <w:p>
            <w:pPr>
              <w:jc w:val="center"/>
              <w:spacing w:after="0"/>
              <w:rPr>
                <w:sz w:val="20"/>
                <w:szCs w:val="20"/>
                <w:color w:val="auto"/>
              </w:rPr>
            </w:pPr>
            <w:r>
              <w:rPr>
                <w:rFonts w:ascii="Arial" w:cs="Arial" w:eastAsia="Arial" w:hAnsi="Arial"/>
                <w:sz w:val="18"/>
                <w:szCs w:val="18"/>
                <w:b w:val="1"/>
                <w:bCs w:val="1"/>
                <w:color w:val="auto"/>
                <w:w w:val="93"/>
              </w:rPr>
              <w:t>(Unaudited)</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34"/>
        </w:trPr>
        <w:tc>
          <w:tcPr>
            <w:tcW w:w="4080" w:type="dxa"/>
            <w:vAlign w:val="bottom"/>
          </w:tcPr>
          <w:p>
            <w:pPr>
              <w:spacing w:after="0"/>
              <w:rPr>
                <w:sz w:val="20"/>
                <w:szCs w:val="20"/>
                <w:color w:val="auto"/>
              </w:rPr>
            </w:pPr>
          </w:p>
        </w:tc>
        <w:tc>
          <w:tcPr>
            <w:tcW w:w="3440" w:type="dxa"/>
            <w:vAlign w:val="bottom"/>
            <w:gridSpan w:val="12"/>
          </w:tcPr>
          <w:p>
            <w:pPr>
              <w:jc w:val="center"/>
              <w:ind w:right="70"/>
              <w:spacing w:after="0"/>
              <w:rPr>
                <w:sz w:val="20"/>
                <w:szCs w:val="20"/>
                <w:color w:val="auto"/>
              </w:rPr>
            </w:pPr>
            <w:r>
              <w:rPr>
                <w:rFonts w:ascii="Arial" w:cs="Arial" w:eastAsia="Arial" w:hAnsi="Arial"/>
                <w:sz w:val="18"/>
                <w:szCs w:val="18"/>
                <w:b w:val="1"/>
                <w:bCs w:val="1"/>
                <w:color w:val="auto"/>
                <w:w w:val="88"/>
              </w:rPr>
              <w:t>(In thousands, except per share amounts)</w:t>
            </w: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432"/>
        </w:trPr>
        <w:tc>
          <w:tcPr>
            <w:tcW w:w="5400" w:type="dxa"/>
            <w:vAlign w:val="bottom"/>
            <w:gridSpan w:val="5"/>
          </w:tcPr>
          <w:p>
            <w:pPr>
              <w:spacing w:after="0"/>
              <w:rPr>
                <w:sz w:val="20"/>
                <w:szCs w:val="20"/>
                <w:color w:val="auto"/>
              </w:rPr>
            </w:pPr>
            <w:r>
              <w:rPr>
                <w:rFonts w:ascii="Arial" w:cs="Arial" w:eastAsia="Arial" w:hAnsi="Arial"/>
                <w:sz w:val="18"/>
                <w:szCs w:val="18"/>
                <w:b w:val="1"/>
                <w:bCs w:val="1"/>
                <w:color w:val="auto"/>
                <w:w w:val="92"/>
              </w:rPr>
              <w:t>Reconciliation of GAAP net income (loss) to non-GAAP net income:</w:t>
            </w: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65"/>
        </w:trPr>
        <w:tc>
          <w:tcPr>
            <w:tcW w:w="40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380" w:type="dxa"/>
            <w:vAlign w:val="bottom"/>
            <w:gridSpan w:val="6"/>
          </w:tcPr>
          <w:p>
            <w:pPr>
              <w:jc w:val="center"/>
              <w:spacing w:after="0"/>
              <w:rPr>
                <w:sz w:val="20"/>
                <w:szCs w:val="20"/>
                <w:color w:val="auto"/>
              </w:rPr>
            </w:pPr>
            <w:r>
              <w:rPr>
                <w:rFonts w:ascii="Arial" w:cs="Arial" w:eastAsia="Arial" w:hAnsi="Arial"/>
                <w:sz w:val="14"/>
                <w:szCs w:val="14"/>
                <w:b w:val="1"/>
                <w:bCs w:val="1"/>
                <w:color w:val="auto"/>
                <w:w w:val="95"/>
              </w:rPr>
              <w:t>Three Months Ended</w:t>
            </w: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320" w:type="dxa"/>
            <w:vAlign w:val="bottom"/>
            <w:gridSpan w:val="8"/>
          </w:tcPr>
          <w:p>
            <w:pPr>
              <w:jc w:val="right"/>
              <w:ind w:right="880"/>
              <w:spacing w:after="0"/>
              <w:rPr>
                <w:sz w:val="20"/>
                <w:szCs w:val="20"/>
                <w:color w:val="auto"/>
              </w:rPr>
            </w:pPr>
            <w:r>
              <w:rPr>
                <w:rFonts w:ascii="Arial" w:cs="Arial" w:eastAsia="Arial" w:hAnsi="Arial"/>
                <w:sz w:val="14"/>
                <w:szCs w:val="14"/>
                <w:b w:val="1"/>
                <w:bCs w:val="1"/>
                <w:color w:val="auto"/>
              </w:rPr>
              <w:t>Year Ended</w:t>
            </w:r>
          </w:p>
        </w:tc>
        <w:tc>
          <w:tcPr>
            <w:tcW w:w="40" w:type="dxa"/>
            <w:vAlign w:val="bottom"/>
          </w:tcPr>
          <w:p>
            <w:pPr>
              <w:spacing w:after="0"/>
              <w:rPr>
                <w:sz w:val="24"/>
                <w:szCs w:val="24"/>
                <w:color w:val="auto"/>
              </w:rPr>
            </w:pPr>
          </w:p>
        </w:tc>
      </w:tr>
      <w:tr>
        <w:trPr>
          <w:trHeight w:val="119"/>
        </w:trPr>
        <w:tc>
          <w:tcPr>
            <w:tcW w:w="408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gridSpan w:val="4"/>
          </w:tcPr>
          <w:p>
            <w:pPr>
              <w:jc w:val="right"/>
              <w:ind w:right="70"/>
              <w:spacing w:after="0" w:line="119" w:lineRule="exact"/>
              <w:rPr>
                <w:sz w:val="20"/>
                <w:szCs w:val="20"/>
                <w:color w:val="auto"/>
              </w:rPr>
            </w:pPr>
            <w:r>
              <w:rPr>
                <w:rFonts w:ascii="Arial" w:cs="Arial" w:eastAsia="Arial" w:hAnsi="Arial"/>
                <w:sz w:val="13"/>
                <w:szCs w:val="13"/>
                <w:b w:val="1"/>
                <w:bCs w:val="1"/>
                <w:color w:val="auto"/>
              </w:rPr>
              <w:t>February 2,</w:t>
            </w:r>
          </w:p>
        </w:tc>
        <w:tc>
          <w:tcPr>
            <w:tcW w:w="18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gridSpan w:val="2"/>
          </w:tcPr>
          <w:p>
            <w:pPr>
              <w:jc w:val="center"/>
              <w:spacing w:after="0" w:line="119" w:lineRule="exact"/>
              <w:rPr>
                <w:sz w:val="20"/>
                <w:szCs w:val="20"/>
                <w:color w:val="auto"/>
              </w:rPr>
            </w:pPr>
            <w:r>
              <w:rPr>
                <w:rFonts w:ascii="Arial" w:cs="Arial" w:eastAsia="Arial" w:hAnsi="Arial"/>
                <w:sz w:val="13"/>
                <w:szCs w:val="13"/>
                <w:b w:val="1"/>
                <w:bCs w:val="1"/>
                <w:color w:val="auto"/>
                <w:w w:val="97"/>
              </w:rPr>
              <w:t>October 27,</w:t>
            </w:r>
          </w:p>
        </w:tc>
        <w:tc>
          <w:tcPr>
            <w:tcW w:w="40" w:type="dxa"/>
            <w:vAlign w:val="bottom"/>
            <w:tcBorders>
              <w:top w:val="single" w:sz="8" w:color="auto"/>
            </w:tcBorders>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4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gridSpan w:val="2"/>
          </w:tcPr>
          <w:p>
            <w:pPr>
              <w:jc w:val="right"/>
              <w:ind w:right="70"/>
              <w:spacing w:after="0" w:line="119" w:lineRule="exact"/>
              <w:rPr>
                <w:sz w:val="20"/>
                <w:szCs w:val="20"/>
                <w:color w:val="auto"/>
              </w:rPr>
            </w:pPr>
            <w:r>
              <w:rPr>
                <w:rFonts w:ascii="Arial" w:cs="Arial" w:eastAsia="Arial" w:hAnsi="Arial"/>
                <w:sz w:val="13"/>
                <w:szCs w:val="13"/>
                <w:b w:val="1"/>
                <w:bCs w:val="1"/>
                <w:color w:val="auto"/>
              </w:rPr>
              <w:t>January 27,</w:t>
            </w:r>
          </w:p>
        </w:tc>
        <w:tc>
          <w:tcPr>
            <w:tcW w:w="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3"/>
          </w:tcPr>
          <w:p>
            <w:pPr>
              <w:jc w:val="right"/>
              <w:ind w:right="280"/>
              <w:spacing w:after="0" w:line="119" w:lineRule="exact"/>
              <w:rPr>
                <w:sz w:val="20"/>
                <w:szCs w:val="20"/>
                <w:color w:val="auto"/>
              </w:rPr>
            </w:pPr>
            <w:r>
              <w:rPr>
                <w:rFonts w:ascii="Arial" w:cs="Arial" w:eastAsia="Arial" w:hAnsi="Arial"/>
                <w:sz w:val="13"/>
                <w:szCs w:val="13"/>
                <w:b w:val="1"/>
                <w:bCs w:val="1"/>
                <w:color w:val="auto"/>
              </w:rPr>
              <w:t>February 2,</w:t>
            </w:r>
          </w:p>
        </w:tc>
        <w:tc>
          <w:tcPr>
            <w:tcW w:w="6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center"/>
              <w:ind w:right="32"/>
              <w:spacing w:after="0" w:line="119" w:lineRule="exact"/>
              <w:rPr>
                <w:sz w:val="20"/>
                <w:szCs w:val="20"/>
                <w:color w:val="auto"/>
              </w:rPr>
            </w:pPr>
            <w:r>
              <w:rPr>
                <w:rFonts w:ascii="Arial" w:cs="Arial" w:eastAsia="Arial" w:hAnsi="Arial"/>
                <w:sz w:val="13"/>
                <w:szCs w:val="13"/>
                <w:b w:val="1"/>
                <w:bCs w:val="1"/>
                <w:color w:val="auto"/>
              </w:rPr>
              <w:t>January 27,</w:t>
            </w:r>
          </w:p>
        </w:tc>
        <w:tc>
          <w:tcPr>
            <w:tcW w:w="180" w:type="dxa"/>
            <w:vAlign w:val="bottom"/>
            <w:gridSpan w:val="2"/>
          </w:tcPr>
          <w:p>
            <w:pPr>
              <w:spacing w:after="0"/>
              <w:rPr>
                <w:sz w:val="10"/>
                <w:szCs w:val="10"/>
                <w:color w:val="auto"/>
              </w:rPr>
            </w:pPr>
          </w:p>
        </w:tc>
        <w:tc>
          <w:tcPr>
            <w:tcW w:w="40" w:type="dxa"/>
            <w:vAlign w:val="bottom"/>
          </w:tcPr>
          <w:p>
            <w:pPr>
              <w:spacing w:after="0"/>
              <w:rPr>
                <w:sz w:val="10"/>
                <w:szCs w:val="10"/>
                <w:color w:val="auto"/>
              </w:rPr>
            </w:pPr>
          </w:p>
        </w:tc>
      </w:tr>
      <w:tr>
        <w:trPr>
          <w:trHeight w:val="171"/>
        </w:trPr>
        <w:tc>
          <w:tcPr>
            <w:tcW w:w="40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1"/>
              <w:spacing w:after="0"/>
              <w:rPr>
                <w:sz w:val="20"/>
                <w:szCs w:val="20"/>
                <w:color w:val="auto"/>
              </w:rPr>
            </w:pPr>
            <w:r>
              <w:rPr>
                <w:rFonts w:ascii="Arial" w:cs="Arial" w:eastAsia="Arial" w:hAnsi="Arial"/>
                <w:sz w:val="14"/>
                <w:szCs w:val="14"/>
                <w:b w:val="1"/>
                <w:bCs w:val="1"/>
                <w:color w:val="auto"/>
              </w:rPr>
              <w:t>2008</w:t>
            </w: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left="31"/>
              <w:spacing w:after="0"/>
              <w:rPr>
                <w:sz w:val="20"/>
                <w:szCs w:val="20"/>
                <w:color w:val="auto"/>
              </w:rPr>
            </w:pPr>
            <w:r>
              <w:rPr>
                <w:rFonts w:ascii="Arial" w:cs="Arial" w:eastAsia="Arial" w:hAnsi="Arial"/>
                <w:sz w:val="14"/>
                <w:szCs w:val="14"/>
                <w:b w:val="1"/>
                <w:bCs w:val="1"/>
                <w:color w:val="auto"/>
                <w:w w:val="96"/>
              </w:rPr>
              <w:t>2007</w:t>
            </w:r>
          </w:p>
        </w:tc>
        <w:tc>
          <w:tcPr>
            <w:tcW w:w="2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2007</w:t>
            </w:r>
          </w:p>
        </w:tc>
        <w:tc>
          <w:tcPr>
            <w:tcW w:w="14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12"/>
              <w:spacing w:after="0"/>
              <w:rPr>
                <w:sz w:val="20"/>
                <w:szCs w:val="20"/>
                <w:color w:val="auto"/>
              </w:rPr>
            </w:pPr>
            <w:r>
              <w:rPr>
                <w:rFonts w:ascii="Arial" w:cs="Arial" w:eastAsia="Arial" w:hAnsi="Arial"/>
                <w:sz w:val="14"/>
                <w:szCs w:val="14"/>
                <w:b w:val="1"/>
                <w:bCs w:val="1"/>
                <w:color w:val="auto"/>
              </w:rPr>
              <w:t>2008</w:t>
            </w:r>
          </w:p>
        </w:tc>
        <w:tc>
          <w:tcPr>
            <w:tcW w:w="8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center"/>
              <w:ind w:right="32"/>
              <w:spacing w:after="0"/>
              <w:rPr>
                <w:sz w:val="20"/>
                <w:szCs w:val="20"/>
                <w:color w:val="auto"/>
              </w:rPr>
            </w:pPr>
            <w:r>
              <w:rPr>
                <w:rFonts w:ascii="Arial" w:cs="Arial" w:eastAsia="Arial" w:hAnsi="Arial"/>
                <w:sz w:val="14"/>
                <w:szCs w:val="14"/>
                <w:b w:val="1"/>
                <w:bCs w:val="1"/>
                <w:color w:val="auto"/>
                <w:w w:val="89"/>
              </w:rPr>
              <w:t>2007</w:t>
            </w: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r>
      <w:tr>
        <w:trPr>
          <w:trHeight w:val="210"/>
        </w:trPr>
        <w:tc>
          <w:tcPr>
            <w:tcW w:w="4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GAAP net income (loss)</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1,293</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(6,436 )</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4"/>
            <w:shd w:val="clear" w:color="auto" w:fill="CCEEFF"/>
          </w:tcPr>
          <w:p>
            <w:pPr>
              <w:jc w:val="right"/>
              <w:ind w:right="10"/>
              <w:spacing w:after="0"/>
              <w:rPr>
                <w:sz w:val="20"/>
                <w:szCs w:val="20"/>
                <w:color w:val="auto"/>
              </w:rPr>
            </w:pPr>
            <w:r>
              <w:rPr>
                <w:rFonts w:ascii="Arial" w:cs="Arial" w:eastAsia="Arial" w:hAnsi="Arial"/>
                <w:sz w:val="18"/>
                <w:szCs w:val="18"/>
                <w:color w:val="auto"/>
              </w:rPr>
              <w:t>(140,585 )</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(114,427 )</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(12,095 )</w:t>
            </w:r>
          </w:p>
        </w:tc>
        <w:tc>
          <w:tcPr>
            <w:tcW w:w="40" w:type="dxa"/>
            <w:vAlign w:val="bottom"/>
          </w:tcPr>
          <w:p>
            <w:pPr>
              <w:spacing w:after="0"/>
              <w:rPr>
                <w:sz w:val="18"/>
                <w:szCs w:val="18"/>
                <w:color w:val="auto"/>
              </w:rPr>
            </w:pPr>
          </w:p>
        </w:tc>
      </w:tr>
      <w:tr>
        <w:trPr>
          <w:trHeight w:val="216"/>
        </w:trPr>
        <w:tc>
          <w:tcPr>
            <w:tcW w:w="4080" w:type="dxa"/>
            <w:vAlign w:val="bottom"/>
          </w:tcPr>
          <w:p>
            <w:pPr>
              <w:ind w:left="20"/>
              <w:spacing w:after="0"/>
              <w:rPr>
                <w:sz w:val="20"/>
                <w:szCs w:val="20"/>
                <w:color w:val="auto"/>
              </w:rPr>
            </w:pPr>
            <w:r>
              <w:rPr>
                <w:rFonts w:ascii="Arial" w:cs="Arial" w:eastAsia="Arial" w:hAnsi="Arial"/>
                <w:sz w:val="18"/>
                <w:szCs w:val="18"/>
                <w:color w:val="auto"/>
              </w:rPr>
              <w:t>Stock-based compensation included in:</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Cost of goods sold</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4,911</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4,326</w:t>
            </w: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2,842</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15,530</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11,339</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0"/>
              <w:spacing w:after="0"/>
              <w:rPr>
                <w:sz w:val="20"/>
                <w:szCs w:val="20"/>
                <w:color w:val="auto"/>
              </w:rPr>
            </w:pPr>
            <w:r>
              <w:rPr>
                <w:rFonts w:ascii="Arial" w:cs="Arial" w:eastAsia="Arial" w:hAnsi="Arial"/>
                <w:sz w:val="18"/>
                <w:szCs w:val="18"/>
                <w:color w:val="auto"/>
              </w:rPr>
              <w:t>Research and development and other</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45,627</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39,989</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28,478</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152,249</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121,481</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Selling and marketing</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13,925</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6,949</w:t>
            </w: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7,254</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39,022</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30,452</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0"/>
              <w:spacing w:after="0"/>
              <w:rPr>
                <w:sz w:val="20"/>
                <w:szCs w:val="20"/>
                <w:color w:val="auto"/>
              </w:rPr>
            </w:pPr>
            <w:r>
              <w:rPr>
                <w:rFonts w:ascii="Arial" w:cs="Arial" w:eastAsia="Arial" w:hAnsi="Arial"/>
                <w:sz w:val="18"/>
                <w:szCs w:val="18"/>
                <w:color w:val="auto"/>
              </w:rPr>
              <w:t>General and administrative</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5,497</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4,092</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7,053</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24,179</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28,849</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w w:val="92"/>
              </w:rPr>
              <w:t>Amortization and write-off of acquired intangible assets</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43,810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37,311</w:t>
            </w: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37,826</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155,734</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109,987</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tcPr>
          <w:p>
            <w:pPr>
              <w:ind w:left="20"/>
              <w:spacing w:after="0"/>
              <w:rPr>
                <w:sz w:val="20"/>
                <w:szCs w:val="20"/>
                <w:color w:val="auto"/>
              </w:rPr>
            </w:pPr>
            <w:r>
              <w:rPr>
                <w:rFonts w:ascii="Arial" w:cs="Arial" w:eastAsia="Arial" w:hAnsi="Arial"/>
                <w:sz w:val="18"/>
                <w:szCs w:val="18"/>
                <w:color w:val="auto"/>
              </w:rPr>
              <w:t>Acquired in-process research and development</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8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77,800</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77,800</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Restructuring</w:t>
            </w:r>
          </w:p>
        </w:tc>
        <w:tc>
          <w:tcPr>
            <w:tcW w:w="8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7,856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7,856</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4080" w:type="dxa"/>
            <w:vAlign w:val="bottom"/>
          </w:tcPr>
          <w:p>
            <w:pPr>
              <w:ind w:left="20"/>
              <w:spacing w:after="0"/>
              <w:rPr>
                <w:sz w:val="20"/>
                <w:szCs w:val="20"/>
                <w:color w:val="auto"/>
              </w:rPr>
            </w:pPr>
            <w:r>
              <w:rPr>
                <w:rFonts w:ascii="Arial" w:cs="Arial" w:eastAsia="Arial" w:hAnsi="Arial"/>
                <w:sz w:val="18"/>
                <w:szCs w:val="18"/>
                <w:color w:val="auto"/>
                <w:w w:val="99"/>
              </w:rPr>
              <w:t>Cumulative effect of change in accounting principle</w:t>
            </w: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8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3"/>
          </w:tcPr>
          <w:p>
            <w:pPr>
              <w:jc w:val="right"/>
              <w:ind w:right="20"/>
              <w:spacing w:after="0"/>
              <w:rPr>
                <w:sz w:val="20"/>
                <w:szCs w:val="20"/>
                <w:color w:val="auto"/>
              </w:rPr>
            </w:pPr>
            <w:r>
              <w:rPr>
                <w:rFonts w:ascii="Arial" w:cs="Arial" w:eastAsia="Arial" w:hAnsi="Arial"/>
                <w:sz w:val="18"/>
                <w:szCs w:val="18"/>
                <w:color w:val="auto"/>
              </w:rPr>
              <w:t>(8,846 )</w:t>
            </w:r>
          </w:p>
        </w:tc>
        <w:tc>
          <w:tcPr>
            <w:tcW w:w="40" w:type="dxa"/>
            <w:vAlign w:val="bottom"/>
          </w:tcPr>
          <w:p>
            <w:pPr>
              <w:spacing w:after="0"/>
              <w:rPr>
                <w:sz w:val="18"/>
                <w:szCs w:val="18"/>
                <w:color w:val="auto"/>
              </w:rPr>
            </w:pPr>
          </w:p>
        </w:tc>
      </w:tr>
      <w:tr>
        <w:trPr>
          <w:trHeight w:val="217"/>
        </w:trPr>
        <w:tc>
          <w:tcPr>
            <w:tcW w:w="40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Non-GAAP net income</w:t>
            </w:r>
          </w:p>
        </w:tc>
        <w:tc>
          <w:tcPr>
            <w:tcW w:w="8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122,919</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86,231</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20,668</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280,143</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358,967</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-3320415</wp:posOffset>
            </wp:positionV>
            <wp:extent cx="12700"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-3320415</wp:posOffset>
            </wp:positionV>
            <wp:extent cx="12700"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216"/>
        </w:trPr>
        <w:tc>
          <w:tcPr>
            <w:tcW w:w="52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GAAP weighted average shares - diluted</w:t>
            </w: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626,699</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590,759</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587,424</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586,152</w:t>
            </w:r>
          </w:p>
        </w:tc>
        <w:tc>
          <w:tcPr>
            <w:tcW w:w="180" w:type="dxa"/>
            <w:vAlign w:val="bottom"/>
            <w:shd w:val="clear" w:color="auto" w:fill="CCEEFF"/>
          </w:tcPr>
          <w:p>
            <w:pPr>
              <w:spacing w:after="0"/>
              <w:rPr>
                <w:sz w:val="18"/>
                <w:szCs w:val="18"/>
                <w:color w:val="auto"/>
              </w:rPr>
            </w:pPr>
          </w:p>
        </w:tc>
      </w:tr>
      <w:tr>
        <w:trPr>
          <w:trHeight w:val="216"/>
        </w:trPr>
        <w:tc>
          <w:tcPr>
            <w:tcW w:w="5260" w:type="dxa"/>
            <w:vAlign w:val="bottom"/>
            <w:tcBorders>
              <w:bottom w:val="single" w:sz="8" w:color="CCEEFF"/>
            </w:tcBorders>
            <w:gridSpan w:val="2"/>
          </w:tcPr>
          <w:p>
            <w:pPr>
              <w:ind w:left="200"/>
              <w:spacing w:after="0"/>
              <w:rPr>
                <w:sz w:val="20"/>
                <w:szCs w:val="20"/>
                <w:color w:val="auto"/>
              </w:rPr>
            </w:pPr>
            <w:r>
              <w:rPr>
                <w:rFonts w:ascii="Arial" w:cs="Arial" w:eastAsia="Arial" w:hAnsi="Arial"/>
                <w:sz w:val="18"/>
                <w:szCs w:val="18"/>
                <w:color w:val="auto"/>
              </w:rPr>
              <w:t>Non-GAAP adjustment</w:t>
            </w:r>
          </w:p>
        </w:tc>
        <w:tc>
          <w:tcPr>
            <w:tcW w:w="28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542</w:t>
            </w:r>
          </w:p>
        </w:tc>
        <w:tc>
          <w:tcPr>
            <w:tcW w:w="1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39,854</w:t>
            </w:r>
          </w:p>
        </w:tc>
        <w:tc>
          <w:tcPr>
            <w:tcW w:w="1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46,506</w:t>
            </w:r>
          </w:p>
        </w:tc>
        <w:tc>
          <w:tcPr>
            <w:tcW w:w="1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40,160</w:t>
            </w:r>
          </w:p>
        </w:tc>
        <w:tc>
          <w:tcPr>
            <w:tcW w:w="1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51,507</w:t>
            </w:r>
          </w:p>
        </w:tc>
        <w:tc>
          <w:tcPr>
            <w:tcW w:w="180" w:type="dxa"/>
            <w:vAlign w:val="bottom"/>
            <w:tcBorders>
              <w:bottom w:val="single" w:sz="8" w:color="CCEEFF"/>
            </w:tcBorders>
          </w:tcPr>
          <w:p>
            <w:pPr>
              <w:spacing w:after="0"/>
              <w:rPr>
                <w:sz w:val="18"/>
                <w:szCs w:val="18"/>
                <w:color w:val="auto"/>
              </w:rPr>
            </w:pPr>
          </w:p>
        </w:tc>
      </w:tr>
      <w:tr>
        <w:trPr>
          <w:trHeight w:val="217"/>
        </w:trPr>
        <w:tc>
          <w:tcPr>
            <w:tcW w:w="526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(b)</w:t>
            </w:r>
          </w:p>
        </w:tc>
        <w:tc>
          <w:tcPr>
            <w:tcW w:w="2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627,241</w:t>
            </w:r>
          </w:p>
        </w:tc>
        <w:tc>
          <w:tcPr>
            <w:tcW w:w="18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630,613</w:t>
            </w:r>
          </w:p>
        </w:tc>
        <w:tc>
          <w:tcPr>
            <w:tcW w:w="18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633,930</w:t>
            </w:r>
          </w:p>
        </w:tc>
        <w:tc>
          <w:tcPr>
            <w:tcW w:w="18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630,468</w:t>
            </w:r>
          </w:p>
        </w:tc>
        <w:tc>
          <w:tcPr>
            <w:tcW w:w="18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637,659</w:t>
            </w:r>
          </w:p>
        </w:tc>
        <w:tc>
          <w:tcPr>
            <w:tcW w:w="180" w:type="dxa"/>
            <w:vAlign w:val="bottom"/>
            <w:tcBorders>
              <w:bottom w:val="single" w:sz="8" w:color="CCEEFF"/>
            </w:tcBorders>
            <w:shd w:val="clear" w:color="auto" w:fill="CCEEFF"/>
          </w:tcPr>
          <w:p>
            <w:pPr>
              <w:spacing w:after="0"/>
              <w:rPr>
                <w:sz w:val="18"/>
                <w:szCs w:val="18"/>
                <w:color w:val="auto"/>
              </w:rPr>
            </w:pPr>
          </w:p>
        </w:tc>
      </w:tr>
      <w:tr>
        <w:trPr>
          <w:trHeight w:val="216"/>
        </w:trPr>
        <w:tc>
          <w:tcPr>
            <w:tcW w:w="2880" w:type="dxa"/>
            <w:vAlign w:val="bottom"/>
          </w:tcPr>
          <w:p>
            <w:pPr>
              <w:spacing w:after="0"/>
              <w:rPr>
                <w:sz w:val="18"/>
                <w:szCs w:val="18"/>
                <w:color w:val="auto"/>
              </w:rPr>
            </w:pPr>
          </w:p>
        </w:tc>
        <w:tc>
          <w:tcPr>
            <w:tcW w:w="2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36"/>
        </w:trPr>
        <w:tc>
          <w:tcPr>
            <w:tcW w:w="52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GAAP diluted net income (loss) per share</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18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(0.01 )</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(0.24 )</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(0.19 )</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(0.02 )</w:t>
            </w:r>
          </w:p>
        </w:tc>
      </w:tr>
      <w:tr>
        <w:trPr>
          <w:trHeight w:val="210"/>
        </w:trPr>
        <w:tc>
          <w:tcPr>
            <w:tcW w:w="5260" w:type="dxa"/>
            <w:vAlign w:val="bottom"/>
            <w:tcBorders>
              <w:top w:val="single" w:sz="8" w:color="CCEEFF"/>
              <w:bottom w:val="single" w:sz="8" w:color="CCEEFF"/>
            </w:tcBorders>
            <w:gridSpan w:val="2"/>
          </w:tcPr>
          <w:p>
            <w:pPr>
              <w:ind w:left="20"/>
              <w:spacing w:after="0" w:line="203" w:lineRule="exact"/>
              <w:rPr>
                <w:sz w:val="20"/>
                <w:szCs w:val="20"/>
                <w:color w:val="auto"/>
              </w:rPr>
            </w:pPr>
            <w:r>
              <w:rPr>
                <w:rFonts w:ascii="Arial" w:cs="Arial" w:eastAsia="Arial" w:hAnsi="Arial"/>
                <w:sz w:val="18"/>
                <w:szCs w:val="18"/>
                <w:color w:val="auto"/>
              </w:rPr>
              <w:t xml:space="preserve">Non-GAAP diluted net income per share </w:t>
            </w:r>
            <w:r>
              <w:rPr>
                <w:rFonts w:ascii="Arial" w:cs="Arial" w:eastAsia="Arial" w:hAnsi="Arial"/>
                <w:sz w:val="18"/>
                <w:szCs w:val="18"/>
                <w:i w:val="1"/>
                <w:iCs w:val="1"/>
                <w:color w:val="auto"/>
              </w:rPr>
              <w:t>(a)</w:t>
            </w:r>
          </w:p>
        </w:tc>
        <w:tc>
          <w:tcPr>
            <w:tcW w:w="280" w:type="dxa"/>
            <w:vAlign w:val="bottom"/>
            <w:tcBorders>
              <w:top w:val="single" w:sz="8" w:color="auto"/>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0.20</w:t>
            </w:r>
          </w:p>
        </w:tc>
        <w:tc>
          <w:tcPr>
            <w:tcW w:w="180" w:type="dxa"/>
            <w:vAlign w:val="bottom"/>
            <w:tcBorders>
              <w:top w:val="single" w:sz="8" w:color="CCEEFF"/>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0.14</w:t>
            </w:r>
          </w:p>
        </w:tc>
        <w:tc>
          <w:tcPr>
            <w:tcW w:w="180" w:type="dxa"/>
            <w:vAlign w:val="bottom"/>
            <w:tcBorders>
              <w:top w:val="single" w:sz="8" w:color="CCEEFF"/>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0.03</w:t>
            </w:r>
          </w:p>
        </w:tc>
        <w:tc>
          <w:tcPr>
            <w:tcW w:w="180" w:type="dxa"/>
            <w:vAlign w:val="bottom"/>
            <w:tcBorders>
              <w:top w:val="single" w:sz="8" w:color="CCEEFF"/>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0.44</w:t>
            </w:r>
          </w:p>
        </w:tc>
        <w:tc>
          <w:tcPr>
            <w:tcW w:w="180" w:type="dxa"/>
            <w:vAlign w:val="bottom"/>
            <w:tcBorders>
              <w:top w:val="single" w:sz="8" w:color="CCEEFF"/>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0.56</w:t>
            </w:r>
          </w:p>
        </w:tc>
        <w:tc>
          <w:tcPr>
            <w:tcW w:w="180" w:type="dxa"/>
            <w:vAlign w:val="bottom"/>
            <w:tcBorders>
              <w:top w:val="single" w:sz="8" w:color="CCEEFF"/>
              <w:bottom w:val="single" w:sz="8" w:color="CCEEFF"/>
            </w:tcBorders>
          </w:tcPr>
          <w:p>
            <w:pPr>
              <w:spacing w:after="0"/>
              <w:rPr>
                <w:sz w:val="18"/>
                <w:szCs w:val="18"/>
                <w:color w:val="auto"/>
              </w:rPr>
            </w:pPr>
          </w:p>
        </w:tc>
      </w:tr>
      <w:tr>
        <w:trPr>
          <w:trHeight w:val="216"/>
        </w:trPr>
        <w:tc>
          <w:tcPr>
            <w:tcW w:w="2880" w:type="dxa"/>
            <w:vAlign w:val="bottom"/>
            <w:shd w:val="clear" w:color="auto" w:fill="CCEEFF"/>
          </w:tcPr>
          <w:p>
            <w:pPr>
              <w:spacing w:after="0"/>
              <w:rPr>
                <w:sz w:val="18"/>
                <w:szCs w:val="18"/>
                <w:color w:val="auto"/>
              </w:rPr>
            </w:pPr>
          </w:p>
        </w:tc>
        <w:tc>
          <w:tcPr>
            <w:tcW w:w="23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r>
      <w:tr>
        <w:trPr>
          <w:trHeight w:val="216"/>
        </w:trPr>
        <w:tc>
          <w:tcPr>
            <w:tcW w:w="5260" w:type="dxa"/>
            <w:vAlign w:val="bottom"/>
            <w:gridSpan w:val="2"/>
          </w:tcPr>
          <w:p>
            <w:pPr>
              <w:ind w:left="200"/>
              <w:spacing w:after="0"/>
              <w:rPr>
                <w:sz w:val="20"/>
                <w:szCs w:val="20"/>
                <w:color w:val="auto"/>
              </w:rPr>
            </w:pPr>
            <w:r>
              <w:rPr>
                <w:rFonts w:ascii="Arial" w:cs="Arial" w:eastAsia="Arial" w:hAnsi="Arial"/>
                <w:sz w:val="18"/>
                <w:szCs w:val="18"/>
                <w:color w:val="auto"/>
              </w:rPr>
              <w:t>GAAP gross margin</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48.1 %</w:t>
            </w:r>
          </w:p>
        </w:tc>
        <w:tc>
          <w:tcPr>
            <w:tcW w:w="28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47.7 %</w:t>
            </w:r>
          </w:p>
        </w:tc>
        <w:tc>
          <w:tcPr>
            <w:tcW w:w="280" w:type="dxa"/>
            <w:vAlign w:val="bottom"/>
          </w:tcPr>
          <w:p>
            <w:pPr>
              <w:spacing w:after="0"/>
              <w:rPr>
                <w:sz w:val="18"/>
                <w:szCs w:val="18"/>
                <w:color w:val="auto"/>
              </w:rPr>
            </w:pP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47.8 %</w:t>
            </w:r>
          </w:p>
        </w:tc>
        <w:tc>
          <w:tcPr>
            <w:tcW w:w="28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48.3 %</w:t>
            </w:r>
          </w:p>
        </w:tc>
        <w:tc>
          <w:tcPr>
            <w:tcW w:w="280" w:type="dxa"/>
            <w:vAlign w:val="bottom"/>
          </w:tcPr>
          <w:p>
            <w:pPr>
              <w:spacing w:after="0"/>
              <w:rPr>
                <w:sz w:val="18"/>
                <w:szCs w:val="18"/>
                <w:color w:val="auto"/>
              </w:rPr>
            </w:pP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50.8 %</w:t>
            </w:r>
          </w:p>
        </w:tc>
      </w:tr>
      <w:tr>
        <w:trPr>
          <w:trHeight w:val="216"/>
        </w:trPr>
        <w:tc>
          <w:tcPr>
            <w:tcW w:w="52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Non-GAAP gross margin</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48.7 %</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48.3 %</w:t>
            </w:r>
          </w:p>
        </w:tc>
        <w:tc>
          <w:tcPr>
            <w:tcW w:w="2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48.2 %</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48.8 %</w:t>
            </w:r>
          </w:p>
        </w:tc>
        <w:tc>
          <w:tcPr>
            <w:tcW w:w="2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51.3 %</w:t>
            </w:r>
          </w:p>
        </w:tc>
      </w:tr>
      <w:tr>
        <w:trPr>
          <w:trHeight w:val="108"/>
        </w:trPr>
        <w:tc>
          <w:tcPr>
            <w:tcW w:w="2880" w:type="dxa"/>
            <w:vAlign w:val="bottom"/>
            <w:tcBorders>
              <w:bottom w:val="single" w:sz="8" w:color="auto"/>
            </w:tcBorders>
          </w:tcPr>
          <w:p>
            <w:pPr>
              <w:spacing w:after="0"/>
              <w:rPr>
                <w:sz w:val="9"/>
                <w:szCs w:val="9"/>
                <w:color w:val="auto"/>
              </w:rPr>
            </w:pPr>
          </w:p>
        </w:tc>
        <w:tc>
          <w:tcPr>
            <w:tcW w:w="2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80" w:type="dxa"/>
            <w:vAlign w:val="bottom"/>
          </w:tcPr>
          <w:p>
            <w:pPr>
              <w:spacing w:after="0"/>
              <w:rPr>
                <w:sz w:val="9"/>
                <w:szCs w:val="9"/>
                <w:color w:val="auto"/>
              </w:rPr>
            </w:pPr>
          </w:p>
        </w:tc>
      </w:tr>
    </w:tbl>
    <w:p>
      <w:pPr>
        <w:spacing w:after="0" w:line="94" w:lineRule="exact"/>
        <w:rPr>
          <w:sz w:val="20"/>
          <w:szCs w:val="20"/>
          <w:color w:val="auto"/>
        </w:rPr>
      </w:pPr>
    </w:p>
    <w:p>
      <w:pPr>
        <w:ind w:left="300" w:hanging="292"/>
        <w:spacing w:after="0"/>
        <w:tabs>
          <w:tab w:leader="none" w:pos="30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Non GAAP net income per share is calculated by dividing non-GAAP net income by non-GAAP weighted average shares diluted.</w:t>
      </w:r>
    </w:p>
    <w:p>
      <w:pPr>
        <w:spacing w:after="0" w:line="225" w:lineRule="exact"/>
        <w:rPr>
          <w:rFonts w:ascii="Arial" w:cs="Arial" w:eastAsia="Arial" w:hAnsi="Arial"/>
          <w:sz w:val="18"/>
          <w:szCs w:val="18"/>
          <w:i w:val="1"/>
          <w:iCs w:val="1"/>
          <w:color w:val="auto"/>
        </w:rPr>
      </w:pPr>
    </w:p>
    <w:p>
      <w:pPr>
        <w:ind w:left="340" w:right="40" w:hanging="332"/>
        <w:spacing w:after="0" w:line="259" w:lineRule="auto"/>
        <w:tabs>
          <w:tab w:leader="none" w:pos="316"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For purposes of calculating non-GAAP net income per share, the GAAP diluted weighted average shares outstanding is adjusted to exclude the benefits of SFAS 123R compensation costs attributable to future services and not yet recognized in the financial that are treated as proceeds assumed to be used to repurchase shares under the GAAP treasury method and also includes the dilutive/antidilutive effects of warrants, common stock options and restricted stock.</w:t>
      </w:r>
    </w:p>
    <w:p>
      <w:pPr>
        <w:spacing w:after="0" w:line="187"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60" w:type="dxa"/>
            <w:vAlign w:val="bottom"/>
          </w:tcPr>
          <w:p>
            <w:pPr>
              <w:spacing w:after="0"/>
              <w:rPr>
                <w:sz w:val="14"/>
                <w:szCs w:val="14"/>
                <w:color w:val="auto"/>
              </w:rPr>
            </w:pPr>
          </w:p>
        </w:tc>
        <w:tc>
          <w:tcPr>
            <w:tcW w:w="30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58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560" w:type="dxa"/>
            <w:vAlign w:val="bottom"/>
            <w:gridSpan w:val="2"/>
          </w:tcPr>
          <w:p>
            <w:pPr>
              <w:jc w:val="right"/>
              <w:ind w:right="680"/>
              <w:spacing w:after="0"/>
              <w:rPr>
                <w:sz w:val="20"/>
                <w:szCs w:val="20"/>
                <w:color w:val="auto"/>
              </w:rPr>
            </w:pPr>
            <w:r>
              <w:rPr>
                <w:rFonts w:ascii="Arial" w:cs="Arial" w:eastAsia="Arial" w:hAnsi="Arial"/>
                <w:sz w:val="14"/>
                <w:szCs w:val="14"/>
                <w:b w:val="1"/>
                <w:bCs w:val="1"/>
                <w:color w:val="auto"/>
              </w:rPr>
              <w:t>January 27,</w:t>
            </w:r>
          </w:p>
        </w:tc>
        <w:tc>
          <w:tcPr>
            <w:tcW w:w="40" w:type="dxa"/>
            <w:vAlign w:val="bottom"/>
          </w:tcPr>
          <w:p>
            <w:pPr>
              <w:spacing w:after="0"/>
              <w:rPr>
                <w:sz w:val="14"/>
                <w:szCs w:val="14"/>
                <w:color w:val="auto"/>
              </w:rPr>
            </w:pPr>
          </w:p>
        </w:tc>
      </w:tr>
      <w:tr>
        <w:trPr>
          <w:trHeight w:val="171"/>
        </w:trPr>
        <w:tc>
          <w:tcPr>
            <w:tcW w:w="4760" w:type="dxa"/>
            <w:vAlign w:val="bottom"/>
            <w:tcBorders>
              <w:bottom w:val="single" w:sz="8" w:color="CCEEFF"/>
            </w:tcBorders>
          </w:tcPr>
          <w:p>
            <w:pPr>
              <w:spacing w:after="0"/>
              <w:rPr>
                <w:sz w:val="14"/>
                <w:szCs w:val="14"/>
                <w:color w:val="auto"/>
              </w:rPr>
            </w:pPr>
          </w:p>
        </w:tc>
        <w:tc>
          <w:tcPr>
            <w:tcW w:w="302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tcPr>
          <w:p>
            <w:pPr>
              <w:jc w:val="right"/>
              <w:ind w:right="531"/>
              <w:spacing w:after="0"/>
              <w:rPr>
                <w:sz w:val="20"/>
                <w:szCs w:val="20"/>
                <w:color w:val="auto"/>
              </w:rPr>
            </w:pPr>
            <w:r>
              <w:rPr>
                <w:rFonts w:ascii="Arial" w:cs="Arial" w:eastAsia="Arial" w:hAnsi="Arial"/>
                <w:sz w:val="14"/>
                <w:szCs w:val="14"/>
                <w:b w:val="1"/>
                <w:bCs w:val="1"/>
                <w:color w:val="auto"/>
              </w:rPr>
              <w:t>2008</w:t>
            </w:r>
          </w:p>
        </w:tc>
        <w:tc>
          <w:tcPr>
            <w:tcW w:w="30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tcPr>
          <w:p>
            <w:pPr>
              <w:jc w:val="right"/>
              <w:ind w:right="531"/>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r>
      <w:tr>
        <w:trPr>
          <w:trHeight w:val="196"/>
        </w:trPr>
        <w:tc>
          <w:tcPr>
            <w:tcW w:w="4760" w:type="dxa"/>
            <w:vAlign w:val="bottom"/>
            <w:shd w:val="clear" w:color="auto" w:fill="CCEEFF"/>
          </w:tcPr>
          <w:p>
            <w:pPr>
              <w:ind w:left="20"/>
              <w:spacing w:after="0" w:line="196" w:lineRule="exact"/>
              <w:rPr>
                <w:sz w:val="20"/>
                <w:szCs w:val="20"/>
                <w:color w:val="auto"/>
              </w:rPr>
            </w:pPr>
            <w:r>
              <w:rPr>
                <w:rFonts w:ascii="Arial" w:cs="Arial" w:eastAsia="Arial" w:hAnsi="Arial"/>
                <w:sz w:val="18"/>
                <w:szCs w:val="18"/>
                <w:b w:val="1"/>
                <w:bCs w:val="1"/>
                <w:color w:val="auto"/>
              </w:rPr>
              <w:t>Assets</w:t>
            </w:r>
          </w:p>
        </w:tc>
        <w:tc>
          <w:tcPr>
            <w:tcW w:w="30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16"/>
        </w:trPr>
        <w:tc>
          <w:tcPr>
            <w:tcW w:w="476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Cash, cash equivalents and short-term investments</w:t>
            </w:r>
          </w:p>
        </w:tc>
        <w:tc>
          <w:tcPr>
            <w:tcW w:w="328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630,903</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596,380</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Pr>
          <w:p>
            <w:pPr>
              <w:ind w:left="200"/>
              <w:spacing w:after="0"/>
              <w:rPr>
                <w:sz w:val="20"/>
                <w:szCs w:val="20"/>
                <w:color w:val="auto"/>
              </w:rPr>
            </w:pPr>
            <w:r>
              <w:rPr>
                <w:rFonts w:ascii="Arial" w:cs="Arial" w:eastAsia="Arial" w:hAnsi="Arial"/>
                <w:sz w:val="18"/>
                <w:szCs w:val="18"/>
                <w:color w:val="auto"/>
              </w:rPr>
              <w:t>Accounts receivable, net</w:t>
            </w: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332,020</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328,283</w:t>
            </w: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Inventory</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419,493</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247,403</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Prepaid expenses and other current assets</w:t>
            </w:r>
          </w:p>
        </w:tc>
        <w:tc>
          <w:tcPr>
            <w:tcW w:w="302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121,325</w:t>
            </w:r>
          </w:p>
        </w:tc>
        <w:tc>
          <w:tcPr>
            <w:tcW w:w="3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175,969</w:t>
            </w:r>
          </w:p>
        </w:tc>
        <w:tc>
          <w:tcPr>
            <w:tcW w:w="2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760" w:type="dxa"/>
            <w:vAlign w:val="bottom"/>
            <w:shd w:val="clear" w:color="auto" w:fill="CCEEFF"/>
          </w:tcPr>
          <w:p>
            <w:pPr>
              <w:ind w:left="380"/>
              <w:spacing w:after="0"/>
              <w:rPr>
                <w:sz w:val="20"/>
                <w:szCs w:val="20"/>
                <w:color w:val="auto"/>
              </w:rPr>
            </w:pPr>
            <w:r>
              <w:rPr>
                <w:rFonts w:ascii="Arial" w:cs="Arial" w:eastAsia="Arial" w:hAnsi="Arial"/>
                <w:sz w:val="18"/>
                <w:szCs w:val="18"/>
                <w:color w:val="auto"/>
              </w:rPr>
              <w:t>Total current assets</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1,503,741</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1,348,035</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416,241</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440,943</w:t>
            </w: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Arial" w:cs="Arial" w:eastAsia="Arial" w:hAnsi="Arial"/>
                <w:sz w:val="18"/>
                <w:szCs w:val="18"/>
                <w:color w:val="auto"/>
              </w:rPr>
              <w:t>Long-term investments</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4760" w:type="dxa"/>
            <w:vAlign w:val="bottom"/>
          </w:tcPr>
          <w:p>
            <w:pPr>
              <w:ind w:left="20"/>
              <w:spacing w:after="0"/>
              <w:rPr>
                <w:sz w:val="20"/>
                <w:szCs w:val="20"/>
                <w:color w:val="auto"/>
              </w:rPr>
            </w:pPr>
            <w:r>
              <w:rPr>
                <w:rFonts w:ascii="Arial" w:cs="Arial" w:eastAsia="Arial" w:hAnsi="Arial"/>
                <w:sz w:val="18"/>
                <w:szCs w:val="18"/>
                <w:color w:val="auto"/>
              </w:rPr>
              <w:t>Goodwill and acquired intangible assets</w:t>
            </w: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2,427,877</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2,558,363</w:t>
            </w: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 current assets</w:t>
            </w:r>
          </w:p>
        </w:tc>
        <w:tc>
          <w:tcPr>
            <w:tcW w:w="302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157,107</w:t>
            </w:r>
          </w:p>
        </w:tc>
        <w:tc>
          <w:tcPr>
            <w:tcW w:w="30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180,359</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7"/>
        </w:trPr>
        <w:tc>
          <w:tcPr>
            <w:tcW w:w="476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Total assets</w:t>
            </w:r>
          </w:p>
        </w:tc>
        <w:tc>
          <w:tcPr>
            <w:tcW w:w="302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4,550,594</w:t>
            </w:r>
          </w:p>
        </w:tc>
        <w:tc>
          <w:tcPr>
            <w:tcW w:w="3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4,527,700</w:t>
            </w:r>
          </w:p>
        </w:tc>
        <w:tc>
          <w:tcPr>
            <w:tcW w:w="2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Pr>
          <w:p>
            <w:pPr>
              <w:ind w:left="20"/>
              <w:spacing w:after="0"/>
              <w:rPr>
                <w:sz w:val="20"/>
                <w:szCs w:val="20"/>
                <w:color w:val="auto"/>
              </w:rPr>
            </w:pPr>
            <w:r>
              <w:rPr>
                <w:rFonts w:ascii="Arial" w:cs="Arial" w:eastAsia="Arial" w:hAnsi="Arial"/>
                <w:sz w:val="18"/>
                <w:szCs w:val="18"/>
                <w:b w:val="1"/>
                <w:bCs w:val="1"/>
                <w:color w:val="auto"/>
              </w:rPr>
              <w:t>Liabilities and Shareholders’ Equity</w:t>
            </w: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Current liabilities:</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Pr>
          <w:p>
            <w:pPr>
              <w:ind w:left="200"/>
              <w:spacing w:after="0"/>
              <w:rPr>
                <w:sz w:val="20"/>
                <w:szCs w:val="20"/>
                <w:color w:val="auto"/>
              </w:rPr>
            </w:pPr>
            <w:r>
              <w:rPr>
                <w:rFonts w:ascii="Arial" w:cs="Arial" w:eastAsia="Arial" w:hAnsi="Arial"/>
                <w:sz w:val="18"/>
                <w:szCs w:val="18"/>
                <w:color w:val="auto"/>
              </w:rPr>
              <w:t>Accounts payable</w:t>
            </w:r>
          </w:p>
        </w:tc>
        <w:tc>
          <w:tcPr>
            <w:tcW w:w="328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231,135</w:t>
            </w:r>
          </w:p>
        </w:tc>
        <w:tc>
          <w:tcPr>
            <w:tcW w:w="300" w:type="dxa"/>
            <w:vAlign w:val="bottom"/>
          </w:tcPr>
          <w:p>
            <w:pPr>
              <w:spacing w:after="0"/>
              <w:rPr>
                <w:sz w:val="18"/>
                <w:szCs w:val="18"/>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240,497</w:t>
            </w: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Accrued liabilities</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241,062</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377,744</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Pr>
          <w:p>
            <w:pPr>
              <w:ind w:left="200"/>
              <w:spacing w:after="0"/>
              <w:rPr>
                <w:sz w:val="20"/>
                <w:szCs w:val="20"/>
                <w:color w:val="auto"/>
              </w:rPr>
            </w:pPr>
            <w:r>
              <w:rPr>
                <w:rFonts w:ascii="Arial" w:cs="Arial" w:eastAsia="Arial" w:hAnsi="Arial"/>
                <w:sz w:val="18"/>
                <w:szCs w:val="18"/>
                <w:color w:val="auto"/>
              </w:rPr>
              <w:t>Income taxes payable</w:t>
            </w: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39,132</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29,078</w:t>
            </w: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Deferred income</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69,420</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46,459</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Current portion of capital lease obligations</w:t>
            </w:r>
          </w:p>
        </w:tc>
        <w:tc>
          <w:tcPr>
            <w:tcW w:w="302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2,463</w:t>
            </w:r>
          </w:p>
        </w:tc>
        <w:tc>
          <w:tcPr>
            <w:tcW w:w="3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17,408</w:t>
            </w:r>
          </w:p>
        </w:tc>
        <w:tc>
          <w:tcPr>
            <w:tcW w:w="2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760" w:type="dxa"/>
            <w:vAlign w:val="bottom"/>
            <w:shd w:val="clear" w:color="auto" w:fill="CCEEFF"/>
          </w:tcPr>
          <w:p>
            <w:pPr>
              <w:ind w:left="380"/>
              <w:spacing w:after="0"/>
              <w:rPr>
                <w:sz w:val="20"/>
                <w:szCs w:val="20"/>
                <w:color w:val="auto"/>
              </w:rPr>
            </w:pPr>
            <w:r>
              <w:rPr>
                <w:rFonts w:ascii="Arial" w:cs="Arial" w:eastAsia="Arial" w:hAnsi="Arial"/>
                <w:sz w:val="18"/>
                <w:szCs w:val="18"/>
                <w:color w:val="auto"/>
              </w:rPr>
              <w:t>Total current liabilities</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583,212</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711,186</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Pr>
          <w:p>
            <w:pPr>
              <w:ind w:left="20"/>
              <w:spacing w:after="0"/>
              <w:rPr>
                <w:sz w:val="20"/>
                <w:szCs w:val="20"/>
                <w:color w:val="auto"/>
              </w:rPr>
            </w:pPr>
            <w:r>
              <w:rPr>
                <w:rFonts w:ascii="Arial" w:cs="Arial" w:eastAsia="Arial" w:hAnsi="Arial"/>
                <w:sz w:val="18"/>
                <w:szCs w:val="18"/>
                <w:color w:val="auto"/>
              </w:rPr>
              <w:t>Capital lease obligations</w:t>
            </w: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4,238</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17,096</w:t>
            </w: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Arial" w:cs="Arial" w:eastAsia="Arial" w:hAnsi="Arial"/>
                <w:sz w:val="18"/>
                <w:szCs w:val="18"/>
                <w:color w:val="auto"/>
              </w:rPr>
              <w:t>Term loan obligations</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390,750</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394,750</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long-term liabilities</w:t>
            </w:r>
          </w:p>
        </w:tc>
        <w:tc>
          <w:tcPr>
            <w:tcW w:w="302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160,875</w:t>
            </w:r>
          </w:p>
        </w:tc>
        <w:tc>
          <w:tcPr>
            <w:tcW w:w="3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177,484</w:t>
            </w:r>
          </w:p>
        </w:tc>
        <w:tc>
          <w:tcPr>
            <w:tcW w:w="2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760" w:type="dxa"/>
            <w:vAlign w:val="bottom"/>
            <w:shd w:val="clear" w:color="auto" w:fill="CCEEFF"/>
          </w:tcPr>
          <w:p>
            <w:pPr>
              <w:ind w:left="380"/>
              <w:spacing w:after="0"/>
              <w:rPr>
                <w:sz w:val="20"/>
                <w:szCs w:val="20"/>
                <w:color w:val="auto"/>
              </w:rPr>
            </w:pPr>
            <w:r>
              <w:rPr>
                <w:rFonts w:ascii="Arial" w:cs="Arial" w:eastAsia="Arial" w:hAnsi="Arial"/>
                <w:sz w:val="18"/>
                <w:szCs w:val="18"/>
                <w:color w:val="auto"/>
              </w:rPr>
              <w:t>Total liabilities</w:t>
            </w:r>
          </w:p>
        </w:tc>
        <w:tc>
          <w:tcPr>
            <w:tcW w:w="302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1,139,075</w:t>
            </w:r>
          </w:p>
        </w:tc>
        <w:tc>
          <w:tcPr>
            <w:tcW w:w="30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1,300,516</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7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Shareholders’ equity:</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Pr>
          <w:p>
            <w:pPr>
              <w:ind w:left="200"/>
              <w:spacing w:after="0"/>
              <w:rPr>
                <w:sz w:val="20"/>
                <w:szCs w:val="20"/>
                <w:color w:val="auto"/>
              </w:rPr>
            </w:pPr>
            <w:r>
              <w:rPr>
                <w:rFonts w:ascii="Arial" w:cs="Arial" w:eastAsia="Arial" w:hAnsi="Arial"/>
                <w:sz w:val="18"/>
                <w:szCs w:val="18"/>
                <w:color w:val="auto"/>
              </w:rPr>
              <w:t>Common stock</w:t>
            </w: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1,200</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1,175</w:t>
            </w: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Additional paid-in capital</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4,100,659</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3,802,509</w:t>
            </w:r>
          </w:p>
        </w:tc>
        <w:tc>
          <w:tcPr>
            <w:tcW w:w="2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tcPr>
          <w:p>
            <w:pPr>
              <w:ind w:left="200"/>
              <w:spacing w:after="0"/>
              <w:rPr>
                <w:sz w:val="20"/>
                <w:szCs w:val="20"/>
                <w:color w:val="auto"/>
              </w:rPr>
            </w:pPr>
            <w:r>
              <w:rPr>
                <w:rFonts w:ascii="Arial" w:cs="Arial" w:eastAsia="Arial" w:hAnsi="Arial"/>
                <w:sz w:val="18"/>
                <w:szCs w:val="18"/>
                <w:color w:val="auto"/>
              </w:rPr>
              <w:t>Accumulated other comprehensive income</w:t>
            </w:r>
          </w:p>
        </w:tc>
        <w:tc>
          <w:tcPr>
            <w:tcW w:w="3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615</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28</w:t>
            </w: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Accumulated deficit</w:t>
            </w:r>
          </w:p>
        </w:tc>
        <w:tc>
          <w:tcPr>
            <w:tcW w:w="3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(690,955 )</w:t>
            </w:r>
          </w:p>
        </w:tc>
        <w:tc>
          <w:tcPr>
            <w:tcW w:w="2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(576,528 )</w:t>
            </w:r>
          </w:p>
        </w:tc>
        <w:tc>
          <w:tcPr>
            <w:tcW w:w="40" w:type="dxa"/>
            <w:vAlign w:val="bottom"/>
          </w:tcPr>
          <w:p>
            <w:pPr>
              <w:spacing w:after="0"/>
              <w:rPr>
                <w:sz w:val="18"/>
                <w:szCs w:val="18"/>
                <w:color w:val="auto"/>
              </w:rPr>
            </w:pPr>
          </w:p>
        </w:tc>
      </w:tr>
      <w:tr>
        <w:trPr>
          <w:trHeight w:val="210"/>
        </w:trPr>
        <w:tc>
          <w:tcPr>
            <w:tcW w:w="476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Total shareholders’ equity</w:t>
            </w:r>
          </w:p>
        </w:tc>
        <w:tc>
          <w:tcPr>
            <w:tcW w:w="302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12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3,411,519</w:t>
            </w:r>
          </w:p>
        </w:tc>
        <w:tc>
          <w:tcPr>
            <w:tcW w:w="30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2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3,227,184</w:t>
            </w:r>
          </w:p>
        </w:tc>
        <w:tc>
          <w:tcPr>
            <w:tcW w:w="2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30"/>
        </w:trPr>
        <w:tc>
          <w:tcPr>
            <w:tcW w:w="47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Total liabilities and shareholders’ equity</w:t>
            </w:r>
          </w:p>
        </w:tc>
        <w:tc>
          <w:tcPr>
            <w:tcW w:w="3020" w:type="dxa"/>
            <w:vAlign w:val="bottom"/>
            <w:tcBorders>
              <w:bottom w:val="single" w:sz="8" w:color="CCEEFF"/>
            </w:tcBorders>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4,550,594</w:t>
            </w:r>
          </w:p>
        </w:tc>
        <w:tc>
          <w:tcPr>
            <w:tcW w:w="30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4,527,700</w:t>
            </w:r>
          </w:p>
        </w:tc>
        <w:tc>
          <w:tcPr>
            <w:tcW w:w="280" w:type="dxa"/>
            <w:vAlign w:val="bottom"/>
            <w:tcBorders>
              <w:bottom w:val="single" w:sz="8" w:color="CCEEFF"/>
            </w:tcBorders>
            <w:shd w:val="clear" w:color="auto" w:fill="CCEEFF"/>
          </w:tcPr>
          <w:p>
            <w:pPr>
              <w:spacing w:after="0"/>
              <w:rPr>
                <w:sz w:val="19"/>
                <w:szCs w:val="19"/>
                <w:color w:val="auto"/>
              </w:rPr>
            </w:pPr>
          </w:p>
        </w:tc>
        <w:tc>
          <w:tcPr>
            <w:tcW w:w="40" w:type="dxa"/>
            <w:vAlign w:val="bottom"/>
          </w:tcPr>
          <w:p>
            <w:pPr>
              <w:spacing w:after="0"/>
              <w:rPr>
                <w:sz w:val="19"/>
                <w:szCs w:val="19"/>
                <w:color w:val="auto"/>
              </w:rPr>
            </w:pPr>
          </w:p>
        </w:tc>
      </w:tr>
      <w:tr>
        <w:trPr>
          <w:trHeight w:val="419"/>
        </w:trPr>
        <w:tc>
          <w:tcPr>
            <w:tcW w:w="4760" w:type="dxa"/>
            <w:vAlign w:val="bottom"/>
          </w:tcPr>
          <w:p>
            <w:pPr>
              <w:spacing w:after="0"/>
              <w:rPr>
                <w:sz w:val="24"/>
                <w:szCs w:val="24"/>
                <w:color w:val="auto"/>
              </w:rPr>
            </w:pPr>
          </w:p>
        </w:tc>
        <w:tc>
          <w:tcPr>
            <w:tcW w:w="3020" w:type="dxa"/>
            <w:vAlign w:val="bottom"/>
          </w:tcPr>
          <w:p>
            <w:pPr>
              <w:jc w:val="right"/>
              <w:ind w:right="1930"/>
              <w:spacing w:after="0"/>
              <w:rPr>
                <w:sz w:val="20"/>
                <w:szCs w:val="20"/>
                <w:color w:val="auto"/>
              </w:rPr>
            </w:pPr>
            <w:r>
              <w:rPr>
                <w:rFonts w:ascii="Arial" w:cs="Arial" w:eastAsia="Arial" w:hAnsi="Arial"/>
                <w:sz w:val="18"/>
                <w:szCs w:val="18"/>
                <w:color w:val="auto"/>
              </w:rPr>
              <w:t>8</w:t>
            </w:r>
          </w:p>
        </w:tc>
        <w:tc>
          <w:tcPr>
            <w:tcW w:w="2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4760" w:type="dxa"/>
            <w:vAlign w:val="bottom"/>
            <w:tcBorders>
              <w:bottom w:val="single" w:sz="8" w:color="010101"/>
            </w:tcBorders>
          </w:tcPr>
          <w:p>
            <w:pPr>
              <w:spacing w:after="0"/>
              <w:rPr>
                <w:sz w:val="11"/>
                <w:szCs w:val="11"/>
                <w:color w:val="auto"/>
              </w:rPr>
            </w:pPr>
          </w:p>
        </w:tc>
        <w:tc>
          <w:tcPr>
            <w:tcW w:w="302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128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28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202" w:lineRule="exact"/>
        <w:rPr>
          <w:sz w:val="20"/>
          <w:szCs w:val="20"/>
          <w:color w:val="auto"/>
        </w:rPr>
      </w:pPr>
    </w:p>
    <w:tbl>
      <w:tblPr>
        <w:tblLayout w:type="fixed"/>
        <w:tblInd w:w="5780" w:type="dxa"/>
        <w:tblCellMar>
          <w:top w:w="0" w:type="dxa"/>
          <w:left w:w="0" w:type="dxa"/>
          <w:bottom w:w="0" w:type="dxa"/>
          <w:right w:w="0" w:type="dxa"/>
        </w:tblCellMar>
      </w:tblPr>
      <w:tr>
        <w:trPr>
          <w:trHeight w:val="171"/>
        </w:trPr>
        <w:tc>
          <w:tcPr>
            <w:tcW w:w="920" w:type="dxa"/>
            <w:vAlign w:val="bottom"/>
            <w:tcBorders>
              <w:bottom w:val="single" w:sz="8" w:color="auto"/>
            </w:tcBorders>
          </w:tcPr>
          <w:p>
            <w:pPr>
              <w:spacing w:after="0"/>
              <w:rPr>
                <w:sz w:val="14"/>
                <w:szCs w:val="14"/>
                <w:color w:val="auto"/>
              </w:rPr>
            </w:pPr>
          </w:p>
        </w:tc>
        <w:tc>
          <w:tcPr>
            <w:tcW w:w="1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Three Months Ended</w:t>
            </w:r>
          </w:p>
        </w:tc>
        <w:tc>
          <w:tcPr>
            <w:tcW w:w="90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2060" w:type="dxa"/>
            <w:vAlign w:val="bottom"/>
            <w:tcBorders>
              <w:bottom w:val="single" w:sz="8" w:color="auto"/>
            </w:tcBorders>
            <w:gridSpan w:val="2"/>
          </w:tcPr>
          <w:p>
            <w:pPr>
              <w:ind w:left="660"/>
              <w:spacing w:after="0"/>
              <w:rPr>
                <w:sz w:val="20"/>
                <w:szCs w:val="20"/>
                <w:color w:val="auto"/>
              </w:rPr>
            </w:pPr>
            <w:r>
              <w:rPr>
                <w:rFonts w:ascii="Arial" w:cs="Arial" w:eastAsia="Arial" w:hAnsi="Arial"/>
                <w:sz w:val="14"/>
                <w:szCs w:val="14"/>
                <w:b w:val="1"/>
                <w:bCs w:val="1"/>
                <w:color w:val="auto"/>
              </w:rPr>
              <w:t>Year Ended</w:t>
            </w:r>
          </w:p>
        </w:tc>
      </w:tr>
      <w:tr>
        <w:trPr>
          <w:trHeight w:val="119"/>
        </w:trPr>
        <w:tc>
          <w:tcPr>
            <w:tcW w:w="9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February 2,</w:t>
            </w:r>
          </w:p>
        </w:tc>
        <w:tc>
          <w:tcPr>
            <w:tcW w:w="144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October 27,</w:t>
            </w:r>
          </w:p>
        </w:tc>
        <w:tc>
          <w:tcPr>
            <w:tcW w:w="90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January 27,</w:t>
            </w:r>
          </w:p>
        </w:tc>
        <w:tc>
          <w:tcPr>
            <w:tcW w:w="180" w:type="dxa"/>
            <w:vAlign w:val="bottom"/>
          </w:tcPr>
          <w:p>
            <w:pPr>
              <w:spacing w:after="0"/>
              <w:rPr>
                <w:sz w:val="10"/>
                <w:szCs w:val="10"/>
                <w:color w:val="auto"/>
              </w:rPr>
            </w:pPr>
          </w:p>
        </w:tc>
        <w:tc>
          <w:tcPr>
            <w:tcW w:w="1020" w:type="dxa"/>
            <w:vAlign w:val="bottom"/>
          </w:tcPr>
          <w:p>
            <w:pPr>
              <w:jc w:val="center"/>
              <w:ind w:right="30"/>
              <w:spacing w:after="0" w:line="119" w:lineRule="exact"/>
              <w:rPr>
                <w:sz w:val="20"/>
                <w:szCs w:val="20"/>
                <w:color w:val="auto"/>
              </w:rPr>
            </w:pPr>
            <w:r>
              <w:rPr>
                <w:rFonts w:ascii="Arial" w:cs="Arial" w:eastAsia="Arial" w:hAnsi="Arial"/>
                <w:sz w:val="13"/>
                <w:szCs w:val="13"/>
                <w:b w:val="1"/>
                <w:bCs w:val="1"/>
                <w:color w:val="auto"/>
              </w:rPr>
              <w:t>February 2,</w:t>
            </w:r>
          </w:p>
        </w:tc>
        <w:tc>
          <w:tcPr>
            <w:tcW w:w="1040" w:type="dxa"/>
            <w:vAlign w:val="bottom"/>
          </w:tcPr>
          <w:p>
            <w:pPr>
              <w:jc w:val="center"/>
              <w:ind w:left="11"/>
              <w:spacing w:after="0" w:line="119" w:lineRule="exact"/>
              <w:rPr>
                <w:sz w:val="20"/>
                <w:szCs w:val="20"/>
                <w:color w:val="auto"/>
              </w:rPr>
            </w:pPr>
            <w:r>
              <w:rPr>
                <w:rFonts w:ascii="Arial" w:cs="Arial" w:eastAsia="Arial" w:hAnsi="Arial"/>
                <w:sz w:val="13"/>
                <w:szCs w:val="13"/>
                <w:b w:val="1"/>
                <w:bCs w:val="1"/>
                <w:color w:val="auto"/>
              </w:rPr>
              <w:t>January 27,</w:t>
            </w:r>
          </w:p>
        </w:tc>
      </w:tr>
      <w:tr>
        <w:trPr>
          <w:trHeight w:val="173"/>
        </w:trPr>
        <w:tc>
          <w:tcPr>
            <w:tcW w:w="920" w:type="dxa"/>
            <w:vAlign w:val="bottom"/>
          </w:tcPr>
          <w:p>
            <w:pPr>
              <w:jc w:val="right"/>
              <w:ind w:right="211"/>
              <w:spacing w:after="0"/>
              <w:rPr>
                <w:sz w:val="20"/>
                <w:szCs w:val="20"/>
                <w:color w:val="auto"/>
              </w:rPr>
            </w:pPr>
            <w:r>
              <w:rPr>
                <w:rFonts w:ascii="Arial" w:cs="Arial" w:eastAsia="Arial" w:hAnsi="Arial"/>
                <w:sz w:val="14"/>
                <w:szCs w:val="14"/>
                <w:b w:val="1"/>
                <w:bCs w:val="1"/>
                <w:color w:val="auto"/>
              </w:rPr>
              <w:t>2008</w:t>
            </w:r>
          </w:p>
        </w:tc>
        <w:tc>
          <w:tcPr>
            <w:tcW w:w="1440" w:type="dxa"/>
            <w:vAlign w:val="bottom"/>
          </w:tcPr>
          <w:p>
            <w:pPr>
              <w:jc w:val="center"/>
              <w:spacing w:after="0"/>
              <w:rPr>
                <w:sz w:val="20"/>
                <w:szCs w:val="20"/>
                <w:color w:val="auto"/>
              </w:rPr>
            </w:pPr>
            <w:r>
              <w:rPr>
                <w:rFonts w:ascii="Arial" w:cs="Arial" w:eastAsia="Arial" w:hAnsi="Arial"/>
                <w:sz w:val="14"/>
                <w:szCs w:val="14"/>
                <w:b w:val="1"/>
                <w:bCs w:val="1"/>
                <w:color w:val="auto"/>
                <w:w w:val="89"/>
              </w:rPr>
              <w:t>2007</w:t>
            </w:r>
          </w:p>
        </w:tc>
        <w:tc>
          <w:tcPr>
            <w:tcW w:w="900" w:type="dxa"/>
            <w:vAlign w:val="bottom"/>
          </w:tcPr>
          <w:p>
            <w:pPr>
              <w:jc w:val="right"/>
              <w:ind w:right="271"/>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1020" w:type="dxa"/>
            <w:vAlign w:val="bottom"/>
          </w:tcPr>
          <w:p>
            <w:pPr>
              <w:jc w:val="right"/>
              <w:ind w:right="350"/>
              <w:spacing w:after="0"/>
              <w:rPr>
                <w:sz w:val="20"/>
                <w:szCs w:val="20"/>
                <w:color w:val="auto"/>
              </w:rPr>
            </w:pPr>
            <w:r>
              <w:rPr>
                <w:rFonts w:ascii="Arial" w:cs="Arial" w:eastAsia="Arial" w:hAnsi="Arial"/>
                <w:sz w:val="14"/>
                <w:szCs w:val="14"/>
                <w:b w:val="1"/>
                <w:bCs w:val="1"/>
                <w:color w:val="auto"/>
              </w:rPr>
              <w:t>2008</w:t>
            </w:r>
          </w:p>
        </w:tc>
        <w:tc>
          <w:tcPr>
            <w:tcW w:w="1040" w:type="dxa"/>
            <w:vAlign w:val="bottom"/>
          </w:tcPr>
          <w:p>
            <w:pPr>
              <w:jc w:val="right"/>
              <w:ind w:right="271"/>
              <w:spacing w:after="0"/>
              <w:rPr>
                <w:sz w:val="20"/>
                <w:szCs w:val="20"/>
                <w:color w:val="auto"/>
              </w:rPr>
            </w:pPr>
            <w:r>
              <w:rPr>
                <w:rFonts w:ascii="Arial" w:cs="Arial" w:eastAsia="Arial" w:hAnsi="Arial"/>
                <w:sz w:val="14"/>
                <w:szCs w:val="14"/>
                <w:b w:val="1"/>
                <w:bCs w:val="1"/>
                <w:color w:val="auto"/>
              </w:rPr>
              <w:t>2007</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wp:posOffset>
            </wp:positionV>
            <wp:extent cx="7246620" cy="13716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ind w:left="20"/>
        <w:spacing w:after="0"/>
        <w:rPr>
          <w:sz w:val="20"/>
          <w:szCs w:val="20"/>
          <w:color w:val="auto"/>
        </w:rPr>
      </w:pPr>
      <w:r>
        <w:rPr>
          <w:rFonts w:ascii="Arial" w:cs="Arial" w:eastAsia="Arial" w:hAnsi="Arial"/>
          <w:sz w:val="18"/>
          <w:szCs w:val="18"/>
          <w:color w:val="auto"/>
        </w:rPr>
        <w:t>Cash flows from operating activities:</w:t>
      </w:r>
    </w:p>
    <w:p>
      <w:pPr>
        <w:sectPr>
          <w:pgSz w:w="11900" w:h="16838" w:orient="portrait"/>
          <w:cols w:equalWidth="0" w:num="1">
            <w:col w:w="11460"/>
          </w:cols>
          <w:pgMar w:left="240" w:top="356" w:right="199" w:bottom="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230"/>
        </w:trPr>
        <w:tc>
          <w:tcPr>
            <w:tcW w:w="5140" w:type="dxa"/>
            <w:vAlign w:val="bottom"/>
          </w:tcPr>
          <w:p>
            <w:pPr>
              <w:ind w:left="20"/>
              <w:spacing w:after="0"/>
              <w:rPr>
                <w:sz w:val="20"/>
                <w:szCs w:val="20"/>
                <w:color w:val="auto"/>
              </w:rPr>
            </w:pPr>
            <w:r>
              <w:rPr>
                <w:rFonts w:ascii="Arial" w:cs="Arial" w:eastAsia="Arial" w:hAnsi="Arial"/>
                <w:sz w:val="18"/>
                <w:szCs w:val="18"/>
                <w:color w:val="auto"/>
              </w:rPr>
              <w:t>Net income (loss)</w:t>
            </w:r>
          </w:p>
        </w:tc>
        <w:tc>
          <w:tcPr>
            <w:tcW w:w="88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1,293</w:t>
            </w:r>
          </w:p>
        </w:tc>
        <w:tc>
          <w:tcPr>
            <w:tcW w:w="200" w:type="dxa"/>
            <w:vAlign w:val="bottom"/>
          </w:tcPr>
          <w:p>
            <w:pPr>
              <w:spacing w:after="0"/>
              <w:rPr>
                <w:sz w:val="20"/>
                <w:szCs w:val="20"/>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(6,436 )</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40" w:type="dxa"/>
            <w:vAlign w:val="bottom"/>
            <w:gridSpan w:val="2"/>
          </w:tcPr>
          <w:p>
            <w:pPr>
              <w:jc w:val="right"/>
              <w:ind w:right="10"/>
              <w:spacing w:after="0"/>
              <w:rPr>
                <w:sz w:val="20"/>
                <w:szCs w:val="20"/>
                <w:color w:val="auto"/>
              </w:rPr>
            </w:pPr>
            <w:r>
              <w:rPr>
                <w:rFonts w:ascii="Arial" w:cs="Arial" w:eastAsia="Arial" w:hAnsi="Arial"/>
                <w:sz w:val="18"/>
                <w:szCs w:val="18"/>
                <w:color w:val="auto"/>
                <w:w w:val="99"/>
              </w:rPr>
              <w:t>(140,585 )</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w w:val="97"/>
              </w:rPr>
              <w:t>(114,427 )</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(12,095 )</w:t>
            </w:r>
          </w:p>
        </w:tc>
        <w:tc>
          <w:tcPr>
            <w:tcW w:w="40" w:type="dxa"/>
            <w:vAlign w:val="bottom"/>
          </w:tcPr>
          <w:p>
            <w:pPr>
              <w:spacing w:after="0"/>
              <w:rPr>
                <w:sz w:val="20"/>
                <w:szCs w:val="20"/>
                <w:color w:val="auto"/>
              </w:rPr>
            </w:pPr>
          </w:p>
        </w:tc>
      </w:tr>
      <w:tr>
        <w:trPr>
          <w:trHeight w:val="202"/>
        </w:trPr>
        <w:tc>
          <w:tcPr>
            <w:tcW w:w="5140" w:type="dxa"/>
            <w:vAlign w:val="bottom"/>
            <w:shd w:val="clear" w:color="auto" w:fill="CCEEFF"/>
          </w:tcPr>
          <w:p>
            <w:pPr>
              <w:ind w:left="20"/>
              <w:spacing w:after="0" w:line="201" w:lineRule="exact"/>
              <w:rPr>
                <w:sz w:val="20"/>
                <w:szCs w:val="20"/>
                <w:color w:val="auto"/>
              </w:rPr>
            </w:pPr>
            <w:r>
              <w:rPr>
                <w:rFonts w:ascii="Arial" w:cs="Arial" w:eastAsia="Arial" w:hAnsi="Arial"/>
                <w:sz w:val="18"/>
                <w:szCs w:val="18"/>
                <w:color w:val="auto"/>
              </w:rPr>
              <w:t>Adjustments to reconcile net income (loss) to net cash provided</w:t>
            </w:r>
          </w:p>
        </w:tc>
        <w:tc>
          <w:tcPr>
            <w:tcW w:w="6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by operating activities:</w:t>
            </w:r>
          </w:p>
        </w:tc>
        <w:tc>
          <w:tcPr>
            <w:tcW w:w="64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40" w:type="dxa"/>
            <w:vAlign w:val="bottom"/>
          </w:tcPr>
          <w:p>
            <w:pPr>
              <w:spacing w:after="0"/>
              <w:rPr>
                <w:sz w:val="20"/>
                <w:szCs w:val="20"/>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Cumulative effect of change in accounting principle, net</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(8,846 )</w:t>
            </w: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Depreciation and amortization</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27,008</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26,384</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24,641</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105,812</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77,160</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Stock-based compensation</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69,960</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55,356</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45,627</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230,980</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192,121</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Amortization and write-off of acquired intangible assets</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43,810</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37,311</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37,826</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155,734</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109,987</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Acquired in-process research and development</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77,800</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77,800</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Loss (gain) from disposal of assets</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3,300</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(1,822 )</w:t>
            </w: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02"/>
        </w:trPr>
        <w:tc>
          <w:tcPr>
            <w:tcW w:w="5140" w:type="dxa"/>
            <w:vAlign w:val="bottom"/>
          </w:tcPr>
          <w:p>
            <w:pPr>
              <w:ind w:left="200"/>
              <w:spacing w:after="0" w:line="201" w:lineRule="exact"/>
              <w:rPr>
                <w:sz w:val="20"/>
                <w:szCs w:val="20"/>
                <w:color w:val="auto"/>
              </w:rPr>
            </w:pPr>
            <w:r>
              <w:rPr>
                <w:rFonts w:ascii="Arial" w:cs="Arial" w:eastAsia="Arial" w:hAnsi="Arial"/>
                <w:sz w:val="18"/>
                <w:szCs w:val="18"/>
                <w:color w:val="auto"/>
              </w:rPr>
              <w:t>Fair market value adjustment to cost of goods sold from</w:t>
            </w:r>
          </w:p>
        </w:tc>
        <w:tc>
          <w:tcPr>
            <w:tcW w:w="6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5140" w:type="dxa"/>
            <w:vAlign w:val="bottom"/>
          </w:tcPr>
          <w:p>
            <w:pPr>
              <w:ind w:left="380"/>
              <w:spacing w:after="0"/>
              <w:rPr>
                <w:sz w:val="20"/>
                <w:szCs w:val="20"/>
                <w:color w:val="auto"/>
              </w:rPr>
            </w:pPr>
            <w:r>
              <w:rPr>
                <w:rFonts w:ascii="Arial" w:cs="Arial" w:eastAsia="Arial" w:hAnsi="Arial"/>
                <w:sz w:val="18"/>
                <w:szCs w:val="18"/>
                <w:color w:val="auto"/>
              </w:rPr>
              <w:t>supply contract</w:t>
            </w:r>
          </w:p>
        </w:tc>
        <w:tc>
          <w:tcPr>
            <w:tcW w:w="6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20" w:type="dxa"/>
            <w:vAlign w:val="bottom"/>
            <w:gridSpan w:val="2"/>
          </w:tcPr>
          <w:p>
            <w:pPr>
              <w:jc w:val="right"/>
              <w:ind w:right="30"/>
              <w:spacing w:after="0"/>
              <w:rPr>
                <w:sz w:val="20"/>
                <w:szCs w:val="20"/>
                <w:color w:val="auto"/>
              </w:rPr>
            </w:pPr>
            <w:r>
              <w:rPr>
                <w:rFonts w:ascii="Arial" w:cs="Arial" w:eastAsia="Arial" w:hAnsi="Arial"/>
                <w:sz w:val="18"/>
                <w:szCs w:val="18"/>
                <w:color w:val="auto"/>
              </w:rPr>
              <w:t>(5,348 )</w:t>
            </w:r>
          </w:p>
        </w:tc>
        <w:tc>
          <w:tcPr>
            <w:tcW w:w="220" w:type="dxa"/>
            <w:vAlign w:val="bottom"/>
          </w:tcPr>
          <w:p>
            <w:pPr>
              <w:spacing w:after="0"/>
              <w:rPr>
                <w:sz w:val="20"/>
                <w:szCs w:val="20"/>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(26,273 )</w:t>
            </w:r>
          </w:p>
        </w:tc>
        <w:tc>
          <w:tcPr>
            <w:tcW w:w="200" w:type="dxa"/>
            <w:vAlign w:val="bottom"/>
          </w:tcPr>
          <w:p>
            <w:pPr>
              <w:spacing w:after="0"/>
              <w:rPr>
                <w:sz w:val="20"/>
                <w:szCs w:val="20"/>
                <w:color w:val="auto"/>
              </w:rPr>
            </w:pPr>
          </w:p>
        </w:tc>
        <w:tc>
          <w:tcPr>
            <w:tcW w:w="940" w:type="dxa"/>
            <w:vAlign w:val="bottom"/>
            <w:gridSpan w:val="2"/>
          </w:tcPr>
          <w:p>
            <w:pPr>
              <w:jc w:val="right"/>
              <w:ind w:right="10"/>
              <w:spacing w:after="0"/>
              <w:rPr>
                <w:sz w:val="20"/>
                <w:szCs w:val="20"/>
                <w:color w:val="auto"/>
              </w:rPr>
            </w:pPr>
            <w:r>
              <w:rPr>
                <w:rFonts w:ascii="Arial" w:cs="Arial" w:eastAsia="Arial" w:hAnsi="Arial"/>
                <w:sz w:val="18"/>
                <w:szCs w:val="18"/>
                <w:color w:val="auto"/>
              </w:rPr>
              <w:t>(37,593 )</w:t>
            </w:r>
          </w:p>
        </w:tc>
        <w:tc>
          <w:tcPr>
            <w:tcW w:w="180" w:type="dxa"/>
            <w:vAlign w:val="bottom"/>
          </w:tcPr>
          <w:p>
            <w:pPr>
              <w:spacing w:after="0"/>
              <w:rPr>
                <w:sz w:val="20"/>
                <w:szCs w:val="20"/>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w w:val="97"/>
              </w:rPr>
              <w:t>(109,262 )</w:t>
            </w:r>
          </w:p>
        </w:tc>
        <w:tc>
          <w:tcPr>
            <w:tcW w:w="200" w:type="dxa"/>
            <w:vAlign w:val="bottom"/>
          </w:tcPr>
          <w:p>
            <w:pPr>
              <w:spacing w:after="0"/>
              <w:rPr>
                <w:sz w:val="20"/>
                <w:szCs w:val="20"/>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(37,593 )</w:t>
            </w:r>
          </w:p>
        </w:tc>
        <w:tc>
          <w:tcPr>
            <w:tcW w:w="40" w:type="dxa"/>
            <w:vAlign w:val="bottom"/>
          </w:tcPr>
          <w:p>
            <w:pPr>
              <w:spacing w:after="0"/>
              <w:rPr>
                <w:sz w:val="20"/>
                <w:szCs w:val="20"/>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Termination of supply agreement</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(22,069 )</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(22,069 )</w:t>
            </w: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Interest expense related to supply contract</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1,165</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1,645</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5,833</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Deferred tax provision</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(16,778 )</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(2,224 )</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(16,778 )</w:t>
            </w: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(2,224 )</w:t>
            </w: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Excess tax benefits from stock-based compensation</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30"/>
              <w:spacing w:after="0"/>
              <w:rPr>
                <w:sz w:val="20"/>
                <w:szCs w:val="20"/>
                <w:color w:val="auto"/>
              </w:rPr>
            </w:pPr>
            <w:r>
              <w:rPr>
                <w:rFonts w:ascii="Arial" w:cs="Arial" w:eastAsia="Arial" w:hAnsi="Arial"/>
                <w:sz w:val="18"/>
                <w:szCs w:val="18"/>
                <w:color w:val="auto"/>
              </w:rPr>
              <w:t>(199 )</w:t>
            </w:r>
          </w:p>
        </w:tc>
        <w:tc>
          <w:tcPr>
            <w:tcW w:w="22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(65 )</w:t>
            </w:r>
          </w:p>
        </w:tc>
        <w:tc>
          <w:tcPr>
            <w:tcW w:w="200" w:type="dxa"/>
            <w:vAlign w:val="bottom"/>
          </w:tcPr>
          <w:p>
            <w:pPr>
              <w:spacing w:after="0"/>
              <w:rPr>
                <w:sz w:val="18"/>
                <w:szCs w:val="18"/>
                <w:color w:val="auto"/>
              </w:rPr>
            </w:pPr>
          </w:p>
        </w:tc>
        <w:tc>
          <w:tcPr>
            <w:tcW w:w="9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(499 )</w:t>
            </w:r>
          </w:p>
        </w:tc>
        <w:tc>
          <w:tcPr>
            <w:tcW w:w="20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(889 )</w:t>
            </w: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Changes in assets and liabilities, net of acquisitions:</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tcPr>
          <w:p>
            <w:pPr>
              <w:ind w:left="380"/>
              <w:spacing w:after="0"/>
              <w:rPr>
                <w:sz w:val="20"/>
                <w:szCs w:val="20"/>
                <w:color w:val="auto"/>
              </w:rPr>
            </w:pPr>
            <w:r>
              <w:rPr>
                <w:rFonts w:ascii="Arial" w:cs="Arial" w:eastAsia="Arial" w:hAnsi="Arial"/>
                <w:sz w:val="18"/>
                <w:szCs w:val="18"/>
                <w:color w:val="auto"/>
              </w:rPr>
              <w:t>Accounts receivable</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55,169</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(28,230 )</w:t>
            </w:r>
          </w:p>
        </w:tc>
        <w:tc>
          <w:tcPr>
            <w:tcW w:w="200" w:type="dxa"/>
            <w:vAlign w:val="bottom"/>
          </w:tcPr>
          <w:p>
            <w:pPr>
              <w:spacing w:after="0"/>
              <w:rPr>
                <w:sz w:val="18"/>
                <w:szCs w:val="18"/>
                <w:color w:val="auto"/>
              </w:rPr>
            </w:pPr>
          </w:p>
        </w:tc>
        <w:tc>
          <w:tcPr>
            <w:tcW w:w="940" w:type="dxa"/>
            <w:vAlign w:val="bottom"/>
            <w:gridSpan w:val="2"/>
          </w:tcPr>
          <w:p>
            <w:pPr>
              <w:jc w:val="right"/>
              <w:ind w:right="10"/>
              <w:spacing w:after="0"/>
              <w:rPr>
                <w:sz w:val="20"/>
                <w:szCs w:val="20"/>
                <w:color w:val="auto"/>
              </w:rPr>
            </w:pPr>
            <w:r>
              <w:rPr>
                <w:rFonts w:ascii="Arial" w:cs="Arial" w:eastAsia="Arial" w:hAnsi="Arial"/>
                <w:sz w:val="18"/>
                <w:szCs w:val="18"/>
                <w:color w:val="auto"/>
              </w:rPr>
              <w:t>(34,048 )</w:t>
            </w:r>
          </w:p>
        </w:tc>
        <w:tc>
          <w:tcPr>
            <w:tcW w:w="18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(1,763 )</w:t>
            </w:r>
          </w:p>
        </w:tc>
        <w:tc>
          <w:tcPr>
            <w:tcW w:w="20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(83,100 )</w:t>
            </w: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Inventories</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(43,441 )</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(70,086 )</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(26,214 )</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7"/>
              </w:rPr>
              <w:t>(202,275 )</w:t>
            </w: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(15,908 )</w:t>
            </w:r>
          </w:p>
        </w:tc>
        <w:tc>
          <w:tcPr>
            <w:tcW w:w="40" w:type="dxa"/>
            <w:vAlign w:val="bottom"/>
          </w:tcPr>
          <w:p>
            <w:pPr>
              <w:spacing w:after="0"/>
              <w:rPr>
                <w:sz w:val="18"/>
                <w:szCs w:val="18"/>
                <w:color w:val="auto"/>
              </w:rPr>
            </w:pPr>
          </w:p>
        </w:tc>
      </w:tr>
      <w:tr>
        <w:trPr>
          <w:trHeight w:val="216"/>
        </w:trPr>
        <w:tc>
          <w:tcPr>
            <w:tcW w:w="5140" w:type="dxa"/>
            <w:vAlign w:val="bottom"/>
          </w:tcPr>
          <w:p>
            <w:pPr>
              <w:ind w:left="380"/>
              <w:spacing w:after="0"/>
              <w:rPr>
                <w:sz w:val="20"/>
                <w:szCs w:val="20"/>
                <w:color w:val="auto"/>
              </w:rPr>
            </w:pPr>
            <w:r>
              <w:rPr>
                <w:rFonts w:ascii="Arial" w:cs="Arial" w:eastAsia="Arial" w:hAnsi="Arial"/>
                <w:sz w:val="18"/>
                <w:szCs w:val="18"/>
                <w:color w:val="auto"/>
              </w:rPr>
              <w:t>Prepaid expenses and other asset</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8,798</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45,531</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gridSpan w:val="2"/>
          </w:tcPr>
          <w:p>
            <w:pPr>
              <w:jc w:val="right"/>
              <w:ind w:right="10"/>
              <w:spacing w:after="0"/>
              <w:rPr>
                <w:sz w:val="20"/>
                <w:szCs w:val="20"/>
                <w:color w:val="auto"/>
              </w:rPr>
            </w:pPr>
            <w:r>
              <w:rPr>
                <w:rFonts w:ascii="Arial" w:cs="Arial" w:eastAsia="Arial" w:hAnsi="Arial"/>
                <w:sz w:val="18"/>
                <w:szCs w:val="18"/>
                <w:color w:val="auto"/>
              </w:rPr>
              <w:t>(61,369 )</w:t>
            </w:r>
          </w:p>
        </w:tc>
        <w:tc>
          <w:tcPr>
            <w:tcW w:w="1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108,321</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w w:val="97"/>
              </w:rPr>
              <w:t>(113,159 )</w:t>
            </w: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Accounts payable</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22,920</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(53,441 )</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40,820</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(8,187 )</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43,891</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tcPr>
          <w:p>
            <w:pPr>
              <w:ind w:left="380"/>
              <w:spacing w:after="0"/>
              <w:rPr>
                <w:sz w:val="20"/>
                <w:szCs w:val="20"/>
                <w:color w:val="auto"/>
              </w:rPr>
            </w:pPr>
            <w:r>
              <w:rPr>
                <w:rFonts w:ascii="Arial" w:cs="Arial" w:eastAsia="Arial" w:hAnsi="Arial"/>
                <w:sz w:val="18"/>
                <w:szCs w:val="18"/>
                <w:color w:val="auto"/>
              </w:rPr>
              <w:t>Accrued liabilities and other</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17,134</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19,945</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16,603</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10,880</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30,375</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Accrued employee compensation</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(1,645 )</w:t>
            </w: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9,642</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34,251</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8,852</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33,484</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tcPr>
          <w:p>
            <w:pPr>
              <w:ind w:left="380"/>
              <w:spacing w:after="0"/>
              <w:rPr>
                <w:sz w:val="20"/>
                <w:szCs w:val="20"/>
                <w:color w:val="auto"/>
              </w:rPr>
            </w:pPr>
            <w:r>
              <w:rPr>
                <w:rFonts w:ascii="Arial" w:cs="Arial" w:eastAsia="Arial" w:hAnsi="Arial"/>
                <w:sz w:val="18"/>
                <w:szCs w:val="18"/>
                <w:color w:val="auto"/>
              </w:rPr>
              <w:t>Accrued facilities charge</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40" w:type="dxa"/>
            <w:vAlign w:val="bottom"/>
            <w:gridSpan w:val="2"/>
          </w:tcPr>
          <w:p>
            <w:pPr>
              <w:jc w:val="right"/>
              <w:ind w:right="10"/>
              <w:spacing w:after="0"/>
              <w:rPr>
                <w:sz w:val="20"/>
                <w:szCs w:val="20"/>
                <w:color w:val="auto"/>
              </w:rPr>
            </w:pPr>
            <w:r>
              <w:rPr>
                <w:rFonts w:ascii="Arial" w:cs="Arial" w:eastAsia="Arial" w:hAnsi="Arial"/>
                <w:sz w:val="18"/>
                <w:szCs w:val="18"/>
                <w:color w:val="auto"/>
              </w:rPr>
              <w:t>(571 )</w:t>
            </w: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(571 )</w:t>
            </w: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Income taxes payable</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9,032</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(8,120 )</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1,100</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4,840</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30,192</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tcPr>
          <w:p>
            <w:pPr>
              <w:ind w:left="380"/>
              <w:spacing w:after="0"/>
              <w:rPr>
                <w:sz w:val="20"/>
                <w:szCs w:val="20"/>
                <w:color w:val="auto"/>
              </w:rPr>
            </w:pPr>
            <w:r>
              <w:rPr>
                <w:rFonts w:ascii="Arial" w:cs="Arial" w:eastAsia="Arial" w:hAnsi="Arial"/>
                <w:sz w:val="18"/>
                <w:szCs w:val="18"/>
                <w:color w:val="auto"/>
              </w:rPr>
              <w:t>Deferred income</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30"/>
              <w:spacing w:after="0"/>
              <w:rPr>
                <w:sz w:val="20"/>
                <w:szCs w:val="20"/>
                <w:color w:val="auto"/>
              </w:rPr>
            </w:pPr>
            <w:r>
              <w:rPr>
                <w:rFonts w:ascii="Arial" w:cs="Arial" w:eastAsia="Arial" w:hAnsi="Arial"/>
                <w:sz w:val="18"/>
                <w:szCs w:val="18"/>
                <w:color w:val="auto"/>
              </w:rPr>
              <w:t>(6,872 )</w:t>
            </w: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21,515</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14,787</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22,961</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16,686</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5140" w:type="dxa"/>
            <w:vAlign w:val="bottom"/>
            <w:tcBorders>
              <w:top w:val="single" w:sz="8" w:color="CCEEFF"/>
            </w:tcBorders>
            <w:shd w:val="clear" w:color="auto" w:fill="CCEEFF"/>
          </w:tcPr>
          <w:p>
            <w:pPr>
              <w:ind w:left="560"/>
              <w:spacing w:after="0"/>
              <w:rPr>
                <w:sz w:val="20"/>
                <w:szCs w:val="20"/>
                <w:color w:val="auto"/>
              </w:rPr>
            </w:pPr>
            <w:r>
              <w:rPr>
                <w:rFonts w:ascii="Arial" w:cs="Arial" w:eastAsia="Arial" w:hAnsi="Arial"/>
                <w:sz w:val="18"/>
                <w:szCs w:val="18"/>
                <w:color w:val="auto"/>
              </w:rPr>
              <w:t>Net cash provided by (used in) operating activities</w:t>
            </w:r>
          </w:p>
        </w:tc>
        <w:tc>
          <w:tcPr>
            <w:tcW w:w="64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163,237</w:t>
            </w: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24,678</w:t>
            </w:r>
          </w:p>
        </w:tc>
        <w:tc>
          <w:tcPr>
            <w:tcW w:w="1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(9,149</w:t>
            </w:r>
          </w:p>
        </w:tc>
        <w:tc>
          <w:tcPr>
            <w:tcW w:w="18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177,131</w:t>
            </w:r>
          </w:p>
        </w:tc>
        <w:tc>
          <w:tcPr>
            <w:tcW w:w="1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337,311</w:t>
            </w:r>
          </w:p>
        </w:tc>
        <w:tc>
          <w:tcPr>
            <w:tcW w:w="14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tcPr>
          <w:p>
            <w:pPr>
              <w:ind w:left="20"/>
              <w:spacing w:after="0"/>
              <w:rPr>
                <w:sz w:val="20"/>
                <w:szCs w:val="20"/>
                <w:color w:val="auto"/>
              </w:rPr>
            </w:pPr>
            <w:r>
              <w:rPr>
                <w:rFonts w:ascii="Arial" w:cs="Arial" w:eastAsia="Arial" w:hAnsi="Arial"/>
                <w:sz w:val="18"/>
                <w:szCs w:val="18"/>
                <w:color w:val="auto"/>
              </w:rPr>
              <w:t>Cash flows from investing activities:</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Cash paid in acquisitions, net</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(12,846 )</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w w:val="99"/>
              </w:rPr>
              <w:t>(609,889 )</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(19,987 )</w:t>
            </w: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(892,867 )</w:t>
            </w: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Purchases of short-term and long-term investments</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30"/>
              <w:spacing w:after="0"/>
              <w:rPr>
                <w:sz w:val="20"/>
                <w:szCs w:val="20"/>
                <w:color w:val="auto"/>
              </w:rPr>
            </w:pPr>
            <w:r>
              <w:rPr>
                <w:rFonts w:ascii="Arial" w:cs="Arial" w:eastAsia="Arial" w:hAnsi="Arial"/>
                <w:sz w:val="18"/>
                <w:szCs w:val="18"/>
                <w:color w:val="auto"/>
              </w:rPr>
              <w:t>(96,979 )</w:t>
            </w:r>
          </w:p>
        </w:tc>
        <w:tc>
          <w:tcPr>
            <w:tcW w:w="22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(52,256 )</w:t>
            </w:r>
          </w:p>
        </w:tc>
        <w:tc>
          <w:tcPr>
            <w:tcW w:w="200" w:type="dxa"/>
            <w:vAlign w:val="bottom"/>
          </w:tcPr>
          <w:p>
            <w:pPr>
              <w:spacing w:after="0"/>
              <w:rPr>
                <w:sz w:val="18"/>
                <w:szCs w:val="18"/>
                <w:color w:val="auto"/>
              </w:rPr>
            </w:pPr>
          </w:p>
        </w:tc>
        <w:tc>
          <w:tcPr>
            <w:tcW w:w="9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w w:val="97"/>
              </w:rPr>
              <w:t>(262,886 )</w:t>
            </w:r>
          </w:p>
        </w:tc>
        <w:tc>
          <w:tcPr>
            <w:tcW w:w="20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w w:val="97"/>
              </w:rPr>
              <w:t>(266,938 )</w:t>
            </w: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Sales and maturities of short-term and long-term investments</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110,390</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70,495</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7,929</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230,906</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812,831</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Acquisition costs</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30"/>
              <w:spacing w:after="0"/>
              <w:rPr>
                <w:sz w:val="20"/>
                <w:szCs w:val="20"/>
                <w:color w:val="auto"/>
              </w:rPr>
            </w:pPr>
            <w:r>
              <w:rPr>
                <w:rFonts w:ascii="Arial" w:cs="Arial" w:eastAsia="Arial" w:hAnsi="Arial"/>
                <w:sz w:val="18"/>
                <w:szCs w:val="18"/>
                <w:color w:val="auto"/>
              </w:rPr>
              <w:t>(132 )</w:t>
            </w:r>
          </w:p>
        </w:tc>
        <w:tc>
          <w:tcPr>
            <w:tcW w:w="22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(70 )</w:t>
            </w:r>
          </w:p>
        </w:tc>
        <w:tc>
          <w:tcPr>
            <w:tcW w:w="200" w:type="dxa"/>
            <w:vAlign w:val="bottom"/>
          </w:tcPr>
          <w:p>
            <w:pPr>
              <w:spacing w:after="0"/>
              <w:rPr>
                <w:sz w:val="18"/>
                <w:szCs w:val="18"/>
                <w:color w:val="auto"/>
              </w:rPr>
            </w:pPr>
          </w:p>
        </w:tc>
        <w:tc>
          <w:tcPr>
            <w:tcW w:w="940" w:type="dxa"/>
            <w:vAlign w:val="bottom"/>
            <w:gridSpan w:val="2"/>
          </w:tcPr>
          <w:p>
            <w:pPr>
              <w:jc w:val="right"/>
              <w:ind w:right="10"/>
              <w:spacing w:after="0"/>
              <w:rPr>
                <w:sz w:val="20"/>
                <w:szCs w:val="20"/>
                <w:color w:val="auto"/>
              </w:rPr>
            </w:pPr>
            <w:r>
              <w:rPr>
                <w:rFonts w:ascii="Arial" w:cs="Arial" w:eastAsia="Arial" w:hAnsi="Arial"/>
                <w:sz w:val="18"/>
                <w:szCs w:val="18"/>
                <w:color w:val="auto"/>
              </w:rPr>
              <w:t>(4,799 )</w:t>
            </w:r>
          </w:p>
        </w:tc>
        <w:tc>
          <w:tcPr>
            <w:tcW w:w="18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(1,340 )</w:t>
            </w:r>
          </w:p>
        </w:tc>
        <w:tc>
          <w:tcPr>
            <w:tcW w:w="20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(9,032 )</w:t>
            </w: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Purchases of investments</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(323 )</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(323 )</w:t>
            </w: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Purchases of property and equipment</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30"/>
              <w:spacing w:after="0"/>
              <w:rPr>
                <w:sz w:val="20"/>
                <w:szCs w:val="20"/>
                <w:color w:val="auto"/>
              </w:rPr>
            </w:pPr>
            <w:r>
              <w:rPr>
                <w:rFonts w:ascii="Arial" w:cs="Arial" w:eastAsia="Arial" w:hAnsi="Arial"/>
                <w:sz w:val="18"/>
                <w:szCs w:val="18"/>
                <w:color w:val="auto"/>
              </w:rPr>
              <w:t>(32,327 )</w:t>
            </w:r>
          </w:p>
        </w:tc>
        <w:tc>
          <w:tcPr>
            <w:tcW w:w="22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(16,622 )</w:t>
            </w:r>
          </w:p>
        </w:tc>
        <w:tc>
          <w:tcPr>
            <w:tcW w:w="200" w:type="dxa"/>
            <w:vAlign w:val="bottom"/>
          </w:tcPr>
          <w:p>
            <w:pPr>
              <w:spacing w:after="0"/>
              <w:rPr>
                <w:sz w:val="18"/>
                <w:szCs w:val="18"/>
                <w:color w:val="auto"/>
              </w:rPr>
            </w:pPr>
          </w:p>
        </w:tc>
        <w:tc>
          <w:tcPr>
            <w:tcW w:w="940" w:type="dxa"/>
            <w:vAlign w:val="bottom"/>
            <w:gridSpan w:val="2"/>
          </w:tcPr>
          <w:p>
            <w:pPr>
              <w:jc w:val="right"/>
              <w:ind w:right="10"/>
              <w:spacing w:after="0"/>
              <w:rPr>
                <w:sz w:val="20"/>
                <w:szCs w:val="20"/>
                <w:color w:val="auto"/>
              </w:rPr>
            </w:pPr>
            <w:r>
              <w:rPr>
                <w:rFonts w:ascii="Arial" w:cs="Arial" w:eastAsia="Arial" w:hAnsi="Arial"/>
                <w:sz w:val="18"/>
                <w:szCs w:val="18"/>
                <w:color w:val="auto"/>
              </w:rPr>
              <w:t>(59,284 )</w:t>
            </w:r>
          </w:p>
        </w:tc>
        <w:tc>
          <w:tcPr>
            <w:tcW w:w="18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w w:val="97"/>
              </w:rPr>
              <w:t>(113,462 )</w:t>
            </w:r>
          </w:p>
        </w:tc>
        <w:tc>
          <w:tcPr>
            <w:tcW w:w="20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w w:val="97"/>
              </w:rPr>
              <w:t>(180,696 )</w:t>
            </w: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Proceeds from sale of asset under construction</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5,122</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Purchases of technology licenses</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30"/>
              <w:spacing w:after="0"/>
              <w:rPr>
                <w:sz w:val="20"/>
                <w:szCs w:val="20"/>
                <w:color w:val="auto"/>
              </w:rPr>
            </w:pPr>
            <w:r>
              <w:rPr>
                <w:rFonts w:ascii="Arial" w:cs="Arial" w:eastAsia="Arial" w:hAnsi="Arial"/>
                <w:sz w:val="18"/>
                <w:szCs w:val="18"/>
                <w:color w:val="auto"/>
              </w:rPr>
              <w:t>(3,650 )</w:t>
            </w:r>
          </w:p>
        </w:tc>
        <w:tc>
          <w:tcPr>
            <w:tcW w:w="22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(2,675 )</w:t>
            </w:r>
          </w:p>
        </w:tc>
        <w:tc>
          <w:tcPr>
            <w:tcW w:w="200" w:type="dxa"/>
            <w:vAlign w:val="bottom"/>
          </w:tcPr>
          <w:p>
            <w:pPr>
              <w:spacing w:after="0"/>
              <w:rPr>
                <w:sz w:val="18"/>
                <w:szCs w:val="18"/>
                <w:color w:val="auto"/>
              </w:rPr>
            </w:pPr>
          </w:p>
        </w:tc>
        <w:tc>
          <w:tcPr>
            <w:tcW w:w="9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(23,175 )</w:t>
            </w:r>
          </w:p>
        </w:tc>
        <w:tc>
          <w:tcPr>
            <w:tcW w:w="20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(8,029 )</w:t>
            </w:r>
          </w:p>
        </w:tc>
        <w:tc>
          <w:tcPr>
            <w:tcW w:w="40" w:type="dxa"/>
            <w:vAlign w:val="bottom"/>
          </w:tcPr>
          <w:p>
            <w:pPr>
              <w:spacing w:after="0"/>
              <w:rPr>
                <w:sz w:val="18"/>
                <w:szCs w:val="18"/>
                <w:color w:val="auto"/>
              </w:rPr>
            </w:pPr>
          </w:p>
        </w:tc>
      </w:tr>
      <w:tr>
        <w:trPr>
          <w:trHeight w:val="210"/>
        </w:trPr>
        <w:tc>
          <w:tcPr>
            <w:tcW w:w="5140" w:type="dxa"/>
            <w:vAlign w:val="bottom"/>
            <w:tcBorders>
              <w:top w:val="single" w:sz="8" w:color="CCEEFF"/>
            </w:tcBorders>
            <w:shd w:val="clear" w:color="auto" w:fill="CCEEFF"/>
          </w:tcPr>
          <w:p>
            <w:pPr>
              <w:ind w:left="560"/>
              <w:spacing w:after="0"/>
              <w:rPr>
                <w:sz w:val="20"/>
                <w:szCs w:val="20"/>
                <w:color w:val="auto"/>
              </w:rPr>
            </w:pPr>
            <w:r>
              <w:rPr>
                <w:rFonts w:ascii="Arial" w:cs="Arial" w:eastAsia="Arial" w:hAnsi="Arial"/>
                <w:sz w:val="18"/>
                <w:szCs w:val="18"/>
                <w:color w:val="auto"/>
              </w:rPr>
              <w:t>Net cash used in investing activities</w:t>
            </w:r>
          </w:p>
        </w:tc>
        <w:tc>
          <w:tcPr>
            <w:tcW w:w="64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(35,544</w:t>
            </w:r>
          </w:p>
        </w:tc>
        <w:tc>
          <w:tcPr>
            <w:tcW w:w="200" w:type="dxa"/>
            <w:vAlign w:val="bottom"/>
            <w:tcBorders>
              <w:top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(1,451</w:t>
            </w:r>
          </w:p>
        </w:tc>
        <w:tc>
          <w:tcPr>
            <w:tcW w:w="180" w:type="dxa"/>
            <w:vAlign w:val="bottom"/>
            <w:tcBorders>
              <w:top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w w:val="74"/>
              </w:rPr>
              <w:t>)</w:t>
            </w:r>
          </w:p>
        </w:tc>
        <w:tc>
          <w:tcPr>
            <w:tcW w:w="2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(666,043</w:t>
            </w:r>
          </w:p>
        </w:tc>
        <w:tc>
          <w:tcPr>
            <w:tcW w:w="18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(185,145</w:t>
            </w:r>
          </w:p>
        </w:tc>
        <w:tc>
          <w:tcPr>
            <w:tcW w:w="160" w:type="dxa"/>
            <w:vAlign w:val="bottom"/>
            <w:tcBorders>
              <w:top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2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(544,731</w:t>
            </w:r>
          </w:p>
        </w:tc>
        <w:tc>
          <w:tcPr>
            <w:tcW w:w="1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8"/>
                <w:szCs w:val="18"/>
                <w:color w:val="auto"/>
              </w:rPr>
            </w:pPr>
          </w:p>
        </w:tc>
      </w:tr>
      <w:tr>
        <w:trPr>
          <w:trHeight w:val="216"/>
        </w:trPr>
        <w:tc>
          <w:tcPr>
            <w:tcW w:w="5140" w:type="dxa"/>
            <w:vAlign w:val="bottom"/>
          </w:tcPr>
          <w:p>
            <w:pPr>
              <w:ind w:left="20"/>
              <w:spacing w:after="0"/>
              <w:rPr>
                <w:sz w:val="20"/>
                <w:szCs w:val="20"/>
                <w:color w:val="auto"/>
              </w:rPr>
            </w:pPr>
            <w:r>
              <w:rPr>
                <w:rFonts w:ascii="Arial" w:cs="Arial" w:eastAsia="Arial" w:hAnsi="Arial"/>
                <w:sz w:val="18"/>
                <w:szCs w:val="18"/>
                <w:color w:val="auto"/>
              </w:rPr>
              <w:t>Cash flows from financing activities:</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Proceeds from the issuance of common stock and other</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33,614</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29,608</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9,609</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65,903</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45,645</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Proceeds from term loan obligations</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400,000</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400,000</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51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Principal payments on capital lease and debt obligations</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(1,159 )</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(1,778 )</w:t>
            </w: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(5,850 )</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(10,748 )</w:t>
            </w: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(19,537 )</w:t>
            </w:r>
          </w:p>
        </w:tc>
        <w:tc>
          <w:tcPr>
            <w:tcW w:w="40" w:type="dxa"/>
            <w:vAlign w:val="bottom"/>
          </w:tcPr>
          <w:p>
            <w:pPr>
              <w:spacing w:after="0"/>
              <w:rPr>
                <w:sz w:val="18"/>
                <w:szCs w:val="18"/>
                <w:color w:val="auto"/>
              </w:rPr>
            </w:pPr>
          </w:p>
        </w:tc>
      </w:tr>
      <w:tr>
        <w:trPr>
          <w:trHeight w:val="216"/>
        </w:trPr>
        <w:tc>
          <w:tcPr>
            <w:tcW w:w="5140" w:type="dxa"/>
            <w:vAlign w:val="bottom"/>
          </w:tcPr>
          <w:p>
            <w:pPr>
              <w:ind w:left="200"/>
              <w:spacing w:after="0"/>
              <w:rPr>
                <w:sz w:val="20"/>
                <w:szCs w:val="20"/>
                <w:color w:val="auto"/>
              </w:rPr>
            </w:pPr>
            <w:r>
              <w:rPr>
                <w:rFonts w:ascii="Arial" w:cs="Arial" w:eastAsia="Arial" w:hAnsi="Arial"/>
                <w:sz w:val="18"/>
                <w:szCs w:val="18"/>
                <w:color w:val="auto"/>
              </w:rPr>
              <w:t>Excess tax benefits from stock-based compensation</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199</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65</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499</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889</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5140" w:type="dxa"/>
            <w:vAlign w:val="bottom"/>
            <w:tcBorders>
              <w:top w:val="single" w:sz="8" w:color="CCEEFF"/>
            </w:tcBorders>
            <w:shd w:val="clear" w:color="auto" w:fill="CCEEFF"/>
          </w:tcPr>
          <w:p>
            <w:pPr>
              <w:ind w:left="560"/>
              <w:spacing w:after="0"/>
              <w:rPr>
                <w:sz w:val="20"/>
                <w:szCs w:val="20"/>
                <w:color w:val="auto"/>
              </w:rPr>
            </w:pPr>
            <w:r>
              <w:rPr>
                <w:rFonts w:ascii="Arial" w:cs="Arial" w:eastAsia="Arial" w:hAnsi="Arial"/>
                <w:sz w:val="18"/>
                <w:szCs w:val="18"/>
                <w:color w:val="auto"/>
              </w:rPr>
              <w:t>Net cash provided by financing activities</w:t>
            </w:r>
          </w:p>
        </w:tc>
        <w:tc>
          <w:tcPr>
            <w:tcW w:w="64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32,654</w:t>
            </w: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27,895</w:t>
            </w:r>
          </w:p>
        </w:tc>
        <w:tc>
          <w:tcPr>
            <w:tcW w:w="1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403,759</w:t>
            </w: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55,654</w:t>
            </w:r>
          </w:p>
        </w:tc>
        <w:tc>
          <w:tcPr>
            <w:tcW w:w="1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426,997</w:t>
            </w:r>
          </w:p>
        </w:tc>
        <w:tc>
          <w:tcPr>
            <w:tcW w:w="14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51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6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160,347</w:t>
            </w:r>
          </w:p>
        </w:tc>
        <w:tc>
          <w:tcPr>
            <w:tcW w:w="2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51,122</w:t>
            </w:r>
          </w:p>
        </w:tc>
        <w:tc>
          <w:tcPr>
            <w:tcW w:w="18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(271,433</w:t>
            </w:r>
          </w:p>
        </w:tc>
        <w:tc>
          <w:tcPr>
            <w:tcW w:w="180" w:type="dxa"/>
            <w:vAlign w:val="bottom"/>
            <w:tcBorders>
              <w:bottom w:val="single" w:sz="8" w:color="CCEEFF"/>
            </w:tcBorders>
          </w:tcPr>
          <w:p>
            <w:pPr>
              <w:jc w:val="right"/>
              <w:ind w:right="10"/>
              <w:spacing w:after="0"/>
              <w:rPr>
                <w:sz w:val="20"/>
                <w:szCs w:val="20"/>
                <w:color w:val="auto"/>
              </w:rPr>
            </w:pPr>
            <w:r>
              <w:rPr>
                <w:rFonts w:ascii="Arial" w:cs="Arial" w:eastAsia="Arial" w:hAnsi="Arial"/>
                <w:sz w:val="18"/>
                <w:szCs w:val="18"/>
                <w:color w:val="auto"/>
                <w:w w:val="99"/>
              </w:rPr>
              <w:t>)</w:t>
            </w:r>
          </w:p>
        </w:tc>
        <w:tc>
          <w:tcPr>
            <w:tcW w:w="18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47,640</w:t>
            </w:r>
          </w:p>
        </w:tc>
        <w:tc>
          <w:tcPr>
            <w:tcW w:w="16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219,577</w:t>
            </w:r>
          </w:p>
        </w:tc>
        <w:tc>
          <w:tcPr>
            <w:tcW w:w="14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5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64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455,301</w:t>
            </w:r>
          </w:p>
        </w:tc>
        <w:tc>
          <w:tcPr>
            <w:tcW w:w="20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404,179</w:t>
            </w:r>
          </w:p>
        </w:tc>
        <w:tc>
          <w:tcPr>
            <w:tcW w:w="18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839,441</w:t>
            </w:r>
          </w:p>
        </w:tc>
        <w:tc>
          <w:tcPr>
            <w:tcW w:w="1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568,008</w:t>
            </w:r>
          </w:p>
        </w:tc>
        <w:tc>
          <w:tcPr>
            <w:tcW w:w="16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14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7"/>
        </w:trPr>
        <w:tc>
          <w:tcPr>
            <w:tcW w:w="5140" w:type="dxa"/>
            <w:vAlign w:val="bottom"/>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640" w:type="dxa"/>
            <w:vAlign w:val="bottom"/>
          </w:tcPr>
          <w:p>
            <w:pPr>
              <w:spacing w:after="0"/>
              <w:rPr>
                <w:sz w:val="18"/>
                <w:szCs w:val="18"/>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615,648</w:t>
            </w:r>
          </w:p>
        </w:tc>
        <w:tc>
          <w:tcPr>
            <w:tcW w:w="200" w:type="dxa"/>
            <w:vAlign w:val="bottom"/>
          </w:tcPr>
          <w:p>
            <w:pPr>
              <w:spacing w:after="0"/>
              <w:rPr>
                <w:sz w:val="18"/>
                <w:szCs w:val="18"/>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455,301</w:t>
            </w:r>
          </w:p>
        </w:tc>
        <w:tc>
          <w:tcPr>
            <w:tcW w:w="180" w:type="dxa"/>
            <w:vAlign w:val="bottom"/>
          </w:tcPr>
          <w:p>
            <w:pPr>
              <w:spacing w:after="0"/>
              <w:rPr>
                <w:sz w:val="18"/>
                <w:szCs w:val="18"/>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568,008</w:t>
            </w:r>
          </w:p>
        </w:tc>
        <w:tc>
          <w:tcPr>
            <w:tcW w:w="18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615,648</w:t>
            </w:r>
          </w:p>
        </w:tc>
        <w:tc>
          <w:tcPr>
            <w:tcW w:w="160" w:type="dxa"/>
            <w:vAlign w:val="bottom"/>
          </w:tcPr>
          <w:p>
            <w:pPr>
              <w:spacing w:after="0"/>
              <w:rPr>
                <w:sz w:val="18"/>
                <w:szCs w:val="18"/>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568,008</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432"/>
        </w:trPr>
        <w:tc>
          <w:tcPr>
            <w:tcW w:w="514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w:t>
            </w:r>
          </w:p>
        </w:tc>
        <w:tc>
          <w:tcPr>
            <w:tcW w:w="2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5140" w:type="dxa"/>
            <w:vAlign w:val="bottom"/>
            <w:tcBorders>
              <w:bottom w:val="single" w:sz="8" w:color="010101"/>
            </w:tcBorders>
          </w:tcPr>
          <w:p>
            <w:pPr>
              <w:spacing w:after="0"/>
              <w:rPr>
                <w:sz w:val="11"/>
                <w:szCs w:val="11"/>
                <w:color w:val="auto"/>
              </w:rPr>
            </w:pPr>
          </w:p>
        </w:tc>
        <w:tc>
          <w:tcPr>
            <w:tcW w:w="64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7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74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76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76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76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125"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4"/>
    </w:lvl>
  </w:abstractNum>
  <w:abstractNum w:abstractNumId="5">
    <w:nsid w:val="507ED7A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2019-12-14T18:58:50Z</dcterms:created>
  <dcterms:modified xsi:type="dcterms:W3CDTF">2019-12-14T18:58:50Z</dcterms:modified>
</cp:coreProperties>
</file>