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294640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337820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February 4, 2008</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747" w:right="23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60"/>
        <w:spacing w:after="0"/>
        <w:rPr>
          <w:sz w:val="20"/>
          <w:szCs w:val="20"/>
          <w:color w:val="auto"/>
        </w:rPr>
      </w:pPr>
      <w:r>
        <w:rPr>
          <w:rFonts w:ascii="Arial" w:cs="Arial" w:eastAsia="Arial" w:hAnsi="Arial"/>
          <w:sz w:val="16"/>
          <w:szCs w:val="16"/>
          <w:color w:val="auto"/>
        </w:rPr>
        <w:t>(State or Other Jurisdiction</w:t>
      </w:r>
    </w:p>
    <w:p>
      <w:pPr>
        <w:spacing w:after="0" w:line="32" w:lineRule="exact"/>
        <w:rPr>
          <w:sz w:val="24"/>
          <w:szCs w:val="24"/>
          <w:color w:val="auto"/>
        </w:rPr>
      </w:pPr>
    </w:p>
    <w:p>
      <w:pPr>
        <w:ind w:left="1220"/>
        <w:spacing w:after="0"/>
        <w:rPr>
          <w:sz w:val="20"/>
          <w:szCs w:val="20"/>
          <w:color w:val="auto"/>
        </w:rPr>
      </w:pPr>
      <w:r>
        <w:rPr>
          <w:rFonts w:ascii="Arial" w:cs="Arial" w:eastAsia="Arial" w:hAnsi="Arial"/>
          <w:sz w:val="18"/>
          <w:szCs w:val="18"/>
          <w:color w:val="auto"/>
        </w:rPr>
        <w:t>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6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6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500"/>
          </w:cols>
          <w:pgMar w:left="240" w:top="747" w:right="239" w:bottom="0" w:gutter="0" w:footer="0" w:header="0"/>
          <w:type w:val="continuous"/>
        </w:sectPr>
      </w:pPr>
    </w:p>
    <w:p>
      <w:pPr>
        <w:spacing w:after="0" w:line="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20"/>
          </w:cols>
          <w:pgMar w:left="240" w:top="747" w:right="239" w:bottom="0" w:gutter="0" w:footer="0" w:header="0"/>
          <w:type w:val="continuous"/>
        </w:sectPr>
      </w:pPr>
    </w:p>
    <w:p>
      <w:pPr>
        <w:spacing w:after="0" w:line="20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561975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7" w:lineRule="exact"/>
        <w:rPr>
          <w:sz w:val="24"/>
          <w:szCs w:val="24"/>
          <w:color w:val="auto"/>
        </w:rPr>
      </w:pPr>
    </w:p>
    <w:p>
      <w:pPr>
        <w:ind w:right="68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Election of Director</w:t>
      </w:r>
    </w:p>
    <w:p>
      <w:pPr>
        <w:spacing w:after="0" w:line="225" w:lineRule="exact"/>
        <w:rPr>
          <w:sz w:val="24"/>
          <w:szCs w:val="24"/>
          <w:color w:val="auto"/>
        </w:rPr>
      </w:pPr>
    </w:p>
    <w:p>
      <w:pPr>
        <w:ind w:right="120" w:firstLine="648"/>
        <w:spacing w:after="0" w:line="264" w:lineRule="auto"/>
        <w:rPr>
          <w:sz w:val="20"/>
          <w:szCs w:val="20"/>
          <w:color w:val="auto"/>
        </w:rPr>
      </w:pPr>
      <w:r>
        <w:rPr>
          <w:rFonts w:ascii="Arial" w:cs="Arial" w:eastAsia="Arial" w:hAnsi="Arial"/>
          <w:sz w:val="18"/>
          <w:szCs w:val="18"/>
          <w:color w:val="auto"/>
        </w:rPr>
        <w:t>On February 4, 2008, the board of directors (the “Board”) of Marvell Technology Group Ltd. (the “Company”) elected David W. Mills to serve as a member of the Company’s Board, effective as of the same day. Mr. Mills was appointed for a term that extends until the 2008 annual meeting of the shareholders. Mr. Mills was also appointed to serve on the Governance Committee of the Board.</w:t>
      </w:r>
    </w:p>
    <w:p>
      <w:pPr>
        <w:spacing w:after="0" w:line="181" w:lineRule="exact"/>
        <w:rPr>
          <w:sz w:val="24"/>
          <w:szCs w:val="24"/>
          <w:color w:val="auto"/>
        </w:rPr>
      </w:pPr>
    </w:p>
    <w:p>
      <w:pPr>
        <w:ind w:firstLine="648"/>
        <w:spacing w:after="0" w:line="255" w:lineRule="auto"/>
        <w:rPr>
          <w:sz w:val="20"/>
          <w:szCs w:val="20"/>
          <w:color w:val="auto"/>
        </w:rPr>
      </w:pPr>
      <w:r>
        <w:rPr>
          <w:rFonts w:ascii="Arial" w:cs="Arial" w:eastAsia="Arial" w:hAnsi="Arial"/>
          <w:sz w:val="18"/>
          <w:szCs w:val="18"/>
          <w:color w:val="auto"/>
        </w:rPr>
        <w:t>David W. Mills has served as the managing general partner of Harbourton Enterprises, a private investment firm, since April 1999. He has been a member of the faculty of Stanford Law School since 1997 and is currently holding the appointment as Senior Lecture. He was the founder and has served as the first Director of the Stanford Clinical Law Program. Mr. Mills founded Mills &amp; Lynn Enterprises in 1987 where he served as general partner from 1988 to 2006 and as president since 2006. He also serves as a member of the board of several non-profit organizations, including Quest Bridge and the NAACP Legal Defense Fund, of which he is co-chairman. Mr. Mills holds a bachelor of arts degree from Rutgers University and a juris doctor degree from Rutgers-Newark Law School.</w:t>
      </w:r>
    </w:p>
    <w:p>
      <w:pPr>
        <w:spacing w:after="0" w:line="193" w:lineRule="exact"/>
        <w:rPr>
          <w:sz w:val="24"/>
          <w:szCs w:val="24"/>
          <w:color w:val="auto"/>
        </w:rPr>
      </w:pPr>
    </w:p>
    <w:p>
      <w:pPr>
        <w:ind w:left="660"/>
        <w:spacing w:after="0"/>
        <w:rPr>
          <w:sz w:val="20"/>
          <w:szCs w:val="20"/>
          <w:color w:val="auto"/>
        </w:rPr>
      </w:pPr>
      <w:r>
        <w:rPr>
          <w:rFonts w:ascii="Arial" w:cs="Arial" w:eastAsia="Arial" w:hAnsi="Arial"/>
          <w:sz w:val="18"/>
          <w:szCs w:val="18"/>
          <w:color w:val="auto"/>
        </w:rPr>
        <w:t>The election to the Board of Mr. Mills was not pursuant to any arrangement or understanding between Mr. Mills and any third party.</w:t>
      </w:r>
    </w:p>
    <w:p>
      <w:pPr>
        <w:spacing w:after="0" w:line="225" w:lineRule="exact"/>
        <w:rPr>
          <w:sz w:val="24"/>
          <w:szCs w:val="24"/>
          <w:color w:val="auto"/>
        </w:rPr>
      </w:pPr>
    </w:p>
    <w:p>
      <w:pPr>
        <w:ind w:right="80" w:firstLine="648"/>
        <w:spacing w:after="0" w:line="308" w:lineRule="auto"/>
        <w:rPr>
          <w:sz w:val="20"/>
          <w:szCs w:val="20"/>
          <w:color w:val="auto"/>
        </w:rPr>
      </w:pPr>
      <w:r>
        <w:rPr>
          <w:rFonts w:ascii="Arial" w:cs="Arial" w:eastAsia="Arial" w:hAnsi="Arial"/>
          <w:sz w:val="17"/>
          <w:szCs w:val="17"/>
          <w:color w:val="auto"/>
        </w:rPr>
        <w:t>As of the date of this report, neither Mr. Mills nor any member of his immediate family is a party, either directly or indirectly, to any transaction that the Company is aware of that is required to be reported pursuant to Item 404(a) of Regulation S-K under the Securities Exchange Act of 1934.</w:t>
      </w:r>
    </w:p>
    <w:p>
      <w:pPr>
        <w:sectPr>
          <w:pgSz w:w="11900" w:h="16838" w:orient="portrait"/>
          <w:cols w:equalWidth="0" w:num="1">
            <w:col w:w="11420"/>
          </w:cols>
          <w:pgMar w:left="240" w:top="747" w:right="239" w:bottom="0" w:gutter="0" w:footer="0" w:header="0"/>
          <w:type w:val="continuous"/>
        </w:sectPr>
      </w:pPr>
    </w:p>
    <w:bookmarkStart w:id="1" w:name="page2"/>
    <w:bookmarkEnd w:id="1"/>
    <w:p>
      <w:pPr>
        <w:ind w:right="140" w:firstLine="648"/>
        <w:spacing w:after="0" w:line="255" w:lineRule="auto"/>
        <w:rPr>
          <w:sz w:val="20"/>
          <w:szCs w:val="20"/>
          <w:color w:val="auto"/>
        </w:rPr>
      </w:pPr>
      <w:r>
        <w:rPr>
          <w:rFonts w:ascii="Arial" w:cs="Arial" w:eastAsia="Arial" w:hAnsi="Arial"/>
          <w:sz w:val="18"/>
          <w:szCs w:val="18"/>
          <w:color w:val="auto"/>
        </w:rPr>
        <w:t>No new compensation arrangement was entered into in connection with the appointment to the Board of Mr. Mills. Mr. Mills will receive the Company’s standard compensation arrangements applicable to a director who is not an employee of the Company, as well as automatic grants of options for common shares in accordance with the terms of the 2007 Director Stock Incentive Plan, as disclosed in the Company’s 2007 Proxy Statement on Schedule 14A (the “2007 Proxy Statement”), filed with the Securities and Exchange Commission on September 14, 2007. The 2007 Director Stock Incentive Plan was amended on October 19, 2007 and is filed as an exhibit to the Company’s Current Report on Form 8-K, dated October 19, 2007 and filed with the Securities and Exchange Commission on October 25, 2007.</w:t>
      </w:r>
    </w:p>
    <w:p>
      <w:pPr>
        <w:spacing w:after="0" w:line="193" w:lineRule="exact"/>
        <w:rPr>
          <w:sz w:val="20"/>
          <w:szCs w:val="20"/>
          <w:color w:val="auto"/>
        </w:rPr>
      </w:pPr>
    </w:p>
    <w:p>
      <w:pPr>
        <w:ind w:right="220" w:firstLine="648"/>
        <w:spacing w:after="0" w:line="277" w:lineRule="auto"/>
        <w:rPr>
          <w:sz w:val="20"/>
          <w:szCs w:val="20"/>
          <w:color w:val="auto"/>
        </w:rPr>
      </w:pPr>
      <w:r>
        <w:rPr>
          <w:rFonts w:ascii="Arial" w:cs="Arial" w:eastAsia="Arial" w:hAnsi="Arial"/>
          <w:sz w:val="18"/>
          <w:szCs w:val="18"/>
          <w:color w:val="auto"/>
        </w:rPr>
        <w:t>The Board has determined that Mr. Mills will qualify as “independent” under the guidelines promulgated by the Nasdaq Stock Market, Inc. and the applicable Securities and Exchange Commission rules.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election of Mr. Mills was announced in the press release attached hereto as Exhibit 99.1 and incorporated by reference herein.</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 Exhibits.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99.1 Press Release, dated February 5, 2008.</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February 5, 2008</w:t>
      </w:r>
    </w:p>
    <w:p>
      <w:pPr>
        <w:spacing w:after="0" w:line="225"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5860" w:type="dxa"/>
        <w:tblCellMar>
          <w:top w:w="0" w:type="dxa"/>
          <w:left w:w="0" w:type="dxa"/>
          <w:bottom w:w="0" w:type="dxa"/>
          <w:right w:w="0" w:type="dxa"/>
        </w:tblCellMar>
      </w:tblPr>
      <w:tr>
        <w:trPr>
          <w:trHeight w:val="230"/>
        </w:trPr>
        <w:tc>
          <w:tcPr>
            <w:tcW w:w="380" w:type="dxa"/>
            <w:vAlign w:val="bottom"/>
          </w:tcPr>
          <w:p>
            <w:pPr>
              <w:spacing w:after="0"/>
              <w:rPr>
                <w:sz w:val="20"/>
                <w:szCs w:val="20"/>
                <w:color w:val="auto"/>
              </w:rPr>
            </w:pPr>
            <w:r>
              <w:rPr>
                <w:rFonts w:ascii="Arial" w:cs="Arial" w:eastAsia="Arial" w:hAnsi="Arial"/>
                <w:sz w:val="18"/>
                <w:szCs w:val="18"/>
                <w:color w:val="auto"/>
              </w:rPr>
              <w:t>By:</w:t>
            </w:r>
          </w:p>
        </w:tc>
        <w:tc>
          <w:tcPr>
            <w:tcW w:w="5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/s/ George de Urioste</w:t>
            </w:r>
          </w:p>
        </w:tc>
      </w:tr>
      <w:tr>
        <w:trPr>
          <w:trHeight w:val="195"/>
        </w:trPr>
        <w:tc>
          <w:tcPr>
            <w:tcW w:w="380" w:type="dxa"/>
            <w:vAlign w:val="bottom"/>
          </w:tcPr>
          <w:p>
            <w:pPr>
              <w:spacing w:after="0"/>
              <w:rPr>
                <w:sz w:val="16"/>
                <w:szCs w:val="16"/>
                <w:color w:val="auto"/>
              </w:rPr>
            </w:pPr>
          </w:p>
        </w:tc>
        <w:tc>
          <w:tcPr>
            <w:tcW w:w="5180" w:type="dxa"/>
            <w:vAlign w:val="bottom"/>
          </w:tcPr>
          <w:p>
            <w:pPr>
              <w:jc w:val="center"/>
              <w:spacing w:after="0" w:line="195" w:lineRule="exact"/>
              <w:rPr>
                <w:sz w:val="20"/>
                <w:szCs w:val="20"/>
                <w:color w:val="auto"/>
              </w:rPr>
            </w:pPr>
            <w:r>
              <w:rPr>
                <w:rFonts w:ascii="Arial" w:cs="Arial" w:eastAsia="Arial" w:hAnsi="Arial"/>
                <w:sz w:val="18"/>
                <w:szCs w:val="18"/>
                <w:color w:val="auto"/>
                <w:w w:val="89"/>
              </w:rPr>
              <w:t>George de Urioste</w:t>
            </w:r>
          </w:p>
        </w:tc>
      </w:tr>
      <w:tr>
        <w:trPr>
          <w:trHeight w:val="230"/>
        </w:trPr>
        <w:tc>
          <w:tcPr>
            <w:tcW w:w="380" w:type="dxa"/>
            <w:vAlign w:val="bottom"/>
          </w:tcPr>
          <w:p>
            <w:pPr>
              <w:spacing w:after="0"/>
              <w:rPr>
                <w:sz w:val="20"/>
                <w:szCs w:val="20"/>
                <w:color w:val="auto"/>
              </w:rPr>
            </w:pPr>
          </w:p>
        </w:tc>
        <w:tc>
          <w:tcPr>
            <w:tcW w:w="5180" w:type="dxa"/>
            <w:vAlign w:val="bottom"/>
          </w:tcPr>
          <w:p>
            <w:pPr>
              <w:jc w:val="center"/>
              <w:spacing w:after="0"/>
              <w:rPr>
                <w:sz w:val="20"/>
                <w:szCs w:val="20"/>
                <w:color w:val="auto"/>
              </w:rPr>
            </w:pPr>
            <w:r>
              <w:rPr>
                <w:rFonts w:ascii="Arial" w:cs="Arial" w:eastAsia="Arial" w:hAnsi="Arial"/>
                <w:sz w:val="18"/>
                <w:szCs w:val="18"/>
                <w:color w:val="auto"/>
                <w:w w:val="95"/>
              </w:rPr>
              <w:t>Interim Chief Financial Officer</w:t>
            </w:r>
          </w:p>
        </w:tc>
      </w:tr>
    </w:tbl>
    <w:p>
      <w:pPr>
        <w:spacing w:after="0" w:line="20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9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260" w:type="dxa"/>
            <w:vAlign w:val="bottom"/>
          </w:tcPr>
          <w:p>
            <w:pPr>
              <w:ind w:left="386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0"/>
                <w:szCs w:val="20"/>
                <w:color w:val="auto"/>
              </w:rPr>
            </w:pPr>
          </w:p>
        </w:tc>
      </w:tr>
      <w:tr>
        <w:trPr>
          <w:trHeight w:val="365"/>
        </w:trPr>
        <w:tc>
          <w:tcPr>
            <w:tcW w:w="1160" w:type="dxa"/>
            <w:vAlign w:val="bottom"/>
            <w:gridSpan w:val="2"/>
          </w:tcPr>
          <w:p>
            <w:pPr>
              <w:ind w:left="100"/>
              <w:spacing w:after="0"/>
              <w:rPr>
                <w:sz w:val="20"/>
                <w:szCs w:val="20"/>
                <w:color w:val="auto"/>
              </w:rPr>
            </w:pPr>
            <w:r>
              <w:rPr>
                <w:rFonts w:ascii="Arial" w:cs="Arial" w:eastAsia="Arial" w:hAnsi="Arial"/>
                <w:sz w:val="14"/>
                <w:szCs w:val="14"/>
                <w:b w:val="1"/>
                <w:bCs w:val="1"/>
                <w:color w:val="auto"/>
              </w:rPr>
              <w:t>Exhibit No.</w:t>
            </w:r>
          </w:p>
        </w:tc>
        <w:tc>
          <w:tcPr>
            <w:tcW w:w="10260" w:type="dxa"/>
            <w:vAlign w:val="bottom"/>
          </w:tcPr>
          <w:p>
            <w:pPr>
              <w:ind w:left="478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920" w:type="dxa"/>
            <w:vAlign w:val="bottom"/>
            <w:tcBorders>
              <w:top w:val="single" w:sz="8" w:color="auto"/>
            </w:tcBorders>
          </w:tcPr>
          <w:p>
            <w:pPr>
              <w:jc w:val="right"/>
              <w:ind w:right="499"/>
              <w:spacing w:after="0"/>
              <w:rPr>
                <w:sz w:val="20"/>
                <w:szCs w:val="20"/>
                <w:color w:val="auto"/>
              </w:rPr>
            </w:pPr>
            <w:r>
              <w:rPr>
                <w:rFonts w:ascii="Arial" w:cs="Arial" w:eastAsia="Arial" w:hAnsi="Arial"/>
                <w:sz w:val="18"/>
                <w:szCs w:val="18"/>
                <w:color w:val="auto"/>
                <w:w w:val="91"/>
              </w:rPr>
              <w:t>99.1</w:t>
            </w:r>
          </w:p>
        </w:tc>
        <w:tc>
          <w:tcPr>
            <w:tcW w:w="240" w:type="dxa"/>
            <w:vAlign w:val="bottom"/>
          </w:tcPr>
          <w:p>
            <w:pPr>
              <w:spacing w:after="0"/>
              <w:rPr>
                <w:sz w:val="24"/>
                <w:szCs w:val="24"/>
                <w:color w:val="auto"/>
              </w:rPr>
            </w:pPr>
          </w:p>
        </w:tc>
        <w:tc>
          <w:tcPr>
            <w:tcW w:w="1026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Press Release, dated February 5, 2008.</w:t>
            </w:r>
          </w:p>
        </w:tc>
        <w:tc>
          <w:tcPr>
            <w:tcW w:w="40" w:type="dxa"/>
            <w:vAlign w:val="bottom"/>
          </w:tcPr>
          <w:p>
            <w:pPr>
              <w:spacing w:after="0"/>
              <w:rPr>
                <w:sz w:val="24"/>
                <w:szCs w:val="24"/>
                <w:color w:val="auto"/>
              </w:rPr>
            </w:pPr>
          </w:p>
        </w:tc>
      </w:tr>
      <w:tr>
        <w:trPr>
          <w:trHeight w:val="780"/>
        </w:trPr>
        <w:tc>
          <w:tcPr>
            <w:tcW w:w="92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102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341"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For more information contact: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Jeff Palmer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408-222-8373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jpalmer@marvell.com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Dianne Vanasse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Marvell Public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408-242-0027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dvanasse@marvell.com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Louise Kehoe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Ogilvy PR Worldwide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650-544-5070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louise.kehoe@ogilvypr.com</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David W. Mills Joins Marvell Technology Group’s Board of Directors</w:t>
      </w:r>
    </w:p>
    <w:p>
      <w:pPr>
        <w:spacing w:after="0" w:line="229" w:lineRule="exact"/>
        <w:rPr>
          <w:sz w:val="20"/>
          <w:szCs w:val="20"/>
          <w:color w:val="auto"/>
        </w:rPr>
      </w:pPr>
    </w:p>
    <w:p>
      <w:pPr>
        <w:ind w:right="440"/>
        <w:spacing w:after="0" w:line="264" w:lineRule="auto"/>
        <w:rPr>
          <w:sz w:val="20"/>
          <w:szCs w:val="20"/>
          <w:color w:val="auto"/>
        </w:rPr>
      </w:pPr>
      <w:r>
        <w:rPr>
          <w:rFonts w:ascii="Arial" w:cs="Arial" w:eastAsia="Arial" w:hAnsi="Arial"/>
          <w:sz w:val="18"/>
          <w:szCs w:val="18"/>
          <w:color w:val="auto"/>
        </w:rPr>
        <w:t>Santa Clara, California (February 5, 2008)—Marvell Technology Group Ltd., a leader in storage, communications, and consumer silicon solutions, has elected David W. Mills to serve as a member of the Company’s Board, effective immediately. The Marvell Board of Directors also announced that it has appointed Mr. Mills to serve on the governance Committee of the Board.</w:t>
      </w:r>
    </w:p>
    <w:p>
      <w:pPr>
        <w:spacing w:after="0" w:line="181"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“I am very pleased to congratulate and welcome David to Marvell’s Board of Directors,” said Sehat Sutardja, Marvell’s Chairman, President and Chief Executive Officer. “David is a highly qualified executive with extensive experience in business and finance. I am confident that his leadership and business acumen, as well as his background in the law, will be a great asset to the Board and to all of Marvell.”</w:t>
      </w:r>
    </w:p>
    <w:p>
      <w:pPr>
        <w:spacing w:after="0" w:line="181"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color w:val="auto"/>
        </w:rPr>
        <w:t>“It is an honor to be a part of the Marvell Board of Directors,” said Mr. Mills. “I am eager to work with my fellow Board members and to help Marvell capitalize on the great opportunities ahead.”</w:t>
      </w:r>
    </w:p>
    <w:p>
      <w:pPr>
        <w:spacing w:after="0" w:line="170"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David W. Mills has served as the managing general partner of Harbourton Enterprises, a private investment firm, since April 1999. He has been a member of the faculty of Stanford Law School since 1997 and is currently holding the appointment as Senior Lecturer. He was the founder and has served as the first Director of the Stanford Clinical Law Program. Mr. Mills founded Mills &amp; Lynn Enterprises in 1987 where he served as general partner from 1988 to 2006 and as president since 2006. He also serves as a member of the board of several non-profit organizations, including Quest Bridge and the NAACP Legal Defense Fund, of which he is co-chairman. Mr. Mills holds a bachelor of arts degree from Rutgers University and a juris doctor degree from Rutgers-Newark Law School.</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Marvell (NASDAQ: MRVL) is a leader in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visit www.marvell.com.</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is a registered trademark of Marvell or its affiliates.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33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o"/>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2019-12-14T19:22:16Z</dcterms:created>
  <dcterms:modified xsi:type="dcterms:W3CDTF">2019-12-14T19:22:16Z</dcterms:modified>
</cp:coreProperties>
</file>