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0" w:lineRule="exact"/>
        <w:rPr>
          <w:sz w:val="24"/>
          <w:szCs w:val="24"/>
          <w:color w:val="auto"/>
        </w:rPr>
      </w:pPr>
    </w:p>
    <w:p>
      <w:pPr>
        <w:ind w:left="380"/>
        <w:spacing w:after="0" w:line="24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-248920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5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22225</wp:posOffset>
            </wp:positionV>
            <wp:extent cx="7272020" cy="53594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800"/>
          </w:cols>
          <w:pgMar w:left="240" w:top="220" w:right="239" w:bottom="1440" w:gutter="0" w:footer="0" w:header="0"/>
        </w:sectPr>
      </w:pP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2"/>
          <w:szCs w:val="22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2"/>
            <w:szCs w:val="22"/>
            <w:u w:val="single" w:color="auto"/>
            <w:color w:val="0000EE"/>
          </w:rPr>
          <w:t>Sutardja, Pantas</w:t>
        </w:r>
      </w:hyperlink>
    </w:p>
    <w:p>
      <w:pPr>
        <w:spacing w:after="0" w:line="301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2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 w:line="216" w:lineRule="exact"/>
              <w:rPr>
                <w:rFonts w:ascii="Times New Roman" w:cs="Times New Roman" w:eastAsia="Times New Roman" w:hAnsi="Times New Roman"/>
                <w:sz w:val="22"/>
                <w:szCs w:val="22"/>
                <w:color w:val="0000EE"/>
                <w:w w:val="99"/>
              </w:rPr>
            </w:pPr>
            <w:hyperlink r:id="rId13">
              <w:r>
                <w:rPr>
                  <w:rFonts w:ascii="Times New Roman" w:cs="Times New Roman" w:eastAsia="Times New Roman" w:hAnsi="Times New Roman"/>
                  <w:sz w:val="22"/>
                  <w:szCs w:val="22"/>
                  <w:color w:val="0000EE"/>
                  <w:w w:val="99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Times New Roman" w:cs="Times New Roman" w:eastAsia="Times New Roman" w:hAnsi="Times New Roman"/>
                <w:sz w:val="3"/>
                <w:szCs w:val="3"/>
                <w:color w:val="auto"/>
              </w:rPr>
            </w:pPr>
            <w:hyperlink r:id="rId13">
              <w:r>
                <w:rPr>
                  <w:rFonts w:ascii="Times New Roman" w:cs="Times New Roman" w:eastAsia="Times New Roman" w:hAnsi="Times New Roman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Times New Roman" w:cs="Times New Roman" w:eastAsia="Times New Roman" w:hAnsi="Times New Roman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Times New Roman" w:cs="Times New Roman" w:eastAsia="Times New Roman" w:hAnsi="Times New Roman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3. 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Chief Technology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38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06/23/2008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3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25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88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spacing w:after="0" w:line="4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26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420"/>
          </w:cols>
          <w:pgMar w:left="240" w:top="220" w:right="239" w:bottom="1440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2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6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4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6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6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60" w:type="dxa"/>
            <w:vAlign w:val="bottom"/>
            <w:gridSpan w:val="4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6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(A) or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  <w:vMerge w:val="restart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06/23/2008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4"/>
                <w:szCs w:val="14"/>
                <w:color w:val="0000FF"/>
              </w:rPr>
              <w:t>G</w:t>
            </w:r>
          </w:p>
        </w:tc>
        <w:tc>
          <w:tcPr>
            <w:tcW w:w="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4"/>
                <w:szCs w:val="14"/>
                <w:color w:val="0000FF"/>
              </w:rPr>
              <w:t>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75,000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D</w:t>
            </w:r>
          </w:p>
        </w:tc>
        <w:tc>
          <w:tcPr>
            <w:tcW w:w="800" w:type="dxa"/>
            <w:vAlign w:val="bottom"/>
            <w:gridSpan w:val="3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8"/>
              </w:rPr>
              <w:t>$</w:t>
            </w: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  <w:w w:val="98"/>
              </w:rPr>
              <w:t>0.00</w:t>
            </w:r>
            <w:r>
              <w:rPr>
                <w:rFonts w:ascii="Times New Roman" w:cs="Times New Roman" w:eastAsia="Times New Roman" w:hAnsi="Times New Roman"/>
                <w:sz w:val="22"/>
                <w:szCs w:val="22"/>
                <w:color w:val="008000"/>
                <w:w w:val="98"/>
                <w:vertAlign w:val="superscript"/>
              </w:rPr>
              <w:t>(1)</w:t>
            </w: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38,709,300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Chuk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Revocable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580" w:type="dxa"/>
            <w:vAlign w:val="bottom"/>
            <w:tcBorders>
              <w:bottom w:val="single" w:sz="8" w:color="2C2C2C"/>
            </w:tcBorders>
            <w:gridSpan w:val="10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34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II - Derivative Securities Acquired, Disposed of, or Beneficially Owned</w:t>
            </w: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80" w:type="dxa"/>
            <w:vAlign w:val="bottom"/>
            <w:gridSpan w:val="10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8"/>
              </w:rPr>
              <w:t>(e.g., puts, calls, warrants, options, convertible securities)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12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    10.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120" w:type="dxa"/>
            <w:vAlign w:val="bottom"/>
            <w:gridSpan w:val="3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2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  <w:gridSpan w:val="3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2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3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2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3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40" w:type="dxa"/>
            <w:vAlign w:val="bottom"/>
          </w:tcPr>
          <w:p>
            <w:pPr>
              <w:ind w:left="2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3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40" w:type="dxa"/>
            <w:vAlign w:val="bottom"/>
          </w:tcPr>
          <w:p>
            <w:pPr>
              <w:ind w:left="2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4)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8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4"/>
          <w:szCs w:val="14"/>
          <w:color w:val="008000"/>
        </w:rPr>
        <w:t>1. This is a gift transfer and thus there is no consideration for this transfer.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/s/ Pantas Sutardja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  <w:w w:val="95"/>
              </w:rPr>
              <w:t>06/27/2008</w:t>
            </w:r>
          </w:p>
        </w:tc>
      </w:tr>
      <w:tr>
        <w:trPr>
          <w:trHeight w:val="20"/>
        </w:trPr>
        <w:tc>
          <w:tcPr>
            <w:tcW w:w="13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</w:tr>
    </w:tbl>
    <w:p>
      <w:pPr>
        <w:spacing w:after="0" w:line="22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0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34282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2019-12-16T21:28:22Z</dcterms:created>
  <dcterms:modified xsi:type="dcterms:W3CDTF">2019-12-16T21:28:22Z</dcterms:modified>
</cp:coreProperties>
</file>