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29, 2008</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80"/>
          </w:cols>
          <w:pgMar w:left="240" w:top="530" w:right="259" w:bottom="0"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Appointment of Chief Financial Officer</w:t>
      </w:r>
    </w:p>
    <w:p>
      <w:pPr>
        <w:spacing w:after="0" w:line="225" w:lineRule="exact"/>
        <w:rPr>
          <w:sz w:val="24"/>
          <w:szCs w:val="24"/>
          <w:color w:val="auto"/>
        </w:rPr>
      </w:pPr>
    </w:p>
    <w:p>
      <w:pPr>
        <w:ind w:right="40" w:firstLine="648"/>
        <w:spacing w:after="0" w:line="291" w:lineRule="auto"/>
        <w:rPr>
          <w:sz w:val="20"/>
          <w:szCs w:val="20"/>
          <w:color w:val="auto"/>
        </w:rPr>
      </w:pPr>
      <w:r>
        <w:rPr>
          <w:rFonts w:ascii="Arial" w:cs="Arial" w:eastAsia="Arial" w:hAnsi="Arial"/>
          <w:sz w:val="16"/>
          <w:szCs w:val="16"/>
          <w:color w:val="auto"/>
        </w:rPr>
        <w:t>On May 29, 2008, the board of directors of Marvell Technology Group Ltd. (the “Company”) appointed Clyde R. Hosein, age 48, as Chief Financial Officer of the Company effective as of June 23, 2008. George de Urioste will remain as interim Chief Financial Officer until June 23, 2008. From</w:t>
      </w:r>
    </w:p>
    <w:p>
      <w:pPr>
        <w:ind w:right="120"/>
        <w:spacing w:after="0" w:line="252" w:lineRule="auto"/>
        <w:rPr>
          <w:sz w:val="20"/>
          <w:szCs w:val="20"/>
          <w:color w:val="auto"/>
        </w:rPr>
      </w:pPr>
      <w:r>
        <w:rPr>
          <w:rFonts w:ascii="Arial" w:cs="Arial" w:eastAsia="Arial" w:hAnsi="Arial"/>
          <w:sz w:val="18"/>
          <w:szCs w:val="18"/>
          <w:color w:val="auto"/>
        </w:rPr>
        <w:t>March 2003 until joining the Company, Mr. Hosein was chief financial officer for Integrated Device Technology, Inc., a publicly traded company that develops and delivers mixed signal semiconductor solutions to the communications, computing and consumer end markets. From 2001 to 2003, Mr. Hosein was the chief financial officer for Advanced Interconnect Technologies. From 1997 to 2001, Mr. Hosein was the chief financial officer and senior director of corporate planning of Candescent Technologies Corporation. Previous to Candescent, Mr. Hosein spent over 14 years with IBM Corporation, where he held several positions within their storage, microelectronics, data systems and corporate divisions. Mr. Hosein serves on the board of directors of Cree Inc., a semiconductor company. Mr. Hosein holds an M.B.A. from New York University Stern School of Business and a B.S. in Industrial Engineering from Polytechnic University in New York.</w:t>
      </w:r>
    </w:p>
    <w:p>
      <w:pPr>
        <w:spacing w:after="0" w:line="193" w:lineRule="exact"/>
        <w:rPr>
          <w:sz w:val="24"/>
          <w:szCs w:val="24"/>
          <w:color w:val="auto"/>
        </w:rPr>
      </w:pPr>
    </w:p>
    <w:p>
      <w:pPr>
        <w:ind w:left="660"/>
        <w:spacing w:after="0"/>
        <w:rPr>
          <w:sz w:val="20"/>
          <w:szCs w:val="20"/>
          <w:color w:val="auto"/>
        </w:rPr>
      </w:pPr>
      <w:r>
        <w:rPr>
          <w:rFonts w:ascii="Arial" w:cs="Arial" w:eastAsia="Arial" w:hAnsi="Arial"/>
          <w:sz w:val="16"/>
          <w:szCs w:val="16"/>
          <w:color w:val="auto"/>
        </w:rPr>
        <w:t>In connection with Mr. Hosein’s employment with the Company, Mr. Hosein and the Company entered into an employment offer letter executed on</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May 29, 2008 (the “Offer Letter”), which provides for, among other things the following compensation arrangements:</w:t>
      </w:r>
    </w:p>
    <w:p>
      <w:pPr>
        <w:spacing w:after="0" w:line="211" w:lineRule="exact"/>
        <w:rPr>
          <w:sz w:val="24"/>
          <w:szCs w:val="24"/>
          <w:color w:val="auto"/>
        </w:rPr>
      </w:pPr>
    </w:p>
    <w:p>
      <w:pPr>
        <w:ind w:right="120" w:firstLine="656"/>
        <w:spacing w:after="0" w:line="264" w:lineRule="auto"/>
        <w:tabs>
          <w:tab w:leader="none" w:pos="853" w:val="left"/>
        </w:tabs>
        <w:numPr>
          <w:ilvl w:val="0"/>
          <w:numId w:val="1"/>
        </w:numPr>
        <w:rPr>
          <w:rFonts w:ascii="Arial" w:cs="Arial" w:eastAsia="Arial" w:hAnsi="Arial"/>
          <w:sz w:val="18"/>
          <w:szCs w:val="18"/>
          <w:color w:val="auto"/>
        </w:rPr>
      </w:pPr>
      <w:r>
        <w:rPr>
          <w:rFonts w:ascii="Arial" w:cs="Arial" w:eastAsia="Arial" w:hAnsi="Arial"/>
          <w:sz w:val="18"/>
          <w:szCs w:val="18"/>
          <w:color w:val="auto"/>
        </w:rPr>
        <w:t>A base annual salary of $450,000 and an annual incentive opportunity target up to 80% of Mr. Hosein’s base salary. Half of the annual incentive bonus will be based on the Company’s overall performance and half will be based on metrics that are mutually agreed upon. Payment of the bonus may be made in a combination of cash, options and/or restricted stock units.</w:t>
      </w:r>
    </w:p>
    <w:p>
      <w:pPr>
        <w:spacing w:after="0" w:line="181" w:lineRule="exact"/>
        <w:rPr>
          <w:rFonts w:ascii="Arial" w:cs="Arial" w:eastAsia="Arial" w:hAnsi="Arial"/>
          <w:sz w:val="18"/>
          <w:szCs w:val="18"/>
          <w:color w:val="auto"/>
        </w:rPr>
      </w:pPr>
    </w:p>
    <w:p>
      <w:pPr>
        <w:ind w:firstLine="656"/>
        <w:spacing w:after="0" w:line="342" w:lineRule="auto"/>
        <w:tabs>
          <w:tab w:leader="none" w:pos="903" w:val="left"/>
        </w:tabs>
        <w:numPr>
          <w:ilvl w:val="0"/>
          <w:numId w:val="1"/>
        </w:numPr>
        <w:rPr>
          <w:rFonts w:ascii="Arial" w:cs="Arial" w:eastAsia="Arial" w:hAnsi="Arial"/>
          <w:sz w:val="16"/>
          <w:szCs w:val="16"/>
          <w:color w:val="auto"/>
        </w:rPr>
      </w:pPr>
      <w:r>
        <w:rPr>
          <w:rFonts w:ascii="Arial" w:cs="Arial" w:eastAsia="Arial" w:hAnsi="Arial"/>
          <w:sz w:val="16"/>
          <w:szCs w:val="16"/>
          <w:color w:val="auto"/>
        </w:rPr>
        <w:t>A sign-on bonus of $350,000, subject to monthly pro-rata repayment over the first 24 months of employment if Mr. Hosein voluntarily terminates his employment with the Company without Good Reason (as defined in the Offer Letter) or if the employment is terminated by the Company for Cause (as</w:t>
      </w:r>
    </w:p>
    <w:p>
      <w:pPr>
        <w:sectPr>
          <w:pgSz w:w="11900" w:h="16838" w:orient="portrait"/>
          <w:cols w:equalWidth="0" w:num="1">
            <w:col w:w="11400"/>
          </w:cols>
          <w:pgMar w:left="240" w:top="530" w:right="25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defined in the Offer Letter) or for breach of Company policy or for performance related reasons.</w:t>
      </w:r>
    </w:p>
    <w:p>
      <w:pPr>
        <w:spacing w:after="0" w:line="229" w:lineRule="exact"/>
        <w:rPr>
          <w:sz w:val="20"/>
          <w:szCs w:val="20"/>
          <w:color w:val="auto"/>
        </w:rPr>
      </w:pPr>
    </w:p>
    <w:p>
      <w:pPr>
        <w:ind w:right="40" w:firstLine="656"/>
        <w:spacing w:after="0" w:line="279" w:lineRule="auto"/>
        <w:tabs>
          <w:tab w:leader="none" w:pos="953" w:val="left"/>
        </w:tabs>
        <w:numPr>
          <w:ilvl w:val="1"/>
          <w:numId w:val="2"/>
        </w:numPr>
        <w:rPr>
          <w:rFonts w:ascii="Arial" w:cs="Arial" w:eastAsia="Arial" w:hAnsi="Arial"/>
          <w:sz w:val="16"/>
          <w:szCs w:val="16"/>
          <w:color w:val="auto"/>
        </w:rPr>
      </w:pPr>
      <w:r>
        <w:rPr>
          <w:rFonts w:ascii="Arial" w:cs="Arial" w:eastAsia="Arial" w:hAnsi="Arial"/>
          <w:sz w:val="16"/>
          <w:szCs w:val="16"/>
          <w:color w:val="auto"/>
        </w:rPr>
        <w:t>A grant of a time-based option to purchase 450,000 common shares of the Company, which will vest at a rate of 1/5</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of the shares subject to the option after the first year of employment and 1/60</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of the shares subject to the option each full month of employment thereafter for the next four years.</w:t>
      </w:r>
    </w:p>
    <w:p>
      <w:pPr>
        <w:spacing w:after="0" w:line="30" w:lineRule="exact"/>
        <w:rPr>
          <w:rFonts w:ascii="Arial" w:cs="Arial" w:eastAsia="Arial" w:hAnsi="Arial"/>
          <w:sz w:val="16"/>
          <w:szCs w:val="16"/>
          <w:color w:val="auto"/>
        </w:rPr>
      </w:pPr>
    </w:p>
    <w:p>
      <w:pPr>
        <w:ind w:right="60" w:firstLine="656"/>
        <w:spacing w:after="0" w:line="271" w:lineRule="auto"/>
        <w:tabs>
          <w:tab w:leader="none" w:pos="943" w:val="left"/>
        </w:tabs>
        <w:numPr>
          <w:ilvl w:val="1"/>
          <w:numId w:val="2"/>
        </w:numPr>
        <w:rPr>
          <w:rFonts w:ascii="Arial" w:cs="Arial" w:eastAsia="Arial" w:hAnsi="Arial"/>
          <w:sz w:val="17"/>
          <w:szCs w:val="17"/>
          <w:color w:val="auto"/>
        </w:rPr>
      </w:pPr>
      <w:r>
        <w:rPr>
          <w:rFonts w:ascii="Arial" w:cs="Arial" w:eastAsia="Arial" w:hAnsi="Arial"/>
          <w:sz w:val="17"/>
          <w:szCs w:val="17"/>
          <w:color w:val="auto"/>
        </w:rPr>
        <w:t>A grant of a performance-based option to purchase 200,000 common shares of the Company, which will vest over five annual performance periods if the target earnings per share (the “Target EPS”) is two times the Baseline EPS (as defined in the Offer Letter). The grant will be divided into five separate and equal annual performance segments (each a “Segment”) of 40,000 unvested options. If the Actual EPS (as defined in the Offer Letter) for any annual performance period is less than Target EPS, the identically numbered Segment options shall not vest immediately, but shall be added to the unvested Segment options of the following year’s Segment. If at the end of five years, any unvested performance-based stock options remain unvested as a result of not having met or exceeded the Target EPS during the final performance period then the remaining unvested options shall expire. EPS will be proportionately adjusted by the Executive Compensation Committee for any stock split, reverse stock split, stock dividend, share combination, recapitalization or similar event effected subsequent to the date of grant.</w:t>
      </w:r>
    </w:p>
    <w:p>
      <w:pPr>
        <w:spacing w:after="0" w:line="178" w:lineRule="exact"/>
        <w:rPr>
          <w:rFonts w:ascii="Arial" w:cs="Arial" w:eastAsia="Arial" w:hAnsi="Arial"/>
          <w:sz w:val="17"/>
          <w:szCs w:val="17"/>
          <w:color w:val="auto"/>
        </w:rPr>
      </w:pPr>
    </w:p>
    <w:p>
      <w:pPr>
        <w:ind w:right="140" w:firstLine="8"/>
        <w:spacing w:after="0" w:line="259" w:lineRule="auto"/>
        <w:tabs>
          <w:tab w:leader="none" w:pos="245" w:val="left"/>
        </w:tabs>
        <w:numPr>
          <w:ilvl w:val="0"/>
          <w:numId w:val="3"/>
        </w:numPr>
        <w:rPr>
          <w:rFonts w:ascii="Arial" w:cs="Arial" w:eastAsia="Arial" w:hAnsi="Arial"/>
          <w:sz w:val="18"/>
          <w:szCs w:val="18"/>
          <w:color w:val="auto"/>
        </w:rPr>
      </w:pPr>
      <w:r>
        <w:rPr>
          <w:rFonts w:ascii="Arial" w:cs="Arial" w:eastAsia="Arial" w:hAnsi="Arial"/>
          <w:sz w:val="18"/>
          <w:szCs w:val="18"/>
          <w:color w:val="auto"/>
        </w:rPr>
        <w:t>A payment of severance benefits if within 12 months of a change of control, the Company terminates his employment other than for Cause (as defined in the Offer Letter), if Mr. Hosein terminates his employment for Good Reason (as defined in the Offer Letter) or if Mr. Hosein’s employment is terminated within 30 days after being removed as Chief Financial Officer of the ultimate parent corporation of the surviving entity. In the event one of the foregoing occurs, then:</w:t>
      </w:r>
    </w:p>
    <w:p>
      <w:pPr>
        <w:spacing w:after="0" w:line="186" w:lineRule="exact"/>
        <w:rPr>
          <w:rFonts w:ascii="Arial" w:cs="Arial" w:eastAsia="Arial" w:hAnsi="Arial"/>
          <w:sz w:val="18"/>
          <w:szCs w:val="18"/>
          <w:color w:val="auto"/>
        </w:rPr>
      </w:pPr>
    </w:p>
    <w:p>
      <w:pPr>
        <w:ind w:left="1260" w:hanging="280"/>
        <w:spacing w:after="0"/>
        <w:tabs>
          <w:tab w:leader="none" w:pos="1260" w:val="left"/>
        </w:tabs>
        <w:numPr>
          <w:ilvl w:val="2"/>
          <w:numId w:val="3"/>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225" w:lineRule="exact"/>
        <w:rPr>
          <w:rFonts w:ascii="Arial" w:cs="Arial" w:eastAsia="Arial" w:hAnsi="Arial"/>
          <w:sz w:val="18"/>
          <w:szCs w:val="18"/>
          <w:color w:val="auto"/>
        </w:rPr>
      </w:pPr>
    </w:p>
    <w:p>
      <w:pPr>
        <w:ind w:left="1300" w:right="240" w:hanging="320"/>
        <w:spacing w:after="0" w:line="277" w:lineRule="auto"/>
        <w:tabs>
          <w:tab w:leader="none" w:pos="1264" w:val="left"/>
        </w:tabs>
        <w:numPr>
          <w:ilvl w:val="2"/>
          <w:numId w:val="3"/>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all stock options that would have vested in the one-year period following termination; and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260" w:hanging="280"/>
        <w:spacing w:after="0"/>
        <w:tabs>
          <w:tab w:leader="none" w:pos="1260" w:val="left"/>
        </w:tabs>
        <w:numPr>
          <w:ilvl w:val="1"/>
          <w:numId w:val="4"/>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248" w:lineRule="exact"/>
        <w:rPr>
          <w:rFonts w:ascii="Arial" w:cs="Arial" w:eastAsia="Arial" w:hAnsi="Arial"/>
          <w:sz w:val="16"/>
          <w:szCs w:val="16"/>
          <w:color w:val="auto"/>
        </w:rPr>
      </w:pPr>
    </w:p>
    <w:p>
      <w:pPr>
        <w:ind w:firstLine="8"/>
        <w:spacing w:after="0" w:line="277" w:lineRule="auto"/>
        <w:tabs>
          <w:tab w:leader="none" w:pos="295" w:val="left"/>
        </w:tabs>
        <w:numPr>
          <w:ilvl w:val="0"/>
          <w:numId w:val="4"/>
        </w:numPr>
        <w:rPr>
          <w:rFonts w:ascii="Arial" w:cs="Arial" w:eastAsia="Arial" w:hAnsi="Arial"/>
          <w:sz w:val="18"/>
          <w:szCs w:val="18"/>
          <w:color w:val="auto"/>
        </w:rPr>
      </w:pPr>
      <w:r>
        <w:rPr>
          <w:rFonts w:ascii="Arial" w:cs="Arial" w:eastAsia="Arial" w:hAnsi="Arial"/>
          <w:sz w:val="18"/>
          <w:szCs w:val="18"/>
          <w:color w:val="auto"/>
        </w:rPr>
        <w:t>A payment of severance benefits if the Company terminates his employment without Cause (as defined in the Offer Letter) or if Mr. Hosein terminates his employment for Good Reason (as defined in the Offer Letter). In the event one of the foregoing occurs, then:</w:t>
      </w:r>
    </w:p>
    <w:p>
      <w:pPr>
        <w:spacing w:after="0" w:line="170" w:lineRule="exact"/>
        <w:rPr>
          <w:rFonts w:ascii="Arial" w:cs="Arial" w:eastAsia="Arial" w:hAnsi="Arial"/>
          <w:sz w:val="18"/>
          <w:szCs w:val="18"/>
          <w:color w:val="auto"/>
        </w:rPr>
      </w:pPr>
    </w:p>
    <w:p>
      <w:pPr>
        <w:ind w:left="1260" w:hanging="280"/>
        <w:spacing w:after="0"/>
        <w:tabs>
          <w:tab w:leader="none" w:pos="1260" w:val="left"/>
        </w:tabs>
        <w:numPr>
          <w:ilvl w:val="1"/>
          <w:numId w:val="4"/>
        </w:numPr>
        <w:rPr>
          <w:rFonts w:ascii="Arial" w:cs="Arial" w:eastAsia="Arial" w:hAnsi="Arial"/>
          <w:sz w:val="16"/>
          <w:szCs w:val="16"/>
          <w:color w:val="auto"/>
        </w:rPr>
      </w:pPr>
      <w:r>
        <w:rPr>
          <w:rFonts w:ascii="Arial" w:cs="Arial" w:eastAsia="Arial" w:hAnsi="Arial"/>
          <w:sz w:val="16"/>
          <w:szCs w:val="16"/>
          <w:color w:val="auto"/>
        </w:rPr>
        <w:t>Mr. Hosein will be entitled to receive a lump sum payment equal to 12 months of his then current salary and target incentive payments; and</w:t>
      </w:r>
    </w:p>
    <w:p>
      <w:pPr>
        <w:spacing w:after="0" w:line="248" w:lineRule="exact"/>
        <w:rPr>
          <w:rFonts w:ascii="Arial" w:cs="Arial" w:eastAsia="Arial" w:hAnsi="Arial"/>
          <w:sz w:val="16"/>
          <w:szCs w:val="16"/>
          <w:color w:val="auto"/>
        </w:rPr>
      </w:pPr>
    </w:p>
    <w:p>
      <w:pPr>
        <w:ind w:left="1300" w:right="260" w:hanging="320"/>
        <w:spacing w:after="0" w:line="277" w:lineRule="auto"/>
        <w:tabs>
          <w:tab w:leader="none" w:pos="1264" w:val="left"/>
        </w:tabs>
        <w:numPr>
          <w:ilvl w:val="1"/>
          <w:numId w:val="4"/>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70" w:lineRule="exact"/>
        <w:rPr>
          <w:sz w:val="20"/>
          <w:szCs w:val="20"/>
          <w:color w:val="auto"/>
        </w:rPr>
      </w:pPr>
    </w:p>
    <w:p>
      <w:pPr>
        <w:jc w:val="both"/>
        <w:ind w:right="140"/>
        <w:spacing w:after="0" w:line="264" w:lineRule="auto"/>
        <w:rPr>
          <w:sz w:val="20"/>
          <w:szCs w:val="20"/>
          <w:color w:val="auto"/>
        </w:rPr>
      </w:pPr>
      <w:r>
        <w:rPr>
          <w:rFonts w:ascii="Arial" w:cs="Arial" w:eastAsia="Arial" w:hAnsi="Arial"/>
          <w:sz w:val="18"/>
          <w:szCs w:val="18"/>
          <w:color w:val="auto"/>
        </w:rPr>
        <w:t>provided that if Mr. Hosein terminates his employment voluntarily and not for Good Reason (as defined in the Offer Letter)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81"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170" w:lineRule="exact"/>
        <w:rPr>
          <w:sz w:val="20"/>
          <w:szCs w:val="20"/>
          <w:color w:val="auto"/>
        </w:rPr>
      </w:pPr>
    </w:p>
    <w:p>
      <w:pPr>
        <w:ind w:right="100" w:firstLine="648"/>
        <w:spacing w:after="0" w:line="255" w:lineRule="auto"/>
        <w:rPr>
          <w:sz w:val="20"/>
          <w:szCs w:val="20"/>
          <w:color w:val="auto"/>
        </w:rPr>
      </w:pPr>
      <w:r>
        <w:rPr>
          <w:rFonts w:ascii="Arial" w:cs="Arial" w:eastAsia="Arial" w:hAnsi="Arial"/>
          <w:sz w:val="18"/>
          <w:szCs w:val="18"/>
          <w:color w:val="auto"/>
        </w:rPr>
        <w:t>Also in connection with Mr. Hosein’s employment with the Company, the Company and Mr. Hosein will enter into an indemnification agreement, which will provide, among other things, that subject to the procedures set forth in the indemnification agreement, the Company will indemnify Mr. Hosein to the fullest extent permitted by law in the event he was, is or becomes a Participant (as defined in the indemnification agreement) in, or is threatened to be made a Participant in, a Proceeding (as defined in the indemnification agreement) by reason of an Indemnifiable Event (as defined in the indemnification agreement). The indemnification agreement also provides for the Company to advance expenses to Mr. Hosein, subject to certain conditions as set forth in the agreement.</w:t>
      </w:r>
    </w:p>
    <w:p>
      <w:pPr>
        <w:spacing w:after="0" w:line="193"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The foregoing summary of the employment offer letter and the indemnification agreement are qualified in their entirety by reference to the full text of such agreements referenced as Exhibit 10.1 and Exhibit 10.2 hereto, respectively, and incorporated by reference herein.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Appointment of Acting Chief Operating Officer</w:t>
      </w:r>
    </w:p>
    <w:p>
      <w:pPr>
        <w:spacing w:after="0" w:line="225"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Concurrently with the appointment of Mr. Hosein as Chief Financial Officer, Mr. de Urioste will resign as the interim Chief Financial Officer of the Company effective as of June 23, 2008 and transition to the role of Acting Chief Operating Officer, effective as of June 23, 2008. Dr. Pantas Sutardja, who has been acting as the Company’s Acting Chief Operating Officer, will relinquish these responsibilities and will continue as the Company’s Chief Technology Officer and Chief Research and Development Officer.</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Press Release</w:t>
      </w:r>
    </w:p>
    <w:p>
      <w:pPr>
        <w:spacing w:after="0" w:line="225"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On May 29, 2008, the Company issued a press release announcing the appointment of Mr. Hosein as Chief Financial Officer effective as of June 23, 2008, and Mr. de Urioste’s coincident resignation as interim Chief Financial Officer and immediate appointment as Acting Chief Operating Officer, and, a copy of which is filed herewith as Exhibit 99.1 and is incorporated by reference herein.</w:t>
      </w:r>
    </w:p>
    <w:p>
      <w:pPr>
        <w:spacing w:after="0" w:line="177" w:lineRule="exact"/>
        <w:rPr>
          <w:sz w:val="20"/>
          <w:szCs w:val="20"/>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660" w:hanging="1058"/>
        <w:spacing w:after="0"/>
        <w:tabs>
          <w:tab w:leader="none" w:pos="1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10.1    Employment Offer Letter executed on May 29, 2008 between the Company and Clyde Hosein.</w:t>
      </w:r>
    </w:p>
    <w:p>
      <w:pPr>
        <w:spacing w:after="0" w:line="225"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10.2    Form of Indemnification Agreement between the Company and Clyde Hosein.</w:t>
      </w:r>
    </w:p>
    <w:p>
      <w:pPr>
        <w:sectPr>
          <w:pgSz w:w="11900" w:h="16838" w:orient="portrait"/>
          <w:cols w:equalWidth="0" w:num="1">
            <w:col w:w="11420"/>
          </w:cols>
          <w:pgMar w:left="240" w:top="125" w:right="239" w:bottom="0" w:gutter="0" w:footer="0" w:header="0"/>
        </w:sectPr>
      </w:pPr>
    </w:p>
    <w:bookmarkStart w:id="2" w:name="page3"/>
    <w:bookmarkEnd w:id="2"/>
    <w:p>
      <w:pPr>
        <w:ind w:left="1660"/>
        <w:spacing w:after="0"/>
        <w:tabs>
          <w:tab w:leader="none" w:pos="22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29,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29, 2008</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0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9760" w:type="dxa"/>
            <w:vAlign w:val="bottom"/>
            <w:gridSpan w:val="2"/>
          </w:tcPr>
          <w:p>
            <w:pPr>
              <w:ind w:left="4060"/>
              <w:spacing w:after="0"/>
              <w:rPr>
                <w:sz w:val="20"/>
                <w:szCs w:val="20"/>
                <w:color w:val="auto"/>
              </w:rPr>
            </w:pPr>
            <w:r>
              <w:rPr>
                <w:rFonts w:ascii="Arial" w:cs="Arial" w:eastAsia="Arial" w:hAnsi="Arial"/>
                <w:sz w:val="18"/>
                <w:szCs w:val="18"/>
                <w:color w:val="auto"/>
              </w:rPr>
              <w:t>By: /s/ George de Urioste</w:t>
            </w:r>
          </w:p>
        </w:tc>
        <w:tc>
          <w:tcPr>
            <w:tcW w:w="40" w:type="dxa"/>
            <w:vAlign w:val="bottom"/>
          </w:tcPr>
          <w:p>
            <w:pPr>
              <w:spacing w:after="0"/>
              <w:rPr>
                <w:sz w:val="20"/>
                <w:szCs w:val="20"/>
                <w:color w:val="auto"/>
              </w:rPr>
            </w:pPr>
          </w:p>
        </w:tc>
      </w:tr>
      <w:tr>
        <w:trPr>
          <w:trHeight w:val="182"/>
        </w:trPr>
        <w:tc>
          <w:tcPr>
            <w:tcW w:w="10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420" w:type="dxa"/>
            <w:vAlign w:val="bottom"/>
          </w:tcPr>
          <w:p>
            <w:pPr>
              <w:spacing w:after="0"/>
              <w:rPr>
                <w:sz w:val="15"/>
                <w:szCs w:val="15"/>
                <w:color w:val="auto"/>
              </w:rPr>
            </w:pPr>
          </w:p>
        </w:tc>
        <w:tc>
          <w:tcPr>
            <w:tcW w:w="5340" w:type="dxa"/>
            <w:vAlign w:val="bottom"/>
            <w:tcBorders>
              <w:top w:val="single" w:sz="8" w:color="auto"/>
            </w:tcBorders>
          </w:tcPr>
          <w:p>
            <w:pPr>
              <w:jc w:val="center"/>
              <w:ind w:right="276"/>
              <w:spacing w:after="0" w:line="182" w:lineRule="exact"/>
              <w:rPr>
                <w:sz w:val="20"/>
                <w:szCs w:val="20"/>
                <w:color w:val="auto"/>
              </w:rPr>
            </w:pPr>
            <w:r>
              <w:rPr>
                <w:rFonts w:ascii="Arial" w:cs="Arial" w:eastAsia="Arial" w:hAnsi="Arial"/>
                <w:sz w:val="18"/>
                <w:szCs w:val="18"/>
                <w:color w:val="auto"/>
                <w:w w:val="88"/>
              </w:rPr>
              <w:t>George de Urioste</w:t>
            </w:r>
          </w:p>
        </w:tc>
        <w:tc>
          <w:tcPr>
            <w:tcW w:w="40" w:type="dxa"/>
            <w:vAlign w:val="bottom"/>
          </w:tcPr>
          <w:p>
            <w:pPr>
              <w:spacing w:after="0"/>
              <w:rPr>
                <w:sz w:val="15"/>
                <w:szCs w:val="15"/>
                <w:color w:val="auto"/>
              </w:rPr>
            </w:pPr>
          </w:p>
        </w:tc>
      </w:tr>
      <w:tr>
        <w:trPr>
          <w:trHeight w:val="230"/>
        </w:trPr>
        <w:tc>
          <w:tcPr>
            <w:tcW w:w="10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420" w:type="dxa"/>
            <w:vAlign w:val="bottom"/>
          </w:tcPr>
          <w:p>
            <w:pPr>
              <w:spacing w:after="0"/>
              <w:rPr>
                <w:sz w:val="20"/>
                <w:szCs w:val="20"/>
                <w:color w:val="auto"/>
              </w:rPr>
            </w:pPr>
          </w:p>
        </w:tc>
        <w:tc>
          <w:tcPr>
            <w:tcW w:w="5340" w:type="dxa"/>
            <w:vAlign w:val="bottom"/>
          </w:tcPr>
          <w:p>
            <w:pPr>
              <w:jc w:val="center"/>
              <w:ind w:right="276"/>
              <w:spacing w:after="0"/>
              <w:rPr>
                <w:sz w:val="20"/>
                <w:szCs w:val="20"/>
                <w:color w:val="auto"/>
              </w:rPr>
            </w:pPr>
            <w:r>
              <w:rPr>
                <w:rFonts w:ascii="Arial" w:cs="Arial" w:eastAsia="Arial" w:hAnsi="Arial"/>
                <w:sz w:val="18"/>
                <w:szCs w:val="18"/>
                <w:color w:val="auto"/>
                <w:w w:val="95"/>
              </w:rPr>
              <w:t>Interim Chief Financial Officer</w:t>
            </w:r>
          </w:p>
        </w:tc>
        <w:tc>
          <w:tcPr>
            <w:tcW w:w="40" w:type="dxa"/>
            <w:vAlign w:val="bottom"/>
          </w:tcPr>
          <w:p>
            <w:pPr>
              <w:spacing w:after="0"/>
              <w:rPr>
                <w:sz w:val="20"/>
                <w:szCs w:val="20"/>
                <w:color w:val="auto"/>
              </w:rPr>
            </w:pPr>
          </w:p>
        </w:tc>
      </w:tr>
      <w:tr>
        <w:trPr>
          <w:trHeight w:val="432"/>
        </w:trPr>
        <w:tc>
          <w:tcPr>
            <w:tcW w:w="1020" w:type="dxa"/>
            <w:vAlign w:val="bottom"/>
          </w:tcPr>
          <w:p>
            <w:pPr>
              <w:spacing w:after="0"/>
              <w:rPr>
                <w:sz w:val="24"/>
                <w:szCs w:val="24"/>
                <w:color w:val="auto"/>
              </w:rPr>
            </w:pPr>
          </w:p>
        </w:tc>
        <w:tc>
          <w:tcPr>
            <w:tcW w:w="5060" w:type="dxa"/>
            <w:vAlign w:val="bottom"/>
            <w:gridSpan w:val="2"/>
          </w:tcPr>
          <w:p>
            <w:pPr>
              <w:jc w:val="right"/>
              <w:ind w:right="230"/>
              <w:spacing w:after="0"/>
              <w:rPr>
                <w:sz w:val="20"/>
                <w:szCs w:val="20"/>
                <w:color w:val="auto"/>
              </w:rPr>
            </w:pPr>
            <w:r>
              <w:rPr>
                <w:rFonts w:ascii="Arial" w:cs="Arial" w:eastAsia="Arial" w:hAnsi="Arial"/>
                <w:sz w:val="18"/>
                <w:szCs w:val="18"/>
                <w:color w:val="auto"/>
              </w:rPr>
              <w:t>4</w:t>
            </w:r>
          </w:p>
        </w:tc>
        <w:tc>
          <w:tcPr>
            <w:tcW w:w="53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020" w:type="dxa"/>
            <w:vAlign w:val="bottom"/>
            <w:tcBorders>
              <w:bottom w:val="single" w:sz="8" w:color="010101"/>
            </w:tcBorders>
          </w:tcPr>
          <w:p>
            <w:pPr>
              <w:spacing w:after="0"/>
              <w:rPr>
                <w:sz w:val="11"/>
                <w:szCs w:val="11"/>
                <w:color w:val="auto"/>
              </w:rPr>
            </w:pPr>
          </w:p>
        </w:tc>
        <w:tc>
          <w:tcPr>
            <w:tcW w:w="640" w:type="dxa"/>
            <w:vAlign w:val="bottom"/>
            <w:tcBorders>
              <w:bottom w:val="single" w:sz="8" w:color="010101"/>
            </w:tcBorders>
          </w:tcPr>
          <w:p>
            <w:pPr>
              <w:spacing w:after="0"/>
              <w:rPr>
                <w:sz w:val="11"/>
                <w:szCs w:val="11"/>
                <w:color w:val="auto"/>
              </w:rPr>
            </w:pPr>
          </w:p>
        </w:tc>
        <w:tc>
          <w:tcPr>
            <w:tcW w:w="976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10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760" w:type="dxa"/>
            <w:vAlign w:val="bottom"/>
            <w:gridSpan w:val="2"/>
          </w:tcPr>
          <w:p>
            <w:pPr>
              <w:jc w:val="center"/>
              <w:ind w:right="1556"/>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r>
      <w:tr>
        <w:trPr>
          <w:trHeight w:val="365"/>
        </w:trPr>
        <w:tc>
          <w:tcPr>
            <w:tcW w:w="102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w w:val="95"/>
              </w:rPr>
              <w:t>Exhibit No.</w:t>
            </w:r>
          </w:p>
        </w:tc>
        <w:tc>
          <w:tcPr>
            <w:tcW w:w="640" w:type="dxa"/>
            <w:vAlign w:val="bottom"/>
          </w:tcPr>
          <w:p>
            <w:pPr>
              <w:spacing w:after="0"/>
              <w:rPr>
                <w:sz w:val="24"/>
                <w:szCs w:val="24"/>
                <w:color w:val="auto"/>
              </w:rPr>
            </w:pPr>
          </w:p>
        </w:tc>
        <w:tc>
          <w:tcPr>
            <w:tcW w:w="4420" w:type="dxa"/>
            <w:vAlign w:val="bottom"/>
            <w:tcBorders>
              <w:bottom w:val="single" w:sz="8" w:color="auto"/>
            </w:tcBorders>
          </w:tcPr>
          <w:p>
            <w:pPr>
              <w:spacing w:after="0"/>
              <w:rPr>
                <w:sz w:val="24"/>
                <w:szCs w:val="24"/>
                <w:color w:val="auto"/>
              </w:rPr>
            </w:pPr>
          </w:p>
        </w:tc>
        <w:tc>
          <w:tcPr>
            <w:tcW w:w="534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11"/>
        </w:trPr>
        <w:tc>
          <w:tcPr>
            <w:tcW w:w="1020" w:type="dxa"/>
            <w:vAlign w:val="bottom"/>
          </w:tcPr>
          <w:p>
            <w:pPr>
              <w:jc w:val="right"/>
              <w:ind w:right="254"/>
              <w:spacing w:after="0"/>
              <w:rPr>
                <w:sz w:val="20"/>
                <w:szCs w:val="20"/>
                <w:color w:val="auto"/>
              </w:rPr>
            </w:pPr>
            <w:r>
              <w:rPr>
                <w:rFonts w:ascii="Arial" w:cs="Arial" w:eastAsia="Arial" w:hAnsi="Arial"/>
                <w:sz w:val="18"/>
                <w:szCs w:val="18"/>
                <w:color w:val="auto"/>
              </w:rPr>
              <w:t>10.1</w:t>
            </w:r>
          </w:p>
        </w:tc>
        <w:tc>
          <w:tcPr>
            <w:tcW w:w="10400" w:type="dxa"/>
            <w:vAlign w:val="bottom"/>
            <w:gridSpan w:val="3"/>
          </w:tcPr>
          <w:p>
            <w:pPr>
              <w:ind w:left="640"/>
              <w:spacing w:after="0"/>
              <w:rPr>
                <w:sz w:val="20"/>
                <w:szCs w:val="20"/>
                <w:color w:val="auto"/>
              </w:rPr>
            </w:pPr>
            <w:r>
              <w:rPr>
                <w:rFonts w:ascii="Arial" w:cs="Arial" w:eastAsia="Arial" w:hAnsi="Arial"/>
                <w:sz w:val="18"/>
                <w:szCs w:val="18"/>
                <w:color w:val="auto"/>
              </w:rPr>
              <w:t>Employment Offer Letter executed on May 29, 2008 between the Company and Clyde Hosein.</w:t>
            </w:r>
          </w:p>
        </w:tc>
        <w:tc>
          <w:tcPr>
            <w:tcW w:w="40" w:type="dxa"/>
            <w:vAlign w:val="bottom"/>
          </w:tcPr>
          <w:p>
            <w:pPr>
              <w:spacing w:after="0"/>
              <w:rPr>
                <w:sz w:val="24"/>
                <w:szCs w:val="24"/>
                <w:color w:val="auto"/>
              </w:rPr>
            </w:pPr>
          </w:p>
        </w:tc>
      </w:tr>
      <w:tr>
        <w:trPr>
          <w:trHeight w:val="216"/>
        </w:trPr>
        <w:tc>
          <w:tcPr>
            <w:tcW w:w="1020" w:type="dxa"/>
            <w:vAlign w:val="bottom"/>
          </w:tcPr>
          <w:p>
            <w:pPr>
              <w:jc w:val="right"/>
              <w:ind w:right="254"/>
              <w:spacing w:after="0"/>
              <w:rPr>
                <w:sz w:val="20"/>
                <w:szCs w:val="20"/>
                <w:color w:val="auto"/>
              </w:rPr>
            </w:pPr>
            <w:r>
              <w:rPr>
                <w:rFonts w:ascii="Arial" w:cs="Arial" w:eastAsia="Arial" w:hAnsi="Arial"/>
                <w:sz w:val="18"/>
                <w:szCs w:val="18"/>
                <w:color w:val="auto"/>
              </w:rPr>
              <w:t>10.2</w:t>
            </w:r>
          </w:p>
        </w:tc>
        <w:tc>
          <w:tcPr>
            <w:tcW w:w="10400" w:type="dxa"/>
            <w:vAlign w:val="bottom"/>
            <w:gridSpan w:val="3"/>
          </w:tcPr>
          <w:p>
            <w:pPr>
              <w:ind w:left="640"/>
              <w:spacing w:after="0"/>
              <w:rPr>
                <w:sz w:val="20"/>
                <w:szCs w:val="20"/>
                <w:color w:val="auto"/>
              </w:rPr>
            </w:pPr>
            <w:r>
              <w:rPr>
                <w:rFonts w:ascii="Arial" w:cs="Arial" w:eastAsia="Arial" w:hAnsi="Arial"/>
                <w:sz w:val="18"/>
                <w:szCs w:val="18"/>
                <w:color w:val="auto"/>
              </w:rPr>
              <w:t>Form of Indemnification Agreement between the Company and Clyde Hosein.</w:t>
            </w:r>
          </w:p>
        </w:tc>
        <w:tc>
          <w:tcPr>
            <w:tcW w:w="40" w:type="dxa"/>
            <w:vAlign w:val="bottom"/>
          </w:tcPr>
          <w:p>
            <w:pPr>
              <w:spacing w:after="0"/>
              <w:rPr>
                <w:sz w:val="18"/>
                <w:szCs w:val="18"/>
                <w:color w:val="auto"/>
              </w:rPr>
            </w:pPr>
          </w:p>
        </w:tc>
      </w:tr>
      <w:tr>
        <w:trPr>
          <w:trHeight w:val="230"/>
        </w:trPr>
        <w:tc>
          <w:tcPr>
            <w:tcW w:w="1020" w:type="dxa"/>
            <w:vAlign w:val="bottom"/>
          </w:tcPr>
          <w:p>
            <w:pPr>
              <w:jc w:val="right"/>
              <w:ind w:right="254"/>
              <w:spacing w:after="0"/>
              <w:rPr>
                <w:sz w:val="20"/>
                <w:szCs w:val="20"/>
                <w:color w:val="auto"/>
              </w:rPr>
            </w:pPr>
            <w:r>
              <w:rPr>
                <w:rFonts w:ascii="Arial" w:cs="Arial" w:eastAsia="Arial" w:hAnsi="Arial"/>
                <w:sz w:val="18"/>
                <w:szCs w:val="18"/>
                <w:color w:val="auto"/>
              </w:rPr>
              <w:t>99.1</w:t>
            </w:r>
          </w:p>
        </w:tc>
        <w:tc>
          <w:tcPr>
            <w:tcW w:w="10400" w:type="dxa"/>
            <w:vAlign w:val="bottom"/>
            <w:gridSpan w:val="3"/>
          </w:tcPr>
          <w:p>
            <w:pPr>
              <w:ind w:left="640"/>
              <w:spacing w:after="0"/>
              <w:rPr>
                <w:sz w:val="20"/>
                <w:szCs w:val="20"/>
                <w:color w:val="auto"/>
              </w:rPr>
            </w:pPr>
            <w:r>
              <w:rPr>
                <w:rFonts w:ascii="Arial" w:cs="Arial" w:eastAsia="Arial" w:hAnsi="Arial"/>
                <w:sz w:val="18"/>
                <w:szCs w:val="18"/>
                <w:color w:val="auto"/>
              </w:rPr>
              <w:t>Press Release dated May 29, 2008.</w:t>
            </w:r>
          </w:p>
        </w:tc>
        <w:tc>
          <w:tcPr>
            <w:tcW w:w="40" w:type="dxa"/>
            <w:vAlign w:val="bottom"/>
          </w:tcPr>
          <w:p>
            <w:pPr>
              <w:spacing w:after="0"/>
              <w:rPr>
                <w:sz w:val="20"/>
                <w:szCs w:val="20"/>
                <w:color w:val="auto"/>
              </w:rPr>
            </w:pPr>
          </w:p>
        </w:tc>
      </w:tr>
      <w:tr>
        <w:trPr>
          <w:trHeight w:val="348"/>
        </w:trPr>
        <w:tc>
          <w:tcPr>
            <w:tcW w:w="102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4420" w:type="dxa"/>
            <w:vAlign w:val="bottom"/>
            <w:tcBorders>
              <w:bottom w:val="single" w:sz="8" w:color="010101"/>
            </w:tcBorders>
          </w:tcPr>
          <w:p>
            <w:pPr>
              <w:spacing w:after="0"/>
              <w:rPr>
                <w:sz w:val="24"/>
                <w:szCs w:val="24"/>
                <w:color w:val="auto"/>
              </w:rPr>
            </w:pPr>
          </w:p>
        </w:tc>
        <w:tc>
          <w:tcPr>
            <w:tcW w:w="53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-1546860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-1546860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May 23, 2008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Clyde,</w:t>
      </w:r>
    </w:p>
    <w:p>
      <w:pPr>
        <w:spacing w:after="0" w:line="225"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It is our pleasure to offer you the position of Chief Financial Officer with Marvell Technology Group, Ltd. (“the Company”). As the Chief Financial Officer, you will report directly to me and have primary responsibility for the company’s financial functions, including Accounting, FP&amp;A, Treasury, Tax and Investor Relations.</w:t>
      </w:r>
    </w:p>
    <w:p>
      <w:pPr>
        <w:spacing w:after="0" w:line="181" w:lineRule="exact"/>
        <w:rPr>
          <w:sz w:val="20"/>
          <w:szCs w:val="20"/>
          <w:color w:val="auto"/>
        </w:rPr>
      </w:pPr>
    </w:p>
    <w:p>
      <w:pPr>
        <w:ind w:right="200"/>
        <w:spacing w:after="0" w:line="297" w:lineRule="auto"/>
        <w:rPr>
          <w:sz w:val="20"/>
          <w:szCs w:val="20"/>
          <w:color w:val="auto"/>
        </w:rPr>
      </w:pPr>
      <w:r>
        <w:rPr>
          <w:rFonts w:ascii="Arial" w:cs="Arial" w:eastAsia="Arial" w:hAnsi="Arial"/>
          <w:sz w:val="16"/>
          <w:szCs w:val="16"/>
          <w:color w:val="auto"/>
        </w:rPr>
        <w:t>Your starting salary will be 450,000 USD per year. Additionally, you will be eligible for an annual incentive opportunity target of up to 80% of your base salary, pro-rated for your length of service during any completed fiscal year. Half of your incentive opportunity will be based on the company’s overall performance. The remaining half of this incentive will be based on specific metrics we mutually agree upon. The determination of both the metrics for your bonus and the actual bonus payments will be subject to the approval of the Executive Compensation Committee of the Company’s board of directors (the “Board”). Payment of the bonus may be made in a combination of cash, options and/or RSUs, at the discretion of the Executive Compensation Committee.</w:t>
      </w:r>
    </w:p>
    <w:p>
      <w:pPr>
        <w:spacing w:after="0" w:line="158" w:lineRule="exact"/>
        <w:rPr>
          <w:sz w:val="20"/>
          <w:szCs w:val="20"/>
          <w:color w:val="auto"/>
        </w:rPr>
      </w:pPr>
    </w:p>
    <w:p>
      <w:pPr>
        <w:ind w:right="80"/>
        <w:spacing w:after="0" w:line="293" w:lineRule="auto"/>
        <w:rPr>
          <w:sz w:val="20"/>
          <w:szCs w:val="20"/>
          <w:color w:val="auto"/>
        </w:rPr>
      </w:pPr>
      <w:r>
        <w:rPr>
          <w:rFonts w:ascii="Arial" w:cs="Arial" w:eastAsia="Arial" w:hAnsi="Arial"/>
          <w:sz w:val="16"/>
          <w:szCs w:val="16"/>
          <w:color w:val="auto"/>
        </w:rPr>
        <w:t>You will receive a sign-on bonus in the amount of 350,000 USD, subject to applicable withholding taxes, which will be paid within thirty (30) days of your date of hire. The sign-on bonus, though paid in advance, is earned on a pro-rata basis over the first twenty-four (24) months of your employment, and is paid in consideration of your provision of services over that twenty-four month period. If, within twenty-four (24) months of your date of hire, you voluntarily terminate your employment with the Company without Good Reason (as defined below) or the Company terminates your employment for cause (as defined on Attachment A) or for breach of Company policy or for performance related reasons, you will be required to repay the Company an amount equal to (A) 350,000 USD multiplied by (B) (24 minus the number of fully or partially completed months of employment since your date of hire) divided by 24.</w:t>
      </w:r>
    </w:p>
    <w:p>
      <w:pPr>
        <w:spacing w:after="0" w:line="165" w:lineRule="exact"/>
        <w:rPr>
          <w:sz w:val="20"/>
          <w:szCs w:val="20"/>
          <w:color w:val="auto"/>
        </w:rPr>
      </w:pPr>
    </w:p>
    <w:p>
      <w:pPr>
        <w:ind w:right="200"/>
        <w:spacing w:after="0" w:line="288" w:lineRule="auto"/>
        <w:rPr>
          <w:sz w:val="20"/>
          <w:szCs w:val="20"/>
          <w:color w:val="auto"/>
        </w:rPr>
      </w:pPr>
      <w:r>
        <w:rPr>
          <w:rFonts w:ascii="Arial" w:cs="Arial" w:eastAsia="Arial" w:hAnsi="Arial"/>
          <w:sz w:val="16"/>
          <w:szCs w:val="16"/>
          <w:color w:val="auto"/>
        </w:rPr>
        <w:t>You will be recommended for an option to purchase 450,000 Common Shares of the Company, subject to federal and state securities law restrictions, and further subject to Board-level approval. The grant of these options (the “Grant A”) shall be effective on the date Marvell’s Executive Compensation Committee meets to approve such grant, and the exercise price per share of such grant shall also be determined on such date. Such Grant A shall vest at the</w:t>
      </w:r>
    </w:p>
    <w:p>
      <w:pPr>
        <w:ind w:right="300"/>
        <w:spacing w:after="0" w:line="205" w:lineRule="auto"/>
        <w:rPr>
          <w:sz w:val="20"/>
          <w:szCs w:val="20"/>
          <w:color w:val="auto"/>
        </w:rPr>
      </w:pPr>
      <w:r>
        <w:rPr>
          <w:rFonts w:ascii="Arial" w:cs="Arial" w:eastAsia="Arial" w:hAnsi="Arial"/>
          <w:sz w:val="18"/>
          <w:szCs w:val="18"/>
          <w:color w:val="auto"/>
        </w:rPr>
        <w:t>rate of 1/5th of the number of shares subject to Grant A after the first year of employment with the Company and 1/60</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of the number of shares subject to Grant A for each full month of employment with the Company thereafter over the next four (4) years.</w:t>
      </w: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In addition to Grant A, you will be recommended for a performance-based option to purchase 200,000 Common Shares of the Company subject to federal and state securities law restrictions and further subject to Board-level approval. The grant of these options (the “Grant B”) shall be effective on the date Marvell’s Executive Compensation Committee meets to approve such grant. The exercise price of such options shall be equal to the closing price of a share of the Company’s stock on such date. Such Grant B shall vest as outlined in Attachment A.</w:t>
      </w:r>
    </w:p>
    <w:p>
      <w:pPr>
        <w:spacing w:after="0" w:line="187"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Should there be a Change of Control as such term is defined in the Company’s 1995 Stock Option Plan, and, [A] within the twelve (12) month period beginning on the date of the consummation of the Change of Control (1) you are terminated by the Company other than for cause (as defined on Attachment B), or (2) you resign for “Good Reason” as that term is defined below; or [B] you terminate employment within 30 days after being removed from the office of Chief Financial Officer of the ultimate parent corporation of the surviving entity, your sign-on bonus repayment obligation, if then in effect, will be forgiven, and all of the stock options that would have vested in the one-year period following the termination shall immediately vest and you will receive a lump sum payment equal to twelve (12) months of your then-current base salary and target incentive payments.</w:t>
      </w:r>
    </w:p>
    <w:p>
      <w:pPr>
        <w:spacing w:after="0" w:line="178"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“Good Reason” is defined as any of the following: (a) the assignment to you of any duties inconsistent with your position, duties, responsibilities, reporting requirement, and status with the Company, (b) the material diminishment of your duties, responsibilities, or authority, (c) a reduction of more than 10% in the rate of pay you were receiving, even if a similar reduction applies generally to other executive officers of the company</w:t>
      </w:r>
      <w:r>
        <w:rPr>
          <w:rFonts w:ascii="Arial" w:cs="Arial" w:eastAsia="Arial" w:hAnsi="Arial"/>
          <w:sz w:val="17"/>
          <w:szCs w:val="17"/>
          <w:b w:val="1"/>
          <w:bCs w:val="1"/>
          <w:color w:val="auto"/>
        </w:rPr>
        <w:t>,</w:t>
      </w:r>
      <w:r>
        <w:rPr>
          <w:rFonts w:ascii="Arial" w:cs="Arial" w:eastAsia="Arial" w:hAnsi="Arial"/>
          <w:sz w:val="17"/>
          <w:szCs w:val="17"/>
          <w:color w:val="auto"/>
        </w:rPr>
        <w:t xml:space="preserve"> (d) a reduction of less than 10% in the rate of pay you were receiving, unless a similar reduction applies generally to other executive officers of the company</w:t>
      </w:r>
      <w:r>
        <w:rPr>
          <w:rFonts w:ascii="Arial" w:cs="Arial" w:eastAsia="Arial" w:hAnsi="Arial"/>
          <w:sz w:val="17"/>
          <w:szCs w:val="17"/>
          <w:b w:val="1"/>
          <w:bCs w:val="1"/>
          <w:color w:val="auto"/>
        </w:rPr>
        <w:t>,</w:t>
      </w:r>
      <w:r>
        <w:rPr>
          <w:rFonts w:ascii="Arial" w:cs="Arial" w:eastAsia="Arial" w:hAnsi="Arial"/>
          <w:sz w:val="17"/>
          <w:szCs w:val="17"/>
          <w:color w:val="auto"/>
        </w:rPr>
        <w:t xml:space="preserve"> (e) a material reduction of any benefits, perquisites, pensions, life or medical insurance or disability plans, other than a reduction that is generally applicable to other executive officers of the company, or (f) any relocation of your place of employment more than 50 miles from the current location.</w:t>
      </w:r>
    </w:p>
    <w:p>
      <w:pPr>
        <w:spacing w:after="0" w:line="178"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Notwithstanding anything in this agreement to the contrary, should your employment with Marvell be terminated for cause (as defined on Attachment B), you will receive no further cash payments beyond those you would ordinarily be entitled to through the date of termination, your stock option vesting will cease on your termination date and you will forfeit all rights to any portion of Grant A and Grant B that was unvested on your termination date.</w:t>
      </w:r>
    </w:p>
    <w:p>
      <w:pPr>
        <w:spacing w:after="0" w:line="166"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Should your employment with Marvell be terminated by the Company without cause (as defined on Attachment B), or by you for Good Reason, you will be paid within thirty days of your termination date, a lump sum payment equal to twelve (12) months of your then-current base salary and target incentive payments and you will not be required to work further. In addition, any remaining unvested portion of your Grant A that would have vested in the one-year period following your termination shall immediately vest. For avoidance of doubt, no equity awards other than Grant A will have accelerated vesting upon a termination without cause. However, should you decide to voluntarily terminate your employment without Good Reason, you will receive no further salary or incentive payments beyond those you would ordinarily be entitled to through the date of termination, all equity award vesting will cease on your termination date and you will forfeit all rights to any portion of any equity award that was unvested on your termination date.</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receipt of any severance or other benefits will be subject to you signing and not revoking a standard separation agreement and mutual release of claims. For this purpose, the standard separation agreement and mutual release of claims must be signed by you and returned to the Company within the period specified in the agreement and in no event later than two and one-half (2½) months following the end of the calendar year in which your termination of employment occurs. No severance or other benefits will be paid or provided until the standard separation agreement and release agreement becomes effective and non-revocable.</w:t>
      </w:r>
    </w:p>
    <w:p>
      <w:pPr>
        <w:sectPr>
          <w:pgSz w:w="11900" w:h="16838" w:orient="portrait"/>
          <w:cols w:equalWidth="0" w:num="1">
            <w:col w:w="11420"/>
          </w:cols>
          <w:pgMar w:left="240" w:top="121" w:right="239" w:bottom="171" w:gutter="0" w:footer="0" w:header="0"/>
        </w:sectPr>
      </w:pPr>
    </w:p>
    <w:bookmarkStart w:id="4" w:name="page5"/>
    <w:bookmarkEnd w:id="4"/>
    <w:p>
      <w:pPr>
        <w:ind w:right="200"/>
        <w:spacing w:after="0" w:line="259" w:lineRule="auto"/>
        <w:rPr>
          <w:sz w:val="20"/>
          <w:szCs w:val="20"/>
          <w:color w:val="auto"/>
        </w:rPr>
      </w:pPr>
      <w:r>
        <w:rPr>
          <w:rFonts w:ascii="Arial" w:cs="Arial" w:eastAsia="Arial" w:hAnsi="Arial"/>
          <w:sz w:val="18"/>
          <w:szCs w:val="18"/>
          <w:color w:val="auto"/>
        </w:rPr>
        <w:t>Mr. Hosein shall be allowed to serve on up to two public company boards while employed at the Company. It is understood that Mr. Hosein is currently serving on the Board of Cree Inc., a publicly traded company in the state of North Carolina and will continue to do so while employed at the Company. It is also understood that at some point in the future Mr. Hosein may serve on one other public company board, subject to the approval of the Company, such approval not to be unreasonably withheld.</w:t>
      </w:r>
    </w:p>
    <w:p>
      <w:pPr>
        <w:spacing w:after="0" w:line="187" w:lineRule="exact"/>
        <w:rPr>
          <w:sz w:val="20"/>
          <w:szCs w:val="20"/>
          <w:color w:val="auto"/>
        </w:rPr>
      </w:pPr>
    </w:p>
    <w:p>
      <w:pPr>
        <w:jc w:val="both"/>
        <w:ind w:right="20"/>
        <w:spacing w:after="0" w:line="291" w:lineRule="auto"/>
        <w:rPr>
          <w:sz w:val="20"/>
          <w:szCs w:val="20"/>
          <w:color w:val="auto"/>
        </w:rPr>
      </w:pPr>
      <w:r>
        <w:rPr>
          <w:rFonts w:ascii="Arial" w:cs="Arial" w:eastAsia="Arial" w:hAnsi="Arial"/>
          <w:sz w:val="16"/>
          <w:szCs w:val="16"/>
          <w:color w:val="auto"/>
        </w:rPr>
        <w:t>To the extent (i) any payments to which you become entitled under this letter, or any agreement or plan referenced herein, in connection with your termination of employment with the Company constitute deferred compensation subject to Section 409A of the Internal Revenue Code of 1986, as amended (the “Code”),</w:t>
      </w:r>
    </w:p>
    <w:p>
      <w:pPr>
        <w:ind w:right="40" w:firstLine="8"/>
        <w:spacing w:after="0" w:line="281" w:lineRule="auto"/>
        <w:tabs>
          <w:tab w:leader="none" w:pos="265" w:val="left"/>
        </w:tabs>
        <w:numPr>
          <w:ilvl w:val="0"/>
          <w:numId w:val="6"/>
        </w:numPr>
        <w:rPr>
          <w:rFonts w:ascii="Arial" w:cs="Arial" w:eastAsia="Arial" w:hAnsi="Arial"/>
          <w:sz w:val="16"/>
          <w:szCs w:val="16"/>
          <w:color w:val="auto"/>
        </w:rPr>
      </w:pPr>
      <w:r>
        <w:rPr>
          <w:rFonts w:ascii="Arial" w:cs="Arial" w:eastAsia="Arial" w:hAnsi="Arial"/>
          <w:sz w:val="16"/>
          <w:szCs w:val="16"/>
          <w:color w:val="auto"/>
        </w:rPr>
        <w:t xml:space="preserve">such payments are not to be paid on the dates previously scheduled under this letter (or any agreement or plan referenced herein) absent the termination of your employment with Company, and (iii) you are deemed at the time of such termination of employment to be a “specified employee” within the meaning of Section 409A of the Code, and the applicable treasury regulations and guidance issued thereunder and Company’s policies for determining specified employees (“Section 409A”), then such payment or payment shall not be made or commence until the </w:t>
      </w:r>
      <w:r>
        <w:rPr>
          <w:rFonts w:ascii="Arial" w:cs="Arial" w:eastAsia="Arial" w:hAnsi="Arial"/>
          <w:sz w:val="16"/>
          <w:szCs w:val="16"/>
          <w:i w:val="1"/>
          <w:iCs w:val="1"/>
          <w:color w:val="auto"/>
        </w:rPr>
        <w:t>earliest</w:t>
      </w:r>
      <w:r>
        <w:rPr>
          <w:rFonts w:ascii="Arial" w:cs="Arial" w:eastAsia="Arial" w:hAnsi="Arial"/>
          <w:sz w:val="16"/>
          <w:szCs w:val="16"/>
          <w:color w:val="auto"/>
        </w:rPr>
        <w:t xml:space="preserve"> of (i) the expiration of the six (6)-month period measured from the date of your “separation from service” (as such term is at the time defined in Section 409A of the Code) with Company; or (ii) the date of your death following such “separation from service”</w:t>
      </w:r>
      <w:r>
        <w:rPr>
          <w:rFonts w:ascii="Arial" w:cs="Arial" w:eastAsia="Arial" w:hAnsi="Arial"/>
          <w:sz w:val="16"/>
          <w:szCs w:val="16"/>
          <w:i w:val="1"/>
          <w:iCs w:val="1"/>
          <w:color w:val="auto"/>
        </w:rPr>
        <w:t>; provided, however,</w:t>
      </w:r>
      <w:r>
        <w:rPr>
          <w:rFonts w:ascii="Arial" w:cs="Arial" w:eastAsia="Arial" w:hAnsi="Arial"/>
          <w:sz w:val="16"/>
          <w:szCs w:val="16"/>
          <w:color w:val="auto"/>
        </w:rPr>
        <w:t xml:space="preserve"> that such deferral shall only be effected to the extent required to avoid adverse tax treatment to you, including (without limitation) the additional twenty percent (20%) tax for which you would otherwise be liable under Section 409A(a)(1)</w:t>
      </w:r>
    </w:p>
    <w:p>
      <w:pPr>
        <w:spacing w:after="0" w:line="4" w:lineRule="exact"/>
        <w:rPr>
          <w:rFonts w:ascii="Arial" w:cs="Arial" w:eastAsia="Arial" w:hAnsi="Arial"/>
          <w:sz w:val="16"/>
          <w:szCs w:val="16"/>
          <w:color w:val="auto"/>
        </w:rPr>
      </w:pPr>
    </w:p>
    <w:p>
      <w:pPr>
        <w:ind w:right="100"/>
        <w:spacing w:after="0" w:line="323" w:lineRule="auto"/>
        <w:rPr>
          <w:rFonts w:ascii="Arial" w:cs="Arial" w:eastAsia="Arial" w:hAnsi="Arial"/>
          <w:sz w:val="16"/>
          <w:szCs w:val="16"/>
          <w:color w:val="auto"/>
        </w:rPr>
      </w:pPr>
      <w:r>
        <w:rPr>
          <w:rFonts w:ascii="Arial" w:cs="Arial" w:eastAsia="Arial" w:hAnsi="Arial"/>
          <w:sz w:val="16"/>
          <w:szCs w:val="16"/>
          <w:color w:val="auto"/>
        </w:rPr>
        <w:t>(B) of the Code in the absence of such deferral. Upon the expiration of the applicable deferral period, any payments which would have otherwise been made during that period (whether in a single sum or in installments) in the absence of this paragraph shall be paid to you or your beneficiary in one lump sum.</w:t>
      </w:r>
    </w:p>
    <w:p>
      <w:pPr>
        <w:spacing w:after="0" w:line="139" w:lineRule="exact"/>
        <w:rPr>
          <w:sz w:val="20"/>
          <w:szCs w:val="20"/>
          <w:color w:val="auto"/>
        </w:rPr>
      </w:pPr>
    </w:p>
    <w:p>
      <w:pPr>
        <w:spacing w:after="0"/>
        <w:rPr>
          <w:sz w:val="20"/>
          <w:szCs w:val="20"/>
          <w:color w:val="auto"/>
        </w:rPr>
      </w:pPr>
      <w:r>
        <w:rPr>
          <w:rFonts w:ascii="Arial" w:cs="Arial" w:eastAsia="Arial" w:hAnsi="Arial"/>
          <w:sz w:val="17"/>
          <w:szCs w:val="17"/>
          <w:color w:val="auto"/>
        </w:rPr>
        <w:t>In addition, the Company will provide you with an indemnification agreement. The Form of Indemnification Agreement attached hereto as Attachment C.</w:t>
      </w:r>
    </w:p>
    <w:p>
      <w:pPr>
        <w:spacing w:after="0" w:line="237"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124" w:lineRule="exact"/>
        <w:rPr>
          <w:sz w:val="20"/>
          <w:szCs w:val="20"/>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23"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passport (current or expired), and</w:t>
      </w:r>
    </w:p>
    <w:p>
      <w:pPr>
        <w:spacing w:after="0" w:line="9"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Immigration and Naturalization Service documents (if applicable).</w:t>
      </w:r>
    </w:p>
    <w:p>
      <w:pPr>
        <w:spacing w:after="0" w:line="21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Your employment with the Company is at the mutual consent of you, the employee and the Company, the employer. Your employment with the Company is at-will. Subject to the terms and conditions of this letter, either you or the Company may terminate your employment at any</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time and for any or no reason. The at-will nature of your employment may only be changed by a written agreement signed by the CEO and delivered to the Board.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During your employment, you will be subject to all employment policies the Company has or adopts applicable to the relevant population.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225" w:lineRule="exact"/>
        <w:rPr>
          <w:sz w:val="20"/>
          <w:szCs w:val="20"/>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pacing w:after="0" w:line="23"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Company’s receipt of a signed Confidential Information and Invention Assignment Agreement from you; and</w:t>
      </w:r>
    </w:p>
    <w:p>
      <w:pPr>
        <w:spacing w:after="0" w:line="9"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Completion of visa and license requirements, if applicable, as set forth above.</w:t>
      </w:r>
    </w:p>
    <w:p>
      <w:pPr>
        <w:spacing w:after="0" w:line="21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 mixed-signal integrated circuits for the computer, storage, communications and multimedia markets. We look forward to your acceptance of this offer as we believe you will be an important addition to our team in achieving our near and long term objectives.</w:t>
      </w:r>
    </w:p>
    <w:p>
      <w:pPr>
        <w:spacing w:after="0" w:line="181"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This letter (if accepted) and Attachments A, B and C constitute the entire agreement between you and the Company regarding the terms of your employment, and supersedes any prior representations or agreements, whether written or oral, concerning the terms of your employment. This letter may not be modified or amended except by a signed written agreement.</w:t>
      </w:r>
    </w:p>
    <w:p>
      <w:pPr>
        <w:spacing w:after="0" w:line="181"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color w:val="auto"/>
        </w:rPr>
        <w:t>This offer expires one (1) week from the date of this letter. To accept the offer, please sign below and return the letter to Alice Young, Senior Manager, Staffing. The other copy of this letter is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324993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249930" cy="8890"/>
                    </a:xfrm>
                    <a:prstGeom prst="rect">
                      <a:avLst/>
                    </a:prstGeom>
                    <a:noFill/>
                  </pic:spPr>
                </pic:pic>
              </a:graphicData>
            </a:graphic>
          </wp:anchor>
        </w:drawing>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Chairman, President &amp; CEO</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Attachment A – Vesting Plan for Grant B</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Attachment B – Definition of Cause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Attachment C – Form of Indemnification Agreement</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color w:val="auto"/>
        </w:rPr>
        <w:t>Accepted By:</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Clyde Hosein</w:t>
            </w:r>
          </w:p>
        </w:tc>
        <w:tc>
          <w:tcPr>
            <w:tcW w:w="3980" w:type="dxa"/>
            <w:vAlign w:val="bottom"/>
            <w:tcBorders>
              <w:bottom w:val="single" w:sz="8" w:color="auto"/>
            </w:tcBorders>
          </w:tcPr>
          <w:p>
            <w:pPr>
              <w:ind w:left="1720"/>
              <w:spacing w:after="0"/>
              <w:rPr>
                <w:sz w:val="20"/>
                <w:szCs w:val="20"/>
                <w:color w:val="auto"/>
              </w:rPr>
            </w:pPr>
            <w:r>
              <w:rPr>
                <w:rFonts w:ascii="Arial" w:cs="Arial" w:eastAsia="Arial" w:hAnsi="Arial"/>
                <w:sz w:val="18"/>
                <w:szCs w:val="18"/>
                <w:color w:val="auto"/>
              </w:rPr>
              <w:t>5-29-08</w:t>
            </w:r>
          </w:p>
        </w:tc>
        <w:tc>
          <w:tcPr>
            <w:tcW w:w="4520" w:type="dxa"/>
            <w:vAlign w:val="bottom"/>
            <w:tcBorders>
              <w:bottom w:val="single" w:sz="8" w:color="auto"/>
            </w:tcBorders>
          </w:tcPr>
          <w:p>
            <w:pPr>
              <w:ind w:left="1380"/>
              <w:spacing w:after="0"/>
              <w:rPr>
                <w:sz w:val="20"/>
                <w:szCs w:val="20"/>
                <w:color w:val="auto"/>
              </w:rPr>
            </w:pPr>
            <w:r>
              <w:rPr>
                <w:rFonts w:ascii="Arial" w:cs="Arial" w:eastAsia="Arial" w:hAnsi="Arial"/>
                <w:sz w:val="18"/>
                <w:szCs w:val="18"/>
                <w:color w:val="auto"/>
              </w:rPr>
              <w:t>6-23-08</w:t>
            </w:r>
          </w:p>
        </w:tc>
      </w:tr>
      <w:tr>
        <w:trPr>
          <w:trHeight w:val="224"/>
        </w:trPr>
        <w:tc>
          <w:tcPr>
            <w:tcW w:w="2920" w:type="dxa"/>
            <w:vAlign w:val="bottom"/>
          </w:tcPr>
          <w:p>
            <w:pPr>
              <w:spacing w:after="0"/>
              <w:rPr>
                <w:sz w:val="20"/>
                <w:szCs w:val="20"/>
                <w:color w:val="auto"/>
              </w:rPr>
            </w:pPr>
            <w:r>
              <w:rPr>
                <w:rFonts w:ascii="Arial" w:cs="Arial" w:eastAsia="Arial" w:hAnsi="Arial"/>
                <w:sz w:val="18"/>
                <w:szCs w:val="18"/>
                <w:color w:val="auto"/>
              </w:rPr>
              <w:t>Clyde Hosein</w:t>
            </w:r>
          </w:p>
        </w:tc>
        <w:tc>
          <w:tcPr>
            <w:tcW w:w="3980" w:type="dxa"/>
            <w:vAlign w:val="bottom"/>
          </w:tcPr>
          <w:p>
            <w:pPr>
              <w:ind w:left="1720"/>
              <w:spacing w:after="0"/>
              <w:rPr>
                <w:sz w:val="20"/>
                <w:szCs w:val="20"/>
                <w:color w:val="auto"/>
              </w:rPr>
            </w:pPr>
            <w:r>
              <w:rPr>
                <w:rFonts w:ascii="Arial" w:cs="Arial" w:eastAsia="Arial" w:hAnsi="Arial"/>
                <w:sz w:val="18"/>
                <w:szCs w:val="18"/>
                <w:color w:val="auto"/>
              </w:rPr>
              <w:t>Date Signed</w:t>
            </w:r>
          </w:p>
        </w:tc>
        <w:tc>
          <w:tcPr>
            <w:tcW w:w="4520" w:type="dxa"/>
            <w:vAlign w:val="bottom"/>
          </w:tcPr>
          <w:p>
            <w:pPr>
              <w:ind w:left="1380"/>
              <w:spacing w:after="0"/>
              <w:rPr>
                <w:sz w:val="20"/>
                <w:szCs w:val="20"/>
                <w:color w:val="auto"/>
              </w:rPr>
            </w:pPr>
            <w:r>
              <w:rPr>
                <w:rFonts w:ascii="Arial" w:cs="Arial" w:eastAsia="Arial" w:hAnsi="Arial"/>
                <w:sz w:val="18"/>
                <w:szCs w:val="18"/>
                <w:color w:val="auto"/>
              </w:rPr>
              <w:t>Start Date</w:t>
            </w:r>
          </w:p>
        </w:tc>
      </w:tr>
    </w:tbl>
    <w:p>
      <w:pPr>
        <w:spacing w:after="0" w:line="187" w:lineRule="exact"/>
        <w:rPr>
          <w:sz w:val="20"/>
          <w:szCs w:val="20"/>
          <w:color w:val="auto"/>
        </w:rPr>
      </w:pPr>
    </w:p>
    <w:p>
      <w:pPr>
        <w:sectPr>
          <w:pgSz w:w="11900" w:h="16838" w:orient="portrait"/>
          <w:cols w:equalWidth="0" w:num="1">
            <w:col w:w="11420"/>
          </w:cols>
          <w:pgMar w:left="240" w:top="125" w:right="239" w:bottom="84" w:gutter="0" w:footer="0" w:header="0"/>
        </w:sectPr>
      </w:pPr>
    </w:p>
    <w:p>
      <w:pPr>
        <w:jc w:val="center"/>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84" w:gutter="0" w:footer="0" w:header="0"/>
          <w:type w:val="continuous"/>
        </w:sectPr>
      </w:pPr>
    </w:p>
    <w:bookmarkStart w:id="5" w:name="page6"/>
    <w:bookmarkEnd w:id="5"/>
    <w:p>
      <w:pPr>
        <w:jc w:val="center"/>
        <w:ind w:right="-39"/>
        <w:spacing w:after="0"/>
        <w:rPr>
          <w:sz w:val="20"/>
          <w:szCs w:val="20"/>
          <w:color w:val="auto"/>
        </w:rPr>
      </w:pPr>
      <w:r>
        <w:rPr>
          <w:rFonts w:ascii="Arial" w:cs="Arial" w:eastAsia="Arial" w:hAnsi="Arial"/>
          <w:sz w:val="18"/>
          <w:szCs w:val="18"/>
          <w:u w:val="single" w:color="auto"/>
          <w:color w:val="auto"/>
        </w:rPr>
        <w:t>Attachment A</w:t>
      </w:r>
    </w:p>
    <w:p>
      <w:pPr>
        <w:spacing w:after="0" w:line="221" w:lineRule="exact"/>
        <w:rPr>
          <w:sz w:val="20"/>
          <w:szCs w:val="20"/>
          <w:color w:val="auto"/>
        </w:rPr>
      </w:pPr>
    </w:p>
    <w:p>
      <w:pPr>
        <w:ind w:left="4760"/>
        <w:spacing w:after="0"/>
        <w:rPr>
          <w:sz w:val="20"/>
          <w:szCs w:val="20"/>
          <w:color w:val="auto"/>
        </w:rPr>
      </w:pPr>
      <w:r>
        <w:rPr>
          <w:rFonts w:ascii="Arial" w:cs="Arial" w:eastAsia="Arial" w:hAnsi="Arial"/>
          <w:sz w:val="18"/>
          <w:szCs w:val="18"/>
          <w:b w:val="1"/>
          <w:bCs w:val="1"/>
          <w:color w:val="auto"/>
        </w:rPr>
        <w:t>Vesting Plan for Grant B</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vesting of Grant B performance-based stock options will occur as follows.</w:t>
      </w:r>
    </w:p>
    <w:p>
      <w:pPr>
        <w:spacing w:after="0" w:line="225"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The baseline earnings per share amount (the “Baseline EPS) will be calculated as the cumulative EPS for the four consecutive fiscal quarters immediately preceding the fiscal quarter in which you begin your employment with the Company.</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The target earnings per share (the “Target EPS”) at which any portion of the Grant B stock options will vest will be equal to two (2) times the Baseline EPS.</w:t>
      </w:r>
    </w:p>
    <w:p>
      <w:pPr>
        <w:spacing w:after="0" w:line="248" w:lineRule="exact"/>
        <w:rPr>
          <w:sz w:val="20"/>
          <w:szCs w:val="20"/>
          <w:color w:val="auto"/>
        </w:rPr>
      </w:pPr>
    </w:p>
    <w:p>
      <w:pPr>
        <w:ind w:right="140"/>
        <w:spacing w:after="0" w:line="293" w:lineRule="auto"/>
        <w:rPr>
          <w:sz w:val="20"/>
          <w:szCs w:val="20"/>
          <w:color w:val="auto"/>
        </w:rPr>
      </w:pPr>
      <w:r>
        <w:rPr>
          <w:rFonts w:ascii="Arial" w:cs="Arial" w:eastAsia="Arial" w:hAnsi="Arial"/>
          <w:sz w:val="16"/>
          <w:szCs w:val="16"/>
          <w:color w:val="auto"/>
        </w:rPr>
        <w:t>EPS as defined herein shall be the Company’s Pro Forma EPS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The Pro Forma EPS will be proportionately adjusted by the Executive Compensation Committee for any stock split, reverse stock split, stock dividend, share combination, recapitalization or similar event effected subsequent to the date of grant.</w:t>
      </w:r>
    </w:p>
    <w:p>
      <w:pPr>
        <w:spacing w:after="0" w:line="165"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The Grant B stock options will be divided into five (5) separate and equal annual performance segments (each a “Segment”) of 40,000 unvested options, numbered as follows:</w:t>
      </w:r>
    </w:p>
    <w:p>
      <w:pPr>
        <w:spacing w:after="0" w:line="170" w:lineRule="exact"/>
        <w:rPr>
          <w:sz w:val="20"/>
          <w:szCs w:val="20"/>
          <w:color w:val="auto"/>
        </w:rPr>
      </w:pPr>
    </w:p>
    <w:p>
      <w:pPr>
        <w:ind w:left="620" w:hanging="288"/>
        <w:spacing w:after="0"/>
        <w:tabs>
          <w:tab w:leader="none" w:pos="6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Segment 1</w:t>
      </w:r>
    </w:p>
    <w:p>
      <w:pPr>
        <w:spacing w:after="0" w:line="23" w:lineRule="exact"/>
        <w:rPr>
          <w:rFonts w:ascii="Arial" w:cs="Arial" w:eastAsia="Arial" w:hAnsi="Arial"/>
          <w:sz w:val="18"/>
          <w:szCs w:val="18"/>
          <w:color w:val="auto"/>
        </w:rPr>
      </w:pPr>
    </w:p>
    <w:p>
      <w:pPr>
        <w:ind w:left="620" w:hanging="288"/>
        <w:spacing w:after="0"/>
        <w:tabs>
          <w:tab w:leader="none" w:pos="6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Segment 2</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Segment 3</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Segment 4</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Segment 5</w:t>
      </w:r>
    </w:p>
    <w:p>
      <w:pPr>
        <w:spacing w:after="0" w:line="21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There will be five (5) separate sequential performance periods, each consisting of four (4) consecutive fiscal quarters (each a “Performance Period”), numbered as follows:</w:t>
      </w:r>
    </w:p>
    <w:p>
      <w:pPr>
        <w:spacing w:after="0" w:line="170" w:lineRule="exact"/>
        <w:rPr>
          <w:sz w:val="20"/>
          <w:szCs w:val="20"/>
          <w:color w:val="auto"/>
        </w:rPr>
      </w:pPr>
    </w:p>
    <w:p>
      <w:pPr>
        <w:ind w:left="620" w:hanging="288"/>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Period 1</w:t>
      </w:r>
    </w:p>
    <w:p>
      <w:pPr>
        <w:spacing w:after="0" w:line="23" w:lineRule="exact"/>
        <w:rPr>
          <w:rFonts w:ascii="Arial" w:cs="Arial" w:eastAsia="Arial" w:hAnsi="Arial"/>
          <w:sz w:val="18"/>
          <w:szCs w:val="18"/>
          <w:color w:val="auto"/>
        </w:rPr>
      </w:pPr>
    </w:p>
    <w:p>
      <w:pPr>
        <w:ind w:left="620" w:hanging="288"/>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Period 2</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Period 3</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Period 4</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Period 5</w:t>
      </w: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0"/>
        <w:spacing w:after="0" w:line="308" w:lineRule="auto"/>
        <w:rPr>
          <w:sz w:val="20"/>
          <w:szCs w:val="20"/>
          <w:color w:val="auto"/>
        </w:rPr>
      </w:pPr>
      <w:r>
        <w:rPr>
          <w:rFonts w:ascii="Arial" w:cs="Arial" w:eastAsia="Arial" w:hAnsi="Arial"/>
          <w:sz w:val="17"/>
          <w:szCs w:val="17"/>
          <w:color w:val="auto"/>
        </w:rPr>
        <w:t>Performance Period 1 will be the four consecutive fiscal quarters immediately following the fiscal quarter in which you begin your employment with the Company. Performance Period 2 will be the four consecutive fiscal quarters immediately following Performance Period 1, and so on.</w:t>
      </w:r>
    </w:p>
    <w:p>
      <w:pPr>
        <w:spacing w:after="0" w:line="147"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For each Performance Period, we will calculate the cumulative EPS during those four (4) fiscal quarters. These actual performance-period EPS amounts (each an “Actual EPS”) will be numbered as follows:</w:t>
      </w:r>
    </w:p>
    <w:p>
      <w:pPr>
        <w:spacing w:after="0" w:line="170" w:lineRule="exact"/>
        <w:rPr>
          <w:sz w:val="20"/>
          <w:szCs w:val="20"/>
          <w:color w:val="auto"/>
        </w:rPr>
      </w:pPr>
    </w:p>
    <w:p>
      <w:pPr>
        <w:ind w:left="620" w:hanging="288"/>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Actual EPS 1</w:t>
      </w:r>
    </w:p>
    <w:p>
      <w:pPr>
        <w:spacing w:after="0" w:line="23" w:lineRule="exact"/>
        <w:rPr>
          <w:rFonts w:ascii="Arial" w:cs="Arial" w:eastAsia="Arial" w:hAnsi="Arial"/>
          <w:sz w:val="18"/>
          <w:szCs w:val="18"/>
          <w:color w:val="auto"/>
        </w:rPr>
      </w:pPr>
    </w:p>
    <w:p>
      <w:pPr>
        <w:ind w:left="620" w:hanging="288"/>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Actual EPS 2</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Actual EPS 3</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Actual EPS 4</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Actual EPS 5</w:t>
      </w:r>
    </w:p>
    <w:p>
      <w:pPr>
        <w:spacing w:after="0" w:line="21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If the Actual EPS for any identically numbered Performance Period is </w:t>
      </w:r>
      <w:r>
        <w:rPr>
          <w:rFonts w:ascii="Arial" w:cs="Arial" w:eastAsia="Arial" w:hAnsi="Arial"/>
          <w:sz w:val="18"/>
          <w:szCs w:val="18"/>
          <w:u w:val="single" w:color="auto"/>
          <w:color w:val="auto"/>
        </w:rPr>
        <w:t>greater than or equal to</w:t>
      </w:r>
      <w:r>
        <w:rPr>
          <w:rFonts w:ascii="Arial" w:cs="Arial" w:eastAsia="Arial" w:hAnsi="Arial"/>
          <w:sz w:val="18"/>
          <w:szCs w:val="18"/>
          <w:color w:val="auto"/>
        </w:rPr>
        <w:t xml:space="preserve"> the Target EPS, the identically numbered Segment options shall vest immediately.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Example for Performance Period 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Target EPS = $0.40</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Actual EPS 1 = $0.45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Since $0.45 &gt; $0.40, 40,000 Segment 1 options will vest immediately.</w:t>
      </w:r>
    </w:p>
    <w:p>
      <w:pPr>
        <w:spacing w:after="0" w:line="211"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 xml:space="preserve">If the Actual EPS for any identically numbered Performance Period is </w:t>
      </w:r>
      <w:r>
        <w:rPr>
          <w:rFonts w:ascii="Arial" w:cs="Arial" w:eastAsia="Arial" w:hAnsi="Arial"/>
          <w:sz w:val="18"/>
          <w:szCs w:val="18"/>
          <w:u w:val="single" w:color="auto"/>
          <w:color w:val="auto"/>
        </w:rPr>
        <w:t>less than</w:t>
      </w:r>
      <w:r>
        <w:rPr>
          <w:rFonts w:ascii="Arial" w:cs="Arial" w:eastAsia="Arial" w:hAnsi="Arial"/>
          <w:sz w:val="18"/>
          <w:szCs w:val="18"/>
          <w:color w:val="auto"/>
        </w:rPr>
        <w:t xml:space="preserve"> the Target EPS, the identically numbered Segment options shall not vest immediately, but shall be added to the unvested Segment options of the next higher numbered Segment.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Example for Performance Period 2:</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Target EPS = $0.40</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Actual EPS 2 = $0.35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Since $0.35 &lt; $0.40, 40,000 Segment 2 options will not vest, but will be added to the 40,000 unvested options in Segment 3.</w:t>
      </w:r>
    </w:p>
    <w:p>
      <w:pPr>
        <w:spacing w:after="0" w:line="211"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Following the completion of Performance Period 1, the new number of unvested performance-based stock options in any Segment numbered 2 or greater will therefore be equal to 40,000 plus the cumulative number of performance-based stock options from the preceding Performance Periods that remain unvested.</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Example for Performance Period 3 (building on the prior examples for Performance Period 1 and Performance Period 2):</w:t>
      </w:r>
    </w:p>
    <w:p>
      <w:pPr>
        <w:sectPr>
          <w:pgSz w:w="11900" w:h="16838" w:orient="portrait"/>
          <w:cols w:equalWidth="0" w:num="1">
            <w:col w:w="11400"/>
          </w:cols>
          <w:pgMar w:left="240" w:top="584" w:right="259" w:bottom="0" w:gutter="0" w:footer="0" w:header="0"/>
        </w:sectPr>
      </w:pPr>
    </w:p>
    <w:bookmarkStart w:id="6" w:name="page7"/>
    <w:bookmarkEnd w:id="6"/>
    <w:p>
      <w:pPr>
        <w:spacing w:after="0"/>
        <w:rPr>
          <w:sz w:val="20"/>
          <w:szCs w:val="20"/>
          <w:color w:val="auto"/>
        </w:rPr>
      </w:pPr>
      <w:r>
        <w:rPr>
          <w:rFonts w:ascii="Arial" w:cs="Arial" w:eastAsia="Arial" w:hAnsi="Arial"/>
          <w:sz w:val="18"/>
          <w:szCs w:val="18"/>
          <w:i w:val="1"/>
          <w:iCs w:val="1"/>
          <w:color w:val="auto"/>
        </w:rPr>
        <w:t>The number of unvested performance-based stock options in Segment 3 equals: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40,000 plus</w:t>
      </w:r>
    </w:p>
    <w:p>
      <w:pPr>
        <w:spacing w:after="0" w:line="225" w:lineRule="exact"/>
        <w:rPr>
          <w:sz w:val="20"/>
          <w:szCs w:val="20"/>
          <w:color w:val="auto"/>
        </w:rPr>
      </w:pPr>
    </w:p>
    <w:p>
      <w:pPr>
        <w:ind w:left="620" w:hanging="288"/>
        <w:spacing w:after="0"/>
        <w:tabs>
          <w:tab w:leader="none" w:pos="620" w:val="left"/>
        </w:tabs>
        <w:numPr>
          <w:ilvl w:val="0"/>
          <w:numId w:val="12"/>
        </w:numPr>
        <w:rPr>
          <w:rFonts w:ascii="Arial" w:cs="Arial" w:eastAsia="Arial" w:hAnsi="Arial"/>
          <w:sz w:val="18"/>
          <w:szCs w:val="18"/>
          <w:color w:val="auto"/>
        </w:rPr>
      </w:pPr>
      <w:r>
        <w:rPr>
          <w:rFonts w:ascii="Arial" w:cs="Arial" w:eastAsia="Arial" w:hAnsi="Arial"/>
          <w:sz w:val="18"/>
          <w:szCs w:val="18"/>
          <w:i w:val="1"/>
          <w:iCs w:val="1"/>
          <w:color w:val="auto"/>
        </w:rPr>
        <w:t>0 from Segment 1, since those options vested as a result of having met the Target EPS for Performance Period 1, plus</w:t>
      </w:r>
    </w:p>
    <w:p>
      <w:pPr>
        <w:spacing w:after="0" w:line="23" w:lineRule="exact"/>
        <w:rPr>
          <w:rFonts w:ascii="Arial" w:cs="Arial" w:eastAsia="Arial" w:hAnsi="Arial"/>
          <w:sz w:val="18"/>
          <w:szCs w:val="18"/>
          <w:color w:val="auto"/>
        </w:rPr>
      </w:pPr>
    </w:p>
    <w:p>
      <w:pPr>
        <w:ind w:left="620" w:hanging="288"/>
        <w:spacing w:after="0"/>
        <w:tabs>
          <w:tab w:leader="none" w:pos="620" w:val="left"/>
        </w:tabs>
        <w:numPr>
          <w:ilvl w:val="0"/>
          <w:numId w:val="12"/>
        </w:numPr>
        <w:rPr>
          <w:rFonts w:ascii="Arial" w:cs="Arial" w:eastAsia="Arial" w:hAnsi="Arial"/>
          <w:sz w:val="17"/>
          <w:szCs w:val="17"/>
          <w:color w:val="auto"/>
        </w:rPr>
      </w:pPr>
      <w:r>
        <w:rPr>
          <w:rFonts w:ascii="Arial" w:cs="Arial" w:eastAsia="Arial" w:hAnsi="Arial"/>
          <w:sz w:val="17"/>
          <w:szCs w:val="17"/>
          <w:i w:val="1"/>
          <w:iCs w:val="1"/>
          <w:color w:val="auto"/>
        </w:rPr>
        <w:t>40,000 from Segment 2, since those options did not vest as a result of not having met or exceeded the Target EPS for Performance Period 2,</w:t>
      </w:r>
    </w:p>
    <w:p>
      <w:pPr>
        <w:spacing w:after="0" w:line="22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for a new total number of unvested performance-based stock options in Segment 3 of 80,000.</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At the conclusion of Performance Period 5, any unvested performance-based stock options that remain unvested as a result of not having met or exceeded the Target EPS during that Performance Period shall vest only in the event that the cumulative EPS for the four (4) consecutive fiscal quarters immediately following Performance Period 5 equals or exceeds the Target EPS; otherwise such remaining unvested performance-based stock options shall immediately expire.</w:t>
      </w:r>
    </w:p>
    <w:p>
      <w:pPr>
        <w:spacing w:after="0" w:line="18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79"/>
        <w:spacing w:after="0"/>
        <w:rPr>
          <w:sz w:val="20"/>
          <w:szCs w:val="20"/>
          <w:color w:val="auto"/>
        </w:rPr>
      </w:pPr>
      <w:r>
        <w:rPr>
          <w:rFonts w:ascii="Arial" w:cs="Arial" w:eastAsia="Arial" w:hAnsi="Arial"/>
          <w:sz w:val="18"/>
          <w:szCs w:val="18"/>
          <w:u w:val="single" w:color="auto"/>
          <w:color w:val="auto"/>
        </w:rPr>
        <w:t>Attachment B</w:t>
      </w:r>
    </w:p>
    <w:p>
      <w:pPr>
        <w:spacing w:after="0" w:line="2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Definition of Cause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For purposes of this letter, “cause” will mean:</w:t>
      </w:r>
    </w:p>
    <w:p>
      <w:pPr>
        <w:spacing w:after="0" w:line="225" w:lineRule="exact"/>
        <w:rPr>
          <w:sz w:val="20"/>
          <w:szCs w:val="20"/>
          <w:color w:val="auto"/>
        </w:rPr>
      </w:pPr>
    </w:p>
    <w:p>
      <w:pPr>
        <w:ind w:right="200" w:firstLine="2277"/>
        <w:spacing w:after="0" w:line="264" w:lineRule="auto"/>
        <w:tabs>
          <w:tab w:leader="none" w:pos="2619" w:val="left"/>
        </w:tabs>
        <w:numPr>
          <w:ilvl w:val="0"/>
          <w:numId w:val="13"/>
        </w:numPr>
        <w:rPr>
          <w:rFonts w:ascii="Arial" w:cs="Arial" w:eastAsia="Arial" w:hAnsi="Arial"/>
          <w:sz w:val="18"/>
          <w:szCs w:val="18"/>
          <w:color w:val="auto"/>
        </w:rPr>
      </w:pPr>
      <w:r>
        <w:rPr>
          <w:rFonts w:ascii="Arial" w:cs="Arial" w:eastAsia="Arial" w:hAnsi="Arial"/>
          <w:sz w:val="18"/>
          <w:szCs w:val="18"/>
          <w:color w:val="auto"/>
        </w:rPr>
        <w:t>Your willful and continued failure to perform the duties and responsibilities customary of your position after you have been delivered a written demand for performance from the Company’s Chief Executive Officer which describes the basis for his belief that you have not substantially performed your duties and provides you with ninety (90) days to take corrective action;</w:t>
      </w:r>
    </w:p>
    <w:p>
      <w:pPr>
        <w:spacing w:after="0" w:line="181" w:lineRule="exact"/>
        <w:rPr>
          <w:rFonts w:ascii="Arial" w:cs="Arial" w:eastAsia="Arial" w:hAnsi="Arial"/>
          <w:sz w:val="18"/>
          <w:szCs w:val="18"/>
          <w:color w:val="auto"/>
        </w:rPr>
      </w:pPr>
    </w:p>
    <w:p>
      <w:pPr>
        <w:ind w:right="140" w:firstLine="2277"/>
        <w:spacing w:after="0" w:line="277" w:lineRule="auto"/>
        <w:tabs>
          <w:tab w:leader="none" w:pos="2624"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act of personal and intentional dishonesty taken by you in connection with your responsibilities as an employee of the Company with the intention or reasonable expectation that such action may result in your substantial personal enrichment;</w:t>
      </w:r>
    </w:p>
    <w:p>
      <w:pPr>
        <w:spacing w:after="0" w:line="170" w:lineRule="exact"/>
        <w:rPr>
          <w:rFonts w:ascii="Arial" w:cs="Arial" w:eastAsia="Arial" w:hAnsi="Arial"/>
          <w:sz w:val="18"/>
          <w:szCs w:val="18"/>
          <w:color w:val="auto"/>
        </w:rPr>
      </w:pPr>
    </w:p>
    <w:p>
      <w:pPr>
        <w:ind w:right="360" w:firstLine="2277"/>
        <w:spacing w:after="0" w:line="277" w:lineRule="auto"/>
        <w:tabs>
          <w:tab w:leader="none" w:pos="2629" w:val="left"/>
        </w:tabs>
        <w:numPr>
          <w:ilvl w:val="0"/>
          <w:numId w:val="13"/>
        </w:numPr>
        <w:rPr>
          <w:rFonts w:ascii="Arial" w:cs="Arial" w:eastAsia="Arial" w:hAnsi="Arial"/>
          <w:sz w:val="18"/>
          <w:szCs w:val="18"/>
          <w:color w:val="auto"/>
        </w:rPr>
      </w:pPr>
      <w:r>
        <w:rPr>
          <w:rFonts w:ascii="Arial" w:cs="Arial" w:eastAsia="Arial" w:hAnsi="Arial"/>
          <w:sz w:val="18"/>
          <w:szCs w:val="18"/>
          <w:color w:val="auto"/>
        </w:rPr>
        <w:t>Your conviction of, or plea of nolo contendere to, a felony that the Board reasonably believes has had or will have a material detrimental effect on the Company’s reputation or business;</w:t>
      </w:r>
    </w:p>
    <w:p>
      <w:pPr>
        <w:spacing w:after="0" w:line="170" w:lineRule="exact"/>
        <w:rPr>
          <w:rFonts w:ascii="Arial" w:cs="Arial" w:eastAsia="Arial" w:hAnsi="Arial"/>
          <w:sz w:val="18"/>
          <w:szCs w:val="18"/>
          <w:color w:val="auto"/>
        </w:rPr>
      </w:pPr>
    </w:p>
    <w:p>
      <w:pPr>
        <w:ind w:left="2620" w:hanging="343"/>
        <w:spacing w:after="0"/>
        <w:tabs>
          <w:tab w:leader="none" w:pos="262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 breach of any fiduciary duty owed to the Company by you that has a material detrimental effect on the Company’s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reputation or business;</w:t>
      </w:r>
    </w:p>
    <w:p>
      <w:pPr>
        <w:spacing w:after="0" w:line="210" w:lineRule="exact"/>
        <w:rPr>
          <w:rFonts w:ascii="Arial" w:cs="Arial" w:eastAsia="Arial" w:hAnsi="Arial"/>
          <w:sz w:val="17"/>
          <w:szCs w:val="17"/>
          <w:color w:val="auto"/>
        </w:rPr>
      </w:pPr>
    </w:p>
    <w:p>
      <w:pPr>
        <w:ind w:right="280" w:firstLine="2277"/>
        <w:spacing w:after="0" w:line="277" w:lineRule="auto"/>
        <w:tabs>
          <w:tab w:leader="none" w:pos="2614" w:val="left"/>
        </w:tabs>
        <w:numPr>
          <w:ilvl w:val="0"/>
          <w:numId w:val="13"/>
        </w:numPr>
        <w:rPr>
          <w:rFonts w:ascii="Arial" w:cs="Arial" w:eastAsia="Arial" w:hAnsi="Arial"/>
          <w:sz w:val="18"/>
          <w:szCs w:val="18"/>
          <w:color w:val="auto"/>
        </w:rPr>
      </w:pPr>
      <w:r>
        <w:rPr>
          <w:rFonts w:ascii="Arial" w:cs="Arial" w:eastAsia="Arial" w:hAnsi="Arial"/>
          <w:sz w:val="18"/>
          <w:szCs w:val="18"/>
          <w:color w:val="auto"/>
        </w:rPr>
        <w:t>You being found liable in any Securities and Exchange Commission or other civil or criminal securities law action or entering any cease and desist order with respect to such action (regardless of whether or not you admit or deny liability);</w:t>
      </w:r>
    </w:p>
    <w:p>
      <w:pPr>
        <w:spacing w:after="0" w:line="170" w:lineRule="exact"/>
        <w:rPr>
          <w:rFonts w:ascii="Arial" w:cs="Arial" w:eastAsia="Arial" w:hAnsi="Arial"/>
          <w:sz w:val="18"/>
          <w:szCs w:val="18"/>
          <w:color w:val="auto"/>
        </w:rPr>
      </w:pPr>
    </w:p>
    <w:p>
      <w:pPr>
        <w:ind w:firstLine="2277"/>
        <w:spacing w:after="0" w:line="286" w:lineRule="auto"/>
        <w:tabs>
          <w:tab w:leader="none" w:pos="2619" w:val="left"/>
        </w:tabs>
        <w:numPr>
          <w:ilvl w:val="0"/>
          <w:numId w:val="13"/>
        </w:numPr>
        <w:rPr>
          <w:rFonts w:ascii="Arial" w:cs="Arial" w:eastAsia="Arial" w:hAnsi="Arial"/>
          <w:sz w:val="17"/>
          <w:szCs w:val="17"/>
          <w:color w:val="auto"/>
        </w:rPr>
      </w:pPr>
      <w:r>
        <w:rPr>
          <w:rFonts w:ascii="Arial" w:cs="Arial" w:eastAsia="Arial" w:hAnsi="Arial"/>
          <w:sz w:val="17"/>
          <w:szCs w:val="17"/>
          <w:color w:val="auto"/>
        </w:rPr>
        <w:t>You (A) obstructing or impeding; (B) endeavoring to influence, obstruct or impede, or (C) failing to materially cooperate with, any investigation authorized by the Board or any governmental or self-regulatory entity (an “Investigation”). However, your failure to waive attorney-client privilege relating to communications with your own attorney in connection with an Investigation will not constitute “cause”; or</w:t>
      </w:r>
    </w:p>
    <w:p>
      <w:pPr>
        <w:spacing w:after="0" w:line="165" w:lineRule="exact"/>
        <w:rPr>
          <w:rFonts w:ascii="Arial" w:cs="Arial" w:eastAsia="Arial" w:hAnsi="Arial"/>
          <w:sz w:val="17"/>
          <w:szCs w:val="17"/>
          <w:color w:val="auto"/>
        </w:rPr>
      </w:pPr>
    </w:p>
    <w:p>
      <w:pPr>
        <w:jc w:val="both"/>
        <w:ind w:right="20" w:firstLine="2277"/>
        <w:spacing w:after="0" w:line="259" w:lineRule="auto"/>
        <w:tabs>
          <w:tab w:leader="none" w:pos="2624" w:val="left"/>
        </w:tabs>
        <w:numPr>
          <w:ilvl w:val="0"/>
          <w:numId w:val="13"/>
        </w:numPr>
        <w:rPr>
          <w:rFonts w:ascii="Arial" w:cs="Arial" w:eastAsia="Arial" w:hAnsi="Arial"/>
          <w:sz w:val="18"/>
          <w:szCs w:val="18"/>
          <w:color w:val="auto"/>
        </w:rPr>
      </w:pPr>
      <w:r>
        <w:rPr>
          <w:rFonts w:ascii="Arial" w:cs="Arial" w:eastAsia="Arial" w:hAnsi="Arial"/>
          <w:sz w:val="18"/>
          <w:szCs w:val="18"/>
          <w:color w:val="auto"/>
        </w:rPr>
        <w:t>Your disqualification or bar by any governmental or self-regulatory authority from serving in the capacity contemplated by this letter or your loss of any governmental or self-regulatory license that is reasonably necessary for you to perform your responsibilities to the Company under this letter, if (A) the disqualification, bar or loss continues for more than thirty (30) days, and (B) during that period the Company uses its good faith efforts to cause the disqualification or bar to be lifted or the license replaced.</w:t>
      </w:r>
    </w:p>
    <w:p>
      <w:pPr>
        <w:spacing w:after="0" w:line="18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79"/>
        <w:spacing w:after="0"/>
        <w:rPr>
          <w:sz w:val="20"/>
          <w:szCs w:val="20"/>
          <w:color w:val="auto"/>
        </w:rPr>
      </w:pPr>
      <w:r>
        <w:rPr>
          <w:rFonts w:ascii="Arial" w:cs="Arial" w:eastAsia="Arial" w:hAnsi="Arial"/>
          <w:sz w:val="18"/>
          <w:szCs w:val="18"/>
          <w:u w:val="single" w:color="auto"/>
          <w:color w:val="auto"/>
        </w:rPr>
        <w:t>Attachment C</w:t>
      </w:r>
    </w:p>
    <w:p>
      <w:pPr>
        <w:spacing w:after="0" w:line="2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Form of Indemnification Agreement</w:t>
      </w:r>
    </w:p>
    <w:p>
      <w:pPr>
        <w:spacing w:after="0" w:line="22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40"/>
          </w:cols>
          <w:pgMar w:left="240" w:top="341" w:right="319"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INDEMNIFICATION AGREEMENT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6220" w:type="dxa"/>
            <w:vAlign w:val="bottom"/>
            <w:gridSpan w:val="7"/>
          </w:tcPr>
          <w:p>
            <w:pPr>
              <w:ind w:left="660"/>
              <w:spacing w:after="0"/>
              <w:rPr>
                <w:sz w:val="20"/>
                <w:szCs w:val="20"/>
                <w:color w:val="auto"/>
              </w:rPr>
            </w:pPr>
            <w:r>
              <w:rPr>
                <w:rFonts w:ascii="Arial" w:cs="Arial" w:eastAsia="Arial" w:hAnsi="Arial"/>
                <w:sz w:val="18"/>
                <w:szCs w:val="18"/>
                <w:color w:val="auto"/>
                <w:w w:val="98"/>
              </w:rPr>
              <w:t>This Indemnification Agreement (the “Agreement”) is entered into as of</w:t>
            </w:r>
          </w:p>
        </w:tc>
        <w:tc>
          <w:tcPr>
            <w:tcW w:w="4500" w:type="dxa"/>
            <w:vAlign w:val="bottom"/>
          </w:tcPr>
          <w:p>
            <w:pPr>
              <w:ind w:left="360"/>
              <w:spacing w:after="0"/>
              <w:rPr>
                <w:sz w:val="20"/>
                <w:szCs w:val="20"/>
                <w:color w:val="auto"/>
              </w:rPr>
            </w:pPr>
            <w:r>
              <w:rPr>
                <w:rFonts w:ascii="Arial" w:cs="Arial" w:eastAsia="Arial" w:hAnsi="Arial"/>
                <w:sz w:val="18"/>
                <w:szCs w:val="18"/>
                <w:color w:val="auto"/>
                <w:w w:val="90"/>
              </w:rPr>
              <w:t>, 2008 by and between Marvell Technology Group Ltd., a</w:t>
            </w:r>
          </w:p>
        </w:tc>
      </w:tr>
      <w:tr>
        <w:trPr>
          <w:trHeight w:val="20"/>
        </w:trPr>
        <w:tc>
          <w:tcPr>
            <w:tcW w:w="18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r>
      <w:tr>
        <w:trPr>
          <w:trHeight w:val="196"/>
        </w:trPr>
        <w:tc>
          <w:tcPr>
            <w:tcW w:w="6220" w:type="dxa"/>
            <w:vAlign w:val="bottom"/>
            <w:gridSpan w:val="7"/>
          </w:tcPr>
          <w:p>
            <w:pPr>
              <w:spacing w:after="0" w:line="196" w:lineRule="exact"/>
              <w:rPr>
                <w:sz w:val="20"/>
                <w:szCs w:val="20"/>
                <w:color w:val="auto"/>
              </w:rPr>
            </w:pPr>
            <w:r>
              <w:rPr>
                <w:rFonts w:ascii="Arial" w:cs="Arial" w:eastAsia="Arial" w:hAnsi="Arial"/>
                <w:sz w:val="18"/>
                <w:szCs w:val="18"/>
                <w:color w:val="auto"/>
              </w:rPr>
              <w:t>Bermuda company (the “Company”), and the undersigned (“Indemnitee”).</w:t>
            </w:r>
          </w:p>
        </w:tc>
        <w:tc>
          <w:tcPr>
            <w:tcW w:w="4500" w:type="dxa"/>
            <w:vAlign w:val="bottom"/>
          </w:tcPr>
          <w:p>
            <w:pPr>
              <w:spacing w:after="0"/>
              <w:rPr>
                <w:sz w:val="17"/>
                <w:szCs w:val="17"/>
                <w:color w:val="auto"/>
              </w:rPr>
            </w:pPr>
          </w:p>
        </w:tc>
      </w:tr>
      <w:tr>
        <w:trPr>
          <w:trHeight w:val="20"/>
        </w:trPr>
        <w:tc>
          <w:tcPr>
            <w:tcW w:w="18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80" w:firstLine="449"/>
        <w:spacing w:after="0" w:line="264" w:lineRule="auto"/>
        <w:tabs>
          <w:tab w:leader="none" w:pos="621"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Company recognizes that highly competent persons are becoming more reluctant to serve corporations as directors or in other capacities unless they are provided with adequate protection through insurance or adequate indemnification against risks of claims and actions against them arising out of their services to the corporation.</w:t>
      </w:r>
    </w:p>
    <w:p>
      <w:pPr>
        <w:spacing w:after="0" w:line="181" w:lineRule="exact"/>
        <w:rPr>
          <w:rFonts w:ascii="Arial" w:cs="Arial" w:eastAsia="Arial" w:hAnsi="Arial"/>
          <w:sz w:val="18"/>
          <w:szCs w:val="18"/>
          <w:color w:val="auto"/>
        </w:rPr>
      </w:pPr>
    </w:p>
    <w:p>
      <w:pPr>
        <w:ind w:right="200" w:firstLine="449"/>
        <w:spacing w:after="0" w:line="312" w:lineRule="auto"/>
        <w:tabs>
          <w:tab w:leader="none" w:pos="621"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Board of Directors of the Company (the “</w:t>
      </w:r>
      <w:r>
        <w:rPr>
          <w:rFonts w:ascii="Arial" w:cs="Arial" w:eastAsia="Arial" w:hAnsi="Arial"/>
          <w:sz w:val="16"/>
          <w:szCs w:val="16"/>
          <w:u w:val="single" w:color="auto"/>
          <w:color w:val="auto"/>
        </w:rPr>
        <w:t>Board</w:t>
      </w:r>
      <w:r>
        <w:rPr>
          <w:rFonts w:ascii="Arial" w:cs="Arial" w:eastAsia="Arial" w:hAnsi="Arial"/>
          <w:sz w:val="16"/>
          <w:szCs w:val="16"/>
          <w:color w:val="auto"/>
        </w:rPr>
        <w:t>” or the “</w:t>
      </w:r>
      <w:r>
        <w:rPr>
          <w:rFonts w:ascii="Arial" w:cs="Arial" w:eastAsia="Arial" w:hAnsi="Arial"/>
          <w:sz w:val="16"/>
          <w:szCs w:val="16"/>
          <w:u w:val="single" w:color="auto"/>
          <w:color w:val="auto"/>
        </w:rPr>
        <w:t>Board of Directors</w:t>
      </w:r>
      <w:r>
        <w:rPr>
          <w:rFonts w:ascii="Arial" w:cs="Arial" w:eastAsia="Arial" w:hAnsi="Arial"/>
          <w:sz w:val="16"/>
          <w:szCs w:val="16"/>
          <w:color w:val="auto"/>
        </w:rPr>
        <w:t>”) has determined that the inability to attract and retain highly competent persons to serve the Company is detrimental to the best interests of the Company and its shareholders and that it is reasonable and necessary for the Company to provide adequate protection to such persons against risks of claims and actions against them arising out of their services to the corporation.</w:t>
      </w:r>
    </w:p>
    <w:p>
      <w:pPr>
        <w:spacing w:after="0" w:line="146" w:lineRule="exact"/>
        <w:rPr>
          <w:rFonts w:ascii="Arial" w:cs="Arial" w:eastAsia="Arial" w:hAnsi="Arial"/>
          <w:sz w:val="16"/>
          <w:szCs w:val="16"/>
          <w:color w:val="auto"/>
        </w:rPr>
      </w:pPr>
    </w:p>
    <w:p>
      <w:pPr>
        <w:ind w:left="620" w:hanging="171"/>
        <w:spacing w:after="0"/>
        <w:tabs>
          <w:tab w:leader="none" w:pos="6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Indemnitee does not regard the indemnities available under applicable law and the Company’s bye-laws, as amended from time to time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Bye-Laws</w:t>
      </w:r>
      <w:r>
        <w:rPr>
          <w:rFonts w:ascii="Arial" w:cs="Arial" w:eastAsia="Arial" w:hAnsi="Arial"/>
          <w:sz w:val="18"/>
          <w:szCs w:val="18"/>
          <w:color w:val="auto"/>
        </w:rPr>
        <w:t>”), as adequate to protect Indemnitee against the risks associated with Indemnitee’s service to the Company.</w:t>
      </w:r>
    </w:p>
    <w:p>
      <w:pPr>
        <w:spacing w:after="0" w:line="211" w:lineRule="exact"/>
        <w:rPr>
          <w:sz w:val="20"/>
          <w:szCs w:val="20"/>
          <w:color w:val="auto"/>
        </w:rPr>
      </w:pPr>
    </w:p>
    <w:p>
      <w:pPr>
        <w:ind w:right="60" w:firstLine="449"/>
        <w:spacing w:after="0" w:line="277" w:lineRule="auto"/>
        <w:tabs>
          <w:tab w:leader="none" w:pos="621"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Company is willing to indemnify Indemnitee to the fullest extent permitted by applicable law, and Indemnitee is willing to serve and continue to serve the Company on the condition that Indemnitee be so indemnified.</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In consideration of the premises and the covenants contained herein, the Company and Indemnitee do hereby covenant and agree as follows:</w:t>
      </w:r>
    </w:p>
    <w:p>
      <w:pPr>
        <w:spacing w:after="0" w:line="233" w:lineRule="exact"/>
        <w:rPr>
          <w:sz w:val="20"/>
          <w:szCs w:val="20"/>
          <w:color w:val="auto"/>
        </w:rPr>
      </w:pPr>
    </w:p>
    <w:p>
      <w:pPr>
        <w:ind w:left="1280" w:hanging="831"/>
        <w:spacing w:after="0"/>
        <w:tabs>
          <w:tab w:leader="none" w:pos="1280" w:val="left"/>
        </w:tabs>
        <w:numPr>
          <w:ilvl w:val="0"/>
          <w:numId w:val="16"/>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terms shall have the meanings defined below:</w:t>
      </w:r>
    </w:p>
    <w:p>
      <w:pPr>
        <w:spacing w:after="0" w:line="225" w:lineRule="exact"/>
        <w:rPr>
          <w:sz w:val="20"/>
          <w:szCs w:val="20"/>
          <w:color w:val="auto"/>
        </w:rPr>
      </w:pPr>
    </w:p>
    <w:p>
      <w:pPr>
        <w:ind w:right="100" w:firstLine="441"/>
        <w:spacing w:after="0" w:line="297" w:lineRule="auto"/>
        <w:rPr>
          <w:sz w:val="20"/>
          <w:szCs w:val="20"/>
          <w:color w:val="auto"/>
        </w:rPr>
      </w:pPr>
      <w:r>
        <w:rPr>
          <w:rFonts w:ascii="Arial" w:cs="Arial" w:eastAsia="Arial" w:hAnsi="Arial"/>
          <w:sz w:val="16"/>
          <w:szCs w:val="16"/>
          <w:i w:val="1"/>
          <w:iCs w:val="1"/>
          <w:color w:val="auto"/>
        </w:rPr>
        <w:t xml:space="preserve">Expenses </w:t>
      </w:r>
      <w:r>
        <w:rPr>
          <w:rFonts w:ascii="Arial" w:cs="Arial" w:eastAsia="Arial" w:hAnsi="Arial"/>
          <w:sz w:val="16"/>
          <w:szCs w:val="16"/>
          <w:color w:val="auto"/>
        </w:rPr>
        <w:t>shall include all expenses, damages, judgments, fines, penalties and amounts paid in settlement (if such settlement is approved in advance by</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 which approval shall not be unreasonably withheld or delayed), costs, attorneys’ fees and disbursements and costs of attachment or similar bond, investigations, any expenses paid or incurred in connection with investigating, defending, being a witness in, participating in (including on appeal), or preparing for any of the foregoing in, any Proceeding and any U.S. federal, state, local or foreign taxes imposed on the Indemnitee as a result of the actual or deemed receipt of any payments under this Agreement, and all interest, assessments and other charges paid or payable thereon or in respect thereto.</w:t>
      </w:r>
    </w:p>
    <w:p>
      <w:pPr>
        <w:spacing w:after="0" w:line="158" w:lineRule="exact"/>
        <w:rPr>
          <w:sz w:val="20"/>
          <w:szCs w:val="20"/>
          <w:color w:val="auto"/>
        </w:rPr>
      </w:pPr>
    </w:p>
    <w:p>
      <w:pPr>
        <w:ind w:right="120" w:firstLine="441"/>
        <w:spacing w:after="0" w:line="302" w:lineRule="auto"/>
        <w:rPr>
          <w:sz w:val="20"/>
          <w:szCs w:val="20"/>
          <w:color w:val="auto"/>
        </w:rPr>
      </w:pPr>
      <w:r>
        <w:rPr>
          <w:rFonts w:ascii="Arial" w:cs="Arial" w:eastAsia="Arial" w:hAnsi="Arial"/>
          <w:sz w:val="16"/>
          <w:szCs w:val="16"/>
          <w:i w:val="1"/>
          <w:iCs w:val="1"/>
          <w:color w:val="auto"/>
        </w:rPr>
        <w:t xml:space="preserve">Indemnifiable Event </w:t>
      </w:r>
      <w:r>
        <w:rPr>
          <w:rFonts w:ascii="Arial" w:cs="Arial" w:eastAsia="Arial" w:hAnsi="Arial"/>
          <w:sz w:val="16"/>
          <w:szCs w:val="16"/>
          <w:color w:val="auto"/>
        </w:rPr>
        <w:t>means any event or occurrence that takes place either before or after the execution of this Agreement, related to the fact that</w:t>
      </w:r>
      <w:r>
        <w:rPr>
          <w:rFonts w:ascii="Arial" w:cs="Arial" w:eastAsia="Arial" w:hAnsi="Arial"/>
          <w:sz w:val="16"/>
          <w:szCs w:val="16"/>
          <w:i w:val="1"/>
          <w:iCs w:val="1"/>
          <w:color w:val="auto"/>
        </w:rPr>
        <w:t xml:space="preserve"> </w:t>
      </w:r>
      <w:r>
        <w:rPr>
          <w:rFonts w:ascii="Arial" w:cs="Arial" w:eastAsia="Arial" w:hAnsi="Arial"/>
          <w:sz w:val="16"/>
          <w:szCs w:val="16"/>
          <w:color w:val="auto"/>
        </w:rPr>
        <w:t>Indemnitee is or was a director, officer, employee, controlling person, agent or fiduciary of the Company or any of its subsidiaries, or is or was serving at the request of the Company as a director, officer, employee, controlling person, agent or fiduciary of another corporation, partnership, joint venture or other entity, or related to anything done or not done by Indemnitee in or about the execution of his or her duty, or supposed duty, in any such capacity.</w:t>
      </w:r>
    </w:p>
    <w:p>
      <w:pPr>
        <w:spacing w:after="0" w:line="15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 xml:space="preserve">Participant </w:t>
      </w:r>
      <w:r>
        <w:rPr>
          <w:rFonts w:ascii="Arial" w:cs="Arial" w:eastAsia="Arial" w:hAnsi="Arial"/>
          <w:sz w:val="18"/>
          <w:szCs w:val="18"/>
          <w:color w:val="auto"/>
        </w:rPr>
        <w:t>means a person who is a party to, or witness or participant (including on appeal) in, a Proceeding.</w:t>
      </w:r>
    </w:p>
    <w:p>
      <w:pPr>
        <w:spacing w:after="0" w:line="225" w:lineRule="exact"/>
        <w:rPr>
          <w:sz w:val="20"/>
          <w:szCs w:val="20"/>
          <w:color w:val="auto"/>
        </w:rPr>
      </w:pPr>
    </w:p>
    <w:p>
      <w:pPr>
        <w:ind w:right="140" w:firstLine="441"/>
        <w:spacing w:after="0" w:line="264" w:lineRule="auto"/>
        <w:rPr>
          <w:sz w:val="20"/>
          <w:szCs w:val="20"/>
          <w:color w:val="auto"/>
        </w:rPr>
      </w:pPr>
      <w:r>
        <w:rPr>
          <w:rFonts w:ascii="Arial" w:cs="Arial" w:eastAsia="Arial" w:hAnsi="Arial"/>
          <w:sz w:val="18"/>
          <w:szCs w:val="18"/>
          <w:i w:val="1"/>
          <w:iCs w:val="1"/>
          <w:color w:val="auto"/>
        </w:rPr>
        <w:t xml:space="preserve">Proceeding </w:t>
      </w:r>
      <w:r>
        <w:rPr>
          <w:rFonts w:ascii="Arial" w:cs="Arial" w:eastAsia="Arial" w:hAnsi="Arial"/>
          <w:sz w:val="18"/>
          <w:szCs w:val="18"/>
          <w:color w:val="auto"/>
        </w:rPr>
        <w:t>means any threatened, pending, or completed action, suit, arbitration, alternative dispute resolution mechanism or proceeding, or any</w:t>
      </w:r>
      <w:r>
        <w:rPr>
          <w:rFonts w:ascii="Arial" w:cs="Arial" w:eastAsia="Arial" w:hAnsi="Arial"/>
          <w:sz w:val="18"/>
          <w:szCs w:val="18"/>
          <w:i w:val="1"/>
          <w:iCs w:val="1"/>
          <w:color w:val="auto"/>
        </w:rPr>
        <w:t xml:space="preserve"> </w:t>
      </w:r>
      <w:r>
        <w:rPr>
          <w:rFonts w:ascii="Arial" w:cs="Arial" w:eastAsia="Arial" w:hAnsi="Arial"/>
          <w:sz w:val="18"/>
          <w:szCs w:val="18"/>
          <w:color w:val="auto"/>
        </w:rPr>
        <w:t>inquiry, hearing or investigation, whether civil, criminal, administrative, investigative or other, including appeal, in the United States or anywhere else in the world, which Indemnitee may be or may have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been involved as a party or otherwise by reason of an Indemnifiable Event, including, without limitation, any threatened, pending, or completed action, suit or proceeding by or in the right of the Company.</w:t>
      </w:r>
    </w:p>
    <w:p>
      <w:pPr>
        <w:spacing w:after="0" w:line="166" w:lineRule="exact"/>
        <w:rPr>
          <w:sz w:val="20"/>
          <w:szCs w:val="20"/>
          <w:color w:val="auto"/>
        </w:rPr>
      </w:pPr>
    </w:p>
    <w:p>
      <w:pPr>
        <w:ind w:left="1260" w:hanging="811"/>
        <w:spacing w:after="0"/>
        <w:tabs>
          <w:tab w:leader="none" w:pos="1260" w:val="left"/>
        </w:tabs>
        <w:numPr>
          <w:ilvl w:val="0"/>
          <w:numId w:val="17"/>
        </w:numPr>
        <w:rPr>
          <w:rFonts w:ascii="Arial" w:cs="Arial" w:eastAsia="Arial" w:hAnsi="Arial"/>
          <w:sz w:val="18"/>
          <w:szCs w:val="18"/>
          <w:b w:val="1"/>
          <w:bCs w:val="1"/>
          <w:color w:val="auto"/>
        </w:rPr>
      </w:pPr>
      <w:r>
        <w:rPr>
          <w:rFonts w:ascii="Arial" w:cs="Arial" w:eastAsia="Arial" w:hAnsi="Arial"/>
          <w:sz w:val="18"/>
          <w:szCs w:val="18"/>
          <w:b w:val="1"/>
          <w:bCs w:val="1"/>
          <w:color w:val="auto"/>
        </w:rPr>
        <w:t>AGREEMENT TO INDEMNIFY</w:t>
      </w:r>
    </w:p>
    <w:p>
      <w:pPr>
        <w:spacing w:after="0" w:line="229" w:lineRule="exact"/>
        <w:rPr>
          <w:rFonts w:ascii="Arial" w:cs="Arial" w:eastAsia="Arial" w:hAnsi="Arial"/>
          <w:sz w:val="18"/>
          <w:szCs w:val="18"/>
          <w:b w:val="1"/>
          <w:bCs w:val="1"/>
          <w:color w:val="auto"/>
        </w:rPr>
      </w:pPr>
    </w:p>
    <w:p>
      <w:pPr>
        <w:ind w:firstLine="889"/>
        <w:spacing w:after="0" w:line="264" w:lineRule="auto"/>
        <w:tabs>
          <w:tab w:leader="none" w:pos="1284" w:val="left"/>
        </w:tabs>
        <w:numPr>
          <w:ilvl w:val="1"/>
          <w:numId w:val="17"/>
        </w:numPr>
        <w:rPr>
          <w:rFonts w:ascii="Arial" w:cs="Arial" w:eastAsia="Arial" w:hAnsi="Arial"/>
          <w:sz w:val="18"/>
          <w:szCs w:val="18"/>
          <w:color w:val="auto"/>
        </w:rPr>
      </w:pPr>
      <w:r>
        <w:rPr>
          <w:rFonts w:ascii="Arial" w:cs="Arial" w:eastAsia="Arial" w:hAnsi="Arial"/>
          <w:sz w:val="18"/>
          <w:szCs w:val="18"/>
          <w:u w:val="single" w:color="auto"/>
          <w:color w:val="auto"/>
        </w:rPr>
        <w:t>General Agreement</w:t>
      </w:r>
      <w:r>
        <w:rPr>
          <w:rFonts w:ascii="Arial" w:cs="Arial" w:eastAsia="Arial" w:hAnsi="Arial"/>
          <w:sz w:val="18"/>
          <w:szCs w:val="18"/>
          <w:color w:val="auto"/>
        </w:rPr>
        <w:t>. In the event Indemnitee was, is, or becomes a Participant in, or is threatened to be made a Participant in, a Proceeding, the Company shall indemnify the Indemnitee from and against any and all Expenses which Indemnitee actually and reasonably incurs or becomes obligated to incur in connection with such Proceeding, to the fullest extent permitted by applicable law.</w:t>
      </w:r>
    </w:p>
    <w:p>
      <w:pPr>
        <w:spacing w:after="0" w:line="181" w:lineRule="exact"/>
        <w:rPr>
          <w:rFonts w:ascii="Arial" w:cs="Arial" w:eastAsia="Arial" w:hAnsi="Arial"/>
          <w:sz w:val="18"/>
          <w:szCs w:val="18"/>
          <w:color w:val="auto"/>
        </w:rPr>
      </w:pPr>
    </w:p>
    <w:p>
      <w:pPr>
        <w:ind w:right="120" w:firstLine="889"/>
        <w:spacing w:after="0" w:line="259" w:lineRule="auto"/>
        <w:tabs>
          <w:tab w:leader="none" w:pos="1284" w:val="left"/>
        </w:tabs>
        <w:numPr>
          <w:ilvl w:val="1"/>
          <w:numId w:val="17"/>
        </w:numPr>
        <w:rPr>
          <w:rFonts w:ascii="Arial" w:cs="Arial" w:eastAsia="Arial" w:hAnsi="Arial"/>
          <w:sz w:val="18"/>
          <w:szCs w:val="18"/>
          <w:color w:val="auto"/>
        </w:rPr>
      </w:pPr>
      <w:r>
        <w:rPr>
          <w:rFonts w:ascii="Arial" w:cs="Arial" w:eastAsia="Arial" w:hAnsi="Arial"/>
          <w:sz w:val="18"/>
          <w:szCs w:val="18"/>
          <w:u w:val="single" w:color="auto"/>
          <w:color w:val="auto"/>
        </w:rPr>
        <w:t>Indemnification of Expenses of Successful Party</w:t>
      </w:r>
      <w:r>
        <w:rPr>
          <w:rFonts w:ascii="Arial" w:cs="Arial" w:eastAsia="Arial" w:hAnsi="Arial"/>
          <w:sz w:val="18"/>
          <w:szCs w:val="18"/>
          <w:color w:val="auto"/>
        </w:rPr>
        <w:t>. Notwithstanding any other provision of this Agreement, to the extent that Indemnitee has been successful on the merits in defense of any Proceeding or in defense of any claim, issue or matter in such Proceeding, Indemnitee shall be indemnified against all Expenses actually and reasonably incurred in connection with such Proceeding or such claim, issue or matter, as the case may be, offset by the amount of cash, if any, received by the Indemnitee resulting from his/her success therein.</w:t>
      </w:r>
    </w:p>
    <w:p>
      <w:pPr>
        <w:spacing w:after="0" w:line="186" w:lineRule="exact"/>
        <w:rPr>
          <w:rFonts w:ascii="Arial" w:cs="Arial" w:eastAsia="Arial" w:hAnsi="Arial"/>
          <w:sz w:val="18"/>
          <w:szCs w:val="18"/>
          <w:color w:val="auto"/>
        </w:rPr>
      </w:pPr>
    </w:p>
    <w:p>
      <w:pPr>
        <w:ind w:right="80" w:firstLine="889"/>
        <w:spacing w:after="0" w:line="264" w:lineRule="auto"/>
        <w:tabs>
          <w:tab w:leader="none" w:pos="1284" w:val="left"/>
        </w:tabs>
        <w:numPr>
          <w:ilvl w:val="1"/>
          <w:numId w:val="17"/>
        </w:numPr>
        <w:rPr>
          <w:rFonts w:ascii="Arial" w:cs="Arial" w:eastAsia="Arial" w:hAnsi="Arial"/>
          <w:sz w:val="18"/>
          <w:szCs w:val="18"/>
          <w:color w:val="auto"/>
        </w:rPr>
      </w:pPr>
      <w:r>
        <w:rPr>
          <w:rFonts w:ascii="Arial" w:cs="Arial" w:eastAsia="Arial" w:hAnsi="Arial"/>
          <w:sz w:val="18"/>
          <w:szCs w:val="18"/>
          <w:u w:val="single" w:color="auto"/>
          <w:color w:val="auto"/>
        </w:rPr>
        <w:t>Partial Indemnification</w:t>
      </w:r>
      <w:r>
        <w:rPr>
          <w:rFonts w:ascii="Arial" w:cs="Arial" w:eastAsia="Arial" w:hAnsi="Arial"/>
          <w:sz w:val="18"/>
          <w:szCs w:val="18"/>
          <w:color w:val="auto"/>
        </w:rPr>
        <w:t>. If Indemnitee is entitled under any provision of this Agreement to indemnification by the Company for a portion of Expenses, but not for the total amount of Expenses, the Company shall indemnify the Indemnitee for the portion of such Expenses to which Indemnitee is entitled.</w:t>
      </w:r>
    </w:p>
    <w:p>
      <w:pPr>
        <w:spacing w:after="0" w:line="181" w:lineRule="exact"/>
        <w:rPr>
          <w:rFonts w:ascii="Arial" w:cs="Arial" w:eastAsia="Arial" w:hAnsi="Arial"/>
          <w:sz w:val="18"/>
          <w:szCs w:val="18"/>
          <w:color w:val="auto"/>
        </w:rPr>
      </w:pPr>
    </w:p>
    <w:p>
      <w:pPr>
        <w:ind w:left="1300" w:hanging="411"/>
        <w:spacing w:after="0"/>
        <w:tabs>
          <w:tab w:leader="none" w:pos="1300" w:val="left"/>
        </w:tabs>
        <w:numPr>
          <w:ilvl w:val="1"/>
          <w:numId w:val="17"/>
        </w:numPr>
        <w:rPr>
          <w:rFonts w:ascii="Arial" w:cs="Arial" w:eastAsia="Arial" w:hAnsi="Arial"/>
          <w:sz w:val="17"/>
          <w:szCs w:val="17"/>
          <w:color w:val="auto"/>
        </w:rPr>
      </w:pPr>
      <w:r>
        <w:rPr>
          <w:rFonts w:ascii="Arial" w:cs="Arial" w:eastAsia="Arial" w:hAnsi="Arial"/>
          <w:sz w:val="17"/>
          <w:szCs w:val="17"/>
          <w:u w:val="single" w:color="auto"/>
          <w:color w:val="auto"/>
        </w:rPr>
        <w:t>Exclusions</w:t>
      </w:r>
      <w:r>
        <w:rPr>
          <w:rFonts w:ascii="Arial" w:cs="Arial" w:eastAsia="Arial" w:hAnsi="Arial"/>
          <w:sz w:val="17"/>
          <w:szCs w:val="17"/>
          <w:color w:val="auto"/>
        </w:rPr>
        <w:t>. Notwithstanding anything in this Agreement to the contrary, Indemnitee shall not be entitled to indemnification under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210" w:lineRule="exact"/>
        <w:rPr>
          <w:rFonts w:ascii="Arial" w:cs="Arial" w:eastAsia="Arial" w:hAnsi="Arial"/>
          <w:sz w:val="17"/>
          <w:szCs w:val="17"/>
          <w:color w:val="auto"/>
        </w:rPr>
      </w:pPr>
    </w:p>
    <w:p>
      <w:pPr>
        <w:ind w:left="1940" w:hanging="500"/>
        <w:spacing w:after="0"/>
        <w:tabs>
          <w:tab w:leader="none" w:pos="1940"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the extent that payment is actually made to Indemnitee under a valid, enforceable and collectible insurance policy;</w:t>
      </w:r>
    </w:p>
    <w:p>
      <w:pPr>
        <w:spacing w:after="0" w:line="225" w:lineRule="exact"/>
        <w:rPr>
          <w:rFonts w:ascii="Arial" w:cs="Arial" w:eastAsia="Arial" w:hAnsi="Arial"/>
          <w:sz w:val="18"/>
          <w:szCs w:val="18"/>
          <w:color w:val="auto"/>
        </w:rPr>
      </w:pPr>
    </w:p>
    <w:p>
      <w:pPr>
        <w:ind w:left="1960" w:hanging="520"/>
        <w:spacing w:after="0"/>
        <w:tabs>
          <w:tab w:leader="none" w:pos="1960"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the extent that Indemnitee is indemnified and actually paid other than pursuant to this Agreement;</w:t>
      </w:r>
    </w:p>
    <w:p>
      <w:pPr>
        <w:sectPr>
          <w:pgSz w:w="11900" w:h="16838" w:orient="portrait"/>
          <w:cols w:equalWidth="0" w:num="1">
            <w:col w:w="11420"/>
          </w:cols>
          <w:pgMar w:left="240" w:top="121" w:right="239" w:bottom="0" w:gutter="0" w:footer="0" w:header="0"/>
        </w:sectPr>
      </w:pPr>
    </w:p>
    <w:bookmarkStart w:id="8" w:name="page9"/>
    <w:bookmarkEnd w:id="8"/>
    <w:p>
      <w:pPr>
        <w:ind w:right="140" w:firstLine="1440"/>
        <w:spacing w:after="0" w:line="257" w:lineRule="auto"/>
        <w:tabs>
          <w:tab w:leader="none" w:pos="1938"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connection with a judicial action by or in the right of the Company, in respect of any claim, issue or matter as to which the Indemnitee shall have been adjudicated by final judgment in a court of competent jurisdiction to be liable for willful neglect or default in the performance of his duty to the Company unless and only to the extent that any court in which such action was brought shall determine upon application that, despite the adjudication of liability but in view of all the circumstances of the case, the Indemnitee is fairly and reasonably entitled to indemnity for such Expenses as such court shall deem proper;</w:t>
      </w:r>
    </w:p>
    <w:p>
      <w:pPr>
        <w:spacing w:after="0" w:line="188" w:lineRule="exact"/>
        <w:rPr>
          <w:rFonts w:ascii="Arial" w:cs="Arial" w:eastAsia="Arial" w:hAnsi="Arial"/>
          <w:sz w:val="18"/>
          <w:szCs w:val="18"/>
          <w:color w:val="auto"/>
        </w:rPr>
      </w:pPr>
    </w:p>
    <w:p>
      <w:pPr>
        <w:ind w:right="100" w:firstLine="1440"/>
        <w:spacing w:after="0" w:line="286" w:lineRule="auto"/>
        <w:tabs>
          <w:tab w:leader="none" w:pos="1948" w:val="left"/>
        </w:tabs>
        <w:numPr>
          <w:ilvl w:val="0"/>
          <w:numId w:val="18"/>
        </w:numPr>
        <w:rPr>
          <w:rFonts w:ascii="Arial" w:cs="Arial" w:eastAsia="Arial" w:hAnsi="Arial"/>
          <w:sz w:val="17"/>
          <w:szCs w:val="17"/>
          <w:color w:val="auto"/>
        </w:rPr>
      </w:pPr>
      <w:r>
        <w:rPr>
          <w:rFonts w:ascii="Arial" w:cs="Arial" w:eastAsia="Arial" w:hAnsi="Arial"/>
          <w:sz w:val="17"/>
          <w:szCs w:val="17"/>
          <w:color w:val="auto"/>
        </w:rPr>
        <w:t>in connection with any Proceeding initiated by Indemnitee against the Company, any director or officer of the Company or any other party, and not by way of defense, unless (i) the Company has joined in or the Reviewing Party (as hereinafter defined) has consented to the initiation of such Proceeding; or (ii) the Proceeding is one to enforce indemnification rights under this Agreement or any applicable law;</w:t>
      </w:r>
    </w:p>
    <w:p>
      <w:pPr>
        <w:spacing w:after="0" w:line="165" w:lineRule="exact"/>
        <w:rPr>
          <w:rFonts w:ascii="Arial" w:cs="Arial" w:eastAsia="Arial" w:hAnsi="Arial"/>
          <w:sz w:val="17"/>
          <w:szCs w:val="17"/>
          <w:color w:val="auto"/>
        </w:rPr>
      </w:pPr>
    </w:p>
    <w:p>
      <w:pPr>
        <w:ind w:firstLine="1440"/>
        <w:spacing w:after="0" w:line="259" w:lineRule="auto"/>
        <w:tabs>
          <w:tab w:leader="none" w:pos="1938" w:val="left"/>
        </w:tabs>
        <w:numPr>
          <w:ilvl w:val="0"/>
          <w:numId w:val="18"/>
        </w:numPr>
        <w:rPr>
          <w:rFonts w:ascii="Arial" w:cs="Arial" w:eastAsia="Arial" w:hAnsi="Arial"/>
          <w:sz w:val="18"/>
          <w:szCs w:val="18"/>
          <w:color w:val="auto"/>
        </w:rPr>
      </w:pPr>
      <w:r>
        <w:rPr>
          <w:rFonts w:ascii="Arial" w:cs="Arial" w:eastAsia="Arial" w:hAnsi="Arial"/>
          <w:sz w:val="18"/>
          <w:szCs w:val="18"/>
          <w:color w:val="auto"/>
        </w:rPr>
        <w:t xml:space="preserve">brought about by the dishonesty or fraud of the Indemnitee seeking payment hereunder;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Indemnitee shall be protected under this Agreement as to any claims upon which suit may be brought against him by reason of any alleged dishonesty or fraud on his part, unless a judgment or other final adjudication thereof adverse to the Indemnitee establishes that he committed fraud or dishonesty, in each instance where such acts were material to the cause of action so adjudicated;</w:t>
      </w:r>
    </w:p>
    <w:p>
      <w:pPr>
        <w:spacing w:after="0" w:line="186" w:lineRule="exact"/>
        <w:rPr>
          <w:rFonts w:ascii="Arial" w:cs="Arial" w:eastAsia="Arial" w:hAnsi="Arial"/>
          <w:sz w:val="18"/>
          <w:szCs w:val="18"/>
          <w:color w:val="auto"/>
        </w:rPr>
      </w:pPr>
    </w:p>
    <w:p>
      <w:pPr>
        <w:ind w:left="1960" w:hanging="520"/>
        <w:spacing w:after="0"/>
        <w:tabs>
          <w:tab w:leader="none" w:pos="19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arising out of Indemnitee’s personal tax matters;</w:t>
      </w:r>
    </w:p>
    <w:p>
      <w:pPr>
        <w:spacing w:after="0" w:line="225" w:lineRule="exact"/>
        <w:rPr>
          <w:rFonts w:ascii="Arial" w:cs="Arial" w:eastAsia="Arial" w:hAnsi="Arial"/>
          <w:sz w:val="18"/>
          <w:szCs w:val="18"/>
          <w:color w:val="auto"/>
        </w:rPr>
      </w:pPr>
    </w:p>
    <w:p>
      <w:pPr>
        <w:ind w:left="1960" w:hanging="520"/>
        <w:spacing w:after="0"/>
        <w:tabs>
          <w:tab w:leader="none" w:pos="19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for any Expenses or payment of profits arising from the purchase and sale by the Indemnitee of securities in violation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16(b) of the Exchange Act or any similar successor statute;</w:t>
      </w:r>
    </w:p>
    <w:p>
      <w:pPr>
        <w:spacing w:after="0" w:line="211" w:lineRule="exact"/>
        <w:rPr>
          <w:sz w:val="20"/>
          <w:szCs w:val="20"/>
          <w:color w:val="auto"/>
        </w:rPr>
      </w:pPr>
    </w:p>
    <w:p>
      <w:pPr>
        <w:ind w:left="1960" w:hanging="520"/>
        <w:spacing w:after="0"/>
        <w:tabs>
          <w:tab w:leader="none" w:pos="1960" w:val="left"/>
        </w:tabs>
        <w:numPr>
          <w:ilvl w:val="1"/>
          <w:numId w:val="19"/>
        </w:numPr>
        <w:rPr>
          <w:rFonts w:ascii="Arial" w:cs="Arial" w:eastAsia="Arial" w:hAnsi="Arial"/>
          <w:sz w:val="17"/>
          <w:szCs w:val="17"/>
          <w:color w:val="auto"/>
        </w:rPr>
      </w:pPr>
      <w:r>
        <w:rPr>
          <w:rFonts w:ascii="Arial" w:cs="Arial" w:eastAsia="Arial" w:hAnsi="Arial"/>
          <w:sz w:val="17"/>
          <w:szCs w:val="17"/>
          <w:color w:val="auto"/>
        </w:rPr>
        <w:t>for any Expenses, judgment, fine or penalty which the Company is prohibited by applicable law from paying to Indemnitee.</w:t>
      </w:r>
    </w:p>
    <w:p>
      <w:pPr>
        <w:spacing w:after="0" w:line="236" w:lineRule="exact"/>
        <w:rPr>
          <w:rFonts w:ascii="Arial" w:cs="Arial" w:eastAsia="Arial" w:hAnsi="Arial"/>
          <w:sz w:val="17"/>
          <w:szCs w:val="17"/>
          <w:color w:val="auto"/>
        </w:rPr>
      </w:pPr>
    </w:p>
    <w:p>
      <w:pPr>
        <w:ind w:right="20" w:firstLine="889"/>
        <w:spacing w:after="0" w:line="277" w:lineRule="auto"/>
        <w:tabs>
          <w:tab w:leader="none" w:pos="1284"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Nothing in this Agreement is intended to create in any Indemnitee who is an employee of the Company any right to continued employment with the Company.</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889"/>
        <w:spacing w:after="0" w:line="270" w:lineRule="auto"/>
        <w:tabs>
          <w:tab w:leader="none" w:pos="1284" w:val="left"/>
        </w:tabs>
        <w:numPr>
          <w:ilvl w:val="1"/>
          <w:numId w:val="21"/>
        </w:numPr>
        <w:rPr>
          <w:rFonts w:ascii="Arial" w:cs="Arial" w:eastAsia="Arial" w:hAnsi="Arial"/>
          <w:sz w:val="17"/>
          <w:szCs w:val="17"/>
          <w:color w:val="auto"/>
        </w:rPr>
      </w:pPr>
      <w:r>
        <w:rPr>
          <w:rFonts w:ascii="Arial" w:cs="Arial" w:eastAsia="Arial" w:hAnsi="Arial"/>
          <w:sz w:val="17"/>
          <w:szCs w:val="17"/>
          <w:u w:val="single" w:color="auto"/>
          <w:color w:val="auto"/>
        </w:rPr>
        <w:t>Contribution</w:t>
      </w:r>
      <w:r>
        <w:rPr>
          <w:rFonts w:ascii="Arial" w:cs="Arial" w:eastAsia="Arial" w:hAnsi="Arial"/>
          <w:sz w:val="17"/>
          <w:szCs w:val="17"/>
          <w:color w:val="auto"/>
        </w:rPr>
        <w:t>. If the indemnification provided in this Agreement is unavailable and may not be paid to Indemnitee for any reason (other than those set forth in Section B.4), then the Company shall contribute to the amount of Expenses paid in settlement actually and reasonably incurred and paid or payable by Indemnitee in such proportion as is appropriate to reflect (i) the relative benefits received by the Company on the one hand and by the Indemnitee on the other hand from the transaction from which such Proceeding arose, and (ii) the relative fault of the Company on the one hand and of the Indemnitee on the other hand in connection with the events which resulted in such Expenses, as well as any other relevant equitable considerations. The relative fault of the Company on the one hand and of the Indemnitee on the other hand shall be determined by reference to, among other things, the parties’ relative intent, knowledge, access to information and opportunity to correct or prevent the circumstances resulting in such Expenses, judgments, fines or settlement amounts. The Company agrees that it would not be just and equitable if contribution pursuant to this Section 6 were determined by pro rata allocation or any other method of allocation which does not take account of the foregoing equitable considerations.</w:t>
      </w:r>
    </w:p>
    <w:p>
      <w:pPr>
        <w:spacing w:after="0" w:line="177" w:lineRule="exact"/>
        <w:rPr>
          <w:rFonts w:ascii="Arial" w:cs="Arial" w:eastAsia="Arial" w:hAnsi="Arial"/>
          <w:sz w:val="17"/>
          <w:szCs w:val="17"/>
          <w:color w:val="auto"/>
        </w:rPr>
      </w:pPr>
    </w:p>
    <w:p>
      <w:pPr>
        <w:ind w:left="440"/>
        <w:spacing w:after="0"/>
        <w:rPr>
          <w:rFonts w:ascii="Arial" w:cs="Arial" w:eastAsia="Arial" w:hAnsi="Arial"/>
          <w:sz w:val="17"/>
          <w:szCs w:val="17"/>
          <w:color w:val="auto"/>
        </w:rPr>
      </w:pPr>
      <w:r>
        <w:rPr>
          <w:rFonts w:ascii="Arial" w:cs="Arial" w:eastAsia="Arial" w:hAnsi="Arial"/>
          <w:sz w:val="18"/>
          <w:szCs w:val="18"/>
          <w:b w:val="1"/>
          <w:bCs w:val="1"/>
          <w:color w:val="auto"/>
        </w:rPr>
        <w:t>C.INDEMNIFICATION PROCESS</w:t>
      </w:r>
    </w:p>
    <w:p>
      <w:pPr>
        <w:spacing w:after="0" w:line="229" w:lineRule="exact"/>
        <w:rPr>
          <w:rFonts w:ascii="Arial" w:cs="Arial" w:eastAsia="Arial" w:hAnsi="Arial"/>
          <w:sz w:val="17"/>
          <w:szCs w:val="17"/>
          <w:color w:val="auto"/>
        </w:rPr>
      </w:pPr>
    </w:p>
    <w:p>
      <w:pPr>
        <w:ind w:right="40" w:firstLine="889"/>
        <w:spacing w:after="0" w:line="276" w:lineRule="auto"/>
        <w:tabs>
          <w:tab w:leader="none" w:pos="1284" w:val="left"/>
        </w:tabs>
        <w:numPr>
          <w:ilvl w:val="1"/>
          <w:numId w:val="22"/>
        </w:numPr>
        <w:rPr>
          <w:rFonts w:ascii="Arial" w:cs="Arial" w:eastAsia="Arial" w:hAnsi="Arial"/>
          <w:sz w:val="17"/>
          <w:szCs w:val="17"/>
          <w:color w:val="auto"/>
        </w:rPr>
      </w:pPr>
      <w:r>
        <w:rPr>
          <w:rFonts w:ascii="Arial" w:cs="Arial" w:eastAsia="Arial" w:hAnsi="Arial"/>
          <w:sz w:val="17"/>
          <w:szCs w:val="17"/>
          <w:u w:val="single" w:color="auto"/>
          <w:color w:val="auto"/>
        </w:rPr>
        <w:t>Notice and Cooperation By Indemnitee</w:t>
      </w:r>
      <w:r>
        <w:rPr>
          <w:rFonts w:ascii="Arial" w:cs="Arial" w:eastAsia="Arial" w:hAnsi="Arial"/>
          <w:sz w:val="17"/>
          <w:szCs w:val="17"/>
          <w:color w:val="auto"/>
        </w:rPr>
        <w:t xml:space="preserve">. Indemnitee shall, as a condition precedent to his right to be indemnified under this Agreement, give the Company notice in writing as soon as practicable of any claim made against Indemnitee for which indemnification will or could be sought under this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delay of Indemnitee to give notice hereunder shall not prejudice any of Indemnitee’s rights hereunder, except to the extent that such delay results in the Company’s forfeiture of substantive rights or defenses. Notice to the Company shall be given in accordance with Section F.7 below. In addition, Indemnitee shall give the Company such information and cooperation as the Company may reasonably request.</w:t>
      </w:r>
    </w:p>
    <w:p>
      <w:pPr>
        <w:spacing w:after="0" w:line="172" w:lineRule="exact"/>
        <w:rPr>
          <w:rFonts w:ascii="Arial" w:cs="Arial" w:eastAsia="Arial" w:hAnsi="Arial"/>
          <w:sz w:val="17"/>
          <w:szCs w:val="17"/>
          <w:color w:val="auto"/>
        </w:rPr>
      </w:pPr>
    </w:p>
    <w:p>
      <w:pPr>
        <w:ind w:left="1300" w:hanging="411"/>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u w:val="single" w:color="auto"/>
          <w:color w:val="auto"/>
        </w:rPr>
        <w:t>Indemnification 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 w:firstLine="1440"/>
        <w:spacing w:after="0" w:line="293" w:lineRule="auto"/>
        <w:tabs>
          <w:tab w:leader="none" w:pos="1938" w:val="left"/>
        </w:tabs>
        <w:numPr>
          <w:ilvl w:val="2"/>
          <w:numId w:val="22"/>
        </w:numPr>
        <w:rPr>
          <w:rFonts w:ascii="Arial" w:cs="Arial" w:eastAsia="Arial" w:hAnsi="Arial"/>
          <w:sz w:val="16"/>
          <w:szCs w:val="16"/>
          <w:color w:val="auto"/>
        </w:rPr>
      </w:pPr>
      <w:r>
        <w:rPr>
          <w:rFonts w:ascii="Arial" w:cs="Arial" w:eastAsia="Arial" w:hAnsi="Arial"/>
          <w:sz w:val="16"/>
          <w:szCs w:val="16"/>
          <w:i w:val="1"/>
          <w:iCs w:val="1"/>
          <w:color w:val="auto"/>
        </w:rPr>
        <w:t>Advancement of Expenses</w:t>
      </w:r>
      <w:r>
        <w:rPr>
          <w:rFonts w:ascii="Arial" w:cs="Arial" w:eastAsia="Arial" w:hAnsi="Arial"/>
          <w:sz w:val="16"/>
          <w:szCs w:val="16"/>
          <w:color w:val="auto"/>
        </w:rPr>
        <w:t>. Indemnitee may submit a written request with reasonable particulars to the Company requesting that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advance to Indemnitee all Expenses that may be reasonably incurred by Indemnitee in connection with a Proceeding to the fullest extent permitted by applicable law. The Company shall, within ten (10) business days of receiving such a written request by Indemnitee, advance all requested Expenses to Indemnitee; provided, however, that Indemnitee shall set forth in such request reasonable evidence that such Expenses have been incurred by the Indemnitee in connection with such Proceeding, a statement that such Expenses do not relate to any matter described in Section B.4 above, and an undertaking in writing to repay any advances if it is ultimately determined that the Indemnitee is not entitled to indemnification under this Agreement.</w:t>
      </w:r>
    </w:p>
    <w:p>
      <w:pPr>
        <w:spacing w:after="0" w:line="164" w:lineRule="exact"/>
        <w:rPr>
          <w:rFonts w:ascii="Arial" w:cs="Arial" w:eastAsia="Arial" w:hAnsi="Arial"/>
          <w:sz w:val="16"/>
          <w:szCs w:val="16"/>
          <w:color w:val="auto"/>
        </w:rPr>
      </w:pPr>
    </w:p>
    <w:p>
      <w:pPr>
        <w:ind w:right="140" w:firstLine="1485"/>
        <w:spacing w:after="0" w:line="286" w:lineRule="auto"/>
        <w:tabs>
          <w:tab w:leader="none" w:pos="1955" w:val="left"/>
        </w:tabs>
        <w:numPr>
          <w:ilvl w:val="3"/>
          <w:numId w:val="22"/>
        </w:numPr>
        <w:rPr>
          <w:rFonts w:ascii="Arial" w:cs="Arial" w:eastAsia="Arial" w:hAnsi="Arial"/>
          <w:sz w:val="17"/>
          <w:szCs w:val="17"/>
          <w:color w:val="auto"/>
        </w:rPr>
      </w:pPr>
      <w:r>
        <w:rPr>
          <w:rFonts w:ascii="Arial" w:cs="Arial" w:eastAsia="Arial" w:hAnsi="Arial"/>
          <w:sz w:val="17"/>
          <w:szCs w:val="17"/>
          <w:i w:val="1"/>
          <w:iCs w:val="1"/>
          <w:color w:val="auto"/>
        </w:rPr>
        <w:t>Reimbursement of Expenses</w:t>
      </w:r>
      <w:r>
        <w:rPr>
          <w:rFonts w:ascii="Arial" w:cs="Arial" w:eastAsia="Arial" w:hAnsi="Arial"/>
          <w:sz w:val="17"/>
          <w:szCs w:val="17"/>
          <w:color w:val="auto"/>
        </w:rPr>
        <w:t>. To the extent Indemnitee has not requested any advanced payment of Expenses from the Company,</w:t>
      </w:r>
      <w:r>
        <w:rPr>
          <w:rFonts w:ascii="Arial" w:cs="Arial" w:eastAsia="Arial" w:hAnsi="Arial"/>
          <w:sz w:val="17"/>
          <w:szCs w:val="17"/>
          <w:i w:val="1"/>
          <w:iCs w:val="1"/>
          <w:color w:val="auto"/>
        </w:rPr>
        <w:t xml:space="preserve"> </w:t>
      </w:r>
      <w:r>
        <w:rPr>
          <w:rFonts w:ascii="Arial" w:cs="Arial" w:eastAsia="Arial" w:hAnsi="Arial"/>
          <w:sz w:val="17"/>
          <w:szCs w:val="17"/>
          <w:color w:val="auto"/>
        </w:rPr>
        <w:t>Indemnitee shall be entitled to receive reimbursement for the Expenses actually and reasonably incurred in connection with a Proceeding from the Company as soon as practicable after Indemnitee makes a reasonably detailed written request to the Company for reimbursement.</w:t>
      </w:r>
    </w:p>
    <w:p>
      <w:pPr>
        <w:spacing w:after="0" w:line="166" w:lineRule="exact"/>
        <w:rPr>
          <w:sz w:val="20"/>
          <w:szCs w:val="20"/>
          <w:color w:val="auto"/>
        </w:rPr>
      </w:pPr>
    </w:p>
    <w:p>
      <w:pPr>
        <w:ind w:right="140" w:firstLine="1440"/>
        <w:spacing w:after="0" w:line="279" w:lineRule="auto"/>
        <w:tabs>
          <w:tab w:leader="none" w:pos="1938" w:val="left"/>
        </w:tabs>
        <w:numPr>
          <w:ilvl w:val="2"/>
          <w:numId w:val="23"/>
        </w:numPr>
        <w:rPr>
          <w:rFonts w:ascii="Arial" w:cs="Arial" w:eastAsia="Arial" w:hAnsi="Arial"/>
          <w:sz w:val="17"/>
          <w:szCs w:val="17"/>
          <w:color w:val="auto"/>
        </w:rPr>
      </w:pPr>
      <w:r>
        <w:rPr>
          <w:rFonts w:ascii="Arial" w:cs="Arial" w:eastAsia="Arial" w:hAnsi="Arial"/>
          <w:sz w:val="17"/>
          <w:szCs w:val="17"/>
          <w:i w:val="1"/>
          <w:iCs w:val="1"/>
          <w:color w:val="auto"/>
        </w:rPr>
        <w:t>Determination by the Reviewing Party</w:t>
      </w:r>
      <w:r>
        <w:rPr>
          <w:rFonts w:ascii="Arial" w:cs="Arial" w:eastAsia="Arial" w:hAnsi="Arial"/>
          <w:sz w:val="17"/>
          <w:szCs w:val="17"/>
          <w:color w:val="auto"/>
        </w:rPr>
        <w:t>. Notwithstanding anything foregoing to the contrary, in the event the Reviewing Party</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informs the Company that Indemnitee is not entitled to indemnification in connection with a Proceeding under this Agreement or applicable law, Indemnitee shall reimburse the Company for all Expenses previously advanced or otherwise paid to Indemnitee in connection with such Proceeding;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Indemnitee may bring a suit to enforce his indemnification right in accordance with Section C.3 below.</w:t>
      </w:r>
    </w:p>
    <w:p>
      <w:pPr>
        <w:spacing w:after="0" w:line="171" w:lineRule="exact"/>
        <w:rPr>
          <w:rFonts w:ascii="Arial" w:cs="Arial" w:eastAsia="Arial" w:hAnsi="Arial"/>
          <w:sz w:val="17"/>
          <w:szCs w:val="17"/>
          <w:color w:val="auto"/>
        </w:rPr>
      </w:pPr>
    </w:p>
    <w:p>
      <w:pPr>
        <w:ind w:left="1300" w:hanging="411"/>
        <w:spacing w:after="0"/>
        <w:tabs>
          <w:tab w:leader="none" w:pos="1300" w:val="left"/>
        </w:tabs>
        <w:numPr>
          <w:ilvl w:val="1"/>
          <w:numId w:val="24"/>
        </w:numPr>
        <w:rPr>
          <w:rFonts w:ascii="Arial" w:cs="Arial" w:eastAsia="Arial" w:hAnsi="Arial"/>
          <w:sz w:val="17"/>
          <w:szCs w:val="17"/>
          <w:color w:val="auto"/>
        </w:rPr>
      </w:pPr>
      <w:r>
        <w:rPr>
          <w:rFonts w:ascii="Arial" w:cs="Arial" w:eastAsia="Arial" w:hAnsi="Arial"/>
          <w:sz w:val="17"/>
          <w:szCs w:val="17"/>
          <w:u w:val="single" w:color="auto"/>
          <w:color w:val="auto"/>
        </w:rPr>
        <w:t>Suit to Enforce Rights</w:t>
      </w:r>
      <w:r>
        <w:rPr>
          <w:rFonts w:ascii="Arial" w:cs="Arial" w:eastAsia="Arial" w:hAnsi="Arial"/>
          <w:sz w:val="17"/>
          <w:szCs w:val="17"/>
          <w:color w:val="auto"/>
        </w:rPr>
        <w:t>. Regardless of any action by the Reviewing Party, if Indemnitee has not received full indemnification within thirty</w:t>
      </w:r>
    </w:p>
    <w:p>
      <w:pPr>
        <w:spacing w:after="0" w:line="34" w:lineRule="exact"/>
        <w:rPr>
          <w:rFonts w:ascii="Arial" w:cs="Arial" w:eastAsia="Arial" w:hAnsi="Arial"/>
          <w:sz w:val="17"/>
          <w:szCs w:val="17"/>
          <w:color w:val="auto"/>
        </w:rPr>
      </w:pPr>
    </w:p>
    <w:p>
      <w:pPr>
        <w:ind w:right="20" w:firstLine="8"/>
        <w:spacing w:after="0" w:line="254" w:lineRule="auto"/>
        <w:tabs>
          <w:tab w:leader="none" w:pos="345" w:val="left"/>
        </w:tabs>
        <w:numPr>
          <w:ilvl w:val="0"/>
          <w:numId w:val="25"/>
        </w:numPr>
        <w:rPr>
          <w:rFonts w:ascii="Arial" w:cs="Arial" w:eastAsia="Arial" w:hAnsi="Arial"/>
          <w:sz w:val="18"/>
          <w:szCs w:val="18"/>
          <w:color w:val="auto"/>
        </w:rPr>
      </w:pPr>
      <w:r>
        <w:rPr>
          <w:rFonts w:ascii="Arial" w:cs="Arial" w:eastAsia="Arial" w:hAnsi="Arial"/>
          <w:sz w:val="18"/>
          <w:szCs w:val="18"/>
          <w:color w:val="auto"/>
        </w:rPr>
        <w:t>days after making a written demand in accordance with Section C.2 above, Indemnitee shall have the right to enforce its indemnification rights under this Agreement by commencing litigation in any court of competent jurisdiction seeking a determination by the court or challenging any determination by the Reviewing Party or any breach in any aspect of this Agreement. Any determination by the Reviewing Party not challenged by Indemnitee and any judgment entered by the court shall be binding on the Company and Indemnitee.</w:t>
      </w:r>
    </w:p>
    <w:p>
      <w:pPr>
        <w:spacing w:after="0" w:line="189" w:lineRule="exact"/>
        <w:rPr>
          <w:rFonts w:ascii="Arial" w:cs="Arial" w:eastAsia="Arial" w:hAnsi="Arial"/>
          <w:sz w:val="18"/>
          <w:szCs w:val="18"/>
          <w:color w:val="auto"/>
        </w:rPr>
      </w:pPr>
    </w:p>
    <w:p>
      <w:pPr>
        <w:ind w:right="180" w:firstLine="889"/>
        <w:spacing w:after="0" w:line="259" w:lineRule="auto"/>
        <w:tabs>
          <w:tab w:leader="none" w:pos="1284"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Assumption of Defense</w:t>
      </w:r>
      <w:r>
        <w:rPr>
          <w:rFonts w:ascii="Arial" w:cs="Arial" w:eastAsia="Arial" w:hAnsi="Arial"/>
          <w:sz w:val="18"/>
          <w:szCs w:val="18"/>
          <w:color w:val="auto"/>
        </w:rPr>
        <w:t>. In the event the Company is obligated under this Agreement to advance or bear any Expenses for any Proceeding against Indemnitee, the Company shall be entitled to assume the defense of such Proceeding, with counsel approved by Indemnitee, upon delivery to Indemnitee of written notice of its election to do so. After delivery of such notice, approval of such counsel by Indemnitee and the retention of such counsel by the Company,</w:t>
      </w:r>
    </w:p>
    <w:p>
      <w:pPr>
        <w:sectPr>
          <w:pgSz w:w="11900" w:h="16838" w:orient="portrait"/>
          <w:cols w:equalWidth="0" w:num="1">
            <w:col w:w="11420"/>
          </w:cols>
          <w:pgMar w:left="240" w:top="125" w:right="239" w:bottom="0" w:gutter="0" w:footer="0" w:header="0"/>
        </w:sectPr>
      </w:pPr>
    </w:p>
    <w:bookmarkStart w:id="9" w:name="page10"/>
    <w:bookmarkEnd w:id="9"/>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the Company will not be liable to Indemnitee under this Agreement for any fees of counsel subsequently incurred by Indemnitee with respect to the same Proceeding, unless (i) the employment of counsel by Indemnitee has been previously authorized by the Company, (ii) Indemnitee shall have reasonably concluded, based on written advice of counsel, that there may be a conflict of interest of such counsel retained by the Company between the Company and Indemnitee in the conduct of any such defense, or (iii) the Company ceases or terminates the employment of such counsel with respect to the defense of such Proceeding, in any of which events the reasonable fees and expenses of Indemnitee’s counsel shall be at the expense of the Company. At all times, Indemnitee shall have the right to employ counsel in any Proceeding at Indemnitee’s expense.</w:t>
      </w:r>
    </w:p>
    <w:p>
      <w:pPr>
        <w:spacing w:after="0" w:line="178" w:lineRule="exact"/>
        <w:rPr>
          <w:sz w:val="20"/>
          <w:szCs w:val="20"/>
          <w:color w:val="auto"/>
        </w:rPr>
      </w:pPr>
    </w:p>
    <w:p>
      <w:pPr>
        <w:ind w:firstLine="889"/>
        <w:spacing w:after="0" w:line="254" w:lineRule="auto"/>
        <w:tabs>
          <w:tab w:leader="none" w:pos="1284"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Defense to Indemnification, Burden of Proof and Presumptions</w:t>
      </w:r>
      <w:r>
        <w:rPr>
          <w:rFonts w:ascii="Arial" w:cs="Arial" w:eastAsia="Arial" w:hAnsi="Arial"/>
          <w:sz w:val="18"/>
          <w:szCs w:val="18"/>
          <w:color w:val="auto"/>
        </w:rPr>
        <w:t>. It shall be a defense to any action brought by Indemnitee against the Company to enforce this Agreement that it is not permissible under this Agreement or applicable law for the Company to indemnify the Indemnitee for the amount claimed. In connection with any such action or any determination by the Reviewing Party or otherwise as to whether Indemnitee is entitled to be indemnified under this Agreement, the burden of proving such a defense or determination shall be on the Company. Neither the failure of the Reviewing Party or the Company to have made a determination prior to the commencement of such action by Indemnitee that indemnification is proper under the circumstances because Indemnitee has met the standard of conduct set forth in applicable law, nor an actual determination by the Reviewing Party or the Company that Indemnitee had not met such applicable standard of conduct shall be a defense to the action or create a presumption that Indemnitee has not met the applicable standard of conduct.</w:t>
      </w:r>
    </w:p>
    <w:p>
      <w:pPr>
        <w:spacing w:after="0" w:line="192" w:lineRule="exact"/>
        <w:rPr>
          <w:rFonts w:ascii="Arial" w:cs="Arial" w:eastAsia="Arial" w:hAnsi="Arial"/>
          <w:sz w:val="18"/>
          <w:szCs w:val="18"/>
          <w:color w:val="auto"/>
        </w:rPr>
      </w:pPr>
    </w:p>
    <w:p>
      <w:pPr>
        <w:ind w:right="80" w:firstLine="889"/>
        <w:spacing w:after="0" w:line="264" w:lineRule="auto"/>
        <w:tabs>
          <w:tab w:leader="none" w:pos="1284"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No Settlement Without Consent</w:t>
      </w:r>
      <w:r>
        <w:rPr>
          <w:rFonts w:ascii="Arial" w:cs="Arial" w:eastAsia="Arial" w:hAnsi="Arial"/>
          <w:sz w:val="18"/>
          <w:szCs w:val="18"/>
          <w:color w:val="auto"/>
        </w:rPr>
        <w:t>. Neither party to this Agreement shall settle any Proceeding in any manner that would impose any damage, loss, penalty or limitation on Indemnitee without the other party’s written consent. Neither the Company nor Indemnitee shall unreasonably withhold its consent to any proposed settlement.</w:t>
      </w:r>
    </w:p>
    <w:p>
      <w:pPr>
        <w:spacing w:after="0" w:line="181" w:lineRule="exact"/>
        <w:rPr>
          <w:rFonts w:ascii="Arial" w:cs="Arial" w:eastAsia="Arial" w:hAnsi="Arial"/>
          <w:sz w:val="18"/>
          <w:szCs w:val="18"/>
          <w:color w:val="auto"/>
        </w:rPr>
      </w:pPr>
    </w:p>
    <w:p>
      <w:pPr>
        <w:ind w:right="260" w:firstLine="889"/>
        <w:spacing w:after="0" w:line="264" w:lineRule="auto"/>
        <w:tabs>
          <w:tab w:leader="none" w:pos="1284"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Company Participation</w:t>
      </w:r>
      <w:r>
        <w:rPr>
          <w:rFonts w:ascii="Arial" w:cs="Arial" w:eastAsia="Arial" w:hAnsi="Arial"/>
          <w:sz w:val="18"/>
          <w:szCs w:val="18"/>
          <w:color w:val="auto"/>
        </w:rPr>
        <w:t>. Subject to Section B.6, the Company shall not be liable to indemnify the Indemnitee under this Agreement with regard to any judicial action if the Company was not given a reasonable and timely opportunity, at its expense, to participate in the defense, conduct and/or settlement of such action.</w:t>
      </w:r>
    </w:p>
    <w:p>
      <w:pPr>
        <w:spacing w:after="0" w:line="181" w:lineRule="exact"/>
        <w:rPr>
          <w:rFonts w:ascii="Arial" w:cs="Arial" w:eastAsia="Arial" w:hAnsi="Arial"/>
          <w:sz w:val="18"/>
          <w:szCs w:val="18"/>
          <w:color w:val="auto"/>
        </w:rPr>
      </w:pPr>
    </w:p>
    <w:p>
      <w:pPr>
        <w:ind w:firstLine="889"/>
        <w:spacing w:after="0" w:line="285" w:lineRule="auto"/>
        <w:tabs>
          <w:tab w:leader="none" w:pos="1284" w:val="left"/>
        </w:tabs>
        <w:numPr>
          <w:ilvl w:val="0"/>
          <w:numId w:val="26"/>
        </w:numPr>
        <w:rPr>
          <w:rFonts w:ascii="Arial" w:cs="Arial" w:eastAsia="Arial" w:hAnsi="Arial"/>
          <w:sz w:val="16"/>
          <w:szCs w:val="16"/>
          <w:color w:val="auto"/>
        </w:rPr>
      </w:pPr>
      <w:r>
        <w:rPr>
          <w:rFonts w:ascii="Arial" w:cs="Arial" w:eastAsia="Arial" w:hAnsi="Arial"/>
          <w:sz w:val="16"/>
          <w:szCs w:val="16"/>
          <w:u w:val="single" w:color="auto"/>
          <w:color w:val="auto"/>
        </w:rPr>
        <w:t>Reviewing Party</w:t>
      </w:r>
      <w:r>
        <w:rPr>
          <w:rFonts w:ascii="Arial" w:cs="Arial" w:eastAsia="Arial" w:hAnsi="Arial"/>
          <w:sz w:val="16"/>
          <w:szCs w:val="16"/>
          <w:color w:val="auto"/>
        </w:rPr>
        <w:t>. For purposes of this Agreement, in the event that the Disinterested Directors (as defined below) do not direct otherwise as contemplated in the immediately succeeding sentence, the Reviewing Party with respect to each indemnification request of Indemnitee shall be (1) by a majority vote of the Disinterested Directors, even though less than a quorum of the Board, (2) by a committee of Disinterested Directors designated by a majority vote of the Disinterested Directors, even though less than a quorum of the Board or (3) by the shareholders of the Company by majority vote of a quorum thereof consisting of shareholders who are not parties to the Proceeding due to which a claim for indemnification is made under this Agreement. In the event that (1) there are no Disinterested Directors or (2) a majority of the Disinterested Directors (or a committee thereof) so directs, the Reviewing Party with respect to each indemnification request of Indemnitee shall be Independent Counsel (as defined in Section 8(d) of this Agreement) in a written opinion to the Board, a copy of which shall be delivered to Indemnitee. If it is determined that Indemnitee is entitled to indemnification, payment to Indemnitee shall be made within ten (10) days after such determination. Indemnitee shall cooperate with the person, persons or entity making such determination with respect to Indemnitee’s entitlement to indemnification, including providing to such person, persons or entity upon reasonable advance request any documentation or information which is not privileged or otherwise protected from disclosure and which is reasonably available to Indemnitee and reasonably necessary to such determination. Any Independent Counsel or member of the Board shall act reasonably and in good faith in making a determination under this Agreement of the Indemnitee’s entitlement to indemnification. Any reasonable costs or expenses (including reasonable attorneys’ fees and disbursements) incurred by Indemnitee in so cooperating with the person, persons or entity making such determination shall be borne by the Company (irrespective of the determination as to Indemnitee’s entitlement to indemnification), and the Company hereby indemnifies and agrees to hold Indemnitee harmless therefrom to the extent as aforesaid to the fullest extent permitted by applicable law. “</w:t>
      </w:r>
      <w:r>
        <w:rPr>
          <w:rFonts w:ascii="Arial" w:cs="Arial" w:eastAsia="Arial" w:hAnsi="Arial"/>
          <w:sz w:val="16"/>
          <w:szCs w:val="16"/>
          <w:u w:val="single" w:color="auto"/>
          <w:color w:val="auto"/>
        </w:rPr>
        <w:t>Disinterested Director</w:t>
      </w:r>
      <w:r>
        <w:rPr>
          <w:rFonts w:ascii="Arial" w:cs="Arial" w:eastAsia="Arial" w:hAnsi="Arial"/>
          <w:sz w:val="16"/>
          <w:szCs w:val="16"/>
          <w:color w:val="auto"/>
        </w:rPr>
        <w:t>” means a director of the Company who is not and was not a party to the Proceeding in respect of which indemnification is sought by Indemnitee.</w:t>
      </w:r>
    </w:p>
    <w:p>
      <w:pPr>
        <w:spacing w:after="0" w:line="175" w:lineRule="exact"/>
        <w:rPr>
          <w:rFonts w:ascii="Arial" w:cs="Arial" w:eastAsia="Arial" w:hAnsi="Arial"/>
          <w:sz w:val="16"/>
          <w:szCs w:val="16"/>
          <w:color w:val="auto"/>
        </w:rPr>
      </w:pPr>
    </w:p>
    <w:p>
      <w:pPr>
        <w:jc w:val="both"/>
        <w:ind w:right="120" w:firstLine="1440"/>
        <w:spacing w:after="0" w:line="259" w:lineRule="auto"/>
        <w:tabs>
          <w:tab w:leader="none" w:pos="1948" w:val="left"/>
        </w:tabs>
        <w:numPr>
          <w:ilvl w:val="1"/>
          <w:numId w:val="26"/>
        </w:numPr>
        <w:rPr>
          <w:rFonts w:ascii="Arial" w:cs="Arial" w:eastAsia="Arial" w:hAnsi="Arial"/>
          <w:sz w:val="18"/>
          <w:szCs w:val="18"/>
          <w:color w:val="auto"/>
        </w:rPr>
      </w:pPr>
      <w:r>
        <w:rPr>
          <w:rFonts w:ascii="Arial" w:cs="Arial" w:eastAsia="Arial" w:hAnsi="Arial"/>
          <w:sz w:val="18"/>
          <w:szCs w:val="18"/>
          <w:color w:val="auto"/>
        </w:rPr>
        <w:t>If the determination of entitlement to indemnification is to be made by Independent Counsel, the Independent Counsel shall be selected as provided in this Section 8(b). The Independent Counsel shall be selected by Indemnitee (unless Indemnitee shall request that such selection be made by the Board of Directors, in which event the Board of Directors by a majority vote of a quorum consisting of Disinterested Directors shall select), and Indemnitee</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 xml:space="preserve">shall give written notice to the Company advising it of the identity of the Independent Counsel so selected. In either event, Indemnitee or the Company, as the case may be, may, within ten (10) days after such written notice of selection shall have been given, deliver to the Company or to Indemnitee, as the case may be, a written objection to such selection;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such objection may be asserted only on the ground that the Independent Counsel so selected does not meet the requirements of “</w:t>
      </w:r>
      <w:r>
        <w:rPr>
          <w:rFonts w:ascii="Arial" w:cs="Arial" w:eastAsia="Arial" w:hAnsi="Arial"/>
          <w:sz w:val="16"/>
          <w:szCs w:val="16"/>
          <w:u w:val="single" w:color="auto"/>
          <w:color w:val="auto"/>
        </w:rPr>
        <w:t>Independent Counsel</w:t>
      </w:r>
      <w:r>
        <w:rPr>
          <w:rFonts w:ascii="Arial" w:cs="Arial" w:eastAsia="Arial" w:hAnsi="Arial"/>
          <w:sz w:val="16"/>
          <w:szCs w:val="16"/>
          <w:color w:val="auto"/>
        </w:rPr>
        <w:t>” as defined in Section 8(d) of this Agreement, and the objection shall set forth with particularity the factual basis of such assertion. Absent a proper and timely objection, the person so selected shall act as Independent Counsel. If a written objection is made and substantiated, the Independent Counsel selected may not serve as Independent Counsel unless and until such objection is withdrawn or a court has determined that such objection is without merit. If the determination of entitlement to indemnification is to be made by Independent Counsel, but within 20 days after submission by Indemnitee of a written request for indemnification, no Independent Counsel shall have been selected and not objected to, then the Board of Directors by a majority vote shall select the Independent Counsel. The Company shall pay any and all reasonable fees and expenses of Independent Counsel incurred by such Independent Counsel in connection with acting under this Agreement, and the Company shall pay all reasonable fees and expenses incident to the procedures of this Section 8(b), regardless of the manner in which such Independent Counsel was selected or appointed.</w:t>
      </w:r>
    </w:p>
    <w:p>
      <w:pPr>
        <w:spacing w:after="0" w:line="173" w:lineRule="exact"/>
        <w:rPr>
          <w:sz w:val="20"/>
          <w:szCs w:val="20"/>
          <w:color w:val="auto"/>
        </w:rPr>
      </w:pPr>
    </w:p>
    <w:p>
      <w:pPr>
        <w:ind w:firstLine="1440"/>
        <w:spacing w:after="0" w:line="289" w:lineRule="auto"/>
        <w:tabs>
          <w:tab w:leader="none" w:pos="1938" w:val="left"/>
        </w:tabs>
        <w:numPr>
          <w:ilvl w:val="0"/>
          <w:numId w:val="27"/>
        </w:numPr>
        <w:rPr>
          <w:rFonts w:ascii="Arial" w:cs="Arial" w:eastAsia="Arial" w:hAnsi="Arial"/>
          <w:sz w:val="16"/>
          <w:szCs w:val="16"/>
          <w:color w:val="auto"/>
        </w:rPr>
      </w:pPr>
      <w:r>
        <w:rPr>
          <w:rFonts w:ascii="Arial" w:cs="Arial" w:eastAsia="Arial" w:hAnsi="Arial"/>
          <w:sz w:val="16"/>
          <w:szCs w:val="16"/>
          <w:color w:val="auto"/>
        </w:rPr>
        <w:t xml:space="preserve">In making a determination with respect to entitlement to indemnification hereunder, the Reviewing Party shall presume that Indemnitee is entitled to indemnification under this Agreement if Indemnitee has submitted a request for indemnification in accordance with this Agreement, and the Company shall have the burden of proof to overcome that presumption in connection with the making by any person, persons or entity of any determination contrary to that presumption. The termination of any Proceeding or of any claim, issue or matter therein, by judgment, order, settlement (with or without court approval), conviction, or upon a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or its equivalent, shall not (except as otherwise expressly provided in this Agreement) of itself adversely affect the right of Indemnitee to indemnification or create a presumption that Indemnitee did not act in good faith and in a manner which he reasonably believed to be in or not opposed to the best interests of the Company or, with respect to any criminal Proceeding, that Indemnitee had reasonable cause to believe that his conduct was unlawful. For purposes of any determination of good faith, Indemnitee shall be deemed to have acted in good faith if Indemnitee’s action is based on the records or books of account of the Company and any other corporation, partnership, joint venture or other</w:t>
      </w:r>
    </w:p>
    <w:p>
      <w:pPr>
        <w:sectPr>
          <w:pgSz w:w="11900" w:h="16932" w:orient="portrait"/>
          <w:cols w:equalWidth="0" w:num="1">
            <w:col w:w="11420"/>
          </w:cols>
          <w:pgMar w:left="240" w:top="125" w:right="239" w:bottom="0" w:gutter="0" w:footer="0" w:header="0"/>
        </w:sectPr>
      </w:pPr>
    </w:p>
    <w:bookmarkStart w:id="10" w:name="page11"/>
    <w:bookmarkEnd w:id="10"/>
    <w:p>
      <w:pPr>
        <w:ind w:right="60"/>
        <w:spacing w:after="0" w:line="270" w:lineRule="auto"/>
        <w:rPr>
          <w:sz w:val="20"/>
          <w:szCs w:val="20"/>
          <w:color w:val="auto"/>
        </w:rPr>
      </w:pPr>
      <w:r>
        <w:rPr>
          <w:rFonts w:ascii="Arial" w:cs="Arial" w:eastAsia="Arial" w:hAnsi="Arial"/>
          <w:sz w:val="17"/>
          <w:szCs w:val="17"/>
          <w:color w:val="auto"/>
        </w:rPr>
        <w:t>entity of which Indemnitee is or was serving at the written request of the Company as a director, officer, employee, agent or fiduciary, including financial statements, or on information supplied to Indemnitee by the officers and directors of the Company or such other corporation, partnership, joint venture or other entity in the course of their duties, or on the advice of legal counsel for the Company or such other corporation, partnership, joint venture or other entity or on information or records given or reports made to the Company or such other corporation, partnership, joint venture or other entity by an independent certified public accountant or by an appraiser or other expert selected with reasonable care by the Company or such other corporation, partnership, joint venture or other entity. In addition, the knowledge and/or actions, or failure to act, of any director, officer, agent or employee of the Company or such other corporation, partnership, joint venture or other entity shall not be imputed to Indemnitee for purposes of determining the right to indemnification under this Agreement. The provisions of this Section 8(c) shall not be deemed to be exclusive or to limit in any way the other circumstances in which the Indemnitee may be deemed to have met the applicable standard of conduct set forth in this Agreement.</w:t>
      </w:r>
    </w:p>
    <w:p>
      <w:pPr>
        <w:spacing w:after="0" w:line="182" w:lineRule="exact"/>
        <w:rPr>
          <w:sz w:val="20"/>
          <w:szCs w:val="20"/>
          <w:color w:val="auto"/>
        </w:rPr>
      </w:pPr>
    </w:p>
    <w:p>
      <w:pPr>
        <w:ind w:right="20" w:firstLine="1440"/>
        <w:spacing w:after="0" w:line="255" w:lineRule="auto"/>
        <w:tabs>
          <w:tab w:leader="none" w:pos="1948"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Counsel</w:t>
      </w:r>
      <w:r>
        <w:rPr>
          <w:rFonts w:ascii="Arial" w:cs="Arial" w:eastAsia="Arial" w:hAnsi="Arial"/>
          <w:sz w:val="18"/>
          <w:szCs w:val="18"/>
          <w:color w:val="auto"/>
        </w:rPr>
        <w:t>” means a law firm, or a member of a law firm, that is experienced in matters of corporation law and neither presently is, nor in the past five (5) years has been, retained to represent (i) the Company or Indemnitee in any matter material to either such party (other than with respect to matters concerning the Indemnitee under this Agreement, or of other indemnitees under similar indemnification agreements), or (ii) any other party to the Proceeding giving rise to a claim for indemnification hereunder. Notwithstanding the foregoing, the term “Independent Counsel” shall not include any person who, under the applicable standards of professional conduct then prevailing, would have a conflict of interest in representing either the Company or Indemnitee in an action to determine Indemnitee’s rights under this Agreement. The Company agrees to pay the reasonable fees of the Independent Counsel referred to above.</w:t>
      </w:r>
    </w:p>
    <w:p>
      <w:pPr>
        <w:spacing w:after="0" w:line="185" w:lineRule="exact"/>
        <w:rPr>
          <w:rFonts w:ascii="Arial" w:cs="Arial" w:eastAsia="Arial" w:hAnsi="Arial"/>
          <w:sz w:val="18"/>
          <w:szCs w:val="18"/>
          <w:color w:val="auto"/>
        </w:rPr>
      </w:pPr>
    </w:p>
    <w:p>
      <w:pPr>
        <w:ind w:left="1280" w:hanging="831"/>
        <w:spacing w:after="0"/>
        <w:tabs>
          <w:tab w:leader="none" w:pos="128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DIRECTOR AND OFFICER LIABILITY INSURANCE</w:t>
      </w:r>
    </w:p>
    <w:p>
      <w:pPr>
        <w:spacing w:after="0" w:line="229" w:lineRule="exact"/>
        <w:rPr>
          <w:rFonts w:ascii="Arial" w:cs="Arial" w:eastAsia="Arial" w:hAnsi="Arial"/>
          <w:sz w:val="18"/>
          <w:szCs w:val="18"/>
          <w:b w:val="1"/>
          <w:bCs w:val="1"/>
          <w:color w:val="auto"/>
        </w:rPr>
      </w:pPr>
    </w:p>
    <w:p>
      <w:pPr>
        <w:ind w:right="140" w:firstLine="889"/>
        <w:spacing w:after="0" w:line="264" w:lineRule="auto"/>
        <w:tabs>
          <w:tab w:leader="none" w:pos="1284"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Good Faith Determination</w:t>
      </w:r>
      <w:r>
        <w:rPr>
          <w:rFonts w:ascii="Arial" w:cs="Arial" w:eastAsia="Arial" w:hAnsi="Arial"/>
          <w:sz w:val="18"/>
          <w:szCs w:val="18"/>
          <w:color w:val="auto"/>
        </w:rPr>
        <w:t>. The Company shall from time to time make the good faith determination whether or not it is practicable for the Company to obtain and maintain a policy or policies of insurance with reputable insurance companies providing the officers and directors of the Company with coverage for losses incurred in connection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with their services to the Company or to ensure the Company’s performance of its indemnification obligations under this Agreement.</w:t>
      </w:r>
    </w:p>
    <w:p>
      <w:pPr>
        <w:spacing w:after="0" w:line="225" w:lineRule="exact"/>
        <w:rPr>
          <w:sz w:val="20"/>
          <w:szCs w:val="20"/>
          <w:color w:val="auto"/>
        </w:rPr>
      </w:pPr>
    </w:p>
    <w:p>
      <w:pPr>
        <w:ind w:right="180" w:firstLine="889"/>
        <w:spacing w:after="0" w:line="264" w:lineRule="auto"/>
        <w:tabs>
          <w:tab w:leader="none" w:pos="1284"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Coverage of Indemnitee</w:t>
      </w:r>
      <w:r>
        <w:rPr>
          <w:rFonts w:ascii="Arial" w:cs="Arial" w:eastAsia="Arial" w:hAnsi="Arial"/>
          <w:sz w:val="18"/>
          <w:szCs w:val="18"/>
          <w:color w:val="auto"/>
        </w:rPr>
        <w:t>. To the extent the Company maintains an insurance policy or policies providing directors’ and officers’ liability insurance, Indemnitee shall be covered by such policy or policies, in accordance with its or their terms, to the maximum extent of the coverage available for any of the Company’s directors or officers.</w:t>
      </w:r>
    </w:p>
    <w:p>
      <w:pPr>
        <w:spacing w:after="0" w:line="181" w:lineRule="exact"/>
        <w:rPr>
          <w:rFonts w:ascii="Arial" w:cs="Arial" w:eastAsia="Arial" w:hAnsi="Arial"/>
          <w:sz w:val="18"/>
          <w:szCs w:val="18"/>
          <w:color w:val="auto"/>
        </w:rPr>
      </w:pPr>
    </w:p>
    <w:p>
      <w:pPr>
        <w:ind w:right="60" w:firstLine="889"/>
        <w:spacing w:after="0" w:line="279" w:lineRule="auto"/>
        <w:tabs>
          <w:tab w:leader="none" w:pos="1284" w:val="left"/>
        </w:tabs>
        <w:numPr>
          <w:ilvl w:val="1"/>
          <w:numId w:val="30"/>
        </w:numPr>
        <w:rPr>
          <w:rFonts w:ascii="Arial" w:cs="Arial" w:eastAsia="Arial" w:hAnsi="Arial"/>
          <w:sz w:val="17"/>
          <w:szCs w:val="17"/>
          <w:color w:val="auto"/>
        </w:rPr>
      </w:pPr>
      <w:r>
        <w:rPr>
          <w:rFonts w:ascii="Arial" w:cs="Arial" w:eastAsia="Arial" w:hAnsi="Arial"/>
          <w:sz w:val="17"/>
          <w:szCs w:val="17"/>
          <w:u w:val="single" w:color="auto"/>
          <w:color w:val="auto"/>
        </w:rPr>
        <w:t>No Obligation</w:t>
      </w:r>
      <w:r>
        <w:rPr>
          <w:rFonts w:ascii="Arial" w:cs="Arial" w:eastAsia="Arial" w:hAnsi="Arial"/>
          <w:sz w:val="17"/>
          <w:szCs w:val="17"/>
          <w:color w:val="auto"/>
        </w:rPr>
        <w:t>. Notwithstanding the foregoing, the Company shall have no obligation to obtain or maintain any director and officer insurance policy if the Company determines in good faith that such insurance is not reasonably available in the case that (i) premium costs for such insurance are disproportionate to the amount of coverage provided, (ii) the coverage provided by such insurance is limited by exclusions so as to provide an insufficient benefit, or (iii) Indemnitee is covered by similar insurance maintained by a parent or subsidiary of the Company.</w:t>
      </w:r>
    </w:p>
    <w:p>
      <w:pPr>
        <w:spacing w:after="0" w:line="167" w:lineRule="exact"/>
        <w:rPr>
          <w:rFonts w:ascii="Arial" w:cs="Arial" w:eastAsia="Arial" w:hAnsi="Arial"/>
          <w:sz w:val="17"/>
          <w:szCs w:val="17"/>
          <w:color w:val="auto"/>
        </w:rPr>
      </w:pPr>
    </w:p>
    <w:p>
      <w:pPr>
        <w:ind w:left="1260" w:hanging="811"/>
        <w:spacing w:after="0"/>
        <w:tabs>
          <w:tab w:leader="none" w:pos="126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NON-EXCLUSIVITY; FEDERAL PREEMPTION; TERM</w:t>
      </w:r>
    </w:p>
    <w:p>
      <w:pPr>
        <w:spacing w:after="0" w:line="229" w:lineRule="exact"/>
        <w:rPr>
          <w:rFonts w:ascii="Arial" w:cs="Arial" w:eastAsia="Arial" w:hAnsi="Arial"/>
          <w:sz w:val="18"/>
          <w:szCs w:val="18"/>
          <w:b w:val="1"/>
          <w:bCs w:val="1"/>
          <w:color w:val="auto"/>
        </w:rPr>
      </w:pPr>
    </w:p>
    <w:p>
      <w:pPr>
        <w:ind w:right="80" w:firstLine="889"/>
        <w:spacing w:after="0" w:line="279" w:lineRule="auto"/>
        <w:tabs>
          <w:tab w:leader="none" w:pos="1284" w:val="left"/>
        </w:tabs>
        <w:numPr>
          <w:ilvl w:val="1"/>
          <w:numId w:val="31"/>
        </w:numPr>
        <w:rPr>
          <w:rFonts w:ascii="Arial" w:cs="Arial" w:eastAsia="Arial" w:hAnsi="Arial"/>
          <w:sz w:val="17"/>
          <w:szCs w:val="17"/>
          <w:color w:val="auto"/>
        </w:rPr>
      </w:pPr>
      <w:r>
        <w:rPr>
          <w:rFonts w:ascii="Arial" w:cs="Arial" w:eastAsia="Arial" w:hAnsi="Arial"/>
          <w:sz w:val="17"/>
          <w:szCs w:val="17"/>
          <w:u w:val="single" w:color="auto"/>
          <w:color w:val="auto"/>
        </w:rPr>
        <w:t>Non-Exclusivity</w:t>
      </w:r>
      <w:r>
        <w:rPr>
          <w:rFonts w:ascii="Arial" w:cs="Arial" w:eastAsia="Arial" w:hAnsi="Arial"/>
          <w:sz w:val="17"/>
          <w:szCs w:val="17"/>
          <w:color w:val="auto"/>
        </w:rPr>
        <w:t>. The indemnification provided by this Agreement shall not be deemed exclusive of any rights to which Indemnitee may be entitled under the Bye-Laws, applicable law or any written agreement between Indemnitee and the Company (including its subsidiaries and affiliates). The indemnification provided under this Agreement shall continue to be available to Indemnitee for any action taken or not taken while serving in an indemnified capacity even though he may have ceased to serve in any such capacity at the time of any Proceeding.</w:t>
      </w:r>
    </w:p>
    <w:p>
      <w:pPr>
        <w:spacing w:after="0" w:line="171" w:lineRule="exact"/>
        <w:rPr>
          <w:rFonts w:ascii="Arial" w:cs="Arial" w:eastAsia="Arial" w:hAnsi="Arial"/>
          <w:sz w:val="17"/>
          <w:szCs w:val="17"/>
          <w:color w:val="auto"/>
        </w:rPr>
      </w:pPr>
    </w:p>
    <w:p>
      <w:pPr>
        <w:ind w:right="40" w:firstLine="889"/>
        <w:spacing w:after="0" w:line="255" w:lineRule="auto"/>
        <w:tabs>
          <w:tab w:leader="none" w:pos="1284"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Federal Preemption</w:t>
      </w:r>
      <w:r>
        <w:rPr>
          <w:rFonts w:ascii="Arial" w:cs="Arial" w:eastAsia="Arial" w:hAnsi="Arial"/>
          <w:sz w:val="18"/>
          <w:szCs w:val="18"/>
          <w:color w:val="auto"/>
        </w:rPr>
        <w:t>. Notwithstanding the foregoing, both the Company and Indemnitee acknowledge that in certain instances, U.S. federal law or applicable public policy may override applicable law and prohibit the Company from indemnifying its directors and officers under this Agreement or otherwise. Indemnitee acknowledges that the U.S. Securities and Exchange Commission believes that indemnification for liabilities arising under certain U.S. federal securities laws is against public policy and is, therefore, unenforceable and that the Company may be required in the future to undertake with the United States Securities and Exchange Commission to submit the question of indemnification to a court in certain circumstances for a determination of the Company’s right under public policy to indemnify Indemnitee.</w:t>
      </w:r>
    </w:p>
    <w:p>
      <w:pPr>
        <w:spacing w:after="0" w:line="193" w:lineRule="exact"/>
        <w:rPr>
          <w:rFonts w:ascii="Arial" w:cs="Arial" w:eastAsia="Arial" w:hAnsi="Arial"/>
          <w:sz w:val="18"/>
          <w:szCs w:val="18"/>
          <w:color w:val="auto"/>
        </w:rPr>
      </w:pPr>
    </w:p>
    <w:p>
      <w:pPr>
        <w:ind w:right="60" w:firstLine="889"/>
        <w:spacing w:after="0" w:line="293" w:lineRule="auto"/>
        <w:tabs>
          <w:tab w:leader="none" w:pos="1284" w:val="left"/>
        </w:tabs>
        <w:numPr>
          <w:ilvl w:val="1"/>
          <w:numId w:val="31"/>
        </w:numPr>
        <w:rPr>
          <w:rFonts w:ascii="Arial" w:cs="Arial" w:eastAsia="Arial" w:hAnsi="Arial"/>
          <w:sz w:val="16"/>
          <w:szCs w:val="16"/>
          <w:color w:val="auto"/>
        </w:rPr>
      </w:pPr>
      <w:r>
        <w:rPr>
          <w:rFonts w:ascii="Arial" w:cs="Arial" w:eastAsia="Arial" w:hAnsi="Arial"/>
          <w:sz w:val="16"/>
          <w:szCs w:val="16"/>
          <w:u w:val="single" w:color="auto"/>
          <w:color w:val="auto"/>
        </w:rPr>
        <w:t>Duration of Agreement</w:t>
      </w:r>
      <w:r>
        <w:rPr>
          <w:rFonts w:ascii="Arial" w:cs="Arial" w:eastAsia="Arial" w:hAnsi="Arial"/>
          <w:sz w:val="16"/>
          <w:szCs w:val="16"/>
          <w:color w:val="auto"/>
        </w:rPr>
        <w:t>. All agreements and obligations of the Company contained herein shall continue during the period Indemnitee is an officer and/or a director of the Company (or is or was serving at the request of the Company as a director, officer, employee or agent of another corporation, partnership, joint venture, trust or other enterprise) and shall continue thereafter so long as Indemnitee shall be subject to any Proceeding by reason of his former or current capacity at the Company or any other enterprise at the Company’s request, whether or not he is acting or serving in any such capacity at the time any Expense is incurred for which indemnification can be provided under this Agreement. This Agreement shall continue in effect regardless of whether or not Indemnitee continues to serve as an officer and/or a director of the Company or any other enterprise at the Company’s request.</w:t>
      </w:r>
    </w:p>
    <w:p>
      <w:pPr>
        <w:spacing w:after="0" w:line="160" w:lineRule="exact"/>
        <w:rPr>
          <w:rFonts w:ascii="Arial" w:cs="Arial" w:eastAsia="Arial" w:hAnsi="Arial"/>
          <w:sz w:val="16"/>
          <w:szCs w:val="16"/>
          <w:color w:val="auto"/>
        </w:rPr>
      </w:pPr>
    </w:p>
    <w:p>
      <w:pPr>
        <w:ind w:left="1240" w:hanging="791"/>
        <w:spacing w:after="0"/>
        <w:tabs>
          <w:tab w:leader="none" w:pos="124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firstLine="889"/>
        <w:spacing w:after="0" w:line="259" w:lineRule="auto"/>
        <w:tabs>
          <w:tab w:leader="none" w:pos="1284"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Amendment of this Agreement</w:t>
      </w:r>
      <w:r>
        <w:rPr>
          <w:rFonts w:ascii="Arial" w:cs="Arial" w:eastAsia="Arial" w:hAnsi="Arial"/>
          <w:sz w:val="18"/>
          <w:szCs w:val="18"/>
          <w:color w:val="auto"/>
        </w:rPr>
        <w:t>. No supplement, modification, or amendment of this Agreement shall be binding unless executed in writing by the parties hereto. No waiver of any of the provisions of this Agreement shall operate as a waiver of any other provisions (whether or not similar), nor shall such waiver constitute a continuing waiver. Except as specifically provided in this Agreement, no failure to exercise or any delay in exercising any right or remedy shall constitute a waiver.</w:t>
      </w:r>
    </w:p>
    <w:p>
      <w:pPr>
        <w:spacing w:after="0" w:line="186" w:lineRule="exact"/>
        <w:rPr>
          <w:rFonts w:ascii="Arial" w:cs="Arial" w:eastAsia="Arial" w:hAnsi="Arial"/>
          <w:sz w:val="18"/>
          <w:szCs w:val="18"/>
          <w:color w:val="auto"/>
        </w:rPr>
      </w:pPr>
    </w:p>
    <w:p>
      <w:pPr>
        <w:jc w:val="both"/>
        <w:ind w:right="140" w:firstLine="889"/>
        <w:spacing w:after="0" w:line="286" w:lineRule="auto"/>
        <w:tabs>
          <w:tab w:leader="none" w:pos="1284" w:val="left"/>
        </w:tabs>
        <w:numPr>
          <w:ilvl w:val="1"/>
          <w:numId w:val="31"/>
        </w:numPr>
        <w:rPr>
          <w:rFonts w:ascii="Arial" w:cs="Arial" w:eastAsia="Arial" w:hAnsi="Arial"/>
          <w:sz w:val="17"/>
          <w:szCs w:val="17"/>
          <w:color w:val="auto"/>
        </w:rPr>
      </w:pPr>
      <w:r>
        <w:rPr>
          <w:rFonts w:ascii="Arial" w:cs="Arial" w:eastAsia="Arial" w:hAnsi="Arial"/>
          <w:sz w:val="17"/>
          <w:szCs w:val="17"/>
          <w:u w:val="single" w:color="auto"/>
          <w:color w:val="auto"/>
        </w:rPr>
        <w:t>Subrogation</w:t>
      </w:r>
      <w:r>
        <w:rPr>
          <w:rFonts w:ascii="Arial" w:cs="Arial" w:eastAsia="Arial" w:hAnsi="Arial"/>
          <w:sz w:val="17"/>
          <w:szCs w:val="17"/>
          <w:color w:val="auto"/>
        </w:rPr>
        <w:t>. In the event of payment to Indemnitee by the Company under this Agreement, the Company shall be subrogated to the extent of such payment to all of the rights of recovery of Indemnitee, who shall execute all papers required and shall do everything that may be necessary to secure such rights, including the execution of such documents necessary to enable the Company to bring suit to enforce such rights.</w:t>
      </w:r>
    </w:p>
    <w:p>
      <w:pPr>
        <w:spacing w:after="0" w:line="165" w:lineRule="exact"/>
        <w:rPr>
          <w:rFonts w:ascii="Arial" w:cs="Arial" w:eastAsia="Arial" w:hAnsi="Arial"/>
          <w:sz w:val="17"/>
          <w:szCs w:val="17"/>
          <w:color w:val="auto"/>
        </w:rPr>
      </w:pPr>
    </w:p>
    <w:p>
      <w:pPr>
        <w:ind w:right="140" w:firstLine="889"/>
        <w:spacing w:after="0" w:line="264" w:lineRule="auto"/>
        <w:tabs>
          <w:tab w:leader="none" w:pos="1284"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Assignment; Binding Effect</w:t>
      </w:r>
      <w:r>
        <w:rPr>
          <w:rFonts w:ascii="Arial" w:cs="Arial" w:eastAsia="Arial" w:hAnsi="Arial"/>
          <w:sz w:val="18"/>
          <w:szCs w:val="18"/>
          <w:color w:val="auto"/>
        </w:rPr>
        <w:t>. Neither this Agreement nor any of the rights or obligations hereunder may be assigned by either party hereto without the prior written consent of the other party; except that the Company may, without such consent, assign all such rights and obligations to a successor in interest to the Company which</w:t>
      </w:r>
    </w:p>
    <w:p>
      <w:pPr>
        <w:sectPr>
          <w:pgSz w:w="11900" w:h="16838" w:orient="portrait"/>
          <w:cols w:equalWidth="0" w:num="1">
            <w:col w:w="11420"/>
          </w:cols>
          <w:pgMar w:left="240" w:top="125" w:right="239" w:bottom="0" w:gutter="0" w:footer="0" w:header="0"/>
        </w:sectPr>
      </w:pP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6</w:t>
      </w:r>
    </w:p>
    <w:p>
      <w:pPr>
        <w:sectPr>
          <w:pgSz w:w="11900" w:h="16838" w:orient="portrait"/>
          <w:cols w:equalWidth="0" w:num="1">
            <w:col w:w="11420"/>
          </w:cols>
          <w:pgMar w:left="240" w:top="125" w:right="239" w:bottom="0" w:gutter="0" w:footer="0" w:header="0"/>
          <w:type w:val="continuous"/>
        </w:sectPr>
      </w:pPr>
    </w:p>
    <w:bookmarkStart w:id="11" w:name="page12"/>
    <w:bookmarkEnd w:id="11"/>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assumes all obligations of the Company under this Agreement. Notwithstanding the foregoing, this Agreement shall be binding upon and inure to the benefit of and be enforceable by and against the parties hereto and the Company’s successors (including any direct or indirect successor by purchase, merger, consolidation, or otherwise to all or substantially all of the business and/or assets of the Company) and assigns, as well as Indemnitee’s spouses, heirs, and personal and legal representatives.</w:t>
      </w:r>
    </w:p>
    <w:p>
      <w:pPr>
        <w:spacing w:after="0" w:line="187" w:lineRule="exact"/>
        <w:rPr>
          <w:sz w:val="20"/>
          <w:szCs w:val="20"/>
          <w:color w:val="auto"/>
        </w:rPr>
      </w:pPr>
    </w:p>
    <w:p>
      <w:pPr>
        <w:ind w:firstLine="889"/>
        <w:spacing w:after="0" w:line="273" w:lineRule="auto"/>
        <w:tabs>
          <w:tab w:leader="none" w:pos="1284" w:val="left"/>
        </w:tabs>
        <w:numPr>
          <w:ilvl w:val="0"/>
          <w:numId w:val="32"/>
        </w:numPr>
        <w:rPr>
          <w:rFonts w:ascii="Arial" w:cs="Arial" w:eastAsia="Arial" w:hAnsi="Arial"/>
          <w:sz w:val="17"/>
          <w:szCs w:val="17"/>
          <w:color w:val="auto"/>
        </w:rPr>
      </w:pPr>
      <w:r>
        <w:rPr>
          <w:rFonts w:ascii="Arial" w:cs="Arial" w:eastAsia="Arial" w:hAnsi="Arial"/>
          <w:sz w:val="17"/>
          <w:szCs w:val="17"/>
          <w:u w:val="single" w:color="auto"/>
          <w:color w:val="auto"/>
        </w:rPr>
        <w:t>Severability and Construction</w:t>
      </w:r>
      <w:r>
        <w:rPr>
          <w:rFonts w:ascii="Arial" w:cs="Arial" w:eastAsia="Arial" w:hAnsi="Arial"/>
          <w:sz w:val="17"/>
          <w:szCs w:val="17"/>
          <w:color w:val="auto"/>
        </w:rPr>
        <w:t>. Nothing in this Agreement is intended to require or shall be construed as requiring the Company to do or fail to do any act in violation of applicable law. The Company’s inability, pursuant to a court order, to perform its obligations under this Agreement shall not constitute a breach of this Agreement. In addition, if any portion of this Agreement shall be held by a court of competent jurisdiction to be invalid, void, or otherwise unenforceable, the remaining provisions shall remain enforceable to the fullest extent permitted by applicable law. The parties hereto acknowledge that they each have opportunities to have their respective counsels review this Agreement. Accordingly, this Agreement shall be deemed to be the product of both of the parties hereto, and no ambiguity shall be construed in favor of or against either of the parties hereto.</w:t>
      </w:r>
    </w:p>
    <w:p>
      <w:pPr>
        <w:spacing w:after="0" w:line="178" w:lineRule="exact"/>
        <w:rPr>
          <w:rFonts w:ascii="Arial" w:cs="Arial" w:eastAsia="Arial" w:hAnsi="Arial"/>
          <w:sz w:val="17"/>
          <w:szCs w:val="17"/>
          <w:color w:val="auto"/>
        </w:rPr>
      </w:pPr>
    </w:p>
    <w:p>
      <w:pPr>
        <w:ind w:left="1300" w:hanging="411"/>
        <w:spacing w:after="0"/>
        <w:tabs>
          <w:tab w:leader="none" w:pos="1300" w:val="left"/>
        </w:tabs>
        <w:numPr>
          <w:ilvl w:val="0"/>
          <w:numId w:val="32"/>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counterparts, both of which taken together shall constitute one instrument.</w:t>
      </w:r>
    </w:p>
    <w:p>
      <w:pPr>
        <w:spacing w:after="0" w:line="236" w:lineRule="exact"/>
        <w:rPr>
          <w:rFonts w:ascii="Arial" w:cs="Arial" w:eastAsia="Arial" w:hAnsi="Arial"/>
          <w:sz w:val="17"/>
          <w:szCs w:val="17"/>
          <w:color w:val="auto"/>
        </w:rPr>
      </w:pPr>
    </w:p>
    <w:p>
      <w:pPr>
        <w:ind w:right="60" w:firstLine="889"/>
        <w:spacing w:after="0" w:line="264" w:lineRule="auto"/>
        <w:tabs>
          <w:tab w:leader="none" w:pos="1284"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xml:space="preserve"> This Agreement and all acts and transactions pursuant hereto and the rights and obligations of the parties hereto shall be governed, construed and interpreted in accordance with the laws of the State of Delaware, United States of America, without giving effect to conflicts of law provisions thereof.</w:t>
      </w:r>
    </w:p>
    <w:p>
      <w:pPr>
        <w:spacing w:after="0" w:line="181" w:lineRule="exact"/>
        <w:rPr>
          <w:rFonts w:ascii="Arial" w:cs="Arial" w:eastAsia="Arial" w:hAnsi="Arial"/>
          <w:sz w:val="18"/>
          <w:szCs w:val="18"/>
          <w:color w:val="auto"/>
        </w:rPr>
      </w:pPr>
    </w:p>
    <w:p>
      <w:pPr>
        <w:ind w:right="40" w:firstLine="889"/>
        <w:spacing w:after="0" w:line="264" w:lineRule="auto"/>
        <w:tabs>
          <w:tab w:leader="none" w:pos="1284"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demands, and other communications required or permitted under this Agreement shall be made in writing and shall be deemed to have been duly given if delivered by hand, against receipt, or mailed, postage prepaid, certified or registered mail, return receipt requested, and addressed to the Company at:</w:t>
      </w:r>
    </w:p>
    <w:p>
      <w:pPr>
        <w:spacing w:after="0" w:line="18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Attention: Chief Executive Officer</w:t>
      </w:r>
    </w:p>
    <w:p>
      <w:pPr>
        <w:spacing w:after="0" w:line="211"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and to Indemnitee at:</w:t>
      </w:r>
    </w:p>
    <w:p>
      <w:pPr>
        <w:spacing w:after="0" w:line="22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Clyde Hosein</w:t>
      </w:r>
    </w:p>
    <w:p>
      <w:pPr>
        <w:spacing w:after="0" w:line="225" w:lineRule="exact"/>
        <w:rPr>
          <w:sz w:val="20"/>
          <w:szCs w:val="20"/>
          <w:color w:val="auto"/>
        </w:rPr>
      </w:pPr>
    </w:p>
    <w:p>
      <w:pPr>
        <w:ind w:firstLine="889"/>
        <w:spacing w:after="0" w:line="255" w:lineRule="auto"/>
        <w:tabs>
          <w:tab w:leader="none" w:pos="1284"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Entire Agreement; Superseding Agreement</w:t>
      </w:r>
      <w:r>
        <w:rPr>
          <w:rFonts w:ascii="Arial" w:cs="Arial" w:eastAsia="Arial" w:hAnsi="Arial"/>
          <w:sz w:val="18"/>
          <w:szCs w:val="18"/>
          <w:color w:val="auto"/>
        </w:rPr>
        <w:t>. This Agreement constitutes the entire agreement and supersedes all prior agreements and understandings, both written and oral, between the parties with respect to the subject matter hereof. Notwithstanding anything to the contrary in this Agreement, at such time as the Company adopts a form of director and officer indemnification agreement for use generally by the Company’s directors and officers (the “General Agreement”), Indemnitee and the Company agree that the parties hereto shall enter into the General Agreement, and at such time as the General Agreement is executed by both parties, the terms of the General Agreement shall be binding on the parties hereto and the terms of this Agreement shall be of no further force or effect.</w:t>
      </w:r>
    </w:p>
    <w:p>
      <w:pPr>
        <w:spacing w:after="0" w:line="1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(Signature page follows)</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WITNESS WHEREOF, the parties hereto execute this Agreement as of the date first written above.</w:t>
      </w:r>
    </w:p>
    <w:p>
      <w:pPr>
        <w:spacing w:after="0" w:line="221"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COMPANY</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-130175</wp:posOffset>
            </wp:positionV>
            <wp:extent cx="361886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jc w:val="center"/>
        <w:ind w:left="4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3"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INDEMNITEE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-130175</wp:posOffset>
            </wp:positionV>
            <wp:extent cx="361886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5"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Signature Page to Indemnification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733" w:right="299" w:bottom="1440" w:gutter="0" w:footer="0" w:header="0"/>
        </w:sectPr>
      </w:pPr>
    </w:p>
    <w:bookmarkStart w:id="12" w:name="page13"/>
    <w:bookmarkEnd w:id="12"/>
    <w:p>
      <w:pPr>
        <w:ind w:left="10280"/>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Marvell Names Clyde R. Hosein Chief Financial Officer</w:t>
      </w:r>
    </w:p>
    <w:p>
      <w:pPr>
        <w:sectPr>
          <w:pgSz w:w="11900" w:h="16838" w:orient="portrait"/>
          <w:cols w:equalWidth="0" w:num="1">
            <w:col w:w="11420"/>
          </w:cols>
          <w:pgMar w:left="240" w:top="337" w:right="239" w:bottom="424" w:gutter="0" w:footer="0" w:header="0"/>
        </w:sectPr>
      </w:pPr>
    </w:p>
    <w:p>
      <w:pPr>
        <w:spacing w:after="0" w:line="24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For Further Information Contact:</w:t>
      </w:r>
    </w:p>
    <w:p>
      <w:pPr>
        <w:spacing w:after="0" w:line="39" w:lineRule="exact"/>
        <w:rPr>
          <w:sz w:val="20"/>
          <w:szCs w:val="20"/>
          <w:color w:val="auto"/>
        </w:rPr>
      </w:pPr>
    </w:p>
    <w:p>
      <w:pPr>
        <w:ind w:left="20"/>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dvanasse@marvell.com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Ogilvy PR Worldwide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louise.kehoe@ogilvypr.com</w:t>
      </w:r>
    </w:p>
    <w:p>
      <w:pPr>
        <w:spacing w:after="0" w:line="222" w:lineRule="exact"/>
        <w:rPr>
          <w:sz w:val="20"/>
          <w:szCs w:val="20"/>
          <w:color w:val="auto"/>
        </w:rPr>
      </w:pPr>
    </w:p>
    <w:p>
      <w:pPr>
        <w:sectPr>
          <w:pgSz w:w="11900" w:h="16838" w:orient="portrait"/>
          <w:cols w:equalWidth="0" w:num="2">
            <w:col w:w="8300" w:space="720"/>
            <w:col w:w="2400"/>
          </w:cols>
          <w:pgMar w:left="240" w:top="337" w:right="239" w:bottom="424" w:gutter="0" w:footer="0" w:header="0"/>
          <w:type w:val="continuous"/>
        </w:sectPr>
      </w:pPr>
    </w:p>
    <w:p>
      <w:pPr>
        <w:spacing w:after="0" w:line="7" w:lineRule="exact"/>
        <w:rPr>
          <w:sz w:val="20"/>
          <w:szCs w:val="20"/>
          <w:color w:val="auto"/>
        </w:rPr>
      </w:pPr>
    </w:p>
    <w:p>
      <w:pPr>
        <w:ind w:right="20"/>
        <w:spacing w:after="0" w:line="282" w:lineRule="auto"/>
        <w:rPr>
          <w:sz w:val="20"/>
          <w:szCs w:val="20"/>
          <w:color w:val="auto"/>
        </w:rPr>
      </w:pPr>
      <w:r>
        <w:rPr>
          <w:rFonts w:ascii="Arial" w:cs="Arial" w:eastAsia="Arial" w:hAnsi="Arial"/>
          <w:sz w:val="18"/>
          <w:szCs w:val="18"/>
          <w:b w:val="1"/>
          <w:bCs w:val="1"/>
          <w:color w:val="auto"/>
        </w:rPr>
        <w:t xml:space="preserve">Santa Clara, California (May 29, 2008) — </w:t>
      </w:r>
      <w:r>
        <w:rPr>
          <w:rFonts w:ascii="Arial" w:cs="Arial" w:eastAsia="Arial" w:hAnsi="Arial"/>
          <w:sz w:val="18"/>
          <w:szCs w:val="18"/>
          <w:color w:val="auto"/>
        </w:rPr>
        <w:t>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announced it has named Clyde R. Hosein Chief Financial Officer, effective June 23rd, 2008.</w:t>
      </w:r>
    </w:p>
    <w:p>
      <w:pPr>
        <w:spacing w:after="0" w:line="166" w:lineRule="exact"/>
        <w:rPr>
          <w:sz w:val="20"/>
          <w:szCs w:val="20"/>
          <w:color w:val="auto"/>
        </w:rPr>
      </w:pPr>
    </w:p>
    <w:p>
      <w:pPr>
        <w:ind w:right="260"/>
        <w:spacing w:after="0" w:line="257" w:lineRule="auto"/>
        <w:rPr>
          <w:sz w:val="20"/>
          <w:szCs w:val="20"/>
          <w:color w:val="auto"/>
        </w:rPr>
      </w:pPr>
      <w:r>
        <w:rPr>
          <w:rFonts w:ascii="Arial" w:cs="Arial" w:eastAsia="Arial" w:hAnsi="Arial"/>
          <w:sz w:val="18"/>
          <w:szCs w:val="18"/>
          <w:color w:val="auto"/>
        </w:rPr>
        <w:t>Mr. Hosein brings to Marvell more than 25 years of experience in finance and operations in high technology industries. Prior to joining the Company, Mr. Hosein was chief financial officer for Integrated Device Technologies (IDT) and held the same position at Advanced Interconnect Technologies (AIT). Before joining Advanced Interconnect Technologies, Mr. Hosein was the chief financial officer and senior director of corporate planning of Candescent Technologies Corporation. Previous to Candescent, Mr. Hosein spent over 14 years with IBM Corporation, where he held several positions within their storage, microelectronics, data systems and corporate divisions.</w:t>
      </w:r>
    </w:p>
    <w:p>
      <w:pPr>
        <w:spacing w:after="0" w:line="188"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“Clyde has extensive financial management experience in the tech sector as well as a strong record of improving operations within the organizations he has served,” said Sehat Sutardja, Marvell’s Chief Executive Officer. “I am confident that his past experience and proven leadership will help him guide Marvell as we continue to build a solid platform for growth. We are very pleased to welcome Clyde to the Marvell team.”</w:t>
      </w:r>
    </w:p>
    <w:p>
      <w:pPr>
        <w:spacing w:after="0" w:line="166"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“I’m extremely impressed with Marvell’s history of innovation, market leadership, and their commitment to excellence,” said Hosein. “I believe my background and expertise are an excellent fit for this world-class organization as it embarks on its next phase of growth and I am looking forward to helping the Marvell team achieve the next level of excellence.”</w:t>
      </w:r>
    </w:p>
    <w:p>
      <w:pPr>
        <w:spacing w:after="0" w:line="181"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Mr. Hosein holds an M.B.A. from New York University Stern School of Business and a B.S. in industrial engineering from Polytechnic University in New York. He is a member of the Board of Directors for Cree Inc., where he serves on the Audit and Governance and Nominating committees, having previously served on the Compensation Committee.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328295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Mr. Hosein’s appointment is concurrent with the transition of George de Urioste, who has served as interim Chief Financial Officer since January 2008 to a new role as Acting Chief Operating Officer, covering a broad range of responsibilities. Pantas Sutardja, who has been serving as Acting COO, will relinquish those responsibilities in order to devote his full attention to his role as Chief Technology Officer (CTO).</w:t>
      </w:r>
    </w:p>
    <w:p>
      <w:pPr>
        <w:spacing w:after="0" w:line="18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“We want to thank George for his excellent service as interim chief financial officer,” said Mr. Sutardja. “George has been an integral member of the Marvell management team for the past few months, and we look forward to his continued leadership as acting chief operating officer.”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California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160" w:firstLine="42"/>
        <w:spacing w:after="0" w:line="257" w:lineRule="auto"/>
        <w:rPr>
          <w:sz w:val="20"/>
          <w:szCs w:val="20"/>
          <w:color w:val="auto"/>
        </w:rPr>
      </w:pPr>
      <w:r>
        <w:rPr>
          <w:rFonts w:ascii="Arial" w:cs="Arial" w:eastAsia="Arial" w:hAnsi="Arial"/>
          <w:sz w:val="18"/>
          <w:szCs w:val="18"/>
          <w:color w:val="auto"/>
        </w:rPr>
        <w:t>This release contains forward-looking statements that are subject to risks and uncertainties.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outcome of the company’s search for a permanent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332105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CFO. For other factors that could cause Marvell’s results to vary from expectations, please see the risks and other factors described in Marvell’s Quarterly Reports on Form 10-Q , Annual Report on Form 10-K and Current Reports on Form 8-K as filed with the Securities and Exchange Commission from time to time. Marvell undertakes no obligation to revise or update publicly any forward-looking statements.</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is a registered trademark of Marvell or its affiliates.</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names and brands may be claimed as the property of others.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355600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37" w:right="239" w:bottom="42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E45D32"/>
    <w:multiLevelType w:val="hybridMultilevel"/>
    <w:lvl w:ilvl="0">
      <w:lvlJc w:val="left"/>
      <w:lvlText w:val="(%1)"/>
      <w:numFmt w:val="lowerRoman"/>
      <w:start w:val="1"/>
    </w:lvl>
  </w:abstractNum>
  <w:abstractNum w:abstractNumId="1">
    <w:nsid w:val="519B500D"/>
    <w:multiLevelType w:val="hybridMultilevel"/>
    <w:lvl w:ilvl="0">
      <w:lvlJc w:val="left"/>
      <w:lvlText w:val="%1"/>
      <w:numFmt w:val="lowerRoman"/>
      <w:start w:val="1"/>
    </w:lvl>
    <w:lvl w:ilvl="1">
      <w:lvlJc w:val="left"/>
      <w:lvlText w:val="(%2)"/>
      <w:numFmt w:val="lowerRoman"/>
      <w:start w:val="3"/>
    </w:lvl>
    <w:lvl w:ilvl="2">
      <w:lvlJc w:val="left"/>
      <w:lvlText w:val="·"/>
      <w:numFmt w:val="bullet"/>
      <w:start w:val="1"/>
    </w:lvl>
  </w:abstractNum>
  <w:abstractNum w:abstractNumId="2">
    <w:nsid w:val="431BD7B7"/>
    <w:multiLevelType w:val="hybridMultilevel"/>
    <w:lvl w:ilvl="0">
      <w:lvlJc w:val="left"/>
      <w:lvlText w:val="(%1)"/>
      <w:numFmt w:val="lowerRoman"/>
      <w:start w:val="5"/>
    </w:lvl>
    <w:lvl w:ilvl="1">
      <w:lvlJc w:val="left"/>
      <w:lvlText w:val="%2"/>
      <w:numFmt w:val="lowerRoman"/>
      <w:start w:val="1"/>
    </w:lvl>
    <w:lvl w:ilvl="2">
      <w:lvlJc w:val="left"/>
      <w:lvlText w:val="·"/>
      <w:numFmt w:val="bullet"/>
      <w:start w:val="1"/>
    </w:lvl>
  </w:abstractNum>
  <w:abstractNum w:abstractNumId="3">
    <w:nsid w:val="3F2DBA31"/>
    <w:multiLevelType w:val="hybridMultilevel"/>
    <w:lvl w:ilvl="0">
      <w:lvlJc w:val="left"/>
      <w:lvlText w:val="(%1)"/>
      <w:numFmt w:val="lowerRoman"/>
      <w:start w:val="5"/>
    </w:lvl>
    <w:lvl w:ilvl="1">
      <w:lvlJc w:val="left"/>
      <w:lvlText w:val="·"/>
      <w:numFmt w:val="bullet"/>
      <w:start w:val="1"/>
    </w:lvl>
  </w:abstractNum>
  <w:abstractNum w:abstractNumId="4">
    <w:nsid w:val="7C83E458"/>
    <w:multiLevelType w:val="hybridMultilevel"/>
    <w:lvl w:ilvl="0">
      <w:lvlJc w:val="left"/>
      <w:lvlText w:val="(%1)"/>
      <w:numFmt w:val="lowerLetter"/>
      <w:start w:val="4"/>
    </w:lvl>
  </w:abstractNum>
  <w:abstractNum w:abstractNumId="5">
    <w:nsid w:val="257130A3"/>
    <w:multiLevelType w:val="hybridMultilevel"/>
    <w:lvl w:ilvl="0">
      <w:lvlJc w:val="left"/>
      <w:lvlText w:val="(%1)"/>
      <w:numFmt w:val="lowerRoman"/>
      <w:start w:val="2"/>
    </w:lvl>
  </w:abstractNum>
  <w:abstractNum w:abstractNumId="6">
    <w:nsid w:val="62BBD95A"/>
    <w:multiLevelType w:val="hybridMultilevel"/>
    <w:lvl w:ilvl="0">
      <w:lvlJc w:val="left"/>
      <w:lvlText w:val="·"/>
      <w:numFmt w:val="bullet"/>
      <w:start w:val="1"/>
    </w:lvl>
  </w:abstractNum>
  <w:abstractNum w:abstractNumId="7">
    <w:nsid w:val="436C6125"/>
    <w:multiLevelType w:val="hybridMultilevel"/>
    <w:lvl w:ilvl="0">
      <w:lvlJc w:val="left"/>
      <w:lvlText w:val="·"/>
      <w:numFmt w:val="bullet"/>
      <w:start w:val="1"/>
    </w:lvl>
  </w:abstractNum>
  <w:abstractNum w:abstractNumId="8">
    <w:nsid w:val="628C895D"/>
    <w:multiLevelType w:val="hybridMultilevel"/>
    <w:lvl w:ilvl="0">
      <w:lvlJc w:val="left"/>
      <w:lvlText w:val="·"/>
      <w:numFmt w:val="bullet"/>
      <w:start w:val="1"/>
    </w:lvl>
  </w:abstractNum>
  <w:abstractNum w:abstractNumId="9">
    <w:nsid w:val="333AB105"/>
    <w:multiLevelType w:val="hybridMultilevel"/>
    <w:lvl w:ilvl="0">
      <w:lvlJc w:val="left"/>
      <w:lvlText w:val="·"/>
      <w:numFmt w:val="bullet"/>
      <w:start w:val="1"/>
    </w:lvl>
  </w:abstractNum>
  <w:abstractNum w:abstractNumId="10">
    <w:nsid w:val="721DA317"/>
    <w:multiLevelType w:val="hybridMultilevel"/>
    <w:lvl w:ilvl="0">
      <w:lvlJc w:val="left"/>
      <w:lvlText w:val="·"/>
      <w:numFmt w:val="bullet"/>
      <w:start w:val="1"/>
    </w:lvl>
  </w:abstractNum>
  <w:abstractNum w:abstractNumId="11">
    <w:nsid w:val="2443A858"/>
    <w:multiLevelType w:val="hybridMultilevel"/>
    <w:lvl w:ilvl="0">
      <w:lvlJc w:val="left"/>
      <w:lvlText w:val="·"/>
      <w:numFmt w:val="bullet"/>
      <w:start w:val="1"/>
    </w:lvl>
  </w:abstractNum>
  <w:abstractNum w:abstractNumId="12">
    <w:nsid w:val="2D1D5AE9"/>
    <w:multiLevelType w:val="hybridMultilevel"/>
    <w:lvl w:ilvl="0">
      <w:lvlJc w:val="left"/>
      <w:lvlText w:val="(%1)"/>
      <w:numFmt w:val="lowerRoman"/>
      <w:start w:val="1"/>
    </w:lvl>
  </w:abstractNum>
  <w:abstractNum w:abstractNumId="13">
    <w:nsid w:val="6763845E"/>
    <w:multiLevelType w:val="hybridMultilevel"/>
    <w:lvl w:ilvl="0">
      <w:lvlJc w:val="left"/>
      <w:lvlText w:val="%1."/>
      <w:numFmt w:val="decimal"/>
      <w:start w:val="1"/>
    </w:lvl>
  </w:abstractNum>
  <w:abstractNum w:abstractNumId="14">
    <w:nsid w:val="75A2A8D4"/>
    <w:multiLevelType w:val="hybridMultilevel"/>
    <w:lvl w:ilvl="0">
      <w:lvlJc w:val="left"/>
      <w:lvlText w:val="%1."/>
      <w:numFmt w:val="decimal"/>
      <w:start w:val="4"/>
    </w:lvl>
  </w:abstractNum>
  <w:abstractNum w:abstractNumId="15">
    <w:nsid w:val="8EDBDAB"/>
    <w:multiLevelType w:val="hybridMultilevel"/>
    <w:lvl w:ilvl="0">
      <w:lvlJc w:val="left"/>
      <w:lvlText w:val="%1."/>
      <w:numFmt w:val="upperLetter"/>
      <w:start w:val="1"/>
    </w:lvl>
  </w:abstractNum>
  <w:abstractNum w:abstractNumId="16">
    <w:nsid w:val="79838CB2"/>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17">
    <w:nsid w:val="4353D0CD"/>
    <w:multiLevelType w:val="hybridMultilevel"/>
    <w:lvl w:ilvl="0">
      <w:lvlJc w:val="left"/>
      <w:lvlText w:val="(%1)"/>
      <w:numFmt w:val="lowerLetter"/>
      <w:start w:val="3"/>
    </w:lvl>
  </w:abstractNum>
  <w:abstractNum w:abstractNumId="18">
    <w:nsid w:val="B03E0C6"/>
    <w:multiLevelType w:val="hybridMultilevel"/>
    <w:lvl w:ilvl="0">
      <w:lvlJc w:val="left"/>
      <w:lvlText w:val="%1"/>
      <w:numFmt w:val="decimal"/>
      <w:start w:val="1"/>
    </w:lvl>
    <w:lvl w:ilvl="1">
      <w:lvlJc w:val="left"/>
      <w:lvlText w:val="(%2)"/>
      <w:numFmt w:val="lowerLetter"/>
      <w:start w:val="8"/>
    </w:lvl>
  </w:abstractNum>
  <w:abstractNum w:abstractNumId="19">
    <w:nsid w:val="189A769B"/>
    <w:multiLevelType w:val="hybridMultilevel"/>
    <w:lvl w:ilvl="0">
      <w:lvlJc w:val="left"/>
      <w:lvlText w:val="%1."/>
      <w:numFmt w:val="decimal"/>
      <w:start w:val="5"/>
    </w:lvl>
    <w:lvl w:ilvl="1">
      <w:lvlJc w:val="left"/>
      <w:lvlText w:val="%2"/>
      <w:numFmt w:val="lowerLetter"/>
      <w:start w:val="1"/>
    </w:lvl>
  </w:abstractNum>
  <w:abstractNum w:abstractNumId="20">
    <w:nsid w:val="54E49EB4"/>
    <w:multiLevelType w:val="hybridMultilevel"/>
    <w:lvl w:ilvl="0">
      <w:lvlJc w:val="left"/>
      <w:lvlText w:val="%1"/>
      <w:numFmt w:val="upperLetter"/>
      <w:start w:val="1"/>
    </w:lvl>
    <w:lvl w:ilvl="1">
      <w:lvlJc w:val="left"/>
      <w:lvlText w:val="%2."/>
      <w:numFmt w:val="decimal"/>
      <w:start w:val="6"/>
    </w:lvl>
    <w:lvl w:ilvl="2">
      <w:lvlJc w:val="left"/>
      <w:lvlText w:val="%3"/>
      <w:numFmt w:val="lowerLetter"/>
      <w:start w:val="1"/>
    </w:lvl>
    <w:lvl w:ilvl="3">
      <w:lvlJc w:val="left"/>
      <w:lvlText w:val="%4"/>
      <w:numFmt w:val="lowerLetter"/>
      <w:start w:val="1"/>
    </w:lvl>
  </w:abstractNum>
  <w:abstractNum w:abstractNumId="21">
    <w:nsid w:val="71F32454"/>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Letter"/>
      <w:start w:val="2"/>
    </w:lvl>
  </w:abstractNum>
  <w:abstractNum w:abstractNumId="22">
    <w:nsid w:val="2CA88611"/>
    <w:multiLevelType w:val="hybridMultilevel"/>
    <w:lvl w:ilvl="0">
      <w:lvlJc w:val="left"/>
      <w:lvlText w:val="%1"/>
      <w:numFmt w:val="decimal"/>
      <w:start w:val="1"/>
    </w:lvl>
    <w:lvl w:ilvl="1">
      <w:lvlJc w:val="left"/>
      <w:lvlText w:val="%2"/>
      <w:numFmt w:val="decimal"/>
      <w:start w:val="1"/>
    </w:lvl>
    <w:lvl w:ilvl="2">
      <w:lvlJc w:val="left"/>
      <w:lvlText w:val="(%3)"/>
      <w:numFmt w:val="lowerLetter"/>
      <w:start w:val="3"/>
    </w:lvl>
  </w:abstractNum>
  <w:abstractNum w:abstractNumId="23">
    <w:nsid w:val="836C40E"/>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24">
    <w:nsid w:val="2901D82"/>
    <w:multiLevelType w:val="hybridMultilevel"/>
    <w:lvl w:ilvl="0">
      <w:lvlJc w:val="left"/>
      <w:lvlText w:val="(%1)"/>
      <w:numFmt w:val="decimal"/>
      <w:start w:val="30"/>
    </w:lvl>
    <w:lvl w:ilvl="1">
      <w:lvlJc w:val="left"/>
      <w:lvlText w:val="%2."/>
      <w:numFmt w:val="decimal"/>
      <w:start w:val="4"/>
    </w:lvl>
    <w:lvl w:ilvl="2">
      <w:lvlJc w:val="left"/>
      <w:lvlText w:val="%3"/>
      <w:numFmt w:val="lowerLetter"/>
      <w:start w:val="1"/>
    </w:lvl>
  </w:abstractNum>
  <w:abstractNum w:abstractNumId="25">
    <w:nsid w:val="3A95F874"/>
    <w:multiLevelType w:val="hybridMultilevel"/>
    <w:lvl w:ilvl="0">
      <w:lvlJc w:val="left"/>
      <w:lvlText w:val="%1."/>
      <w:numFmt w:val="decimal"/>
      <w:start w:val="5"/>
    </w:lvl>
    <w:lvl w:ilvl="1">
      <w:lvlJc w:val="left"/>
      <w:lvlText w:val="(%2)"/>
      <w:numFmt w:val="lowerLetter"/>
      <w:start w:val="2"/>
    </w:lvl>
  </w:abstractNum>
  <w:abstractNum w:abstractNumId="26">
    <w:nsid w:val="8138641"/>
    <w:multiLevelType w:val="hybridMultilevel"/>
    <w:lvl w:ilvl="0">
      <w:lvlJc w:val="left"/>
      <w:lvlText w:val="(%1)"/>
      <w:numFmt w:val="lowerLetter"/>
      <w:start w:val="3"/>
    </w:lvl>
  </w:abstractNum>
  <w:abstractNum w:abstractNumId="27">
    <w:nsid w:val="1E7FF521"/>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4"/>
    </w:lvl>
  </w:abstractNum>
  <w:abstractNum w:abstractNumId="28">
    <w:nsid w:val="7C3DBD3D"/>
    <w:multiLevelType w:val="hybridMultilevel"/>
    <w:lvl w:ilvl="0">
      <w:lvlJc w:val="left"/>
      <w:lvlText w:val="%1."/>
      <w:numFmt w:val="upperLetter"/>
      <w:start w:val="4"/>
    </w:lvl>
    <w:lvl w:ilvl="1">
      <w:lvlJc w:val="left"/>
      <w:lvlText w:val="%2."/>
      <w:numFmt w:val="decimal"/>
      <w:start w:val="1"/>
    </w:lvl>
    <w:lvl w:ilvl="2">
      <w:lvlJc w:val="left"/>
      <w:lvlText w:val="%3"/>
      <w:numFmt w:val="lowerLetter"/>
      <w:start w:val="1"/>
    </w:lvl>
  </w:abstractNum>
  <w:abstractNum w:abstractNumId="29">
    <w:nsid w:val="737B8DDC"/>
    <w:multiLevelType w:val="hybridMultilevel"/>
    <w:lvl w:ilvl="0">
      <w:lvlJc w:val="left"/>
      <w:lvlText w:val="%1"/>
      <w:numFmt w:val="upperLetter"/>
      <w:start w:val="1"/>
    </w:lvl>
    <w:lvl w:ilvl="1">
      <w:lvlJc w:val="left"/>
      <w:lvlText w:val="%2."/>
      <w:numFmt w:val="decimal"/>
      <w:start w:val="2"/>
    </w:lvl>
  </w:abstractNum>
  <w:abstractNum w:abstractNumId="30">
    <w:nsid w:val="6CEAF087"/>
    <w:multiLevelType w:val="hybridMultilevel"/>
    <w:lvl w:ilvl="0">
      <w:lvlJc w:val="left"/>
      <w:lvlText w:val="%1."/>
      <w:numFmt w:val="upperLetter"/>
      <w:start w:val="5"/>
    </w:lvl>
    <w:lvl w:ilvl="1">
      <w:lvlJc w:val="left"/>
      <w:lvlText w:val="%2."/>
      <w:numFmt w:val="decimal"/>
      <w:start w:val="1"/>
    </w:lvl>
  </w:abstractNum>
  <w:abstractNum w:abstractNumId="31">
    <w:nsid w:val="22221A70"/>
    <w:multiLevelType w:val="hybridMultilevel"/>
    <w:lvl w:ilvl="0">
      <w:lvlJc w:val="left"/>
      <w:lvlText w:val="%1."/>
      <w:numFmt w:val="decimal"/>
      <w:start w:val="4"/>
    </w:lvl>
  </w:abstractNum>
  <w:abstractNum w:abstractNumId="32">
    <w:nsid w:val="4516DDE9"/>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2019-12-14T19:22:03Z</dcterms:created>
  <dcterms:modified xsi:type="dcterms:W3CDTF">2019-12-14T19:22:03Z</dcterms:modified>
</cp:coreProperties>
</file>