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5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26"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May 29, 2008</w:t>
      </w:r>
    </w:p>
    <w:p>
      <w:pPr>
        <w:spacing w:after="0" w:line="202"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380"/>
          </w:cols>
          <w:pgMar w:left="240" w:top="530" w:right="279" w:bottom="0" w:gutter="0" w:footer="0" w:header="0"/>
        </w:sectPr>
      </w:pPr>
    </w:p>
    <w:p>
      <w:pPr>
        <w:spacing w:after="0" w:line="205" w:lineRule="exact"/>
        <w:rPr>
          <w:sz w:val="24"/>
          <w:szCs w:val="24"/>
          <w:color w:val="auto"/>
        </w:rPr>
      </w:pPr>
    </w:p>
    <w:p>
      <w:pPr>
        <w:ind w:left="14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78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2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2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8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ind w:left="2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ind w:left="40"/>
        <w:spacing w:after="0"/>
        <w:rPr>
          <w:sz w:val="20"/>
          <w:szCs w:val="20"/>
          <w:color w:val="auto"/>
        </w:rPr>
      </w:pPr>
      <w:r>
        <w:rPr>
          <w:rFonts w:ascii="Arial" w:cs="Arial" w:eastAsia="Arial" w:hAnsi="Arial"/>
          <w:sz w:val="17"/>
          <w:szCs w:val="17"/>
          <w:color w:val="auto"/>
        </w:rPr>
        <w:t>(I.R.S. Employer</w:t>
      </w:r>
    </w:p>
    <w:p>
      <w:pPr>
        <w:spacing w:after="0" w:line="21" w:lineRule="exact"/>
        <w:rPr>
          <w:sz w:val="24"/>
          <w:szCs w:val="24"/>
          <w:color w:val="auto"/>
        </w:rPr>
      </w:pPr>
    </w:p>
    <w:p>
      <w:pPr>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20" w:space="720"/>
            <w:col w:w="3460" w:space="720"/>
            <w:col w:w="2460"/>
          </w:cols>
          <w:pgMar w:left="240" w:top="530" w:right="279" w:bottom="0" w:gutter="0" w:footer="0" w:header="0"/>
          <w:type w:val="continuous"/>
        </w:sectPr>
      </w:pPr>
    </w:p>
    <w:p>
      <w:pPr>
        <w:spacing w:after="0" w:line="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380"/>
          </w:cols>
          <w:pgMar w:left="240" w:top="530" w:right="279" w:bottom="0" w:gutter="0" w:footer="0" w:header="0"/>
          <w:type w:val="continuous"/>
        </w:sectPr>
      </w:pPr>
    </w:p>
    <w:p>
      <w:pPr>
        <w:spacing w:after="0" w:line="23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4"/>
          <w:szCs w:val="24"/>
          <w:color w:val="auto"/>
        </w:rPr>
      </w:pPr>
    </w:p>
    <w:p>
      <w:pPr>
        <w:ind w:right="40" w:firstLine="648"/>
        <w:spacing w:after="0" w:line="279" w:lineRule="auto"/>
        <w:rPr>
          <w:sz w:val="20"/>
          <w:szCs w:val="20"/>
          <w:color w:val="auto"/>
        </w:rPr>
      </w:pPr>
      <w:r>
        <w:rPr>
          <w:rFonts w:ascii="Arial" w:cs="Arial" w:eastAsia="Arial" w:hAnsi="Arial"/>
          <w:sz w:val="17"/>
          <w:szCs w:val="17"/>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71" w:lineRule="exact"/>
        <w:rPr>
          <w:sz w:val="24"/>
          <w:szCs w:val="24"/>
          <w:color w:val="auto"/>
        </w:rPr>
      </w:pPr>
    </w:p>
    <w:p>
      <w:pPr>
        <w:ind w:right="180" w:firstLine="648"/>
        <w:spacing w:after="0" w:line="277" w:lineRule="auto"/>
        <w:rPr>
          <w:sz w:val="20"/>
          <w:szCs w:val="20"/>
          <w:color w:val="auto"/>
        </w:rPr>
      </w:pPr>
      <w:r>
        <w:rPr>
          <w:rFonts w:ascii="Arial" w:cs="Arial" w:eastAsia="Arial" w:hAnsi="Arial"/>
          <w:sz w:val="18"/>
          <w:szCs w:val="18"/>
          <w:color w:val="auto"/>
        </w:rPr>
        <w:t>On May 29, 2008, Marvell Technology Group Ltd. (“Marvell”) issued a press release regarding its financial results for its first fiscal quarter ended May 3, 2008. A copy of the press release is furnished herewith as Exhibit 99.1 and is incorporated by reference herein.</w:t>
      </w:r>
    </w:p>
    <w:p>
      <w:pPr>
        <w:spacing w:after="0" w:line="16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29" w:lineRule="exact"/>
        <w:rPr>
          <w:sz w:val="24"/>
          <w:szCs w:val="24"/>
          <w:color w:val="auto"/>
        </w:rPr>
      </w:pPr>
    </w:p>
    <w:p>
      <w:pPr>
        <w:ind w:right="180" w:firstLine="648"/>
        <w:spacing w:after="0" w:line="264" w:lineRule="auto"/>
        <w:rPr>
          <w:sz w:val="20"/>
          <w:szCs w:val="20"/>
          <w:color w:val="auto"/>
        </w:rPr>
      </w:pPr>
      <w:r>
        <w:rPr>
          <w:rFonts w:ascii="Arial" w:cs="Arial" w:eastAsia="Arial" w:hAnsi="Arial"/>
          <w:sz w:val="18"/>
          <w:szCs w:val="18"/>
          <w:color w:val="auto"/>
        </w:rPr>
        <w:t>In addition to disclosing financial results calculated in accordance with GAAP, Marvell also reports adjusted net income and net income per share, referred to respectively as “non-GAAP net income” and “non-GAAP net income per share.” Non-GAAP measures exclude the effect of stock-based compensation, amortization of acquired intangible assets and restructuring costs.</w:t>
      </w:r>
    </w:p>
    <w:p>
      <w:pPr>
        <w:spacing w:after="0" w:line="181" w:lineRule="exact"/>
        <w:rPr>
          <w:sz w:val="24"/>
          <w:szCs w:val="24"/>
          <w:color w:val="auto"/>
        </w:rPr>
      </w:pPr>
    </w:p>
    <w:p>
      <w:pPr>
        <w:ind w:right="60" w:firstLine="648"/>
        <w:spacing w:after="0" w:line="255" w:lineRule="auto"/>
        <w:rPr>
          <w:sz w:val="20"/>
          <w:szCs w:val="20"/>
          <w:color w:val="auto"/>
        </w:rPr>
      </w:pPr>
      <w:r>
        <w:rPr>
          <w:rFonts w:ascii="Arial" w:cs="Arial" w:eastAsia="Arial" w:hAnsi="Arial"/>
          <w:sz w:val="18"/>
          <w:szCs w:val="18"/>
          <w:color w:val="auto"/>
        </w:rPr>
        <w:t>Non-GAAP net income consists of net income (loss) excluding stock-based compensation expense as well as charges related to acquisitions and other charges and gains that are driven primarily by discrete events that management does not consider to be directly related to Marvell’s core operating performance. Non-GAAP net income per share is calculated by dividing non-GAAP net income by adjusted GAAP weighted average shares outstanding (diluted). For purposes of calculating non-GAAP net income per share, the calculation of GAAP weighted average shares outstanding (diluted) is adjusted to exclude the benefits of SFAS 123R compensation costs attributable to future services and not yet recognized in the financial statements that are treated as proceeds assumed to be used to repurchase shares under the GAAP treasury stock method and also includes the dilutive/antidilutive effects of warrants, common stock options and restricted stock.</w:t>
      </w:r>
    </w:p>
    <w:p>
      <w:pPr>
        <w:sectPr>
          <w:pgSz w:w="11900" w:h="16838" w:orient="portrait"/>
          <w:cols w:equalWidth="0" w:num="1">
            <w:col w:w="11380"/>
          </w:cols>
          <w:pgMar w:left="240" w:top="530" w:right="279" w:bottom="0" w:gutter="0" w:footer="0" w:header="0"/>
          <w:type w:val="continuous"/>
        </w:sectPr>
      </w:pPr>
    </w:p>
    <w:bookmarkStart w:id="1" w:name="page2"/>
    <w:bookmarkEnd w:id="1"/>
    <w:p>
      <w:pPr>
        <w:ind w:right="60" w:firstLine="648"/>
        <w:spacing w:after="0" w:line="284" w:lineRule="auto"/>
        <w:rPr>
          <w:sz w:val="20"/>
          <w:szCs w:val="20"/>
          <w:color w:val="auto"/>
        </w:rPr>
      </w:pPr>
      <w:r>
        <w:rPr>
          <w:rFonts w:ascii="Arial" w:cs="Arial" w:eastAsia="Arial" w:hAnsi="Arial"/>
          <w:sz w:val="16"/>
          <w:szCs w:val="16"/>
          <w:color w:val="auto"/>
        </w:rPr>
        <w:t>Marvell believes that the presentation of non-GAAP net income and non-GAAP net income per share provides important supplemental information to management and investors regarding financial and business trends relating to its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w:t>
      </w:r>
    </w:p>
    <w:p>
      <w:pPr>
        <w:spacing w:after="0" w:line="3" w:lineRule="exact"/>
        <w:rPr>
          <w:sz w:val="20"/>
          <w:szCs w:val="20"/>
          <w:color w:val="auto"/>
        </w:rPr>
      </w:pPr>
    </w:p>
    <w:p>
      <w:pPr>
        <w:ind w:right="260"/>
        <w:spacing w:after="0" w:line="261" w:lineRule="auto"/>
        <w:rPr>
          <w:sz w:val="20"/>
          <w:szCs w:val="20"/>
          <w:color w:val="auto"/>
        </w:rPr>
      </w:pPr>
      <w:r>
        <w:rPr>
          <w:rFonts w:ascii="Arial" w:cs="Arial" w:eastAsia="Arial" w:hAnsi="Arial"/>
          <w:sz w:val="18"/>
          <w:szCs w:val="18"/>
          <w:color w:val="auto"/>
        </w:rPr>
        <w:t>internally. Management also believes that these non-GAAP financial measures may be used to facilitate comparisons of Marvell’s results with that of other companies in its industry.</w:t>
      </w:r>
    </w:p>
    <w:p>
      <w:pPr>
        <w:spacing w:after="0" w:line="184" w:lineRule="exact"/>
        <w:rPr>
          <w:sz w:val="20"/>
          <w:szCs w:val="20"/>
          <w:color w:val="auto"/>
        </w:rPr>
      </w:pPr>
    </w:p>
    <w:p>
      <w:pPr>
        <w:ind w:right="520" w:firstLine="648"/>
        <w:spacing w:after="0" w:line="264" w:lineRule="auto"/>
        <w:rPr>
          <w:sz w:val="20"/>
          <w:szCs w:val="20"/>
          <w:color w:val="auto"/>
        </w:rPr>
      </w:pPr>
      <w:r>
        <w:rPr>
          <w:rFonts w:ascii="Arial" w:cs="Arial" w:eastAsia="Arial" w:hAnsi="Arial"/>
          <w:sz w:val="18"/>
          <w:szCs w:val="18"/>
          <w:color w:val="auto"/>
        </w:rPr>
        <w:t>Externally, management believes that investors may find Marvell’s non-GAAP net income information useful in their assessment of Marvell’s operating performance and the valuation of Marvell. Internally, Marvell’s non-GAAP net income and non-GAAP net income per share are used by management in the following areas:</w:t>
      </w:r>
    </w:p>
    <w:p>
      <w:pPr>
        <w:spacing w:after="0" w:line="181" w:lineRule="exact"/>
        <w:rPr>
          <w:sz w:val="20"/>
          <w:szCs w:val="20"/>
          <w:color w:val="auto"/>
        </w:rPr>
      </w:pPr>
    </w:p>
    <w:p>
      <w:pPr>
        <w:ind w:left="1260" w:hanging="280"/>
        <w:spacing w:after="0"/>
        <w:tabs>
          <w:tab w:leader="none" w:pos="1260" w:val="left"/>
        </w:tabs>
        <w:numPr>
          <w:ilvl w:val="0"/>
          <w:numId w:val="1"/>
        </w:numPr>
        <w:rPr>
          <w:rFonts w:ascii="Arial" w:cs="Arial" w:eastAsia="Arial" w:hAnsi="Arial"/>
          <w:sz w:val="18"/>
          <w:szCs w:val="18"/>
          <w:color w:val="auto"/>
        </w:rPr>
      </w:pPr>
      <w:r>
        <w:rPr>
          <w:rFonts w:ascii="Arial" w:cs="Arial" w:eastAsia="Arial" w:hAnsi="Arial"/>
          <w:sz w:val="18"/>
          <w:szCs w:val="18"/>
          <w:color w:val="auto"/>
        </w:rPr>
        <w:t>Management’s determination of pro forma EPS target-based stock-based bonus compensation for Marvell’s executive officers;</w:t>
      </w:r>
    </w:p>
    <w:p>
      <w:pPr>
        <w:spacing w:after="0" w:line="225" w:lineRule="exact"/>
        <w:rPr>
          <w:rFonts w:ascii="Arial" w:cs="Arial" w:eastAsia="Arial" w:hAnsi="Arial"/>
          <w:sz w:val="18"/>
          <w:szCs w:val="18"/>
          <w:color w:val="auto"/>
        </w:rPr>
      </w:pPr>
    </w:p>
    <w:p>
      <w:pPr>
        <w:ind w:left="1260" w:hanging="280"/>
        <w:spacing w:after="0"/>
        <w:tabs>
          <w:tab w:leader="none" w:pos="1260" w:val="left"/>
        </w:tabs>
        <w:numPr>
          <w:ilvl w:val="0"/>
          <w:numId w:val="1"/>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25" w:lineRule="exact"/>
        <w:rPr>
          <w:rFonts w:ascii="Arial" w:cs="Arial" w:eastAsia="Arial" w:hAnsi="Arial"/>
          <w:sz w:val="18"/>
          <w:szCs w:val="18"/>
          <w:color w:val="auto"/>
        </w:rPr>
      </w:pPr>
    </w:p>
    <w:p>
      <w:pPr>
        <w:ind w:left="1260" w:hanging="280"/>
        <w:spacing w:after="0"/>
        <w:tabs>
          <w:tab w:leader="none" w:pos="1260" w:val="left"/>
        </w:tabs>
        <w:numPr>
          <w:ilvl w:val="0"/>
          <w:numId w:val="1"/>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225" w:lineRule="exact"/>
        <w:rPr>
          <w:rFonts w:ascii="Arial" w:cs="Arial" w:eastAsia="Arial" w:hAnsi="Arial"/>
          <w:sz w:val="18"/>
          <w:szCs w:val="18"/>
          <w:color w:val="auto"/>
        </w:rPr>
      </w:pPr>
    </w:p>
    <w:p>
      <w:pPr>
        <w:ind w:left="1260" w:hanging="280"/>
        <w:spacing w:after="0"/>
        <w:tabs>
          <w:tab w:leader="none" w:pos="1260" w:val="left"/>
        </w:tabs>
        <w:numPr>
          <w:ilvl w:val="0"/>
          <w:numId w:val="1"/>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Non-GAAP net income reflects net income adjusted for the following items:</w:t>
      </w:r>
    </w:p>
    <w:p>
      <w:pPr>
        <w:spacing w:after="0" w:line="225" w:lineRule="exact"/>
        <w:rPr>
          <w:sz w:val="20"/>
          <w:szCs w:val="20"/>
          <w:color w:val="auto"/>
        </w:rPr>
      </w:pPr>
    </w:p>
    <w:p>
      <w:pPr>
        <w:ind w:left="1300" w:hanging="320"/>
        <w:spacing w:after="0" w:line="259" w:lineRule="auto"/>
        <w:tabs>
          <w:tab w:leader="none" w:pos="1264" w:val="left"/>
        </w:tabs>
        <w:numPr>
          <w:ilvl w:val="0"/>
          <w:numId w:val="2"/>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 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186" w:lineRule="exact"/>
        <w:rPr>
          <w:rFonts w:ascii="Arial" w:cs="Arial" w:eastAsia="Arial" w:hAnsi="Arial"/>
          <w:sz w:val="18"/>
          <w:szCs w:val="18"/>
          <w:color w:val="auto"/>
        </w:rPr>
      </w:pPr>
    </w:p>
    <w:p>
      <w:pPr>
        <w:ind w:left="1300" w:right="260" w:hanging="320"/>
        <w:spacing w:after="0" w:line="264" w:lineRule="auto"/>
        <w:tabs>
          <w:tab w:leader="none" w:pos="1264" w:val="left"/>
        </w:tabs>
        <w:numPr>
          <w:ilvl w:val="0"/>
          <w:numId w:val="2"/>
        </w:numPr>
        <w:rPr>
          <w:rFonts w:ascii="Arial" w:cs="Arial" w:eastAsia="Arial" w:hAnsi="Arial"/>
          <w:sz w:val="18"/>
          <w:szCs w:val="18"/>
          <w:color w:val="auto"/>
        </w:rPr>
      </w:pPr>
      <w:r>
        <w:rPr>
          <w:rFonts w:ascii="Arial" w:cs="Arial" w:eastAsia="Arial" w:hAnsi="Arial"/>
          <w:sz w:val="18"/>
          <w:szCs w:val="18"/>
          <w:i w:val="1"/>
          <w:iCs w:val="1"/>
          <w:color w:val="auto"/>
        </w:rPr>
        <w:t>Amortization and write-off of acquired intangible assets</w:t>
      </w:r>
      <w:r>
        <w:rPr>
          <w:rFonts w:ascii="Arial" w:cs="Arial" w:eastAsia="Arial" w:hAnsi="Arial"/>
          <w:sz w:val="18"/>
          <w:szCs w:val="18"/>
          <w:color w:val="auto"/>
        </w:rPr>
        <w:t>. Purchased intangible assets relate primarily to existing and core technology, and</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 relationships of acquired businesses. Management considers these charges non-cash in nature and unrelated to Marvell’s core operating performance.</w:t>
      </w:r>
    </w:p>
    <w:p>
      <w:pPr>
        <w:spacing w:after="0" w:line="181" w:lineRule="exact"/>
        <w:rPr>
          <w:rFonts w:ascii="Arial" w:cs="Arial" w:eastAsia="Arial" w:hAnsi="Arial"/>
          <w:sz w:val="18"/>
          <w:szCs w:val="18"/>
          <w:color w:val="auto"/>
        </w:rPr>
      </w:pPr>
    </w:p>
    <w:p>
      <w:pPr>
        <w:ind w:left="1300" w:right="80" w:hanging="320"/>
        <w:spacing w:after="0" w:line="302" w:lineRule="auto"/>
        <w:tabs>
          <w:tab w:leader="none" w:pos="1264" w:val="left"/>
        </w:tabs>
        <w:numPr>
          <w:ilvl w:val="0"/>
          <w:numId w:val="2"/>
        </w:numPr>
        <w:rPr>
          <w:rFonts w:ascii="Arial" w:cs="Arial" w:eastAsia="Arial" w:hAnsi="Arial"/>
          <w:sz w:val="16"/>
          <w:szCs w:val="16"/>
          <w:color w:val="auto"/>
        </w:rPr>
      </w:pPr>
      <w:r>
        <w:rPr>
          <w:rFonts w:ascii="Arial" w:cs="Arial" w:eastAsia="Arial" w:hAnsi="Arial"/>
          <w:sz w:val="16"/>
          <w:szCs w:val="16"/>
          <w:i w:val="1"/>
          <w:iCs w:val="1"/>
          <w:color w:val="auto"/>
        </w:rPr>
        <w:t>Restructuring</w:t>
      </w:r>
      <w:r>
        <w:rPr>
          <w:rFonts w:ascii="Arial" w:cs="Arial" w:eastAsia="Arial" w:hAnsi="Arial"/>
          <w:sz w:val="16"/>
          <w:szCs w:val="16"/>
          <w:color w:val="auto"/>
        </w:rPr>
        <w:t>. Restructuring represents charges/losses that are not directly related to Marvell’s ongoing or core business results.</w:t>
      </w:r>
      <w:r>
        <w:rPr>
          <w:rFonts w:ascii="Arial" w:cs="Arial" w:eastAsia="Arial" w:hAnsi="Arial"/>
          <w:sz w:val="16"/>
          <w:szCs w:val="16"/>
          <w:i w:val="1"/>
          <w:iCs w:val="1"/>
          <w:color w:val="auto"/>
        </w:rPr>
        <w:t xml:space="preserve"> </w:t>
      </w:r>
      <w:r>
        <w:rPr>
          <w:rFonts w:ascii="Arial" w:cs="Arial" w:eastAsia="Arial" w:hAnsi="Arial"/>
          <w:sz w:val="16"/>
          <w:szCs w:val="16"/>
          <w:color w:val="auto"/>
        </w:rPr>
        <w:t>Management regularly 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 against the performance of other companies without this variability.</w:t>
      </w:r>
    </w:p>
    <w:p>
      <w:pPr>
        <w:spacing w:after="0" w:line="15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225" w:lineRule="exact"/>
        <w:rPr>
          <w:sz w:val="20"/>
          <w:szCs w:val="20"/>
          <w:color w:val="auto"/>
        </w:rPr>
      </w:pPr>
    </w:p>
    <w:p>
      <w:pPr>
        <w:ind w:left="1300" w:right="140" w:hanging="320"/>
        <w:spacing w:after="0" w:line="272" w:lineRule="auto"/>
        <w:tabs>
          <w:tab w:leader="none" w:pos="1264" w:val="left"/>
        </w:tabs>
        <w:numPr>
          <w:ilvl w:val="0"/>
          <w:numId w:val="3"/>
        </w:numPr>
        <w:rPr>
          <w:rFonts w:ascii="Arial" w:cs="Arial" w:eastAsia="Arial" w:hAnsi="Arial"/>
          <w:sz w:val="17"/>
          <w:szCs w:val="17"/>
          <w:color w:val="auto"/>
        </w:rPr>
      </w:pPr>
      <w:r>
        <w:rPr>
          <w:rFonts w:ascii="Arial" w:cs="Arial" w:eastAsia="Arial" w:hAnsi="Arial"/>
          <w:sz w:val="17"/>
          <w:szCs w:val="17"/>
          <w:color w:val="auto"/>
        </w:rPr>
        <w:t>Non-GAAP net income per share is calculated by dividing non-GAAP net income by non-GAAP weighted average shares (diluted). For purposes of calculating non-GAAP net income per share, the GAAP weighted average shares outstanding (diluted) is adjusted to exclude the benefits of SFAS 123R compensation costs attributable to future services and not yet recognized in the financial statements that are treated as proceeds assumed to be used to repurchased shares under the GAAP treasury stock method. GAAP weighted average shares outstanding (diluted) also includes the dilutive/antidilutive effects of warrants, common stock options and restricted stock. Since Marvell’s non-GAAP net income does not reflect the effects of these compensation costs, management believes these amounts should not be applied to the repurchase of shares in calculating non-GAAP net income per share.</w:t>
      </w:r>
    </w:p>
    <w:p>
      <w:pPr>
        <w:spacing w:after="0" w:line="178" w:lineRule="exact"/>
        <w:rPr>
          <w:sz w:val="20"/>
          <w:szCs w:val="20"/>
          <w:color w:val="auto"/>
        </w:rPr>
      </w:pPr>
    </w:p>
    <w:p>
      <w:pPr>
        <w:ind w:right="100" w:firstLine="648"/>
        <w:spacing w:after="0" w:line="293" w:lineRule="auto"/>
        <w:rPr>
          <w:sz w:val="20"/>
          <w:szCs w:val="20"/>
          <w:color w:val="auto"/>
        </w:rPr>
      </w:pPr>
      <w:r>
        <w:rPr>
          <w:rFonts w:ascii="Arial" w:cs="Arial" w:eastAsia="Arial" w:hAnsi="Arial"/>
          <w:sz w:val="16"/>
          <w:szCs w:val="16"/>
          <w:color w:val="auto"/>
        </w:rPr>
        <w:t>Non-GAAP net income and non-GAAP net income per share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 Some of the limitations in relying on non-GAAP net income and non-GAAP net income per share are:</w:t>
      </w:r>
    </w:p>
    <w:p>
      <w:pPr>
        <w:spacing w:after="0" w:line="165" w:lineRule="exact"/>
        <w:rPr>
          <w:sz w:val="20"/>
          <w:szCs w:val="20"/>
          <w:color w:val="auto"/>
        </w:rPr>
      </w:pPr>
    </w:p>
    <w:p>
      <w:pPr>
        <w:ind w:left="1300" w:right="320" w:hanging="320"/>
        <w:spacing w:after="0" w:line="257" w:lineRule="auto"/>
        <w:tabs>
          <w:tab w:leader="none" w:pos="1264"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net income does not account for stock compensation expense related to equity awards granted to Marvell’s employees. Marvell’s stock incentive plans are important components of its employee incentive compensation arrangements and are reflected as expenses in Marvell’s GAAP results under SFAS 123R, effective as of January 29, 2006. Prior to the adoption of SFAS 123R, Marvell’s GAAP results reflect stock compensation expense under Accounting Principles Board Opinion No. 25, “Accounting for Stock Issued to Employees” and related guidance.</w:t>
      </w:r>
    </w:p>
    <w:p>
      <w:pPr>
        <w:spacing w:after="0" w:line="188" w:lineRule="exact"/>
        <w:rPr>
          <w:rFonts w:ascii="Arial" w:cs="Arial" w:eastAsia="Arial" w:hAnsi="Arial"/>
          <w:sz w:val="18"/>
          <w:szCs w:val="18"/>
          <w:color w:val="auto"/>
        </w:rPr>
      </w:pPr>
    </w:p>
    <w:p>
      <w:pPr>
        <w:ind w:left="1300" w:right="180" w:hanging="320"/>
        <w:spacing w:after="0" w:line="286" w:lineRule="auto"/>
        <w:tabs>
          <w:tab w:leader="none" w:pos="1264" w:val="left"/>
        </w:tabs>
        <w:numPr>
          <w:ilvl w:val="0"/>
          <w:numId w:val="4"/>
        </w:numPr>
        <w:rPr>
          <w:rFonts w:ascii="Arial" w:cs="Arial" w:eastAsia="Arial" w:hAnsi="Arial"/>
          <w:sz w:val="17"/>
          <w:szCs w:val="17"/>
          <w:color w:val="auto"/>
        </w:rPr>
      </w:pPr>
      <w:r>
        <w:rPr>
          <w:rFonts w:ascii="Arial" w:cs="Arial" w:eastAsia="Arial" w:hAnsi="Arial"/>
          <w:sz w:val="17"/>
          <w:szCs w:val="17"/>
          <w:color w:val="auto"/>
        </w:rPr>
        <w:t>While amortization of purchased intangible assets does not directly affect Marvell’s current cash position, such expense represents the declining value of the technology and other intangible assets that Marvell has acquired over their respective expected economic lives. The expense associated with this decline in value is excluded from the non-GAAP net income presentation, and therefore</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1540" w:right="460"/>
        <w:spacing w:after="0" w:line="277" w:lineRule="auto"/>
        <w:rPr>
          <w:sz w:val="20"/>
          <w:szCs w:val="20"/>
          <w:color w:val="auto"/>
        </w:rPr>
      </w:pPr>
      <w:r>
        <w:rPr>
          <w:rFonts w:ascii="Arial" w:cs="Arial" w:eastAsia="Arial" w:hAnsi="Arial"/>
          <w:sz w:val="18"/>
          <w:szCs w:val="18"/>
          <w:color w:val="auto"/>
        </w:rPr>
        <w:t>non-GAAP net income does not reflect the costs of acquired intangible assets that supplement Marvell’s research and development efforts.</w:t>
      </w:r>
    </w:p>
    <w:p>
      <w:pPr>
        <w:sectPr>
          <w:pgSz w:w="11900" w:h="16838" w:orient="portrait"/>
          <w:cols w:equalWidth="0" w:num="1">
            <w:col w:w="11420"/>
          </w:cols>
          <w:pgMar w:left="240" w:top="125" w:right="239" w:bottom="0" w:gutter="0" w:footer="0" w:header="0"/>
        </w:sectPr>
      </w:pPr>
    </w:p>
    <w:bookmarkStart w:id="2" w:name="page3"/>
    <w:bookmarkEnd w:id="2"/>
    <w:p>
      <w:pPr>
        <w:spacing w:after="0"/>
        <w:tabs>
          <w:tab w:leader="none" w:pos="15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1540" w:hanging="992"/>
        <w:spacing w:after="0"/>
        <w:tabs>
          <w:tab w:leader="none" w:pos="154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May 29, 2008.</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May 29, 2008</w:t>
      </w:r>
    </w:p>
    <w:p>
      <w:pPr>
        <w:spacing w:after="0" w:line="225"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5480" w:type="dxa"/>
            <w:vAlign w:val="bottom"/>
            <w:gridSpan w:val="2"/>
          </w:tcPr>
          <w:p>
            <w:pPr>
              <w:ind w:left="4020"/>
              <w:spacing w:after="0"/>
              <w:rPr>
                <w:sz w:val="20"/>
                <w:szCs w:val="20"/>
                <w:color w:val="auto"/>
              </w:rPr>
            </w:pPr>
            <w:r>
              <w:rPr>
                <w:rFonts w:ascii="Arial" w:cs="Arial" w:eastAsia="Arial" w:hAnsi="Arial"/>
                <w:sz w:val="18"/>
                <w:szCs w:val="18"/>
                <w:color w:val="auto"/>
              </w:rPr>
              <w:t>By:</w:t>
            </w:r>
          </w:p>
        </w:tc>
        <w:tc>
          <w:tcPr>
            <w:tcW w:w="4240" w:type="dxa"/>
            <w:vAlign w:val="bottom"/>
          </w:tcPr>
          <w:p>
            <w:pPr>
              <w:ind w:left="680"/>
              <w:spacing w:after="0"/>
              <w:rPr>
                <w:sz w:val="20"/>
                <w:szCs w:val="20"/>
                <w:color w:val="auto"/>
              </w:rPr>
            </w:pPr>
            <w:r>
              <w:rPr>
                <w:rFonts w:ascii="Arial" w:cs="Arial" w:eastAsia="Arial" w:hAnsi="Arial"/>
                <w:sz w:val="18"/>
                <w:szCs w:val="18"/>
                <w:color w:val="auto"/>
              </w:rPr>
              <w:t>/s/ George de Urioste</w:t>
            </w:r>
          </w:p>
        </w:tc>
        <w:tc>
          <w:tcPr>
            <w:tcW w:w="40" w:type="dxa"/>
            <w:vAlign w:val="bottom"/>
          </w:tcPr>
          <w:p>
            <w:pPr>
              <w:spacing w:after="0"/>
              <w:rPr>
                <w:sz w:val="20"/>
                <w:szCs w:val="20"/>
                <w:color w:val="auto"/>
              </w:rPr>
            </w:pPr>
          </w:p>
        </w:tc>
      </w:tr>
      <w:tr>
        <w:trPr>
          <w:trHeight w:val="182"/>
        </w:trPr>
        <w:tc>
          <w:tcPr>
            <w:tcW w:w="14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400" w:type="dxa"/>
            <w:vAlign w:val="bottom"/>
          </w:tcPr>
          <w:p>
            <w:pPr>
              <w:spacing w:after="0"/>
              <w:rPr>
                <w:sz w:val="15"/>
                <w:szCs w:val="15"/>
                <w:color w:val="auto"/>
              </w:rPr>
            </w:pPr>
          </w:p>
        </w:tc>
        <w:tc>
          <w:tcPr>
            <w:tcW w:w="1080" w:type="dxa"/>
            <w:vAlign w:val="bottom"/>
            <w:tcBorders>
              <w:top w:val="single" w:sz="8" w:color="auto"/>
            </w:tcBorders>
          </w:tcPr>
          <w:p>
            <w:pPr>
              <w:spacing w:after="0"/>
              <w:rPr>
                <w:sz w:val="15"/>
                <w:szCs w:val="15"/>
                <w:color w:val="auto"/>
              </w:rPr>
            </w:pPr>
          </w:p>
        </w:tc>
        <w:tc>
          <w:tcPr>
            <w:tcW w:w="4240" w:type="dxa"/>
            <w:vAlign w:val="bottom"/>
            <w:tcBorders>
              <w:top w:val="single" w:sz="8" w:color="auto"/>
            </w:tcBorders>
          </w:tcPr>
          <w:p>
            <w:pPr>
              <w:jc w:val="center"/>
              <w:ind w:right="1370"/>
              <w:spacing w:after="0" w:line="182" w:lineRule="exact"/>
              <w:rPr>
                <w:sz w:val="20"/>
                <w:szCs w:val="20"/>
                <w:color w:val="auto"/>
              </w:rPr>
            </w:pPr>
            <w:r>
              <w:rPr>
                <w:rFonts w:ascii="Arial" w:cs="Arial" w:eastAsia="Arial" w:hAnsi="Arial"/>
                <w:sz w:val="18"/>
                <w:szCs w:val="18"/>
                <w:color w:val="auto"/>
                <w:w w:val="88"/>
              </w:rPr>
              <w:t>George de Urioste</w:t>
            </w:r>
          </w:p>
        </w:tc>
        <w:tc>
          <w:tcPr>
            <w:tcW w:w="40" w:type="dxa"/>
            <w:vAlign w:val="bottom"/>
          </w:tcPr>
          <w:p>
            <w:pPr>
              <w:spacing w:after="0"/>
              <w:rPr>
                <w:sz w:val="15"/>
                <w:szCs w:val="15"/>
                <w:color w:val="auto"/>
              </w:rPr>
            </w:pPr>
          </w:p>
        </w:tc>
      </w:tr>
      <w:tr>
        <w:trPr>
          <w:trHeight w:val="230"/>
        </w:trPr>
        <w:tc>
          <w:tcPr>
            <w:tcW w:w="14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4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4240" w:type="dxa"/>
            <w:vAlign w:val="bottom"/>
          </w:tcPr>
          <w:p>
            <w:pPr>
              <w:jc w:val="center"/>
              <w:ind w:right="1370"/>
              <w:spacing w:after="0"/>
              <w:rPr>
                <w:sz w:val="20"/>
                <w:szCs w:val="20"/>
                <w:color w:val="auto"/>
              </w:rPr>
            </w:pPr>
            <w:r>
              <w:rPr>
                <w:rFonts w:ascii="Arial" w:cs="Arial" w:eastAsia="Arial" w:hAnsi="Arial"/>
                <w:sz w:val="18"/>
                <w:szCs w:val="18"/>
                <w:color w:val="auto"/>
                <w:w w:val="95"/>
              </w:rPr>
              <w:t>Interim Chief Financial Officer</w:t>
            </w:r>
          </w:p>
        </w:tc>
        <w:tc>
          <w:tcPr>
            <w:tcW w:w="40" w:type="dxa"/>
            <w:vAlign w:val="bottom"/>
          </w:tcPr>
          <w:p>
            <w:pPr>
              <w:spacing w:after="0"/>
              <w:rPr>
                <w:sz w:val="20"/>
                <w:szCs w:val="20"/>
                <w:color w:val="auto"/>
              </w:rPr>
            </w:pPr>
          </w:p>
        </w:tc>
      </w:tr>
      <w:tr>
        <w:trPr>
          <w:trHeight w:val="432"/>
        </w:trPr>
        <w:tc>
          <w:tcPr>
            <w:tcW w:w="1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400" w:type="dxa"/>
            <w:vAlign w:val="bottom"/>
          </w:tcPr>
          <w:p>
            <w:pPr>
              <w:jc w:val="center"/>
              <w:ind w:left="3530"/>
              <w:spacing w:after="0"/>
              <w:rPr>
                <w:sz w:val="20"/>
                <w:szCs w:val="20"/>
                <w:color w:val="auto"/>
              </w:rPr>
            </w:pPr>
            <w:r>
              <w:rPr>
                <w:rFonts w:ascii="Arial" w:cs="Arial" w:eastAsia="Arial" w:hAnsi="Arial"/>
                <w:sz w:val="18"/>
                <w:szCs w:val="18"/>
                <w:color w:val="auto"/>
                <w:w w:val="99"/>
              </w:rPr>
              <w:t>5</w:t>
            </w:r>
          </w:p>
        </w:tc>
        <w:tc>
          <w:tcPr>
            <w:tcW w:w="1080" w:type="dxa"/>
            <w:vAlign w:val="bottom"/>
          </w:tcPr>
          <w:p>
            <w:pPr>
              <w:spacing w:after="0"/>
              <w:rPr>
                <w:sz w:val="24"/>
                <w:szCs w:val="24"/>
                <w:color w:val="auto"/>
              </w:rPr>
            </w:pPr>
          </w:p>
        </w:tc>
        <w:tc>
          <w:tcPr>
            <w:tcW w:w="42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144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c>
          <w:tcPr>
            <w:tcW w:w="5480" w:type="dxa"/>
            <w:vAlign w:val="bottom"/>
            <w:tcBorders>
              <w:bottom w:val="single" w:sz="8" w:color="010101"/>
            </w:tcBorders>
            <w:gridSpan w:val="2"/>
          </w:tcPr>
          <w:p>
            <w:pPr>
              <w:spacing w:after="0"/>
              <w:rPr>
                <w:sz w:val="11"/>
                <w:szCs w:val="11"/>
                <w:color w:val="auto"/>
              </w:rPr>
            </w:pPr>
          </w:p>
        </w:tc>
        <w:tc>
          <w:tcPr>
            <w:tcW w:w="42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80"/>
        </w:trPr>
        <w:tc>
          <w:tcPr>
            <w:tcW w:w="1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480" w:type="dxa"/>
            <w:vAlign w:val="bottom"/>
            <w:gridSpan w:val="2"/>
          </w:tcPr>
          <w:p>
            <w:pPr>
              <w:jc w:val="center"/>
              <w:ind w:left="2470"/>
              <w:spacing w:after="0"/>
              <w:rPr>
                <w:sz w:val="20"/>
                <w:szCs w:val="20"/>
                <w:color w:val="auto"/>
              </w:rPr>
            </w:pPr>
            <w:r>
              <w:rPr>
                <w:rFonts w:ascii="Arial" w:cs="Arial" w:eastAsia="Arial" w:hAnsi="Arial"/>
                <w:sz w:val="18"/>
                <w:szCs w:val="18"/>
                <w:b w:val="1"/>
                <w:bCs w:val="1"/>
                <w:color w:val="auto"/>
              </w:rPr>
              <w:t>EXHIBIT INDEX</w:t>
            </w:r>
          </w:p>
        </w:tc>
        <w:tc>
          <w:tcPr>
            <w:tcW w:w="42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65"/>
        </w:trPr>
        <w:tc>
          <w:tcPr>
            <w:tcW w:w="1700" w:type="dxa"/>
            <w:vAlign w:val="bottom"/>
            <w:gridSpan w:val="2"/>
          </w:tcPr>
          <w:p>
            <w:pPr>
              <w:spacing w:after="0"/>
              <w:rPr>
                <w:sz w:val="20"/>
                <w:szCs w:val="20"/>
                <w:color w:val="auto"/>
              </w:rPr>
            </w:pPr>
            <w:r>
              <w:rPr>
                <w:rFonts w:ascii="Arial" w:cs="Arial" w:eastAsia="Arial" w:hAnsi="Arial"/>
                <w:sz w:val="14"/>
                <w:szCs w:val="14"/>
                <w:b w:val="1"/>
                <w:bCs w:val="1"/>
                <w:color w:val="auto"/>
              </w:rPr>
              <w:t>Exhibit No.</w:t>
            </w:r>
          </w:p>
        </w:tc>
        <w:tc>
          <w:tcPr>
            <w:tcW w:w="4400" w:type="dxa"/>
            <w:vAlign w:val="bottom"/>
          </w:tcPr>
          <w:p>
            <w:pPr>
              <w:spacing w:after="0"/>
              <w:rPr>
                <w:sz w:val="24"/>
                <w:szCs w:val="24"/>
                <w:color w:val="auto"/>
              </w:rPr>
            </w:pPr>
          </w:p>
        </w:tc>
        <w:tc>
          <w:tcPr>
            <w:tcW w:w="1080" w:type="dxa"/>
            <w:vAlign w:val="bottom"/>
          </w:tcPr>
          <w:p>
            <w:pPr>
              <w:ind w:left="100"/>
              <w:spacing w:after="0"/>
              <w:rPr>
                <w:sz w:val="20"/>
                <w:szCs w:val="20"/>
                <w:color w:val="auto"/>
              </w:rPr>
            </w:pPr>
            <w:r>
              <w:rPr>
                <w:rFonts w:ascii="Arial" w:cs="Arial" w:eastAsia="Arial" w:hAnsi="Arial"/>
                <w:sz w:val="14"/>
                <w:szCs w:val="14"/>
                <w:b w:val="1"/>
                <w:bCs w:val="1"/>
                <w:color w:val="auto"/>
              </w:rPr>
              <w:t>Description</w:t>
            </w:r>
          </w:p>
        </w:tc>
        <w:tc>
          <w:tcPr>
            <w:tcW w:w="42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26"/>
        </w:trPr>
        <w:tc>
          <w:tcPr>
            <w:tcW w:w="1440" w:type="dxa"/>
            <w:vAlign w:val="bottom"/>
            <w:tcBorders>
              <w:top w:val="single" w:sz="8" w:color="auto"/>
            </w:tcBorders>
          </w:tcPr>
          <w:p>
            <w:pPr>
              <w:jc w:val="right"/>
              <w:ind w:right="479"/>
              <w:spacing w:after="0"/>
              <w:rPr>
                <w:sz w:val="20"/>
                <w:szCs w:val="20"/>
                <w:color w:val="auto"/>
              </w:rPr>
            </w:pPr>
            <w:r>
              <w:rPr>
                <w:rFonts w:ascii="Arial" w:cs="Arial" w:eastAsia="Arial" w:hAnsi="Arial"/>
                <w:sz w:val="18"/>
                <w:szCs w:val="18"/>
                <w:color w:val="auto"/>
              </w:rPr>
              <w:t>99.1</w:t>
            </w:r>
          </w:p>
        </w:tc>
        <w:tc>
          <w:tcPr>
            <w:tcW w:w="260" w:type="dxa"/>
            <w:vAlign w:val="bottom"/>
          </w:tcPr>
          <w:p>
            <w:pPr>
              <w:spacing w:after="0"/>
              <w:rPr>
                <w:sz w:val="24"/>
                <w:szCs w:val="24"/>
                <w:color w:val="auto"/>
              </w:rPr>
            </w:pPr>
          </w:p>
        </w:tc>
        <w:tc>
          <w:tcPr>
            <w:tcW w:w="5480" w:type="dxa"/>
            <w:vAlign w:val="bottom"/>
            <w:tcBorders>
              <w:top w:val="single" w:sz="8" w:color="auto"/>
            </w:tcBorders>
            <w:gridSpan w:val="2"/>
          </w:tcPr>
          <w:p>
            <w:pPr>
              <w:spacing w:after="0"/>
              <w:rPr>
                <w:sz w:val="20"/>
                <w:szCs w:val="20"/>
                <w:color w:val="auto"/>
              </w:rPr>
            </w:pPr>
            <w:r>
              <w:rPr>
                <w:rFonts w:ascii="Arial" w:cs="Arial" w:eastAsia="Arial" w:hAnsi="Arial"/>
                <w:sz w:val="18"/>
                <w:szCs w:val="18"/>
                <w:color w:val="auto"/>
              </w:rPr>
              <w:t>Press Release dated May 29, 2008.</w:t>
            </w:r>
          </w:p>
        </w:tc>
        <w:tc>
          <w:tcPr>
            <w:tcW w:w="4240" w:type="dxa"/>
            <w:vAlign w:val="bottom"/>
            <w:tcBorders>
              <w:top w:val="single" w:sz="8" w:color="auto"/>
            </w:tcBorders>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14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400" w:type="dxa"/>
            <w:vAlign w:val="bottom"/>
          </w:tcPr>
          <w:p>
            <w:pPr>
              <w:jc w:val="center"/>
              <w:ind w:left="3530"/>
              <w:spacing w:after="0"/>
              <w:rPr>
                <w:sz w:val="20"/>
                <w:szCs w:val="20"/>
                <w:color w:val="auto"/>
              </w:rPr>
            </w:pPr>
            <w:r>
              <w:rPr>
                <w:rFonts w:ascii="Arial" w:cs="Arial" w:eastAsia="Arial" w:hAnsi="Arial"/>
                <w:sz w:val="18"/>
                <w:szCs w:val="18"/>
                <w:color w:val="auto"/>
                <w:w w:val="99"/>
              </w:rPr>
              <w:t>6</w:t>
            </w:r>
          </w:p>
        </w:tc>
        <w:tc>
          <w:tcPr>
            <w:tcW w:w="1080" w:type="dxa"/>
            <w:vAlign w:val="bottom"/>
          </w:tcPr>
          <w:p>
            <w:pPr>
              <w:spacing w:after="0"/>
              <w:rPr>
                <w:sz w:val="24"/>
                <w:szCs w:val="24"/>
                <w:color w:val="auto"/>
              </w:rPr>
            </w:pPr>
          </w:p>
        </w:tc>
        <w:tc>
          <w:tcPr>
            <w:tcW w:w="42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1440" w:type="dxa"/>
            <w:vAlign w:val="bottom"/>
            <w:tcBorders>
              <w:bottom w:val="single" w:sz="8" w:color="010101"/>
            </w:tcBorders>
          </w:tcPr>
          <w:p>
            <w:pPr>
              <w:spacing w:after="0"/>
              <w:rPr>
                <w:sz w:val="11"/>
                <w:szCs w:val="11"/>
                <w:color w:val="auto"/>
              </w:rPr>
            </w:pPr>
          </w:p>
        </w:tc>
        <w:tc>
          <w:tcPr>
            <w:tcW w:w="260" w:type="dxa"/>
            <w:vAlign w:val="bottom"/>
            <w:tcBorders>
              <w:bottom w:val="single" w:sz="8" w:color="010101"/>
            </w:tcBorders>
          </w:tcPr>
          <w:p>
            <w:pPr>
              <w:spacing w:after="0"/>
              <w:rPr>
                <w:sz w:val="11"/>
                <w:szCs w:val="11"/>
                <w:color w:val="auto"/>
              </w:rPr>
            </w:pPr>
          </w:p>
        </w:tc>
        <w:tc>
          <w:tcPr>
            <w:tcW w:w="4400" w:type="dxa"/>
            <w:vAlign w:val="bottom"/>
            <w:tcBorders>
              <w:bottom w:val="single" w:sz="8" w:color="010101"/>
            </w:tcBorders>
          </w:tcPr>
          <w:p>
            <w:pPr>
              <w:spacing w:after="0"/>
              <w:rPr>
                <w:sz w:val="11"/>
                <w:szCs w:val="11"/>
                <w:color w:val="auto"/>
              </w:rPr>
            </w:pPr>
          </w:p>
        </w:tc>
        <w:tc>
          <w:tcPr>
            <w:tcW w:w="1080" w:type="dxa"/>
            <w:vAlign w:val="bottom"/>
            <w:tcBorders>
              <w:bottom w:val="single" w:sz="8" w:color="010101"/>
            </w:tcBorders>
          </w:tcPr>
          <w:p>
            <w:pPr>
              <w:spacing w:after="0"/>
              <w:rPr>
                <w:sz w:val="11"/>
                <w:szCs w:val="11"/>
                <w:color w:val="auto"/>
              </w:rPr>
            </w:pPr>
          </w:p>
        </w:tc>
        <w:tc>
          <w:tcPr>
            <w:tcW w:w="42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-1409700</wp:posOffset>
            </wp:positionV>
            <wp:extent cx="12700"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-1409700</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780" w:type="dxa"/>
            <w:vAlign w:val="bottom"/>
          </w:tcPr>
          <w:p>
            <w:pPr>
              <w:spacing w:after="0"/>
              <w:rPr>
                <w:sz w:val="20"/>
                <w:szCs w:val="20"/>
                <w:color w:val="auto"/>
              </w:rPr>
            </w:pPr>
          </w:p>
        </w:tc>
        <w:tc>
          <w:tcPr>
            <w:tcW w:w="7720" w:type="dxa"/>
            <w:vAlign w:val="bottom"/>
            <w:gridSpan w:val="2"/>
          </w:tcPr>
          <w:p>
            <w:pPr>
              <w:ind w:left="2000"/>
              <w:spacing w:after="0"/>
              <w:rPr>
                <w:sz w:val="20"/>
                <w:szCs w:val="20"/>
                <w:color w:val="auto"/>
              </w:rPr>
            </w:pPr>
            <w:r>
              <w:rPr>
                <w:rFonts w:ascii="Arial" w:cs="Arial" w:eastAsia="Arial" w:hAnsi="Arial"/>
                <w:sz w:val="18"/>
                <w:szCs w:val="18"/>
                <w:b w:val="1"/>
                <w:bCs w:val="1"/>
                <w:color w:val="auto"/>
              </w:rPr>
              <w:t>Marvell Technology Reports First Quarter Results</w:t>
            </w:r>
          </w:p>
        </w:tc>
      </w:tr>
      <w:tr>
        <w:trPr>
          <w:trHeight w:val="432"/>
        </w:trPr>
        <w:tc>
          <w:tcPr>
            <w:tcW w:w="1780" w:type="dxa"/>
            <w:vAlign w:val="bottom"/>
          </w:tcPr>
          <w:p>
            <w:pPr>
              <w:spacing w:after="0"/>
              <w:rPr>
                <w:sz w:val="24"/>
                <w:szCs w:val="24"/>
                <w:color w:val="auto"/>
              </w:rPr>
            </w:pPr>
          </w:p>
        </w:tc>
        <w:tc>
          <w:tcPr>
            <w:tcW w:w="7720" w:type="dxa"/>
            <w:vAlign w:val="bottom"/>
            <w:gridSpan w:val="2"/>
          </w:tcPr>
          <w:p>
            <w:pPr>
              <w:ind w:left="140"/>
              <w:spacing w:after="0"/>
              <w:rPr>
                <w:sz w:val="20"/>
                <w:szCs w:val="20"/>
                <w:color w:val="auto"/>
              </w:rPr>
            </w:pPr>
            <w:r>
              <w:rPr>
                <w:rFonts w:ascii="Arial" w:cs="Arial" w:eastAsia="Arial" w:hAnsi="Arial"/>
                <w:sz w:val="18"/>
                <w:szCs w:val="18"/>
                <w:b w:val="1"/>
                <w:bCs w:val="1"/>
                <w:color w:val="auto"/>
                <w:w w:val="92"/>
              </w:rPr>
              <w:t>$804M Revenues for First Quarter, Up 27 Percent on Prior Year; GAAP Net Income of $70 Million</w:t>
            </w:r>
          </w:p>
        </w:tc>
      </w:tr>
      <w:tr>
        <w:trPr>
          <w:trHeight w:val="418"/>
        </w:trPr>
        <w:tc>
          <w:tcPr>
            <w:tcW w:w="648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3020" w:type="dxa"/>
            <w:vAlign w:val="bottom"/>
          </w:tcPr>
          <w:p>
            <w:pPr>
              <w:spacing w:after="0"/>
              <w:rPr>
                <w:sz w:val="24"/>
                <w:szCs w:val="24"/>
                <w:color w:val="auto"/>
              </w:rPr>
            </w:pPr>
          </w:p>
        </w:tc>
      </w:tr>
      <w:tr>
        <w:trPr>
          <w:trHeight w:val="216"/>
        </w:trPr>
        <w:tc>
          <w:tcPr>
            <w:tcW w:w="1780" w:type="dxa"/>
            <w:vAlign w:val="bottom"/>
          </w:tcPr>
          <w:p>
            <w:pPr>
              <w:spacing w:after="0"/>
              <w:rPr>
                <w:sz w:val="20"/>
                <w:szCs w:val="20"/>
                <w:color w:val="auto"/>
              </w:rPr>
            </w:pPr>
            <w:r>
              <w:rPr>
                <w:rFonts w:ascii="Arial" w:cs="Arial" w:eastAsia="Arial" w:hAnsi="Arial"/>
                <w:sz w:val="18"/>
                <w:szCs w:val="18"/>
                <w:color w:val="auto"/>
              </w:rPr>
              <w:t>Jeff Palmer</w:t>
            </w:r>
          </w:p>
        </w:tc>
        <w:tc>
          <w:tcPr>
            <w:tcW w:w="4700" w:type="dxa"/>
            <w:vAlign w:val="bottom"/>
          </w:tcPr>
          <w:p>
            <w:pPr>
              <w:ind w:left="2100"/>
              <w:spacing w:after="0"/>
              <w:rPr>
                <w:sz w:val="20"/>
                <w:szCs w:val="20"/>
                <w:color w:val="auto"/>
              </w:rPr>
            </w:pPr>
            <w:r>
              <w:rPr>
                <w:rFonts w:ascii="Arial" w:cs="Arial" w:eastAsia="Arial" w:hAnsi="Arial"/>
                <w:sz w:val="18"/>
                <w:szCs w:val="18"/>
                <w:color w:val="auto"/>
              </w:rPr>
              <w:t>Diane Vanasse</w:t>
            </w:r>
          </w:p>
        </w:tc>
        <w:tc>
          <w:tcPr>
            <w:tcW w:w="3020" w:type="dxa"/>
            <w:vAlign w:val="bottom"/>
          </w:tcPr>
          <w:p>
            <w:pPr>
              <w:ind w:left="860"/>
              <w:spacing w:after="0"/>
              <w:rPr>
                <w:sz w:val="20"/>
                <w:szCs w:val="20"/>
                <w:color w:val="auto"/>
              </w:rPr>
            </w:pPr>
            <w:r>
              <w:rPr>
                <w:rFonts w:ascii="Arial" w:cs="Arial" w:eastAsia="Arial" w:hAnsi="Arial"/>
                <w:sz w:val="18"/>
                <w:szCs w:val="18"/>
                <w:color w:val="auto"/>
              </w:rPr>
              <w:t>Louise Kehoe</w:t>
            </w:r>
          </w:p>
        </w:tc>
      </w:tr>
      <w:tr>
        <w:trPr>
          <w:trHeight w:val="216"/>
        </w:trPr>
        <w:tc>
          <w:tcPr>
            <w:tcW w:w="1780" w:type="dxa"/>
            <w:vAlign w:val="bottom"/>
          </w:tcPr>
          <w:p>
            <w:pPr>
              <w:spacing w:after="0"/>
              <w:rPr>
                <w:sz w:val="20"/>
                <w:szCs w:val="20"/>
                <w:color w:val="auto"/>
              </w:rPr>
            </w:pPr>
            <w:r>
              <w:rPr>
                <w:rFonts w:ascii="Arial" w:cs="Arial" w:eastAsia="Arial" w:hAnsi="Arial"/>
                <w:sz w:val="18"/>
                <w:szCs w:val="18"/>
                <w:color w:val="auto"/>
              </w:rPr>
              <w:t>Investor Relations</w:t>
            </w:r>
          </w:p>
        </w:tc>
        <w:tc>
          <w:tcPr>
            <w:tcW w:w="4700" w:type="dxa"/>
            <w:vAlign w:val="bottom"/>
          </w:tcPr>
          <w:p>
            <w:pPr>
              <w:ind w:left="2100"/>
              <w:spacing w:after="0"/>
              <w:rPr>
                <w:sz w:val="20"/>
                <w:szCs w:val="20"/>
                <w:color w:val="auto"/>
              </w:rPr>
            </w:pPr>
            <w:r>
              <w:rPr>
                <w:rFonts w:ascii="Arial" w:cs="Arial" w:eastAsia="Arial" w:hAnsi="Arial"/>
                <w:sz w:val="18"/>
                <w:szCs w:val="18"/>
                <w:color w:val="auto"/>
              </w:rPr>
              <w:t>Public Relations</w:t>
            </w:r>
          </w:p>
        </w:tc>
        <w:tc>
          <w:tcPr>
            <w:tcW w:w="3020" w:type="dxa"/>
            <w:vAlign w:val="bottom"/>
          </w:tcPr>
          <w:p>
            <w:pPr>
              <w:ind w:left="860"/>
              <w:spacing w:after="0"/>
              <w:rPr>
                <w:sz w:val="20"/>
                <w:szCs w:val="20"/>
                <w:color w:val="auto"/>
              </w:rPr>
            </w:pPr>
            <w:r>
              <w:rPr>
                <w:rFonts w:ascii="Arial" w:cs="Arial" w:eastAsia="Arial" w:hAnsi="Arial"/>
                <w:sz w:val="18"/>
                <w:szCs w:val="18"/>
                <w:color w:val="auto"/>
              </w:rPr>
              <w:t>Ogilvy PR Worldwide</w:t>
            </w:r>
          </w:p>
        </w:tc>
      </w:tr>
      <w:tr>
        <w:trPr>
          <w:trHeight w:val="216"/>
        </w:trPr>
        <w:tc>
          <w:tcPr>
            <w:tcW w:w="1780" w:type="dxa"/>
            <w:vAlign w:val="bottom"/>
          </w:tcPr>
          <w:p>
            <w:pPr>
              <w:spacing w:after="0"/>
              <w:rPr>
                <w:sz w:val="20"/>
                <w:szCs w:val="20"/>
                <w:color w:val="auto"/>
              </w:rPr>
            </w:pPr>
            <w:r>
              <w:rPr>
                <w:rFonts w:ascii="Arial" w:cs="Arial" w:eastAsia="Arial" w:hAnsi="Arial"/>
                <w:sz w:val="18"/>
                <w:szCs w:val="18"/>
                <w:color w:val="auto"/>
              </w:rPr>
              <w:t>408-222-8373</w:t>
            </w:r>
          </w:p>
        </w:tc>
        <w:tc>
          <w:tcPr>
            <w:tcW w:w="4700" w:type="dxa"/>
            <w:vAlign w:val="bottom"/>
          </w:tcPr>
          <w:p>
            <w:pPr>
              <w:ind w:left="2100"/>
              <w:spacing w:after="0"/>
              <w:rPr>
                <w:sz w:val="20"/>
                <w:szCs w:val="20"/>
                <w:color w:val="auto"/>
              </w:rPr>
            </w:pPr>
            <w:r>
              <w:rPr>
                <w:rFonts w:ascii="Arial" w:cs="Arial" w:eastAsia="Arial" w:hAnsi="Arial"/>
                <w:sz w:val="18"/>
                <w:szCs w:val="18"/>
                <w:color w:val="auto"/>
              </w:rPr>
              <w:t>408-242-0027</w:t>
            </w:r>
          </w:p>
        </w:tc>
        <w:tc>
          <w:tcPr>
            <w:tcW w:w="3020" w:type="dxa"/>
            <w:vAlign w:val="bottom"/>
          </w:tcPr>
          <w:p>
            <w:pPr>
              <w:ind w:left="860"/>
              <w:spacing w:after="0"/>
              <w:rPr>
                <w:sz w:val="20"/>
                <w:szCs w:val="20"/>
                <w:color w:val="auto"/>
              </w:rPr>
            </w:pPr>
            <w:r>
              <w:rPr>
                <w:rFonts w:ascii="Arial" w:cs="Arial" w:eastAsia="Arial" w:hAnsi="Arial"/>
                <w:sz w:val="18"/>
                <w:szCs w:val="18"/>
                <w:color w:val="auto"/>
              </w:rPr>
              <w:t>650-544-5070</w:t>
            </w:r>
          </w:p>
        </w:tc>
      </w:tr>
      <w:tr>
        <w:trPr>
          <w:trHeight w:val="230"/>
        </w:trPr>
        <w:tc>
          <w:tcPr>
            <w:tcW w:w="1780" w:type="dxa"/>
            <w:vAlign w:val="bottom"/>
          </w:tcPr>
          <w:p>
            <w:pPr>
              <w:spacing w:after="0"/>
              <w:rPr>
                <w:sz w:val="20"/>
                <w:szCs w:val="20"/>
                <w:color w:val="auto"/>
              </w:rPr>
            </w:pPr>
            <w:r>
              <w:rPr>
                <w:rFonts w:ascii="Arial" w:cs="Arial" w:eastAsia="Arial" w:hAnsi="Arial"/>
                <w:sz w:val="18"/>
                <w:szCs w:val="18"/>
                <w:color w:val="auto"/>
              </w:rPr>
              <w:t>jpalmer@marvell.com</w:t>
            </w:r>
          </w:p>
        </w:tc>
        <w:tc>
          <w:tcPr>
            <w:tcW w:w="4700" w:type="dxa"/>
            <w:vAlign w:val="bottom"/>
          </w:tcPr>
          <w:p>
            <w:pPr>
              <w:ind w:left="2100"/>
              <w:spacing w:after="0"/>
              <w:rPr>
                <w:sz w:val="20"/>
                <w:szCs w:val="20"/>
                <w:color w:val="auto"/>
              </w:rPr>
            </w:pPr>
            <w:r>
              <w:rPr>
                <w:rFonts w:ascii="Arial" w:cs="Arial" w:eastAsia="Arial" w:hAnsi="Arial"/>
                <w:sz w:val="18"/>
                <w:szCs w:val="18"/>
                <w:color w:val="auto"/>
              </w:rPr>
              <w:t>dvanasse@marvell.com</w:t>
            </w:r>
          </w:p>
        </w:tc>
        <w:tc>
          <w:tcPr>
            <w:tcW w:w="3020" w:type="dxa"/>
            <w:vAlign w:val="bottom"/>
          </w:tcPr>
          <w:p>
            <w:pPr>
              <w:ind w:left="860"/>
              <w:spacing w:after="0"/>
              <w:rPr>
                <w:sz w:val="20"/>
                <w:szCs w:val="20"/>
                <w:color w:val="auto"/>
              </w:rPr>
            </w:pPr>
            <w:r>
              <w:rPr>
                <w:rFonts w:ascii="Arial" w:cs="Arial" w:eastAsia="Arial" w:hAnsi="Arial"/>
                <w:sz w:val="18"/>
                <w:szCs w:val="18"/>
                <w:color w:val="auto"/>
                <w:w w:val="97"/>
              </w:rPr>
              <w:t>louise.kehoe@ogilvypr.com</w:t>
            </w:r>
          </w:p>
        </w:tc>
      </w:tr>
    </w:tbl>
    <w:p>
      <w:pPr>
        <w:spacing w:after="0" w:line="198" w:lineRule="exact"/>
        <w:rPr>
          <w:sz w:val="20"/>
          <w:szCs w:val="20"/>
          <w:color w:val="auto"/>
        </w:rPr>
      </w:pPr>
    </w:p>
    <w:p>
      <w:pPr>
        <w:ind w:right="60"/>
        <w:spacing w:after="0" w:line="282" w:lineRule="auto"/>
        <w:rPr>
          <w:sz w:val="20"/>
          <w:szCs w:val="20"/>
          <w:color w:val="auto"/>
        </w:rPr>
      </w:pPr>
      <w:r>
        <w:rPr>
          <w:rFonts w:ascii="Arial" w:cs="Arial" w:eastAsia="Arial" w:hAnsi="Arial"/>
          <w:sz w:val="18"/>
          <w:szCs w:val="18"/>
          <w:b w:val="1"/>
          <w:bCs w:val="1"/>
          <w:color w:val="auto"/>
        </w:rPr>
        <w:t xml:space="preserve">Santa Clara, California (May 29, 2008) </w:t>
      </w:r>
      <w:r>
        <w:rPr>
          <w:rFonts w:ascii="Arial" w:cs="Arial" w:eastAsia="Arial" w:hAnsi="Arial"/>
          <w:sz w:val="18"/>
          <w:szCs w:val="18"/>
          <w:color w:val="auto"/>
        </w:rPr>
        <w:t>— Marvell Technology Group Ltd. (NASDAQ: MRVL), a leader in storage, communications and consumer silicon</w:t>
      </w:r>
      <w:r>
        <w:rPr>
          <w:rFonts w:ascii="Arial" w:cs="Arial" w:eastAsia="Arial" w:hAnsi="Arial"/>
          <w:sz w:val="18"/>
          <w:szCs w:val="18"/>
          <w:b w:val="1"/>
          <w:bCs w:val="1"/>
          <w:color w:val="auto"/>
        </w:rPr>
        <w:t xml:space="preserve"> </w:t>
      </w:r>
      <w:r>
        <w:rPr>
          <w:rFonts w:ascii="Arial" w:cs="Arial" w:eastAsia="Arial" w:hAnsi="Arial"/>
          <w:sz w:val="18"/>
          <w:szCs w:val="18"/>
          <w:color w:val="auto"/>
        </w:rPr>
        <w:t>solutions, today reported financial results for the first fiscal quarter, ended May 3, 2008.</w:t>
      </w:r>
    </w:p>
    <w:p>
      <w:pPr>
        <w:spacing w:after="0" w:line="166" w:lineRule="exact"/>
        <w:rPr>
          <w:sz w:val="20"/>
          <w:szCs w:val="20"/>
          <w:color w:val="auto"/>
        </w:rPr>
      </w:pPr>
    </w:p>
    <w:p>
      <w:pPr>
        <w:ind w:right="680"/>
        <w:spacing w:after="0" w:line="308" w:lineRule="auto"/>
        <w:rPr>
          <w:sz w:val="20"/>
          <w:szCs w:val="20"/>
          <w:color w:val="auto"/>
        </w:rPr>
      </w:pPr>
      <w:r>
        <w:rPr>
          <w:rFonts w:ascii="Arial" w:cs="Arial" w:eastAsia="Arial" w:hAnsi="Arial"/>
          <w:sz w:val="17"/>
          <w:szCs w:val="17"/>
          <w:color w:val="auto"/>
        </w:rPr>
        <w:t>Net revenue for the first quarter of fiscal 2009 was $804 million, an increase of 27 percent over $635 million in the first quarter of fiscal 2008, ended April 28, 2007, and a 5 percent sequential decline from $845 million in the fourth quarter of fiscal 2008, ended February 2, 2008.</w:t>
      </w:r>
    </w:p>
    <w:p>
      <w:pPr>
        <w:spacing w:after="0" w:line="147"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color w:val="auto"/>
        </w:rPr>
        <w:t>Net income under generally accepted accounting principles (GAAP) was $69.9 million, or $0.11 per share (diluted), for the first quarter of fiscal 2009, compared with a net loss under GAAP of $52.8 million, or $0.09 per share (diluted), for the first quarter of fiscal 2008. In the fourth quarter of fiscal 2008 net income under GAAP was $1.3 million, or $0.00 per share (diluted).</w:t>
      </w:r>
    </w:p>
    <w:p>
      <w:pPr>
        <w:spacing w:after="0" w:line="18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“We are pleased with our first quarter results,” said Dr. Sehat Sutardja, Marvell chairman and chief executive. “We surpassed our revenue targets, despite an uncertain economic environment and continuing pricing pressures in our core markets. Cost cutting initiatives implemented in prior periods also paid off, improving Marvell’s performance. We surpassed our long term gross margin goal of 50 percent and made significant progress toward our long term operating margin goal of 20 percent, on a recurring non-GAAP basis.”</w:t>
      </w:r>
    </w:p>
    <w:p>
      <w:pPr>
        <w:spacing w:after="0" w:line="187"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Despite normal seasonal declines in the hard-disk drive market, first quarter sales were flat sequentially. In the cellular and mobile device market, revenues were in-line with prior expectations, with strong demand for the Company’s EDGE communication processors. 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184150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achieved an important milestone as it began volume shipments of its next-generation 3G High Speed Download Packet Access (HSDPA) communications processor to a key smartphone supplier in the first fiscal quarter. Demand in the enterprise networking market reflected positive acceptance of Metro-Ethernet products, offset by normal seasonal declines in sales of enterprise system controller products.</w:t>
      </w:r>
    </w:p>
    <w:p>
      <w:pPr>
        <w:spacing w:after="0" w:line="181"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Company-wide operating efficiencies, together with stronger than expected sales of 802.11N wireless connectivity devices, Network Attached Storage (NAS) processors and growth in demand for printer system-on-a chip products, led to higher than expected GAAP net income and revenues during the first fiscal quarter.</w:t>
      </w:r>
    </w:p>
    <w:p>
      <w:pPr>
        <w:spacing w:after="0" w:line="181"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Shares used to compute GAAP net income per share (diluted), for the first quarter fiscal 2009 increased to 624 million shares, compared with 587 million shares in first quarter of fiscal 2008 and 627 million shares in the fourth quarter fiscal 2008.</w:t>
      </w:r>
    </w:p>
    <w:p>
      <w:pPr>
        <w:spacing w:after="0" w:line="170" w:lineRule="exact"/>
        <w:rPr>
          <w:sz w:val="20"/>
          <w:szCs w:val="20"/>
          <w:color w:val="auto"/>
        </w:rPr>
      </w:pPr>
    </w:p>
    <w:p>
      <w:pPr>
        <w:ind w:right="140"/>
        <w:spacing w:after="0" w:line="302" w:lineRule="auto"/>
        <w:rPr>
          <w:sz w:val="20"/>
          <w:szCs w:val="20"/>
          <w:color w:val="auto"/>
        </w:rPr>
      </w:pPr>
      <w:r>
        <w:rPr>
          <w:rFonts w:ascii="Arial" w:cs="Arial" w:eastAsia="Arial" w:hAnsi="Arial"/>
          <w:sz w:val="16"/>
          <w:szCs w:val="16"/>
          <w:color w:val="auto"/>
        </w:rPr>
        <w:t>Marvell reports net income (loss) and basic and diluted net income (loss) per share in accordance with GAAP and additionally on a non-GAAP basis. A discussion of Marvell’s use of these non-GAAP financial measures is set forth below. Reconciliations of GAAP net income (loss) to non-GAAP net income for the three months ended May 3, 2008, February 2, 2008 and April 28, 2007, respectively, appear in the financial statements below</w:t>
      </w:r>
      <w:r>
        <w:rPr>
          <w:rFonts w:ascii="Arial" w:cs="Arial" w:eastAsia="Arial" w:hAnsi="Arial"/>
          <w:sz w:val="15"/>
          <w:szCs w:val="15"/>
          <w:color w:val="auto"/>
        </w:rPr>
        <w:t>.</w:t>
      </w:r>
      <w:r>
        <w:rPr>
          <w:rFonts w:ascii="Arial" w:cs="Arial" w:eastAsia="Arial" w:hAnsi="Arial"/>
          <w:sz w:val="16"/>
          <w:szCs w:val="16"/>
          <w:color w:val="auto"/>
        </w:rPr>
        <w:t xml:space="preserve"> Non-GAAP net income, where applicable, excludes the effect of stock-based compensation, amortization and write-offs of acquired intangible assets and restructuring costs.</w:t>
      </w:r>
    </w:p>
    <w:p>
      <w:pPr>
        <w:spacing w:after="0" w:line="154"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Non-GAAP gross margin for the first quarter of fiscal 2009 was 52 percent, compared to non-GAAP gross margin of 48.7 percent for the fourth quarter of fiscal 2008 and non-GAAP gross margin of 48.9 percent for the first quarter of fiscal 2008.</w:t>
      </w:r>
    </w:p>
    <w:p>
      <w:pPr>
        <w:spacing w:after="0" w:line="170"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During the first fiscal quarter Marvell received a one-time payment of $24.5 million from its directors and officers liability insurers in connection with pending securities litigation related to Marvell’s past stock option granting practices, including the previously disclosed tentative settlement of the shareholder derivative litigation. The payment was credited against the Company’s fiscal first quarter 2009 operating expenses. This one-time payment offsets the previously disclosed $16 million accrual charge taken during the fourth fiscal quarter of 2008.</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Separately, as previously disclosed, during the first fiscal quarter 2009 Marvell entered into a settlement with the Securities and Exchange Commission (SEC) in connection with the SEC’s investigation into the Company’s past stock option granting practices. Marvell agreed to pay a $10 million civil penalty in connection with the settlement, which was charged to operating expenses during the first fiscal quarter.</w:t>
      </w:r>
    </w:p>
    <w:p>
      <w:pPr>
        <w:spacing w:after="0" w:line="181"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color w:val="auto"/>
        </w:rPr>
        <w:t>Non-GAAP net income increased to $150.4 million, or $0.24 per share (diluted) for the first quarter of fiscal 2009, a 381 percent increase as compared with non-GAAP net income of $31.3 million, or $0.05 per share (diluted), for the first quarter of fiscal 2008 and an increase of 22 percent over non-GAAP net income of $122.9 million, or $0.20 per share (diluted) for the fourth quarter of fiscal 2008.</w:t>
      </w:r>
    </w:p>
    <w:p>
      <w:pPr>
        <w:spacing w:after="0" w:line="181"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Shares used to compute non-GAAP net income per diluted share for the first quarter of fiscal 2009 was 624 million shares, compared with 634 million shares for the first quarter of fiscal 2008 and 627 million shares for the fourth quarter of fiscal 2008.</w:t>
      </w:r>
    </w:p>
    <w:p>
      <w:pPr>
        <w:spacing w:after="0" w:line="170" w:lineRule="exact"/>
        <w:rPr>
          <w:sz w:val="20"/>
          <w:szCs w:val="20"/>
          <w:color w:val="auto"/>
        </w:rPr>
      </w:pPr>
    </w:p>
    <w:p>
      <w:pPr>
        <w:ind w:right="220"/>
        <w:spacing w:after="0" w:line="312" w:lineRule="auto"/>
        <w:rPr>
          <w:sz w:val="20"/>
          <w:szCs w:val="20"/>
          <w:color w:val="auto"/>
        </w:rPr>
      </w:pPr>
      <w:r>
        <w:rPr>
          <w:rFonts w:ascii="Arial" w:cs="Arial" w:eastAsia="Arial" w:hAnsi="Arial"/>
          <w:sz w:val="16"/>
          <w:szCs w:val="16"/>
          <w:color w:val="auto"/>
        </w:rPr>
        <w:t>Marvell will be conducting a conference call today at 1:45 p.m. PST to discuss its first quarter business. The call is being webcast by Thomson/CCBN and can be accessed at Marvell’s web site at www.marvell.com. The webcast is also being distributed through Thomson StreetEvents Network. Individual investors can listen to the call at www.earnings.com, Thomson’s individual investor portal, powered by StreetEvents. Institutional investors can access the</w:t>
      </w:r>
    </w:p>
    <w:p>
      <w:pPr>
        <w:sectPr>
          <w:pgSz w:w="11900" w:h="16838" w:orient="portrait"/>
          <w:cols w:equalWidth="0" w:num="1">
            <w:col w:w="11420"/>
          </w:cols>
          <w:pgMar w:left="240" w:top="121" w:right="239" w:bottom="0" w:gutter="0" w:footer="0" w:header="0"/>
        </w:sectPr>
      </w:pPr>
    </w:p>
    <w:bookmarkStart w:id="4" w:name="page5"/>
    <w:bookmarkEnd w:id="4"/>
    <w:p>
      <w:pPr>
        <w:ind w:right="100"/>
        <w:spacing w:after="0" w:line="277" w:lineRule="auto"/>
        <w:rPr>
          <w:sz w:val="20"/>
          <w:szCs w:val="20"/>
          <w:color w:val="auto"/>
        </w:rPr>
      </w:pPr>
      <w:r>
        <w:rPr>
          <w:rFonts w:ascii="Arial" w:cs="Arial" w:eastAsia="Arial" w:hAnsi="Arial"/>
          <w:sz w:val="18"/>
          <w:szCs w:val="18"/>
          <w:color w:val="auto"/>
        </w:rPr>
        <w:t>call via Thomson StreetEvents (www.streetevents.com), a password-protected event management site. The conference call will also be available via the web at www.marvell.com. Please visit the Investor Events section. Replay on the Internet will be available until May 3, 2009.</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29"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Non-GAAP net income consists of net income (loss) excluding stock-based compensation expense as well as charges related to acquisitions and other charges and gains that are driven primarily by discrete events that management does not consider to be directly related to Marvell’s core operating performance. Non-GAAP net income per share is calculated by dividing non-GAAP net income by adjusted GAAP weighted average shares outstanding (diluted). For purposes of calculating non-GAAP net income per share, the calculation of GAAP weighted average shares outstanding (diluted) is adjusted to exclude the benefits of compensation costs attributable to future services and not yet recognized in the financial statements that are treated as proceeds assumed to be used to repurchase shares under the GAAP treasury stock method and also includes the dilutive/antidilutive effects of warrants, common stock options and restricted stock.</w:t>
      </w:r>
    </w:p>
    <w:p>
      <w:pPr>
        <w:spacing w:after="0" w:line="189" w:lineRule="exact"/>
        <w:rPr>
          <w:sz w:val="20"/>
          <w:szCs w:val="20"/>
          <w:color w:val="auto"/>
        </w:rPr>
      </w:pPr>
    </w:p>
    <w:p>
      <w:pPr>
        <w:ind w:right="40"/>
        <w:spacing w:after="0" w:line="294" w:lineRule="auto"/>
        <w:rPr>
          <w:sz w:val="20"/>
          <w:szCs w:val="20"/>
          <w:color w:val="auto"/>
        </w:rPr>
      </w:pPr>
      <w:r>
        <w:rPr>
          <w:rFonts w:ascii="Arial" w:cs="Arial" w:eastAsia="Arial" w:hAnsi="Arial"/>
          <w:sz w:val="16"/>
          <w:szCs w:val="16"/>
          <w:color w:val="auto"/>
        </w:rPr>
        <w:t xml:space="preserve">Marvell believes that the presentation of non-GAAP net income and non-GAAP net income per share provides important supplemental information to management and investors regarding financial and business trends relating to the company’s financial condition and results of operations. </w:t>
      </w:r>
      <w:r>
        <w:rPr>
          <w:rFonts w:ascii="Arial" w:cs="Arial" w:eastAsia="Arial" w:hAnsi="Arial"/>
          <w:sz w:val="15"/>
          <w:szCs w:val="15"/>
          <w:color w:val="auto"/>
        </w:rPr>
        <w:t>While Marvell uses</w:t>
      </w:r>
      <w:r>
        <w:rPr>
          <w:rFonts w:ascii="Arial" w:cs="Arial" w:eastAsia="Arial" w:hAnsi="Arial"/>
          <w:sz w:val="16"/>
          <w:szCs w:val="16"/>
          <w:color w:val="auto"/>
        </w:rPr>
        <w:t xml:space="preserve"> </w:t>
      </w:r>
      <w:r>
        <w:rPr>
          <w:rFonts w:ascii="Arial" w:cs="Arial" w:eastAsia="Arial" w:hAnsi="Arial"/>
          <w:sz w:val="15"/>
          <w:szCs w:val="15"/>
          <w:color w:val="auto"/>
        </w:rPr>
        <w:t xml:space="preserve">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w:t>
      </w:r>
      <w:r>
        <w:rPr>
          <w:rFonts w:ascii="Arial" w:cs="Arial" w:eastAsia="Arial" w:hAnsi="Arial"/>
          <w:sz w:val="16"/>
          <w:szCs w:val="16"/>
          <w:color w:val="auto"/>
        </w:rPr>
        <w:t>For further information regarding why Marvell</w:t>
      </w:r>
      <w:r>
        <w:rPr>
          <w:rFonts w:ascii="Arial" w:cs="Arial" w:eastAsia="Arial" w:hAnsi="Arial"/>
          <w:sz w:val="15"/>
          <w:szCs w:val="15"/>
          <w:color w:val="auto"/>
        </w:rPr>
        <w:t xml:space="preserve"> </w:t>
      </w:r>
      <w:r>
        <w:rPr>
          <w:rFonts w:ascii="Arial" w:cs="Arial" w:eastAsia="Arial" w:hAnsi="Arial"/>
          <w:sz w:val="16"/>
          <w:szCs w:val="16"/>
          <w:color w:val="auto"/>
        </w:rPr>
        <w:t xml:space="preserve">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6"/>
          <w:szCs w:val="16"/>
          <w:b w:val="1"/>
          <w:bCs w:val="1"/>
          <w:color w:val="auto"/>
        </w:rPr>
        <w:t>www.sec.gov</w:t>
      </w:r>
      <w:r>
        <w:rPr>
          <w:rFonts w:ascii="Arial" w:cs="Arial" w:eastAsia="Arial" w:hAnsi="Arial"/>
          <w:sz w:val="16"/>
          <w:szCs w:val="16"/>
          <w:color w:val="auto"/>
        </w:rPr>
        <w:t xml:space="preserve"> as well as on the Marvell website in the Investors Relations section at www.marvell.com.</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Marvell (NASDAQ: MRVL) is a leader in storage, communications and consumer silicon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Marvell Software Solutions Israel, Ltd., and Marvell Semiconductor Germany GmbH. MSI is headquartered in Santa Clara, Calif., and designs, develops and markets products on behalf of MIL and MAPL. MSI may be contacted at (408) 222-2500 or at www.marvell.com.</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229" w:lineRule="exact"/>
        <w:rPr>
          <w:sz w:val="20"/>
          <w:szCs w:val="20"/>
          <w:color w:val="auto"/>
        </w:rPr>
      </w:pPr>
    </w:p>
    <w:p>
      <w:pPr>
        <w:ind w:right="60"/>
        <w:spacing w:after="0" w:line="268" w:lineRule="auto"/>
        <w:rPr>
          <w:sz w:val="20"/>
          <w:szCs w:val="20"/>
          <w:color w:val="auto"/>
        </w:rPr>
      </w:pPr>
      <w:r>
        <w:rPr>
          <w:rFonts w:ascii="Arial" w:cs="Arial" w:eastAsia="Arial" w:hAnsi="Arial"/>
          <w:sz w:val="17"/>
          <w:szCs w:val="17"/>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Statements that refer to, or are based on projections, uncertain events or assumptions also identify forward-looking statements. These statements include statements regarding our ability to achieve our long term operating margin goals and our use of non-GAAP net income and net income per share as important supplemental information. These statements are not guarantees of results and are subject to risks and uncertainties that could cause actual results to differ materially from those anticipated in the forward-looking statements, including the Company’s ability to reduce operating costs; the Company’s reliance on major customers and suppliers; the Company’s ability to keep up with rapid technological change; the Company’s ability to compete successfully in competitive markets; market acceptance of new products; and other risks detailed in Marvell’s SEC filings. When Marvell files its Form 10-Q for the first quarter of fiscal 2009,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the Marvell’s latest Annual Report on Form 10-K, Quarterly Reports on Form 10-Q and Current Reports on Form 8-K, as filed with the SEC and other factors detailed from time to time in Marvell’s filings with the SEC. Marvell undertakes no obligation to revise or update publicly any forward-looking statements.</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80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60" w:type="dxa"/>
            <w:vAlign w:val="bottom"/>
            <w:tcBorders>
              <w:bottom w:val="single" w:sz="8" w:color="auto"/>
            </w:tcBorders>
            <w:gridSpan w:val="3"/>
          </w:tcPr>
          <w:p>
            <w:pPr>
              <w:jc w:val="center"/>
              <w:ind w:left="39"/>
              <w:spacing w:after="0"/>
              <w:rPr>
                <w:sz w:val="20"/>
                <w:szCs w:val="20"/>
                <w:color w:val="auto"/>
              </w:rPr>
            </w:pPr>
            <w:r>
              <w:rPr>
                <w:rFonts w:ascii="Arial" w:cs="Arial" w:eastAsia="Arial" w:hAnsi="Arial"/>
                <w:sz w:val="14"/>
                <w:szCs w:val="14"/>
                <w:b w:val="1"/>
                <w:bCs w:val="1"/>
                <w:color w:val="auto"/>
                <w:w w:val="93"/>
              </w:rPr>
              <w:t>Three Months Ended</w:t>
            </w:r>
          </w:p>
        </w:tc>
        <w:tc>
          <w:tcPr>
            <w:tcW w:w="3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680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180" w:type="dxa"/>
            <w:vAlign w:val="bottom"/>
            <w:gridSpan w:val="2"/>
          </w:tcPr>
          <w:p>
            <w:pPr>
              <w:jc w:val="right"/>
              <w:ind w:right="600"/>
              <w:spacing w:after="0" w:line="119" w:lineRule="exact"/>
              <w:rPr>
                <w:sz w:val="20"/>
                <w:szCs w:val="20"/>
                <w:color w:val="auto"/>
              </w:rPr>
            </w:pPr>
            <w:r>
              <w:rPr>
                <w:rFonts w:ascii="Arial" w:cs="Arial" w:eastAsia="Arial" w:hAnsi="Arial"/>
                <w:sz w:val="13"/>
                <w:szCs w:val="13"/>
                <w:b w:val="1"/>
                <w:bCs w:val="1"/>
                <w:color w:val="auto"/>
              </w:rPr>
              <w:t>May 3,</w:t>
            </w:r>
          </w:p>
        </w:tc>
        <w:tc>
          <w:tcPr>
            <w:tcW w:w="1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100" w:type="dxa"/>
            <w:vAlign w:val="bottom"/>
          </w:tcPr>
          <w:p>
            <w:pPr>
              <w:jc w:val="center"/>
              <w:ind w:right="117"/>
              <w:spacing w:after="0" w:line="119" w:lineRule="exact"/>
              <w:rPr>
                <w:sz w:val="20"/>
                <w:szCs w:val="20"/>
                <w:color w:val="auto"/>
              </w:rPr>
            </w:pPr>
            <w:r>
              <w:rPr>
                <w:rFonts w:ascii="Arial" w:cs="Arial" w:eastAsia="Arial" w:hAnsi="Arial"/>
                <w:sz w:val="13"/>
                <w:szCs w:val="13"/>
                <w:b w:val="1"/>
                <w:bCs w:val="1"/>
                <w:color w:val="auto"/>
              </w:rPr>
              <w:t>February 2,</w:t>
            </w:r>
          </w:p>
        </w:tc>
        <w:tc>
          <w:tcPr>
            <w:tcW w:w="3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60" w:type="dxa"/>
            <w:vAlign w:val="bottom"/>
          </w:tcPr>
          <w:p>
            <w:pPr>
              <w:jc w:val="right"/>
              <w:ind w:right="297"/>
              <w:spacing w:after="0" w:line="119" w:lineRule="exact"/>
              <w:rPr>
                <w:sz w:val="20"/>
                <w:szCs w:val="20"/>
                <w:color w:val="auto"/>
              </w:rPr>
            </w:pPr>
            <w:r>
              <w:rPr>
                <w:rFonts w:ascii="Arial" w:cs="Arial" w:eastAsia="Arial" w:hAnsi="Arial"/>
                <w:sz w:val="13"/>
                <w:szCs w:val="13"/>
                <w:b w:val="1"/>
                <w:bCs w:val="1"/>
                <w:color w:val="auto"/>
              </w:rPr>
              <w:t>April 28,</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800" w:type="dxa"/>
            <w:vAlign w:val="bottom"/>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jc w:val="right"/>
              <w:ind w:right="417"/>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center"/>
              <w:ind w:right="117"/>
              <w:spacing w:after="0"/>
              <w:rPr>
                <w:sz w:val="20"/>
                <w:szCs w:val="20"/>
                <w:color w:val="auto"/>
              </w:rPr>
            </w:pPr>
            <w:r>
              <w:rPr>
                <w:rFonts w:ascii="Arial" w:cs="Arial" w:eastAsia="Arial" w:hAnsi="Arial"/>
                <w:sz w:val="14"/>
                <w:szCs w:val="14"/>
                <w:b w:val="1"/>
                <w:bCs w:val="1"/>
                <w:color w:val="auto"/>
                <w:w w:val="96"/>
              </w:rPr>
              <w:t>2008</w:t>
            </w:r>
          </w:p>
        </w:tc>
        <w:tc>
          <w:tcPr>
            <w:tcW w:w="30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jc w:val="right"/>
              <w:ind w:right="417"/>
              <w:spacing w:after="0"/>
              <w:rPr>
                <w:sz w:val="20"/>
                <w:szCs w:val="20"/>
                <w:color w:val="auto"/>
              </w:rPr>
            </w:pPr>
            <w:r>
              <w:rPr>
                <w:rFonts w:ascii="Arial" w:cs="Arial" w:eastAsia="Arial" w:hAnsi="Arial"/>
                <w:sz w:val="14"/>
                <w:szCs w:val="14"/>
                <w:b w:val="1"/>
                <w:bCs w:val="1"/>
                <w:color w:val="auto"/>
              </w:rPr>
              <w:t>2007</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68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8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804,075</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844,686</w:t>
            </w:r>
          </w:p>
        </w:tc>
        <w:tc>
          <w:tcPr>
            <w:tcW w:w="5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635,050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spacing w:after="0"/>
              <w:rPr>
                <w:sz w:val="20"/>
                <w:szCs w:val="20"/>
                <w:color w:val="auto"/>
              </w:rPr>
            </w:pPr>
            <w:r>
              <w:rPr>
                <w:rFonts w:ascii="Arial" w:cs="Arial" w:eastAsia="Arial" w:hAnsi="Arial"/>
                <w:sz w:val="18"/>
                <w:szCs w:val="18"/>
                <w:color w:val="auto"/>
              </w:rPr>
              <w:t>Cost of goods sold</w:t>
            </w:r>
          </w:p>
        </w:tc>
        <w:tc>
          <w:tcPr>
            <w:tcW w:w="280" w:type="dxa"/>
            <w:vAlign w:val="bottom"/>
          </w:tcPr>
          <w:p>
            <w:pPr>
              <w:spacing w:after="0"/>
              <w:rPr>
                <w:sz w:val="18"/>
                <w:szCs w:val="18"/>
                <w:color w:val="auto"/>
              </w:rPr>
            </w:pPr>
          </w:p>
        </w:tc>
        <w:tc>
          <w:tcPr>
            <w:tcW w:w="1180" w:type="dxa"/>
            <w:vAlign w:val="bottom"/>
            <w:gridSpan w:val="2"/>
          </w:tcPr>
          <w:p>
            <w:pPr>
              <w:jc w:val="right"/>
              <w:ind w:right="160"/>
              <w:spacing w:after="0"/>
              <w:rPr>
                <w:sz w:val="20"/>
                <w:szCs w:val="20"/>
                <w:color w:val="auto"/>
              </w:rPr>
            </w:pPr>
            <w:r>
              <w:rPr>
                <w:rFonts w:ascii="Arial" w:cs="Arial" w:eastAsia="Arial" w:hAnsi="Arial"/>
                <w:sz w:val="18"/>
                <w:szCs w:val="18"/>
                <w:color w:val="auto"/>
              </w:rPr>
              <w:t>388,842</w:t>
            </w: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438,640</w:t>
            </w: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gridSpan w:val="2"/>
          </w:tcPr>
          <w:p>
            <w:pPr>
              <w:jc w:val="right"/>
              <w:ind w:right="100"/>
              <w:spacing w:after="0"/>
              <w:rPr>
                <w:sz w:val="20"/>
                <w:szCs w:val="20"/>
                <w:color w:val="auto"/>
              </w:rPr>
            </w:pPr>
            <w:r>
              <w:rPr>
                <w:rFonts w:ascii="Arial" w:cs="Arial" w:eastAsia="Arial" w:hAnsi="Arial"/>
                <w:sz w:val="18"/>
                <w:szCs w:val="18"/>
                <w:color w:val="auto"/>
              </w:rPr>
              <w:t>327,417</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8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Gross profit</w:t>
            </w:r>
          </w:p>
        </w:tc>
        <w:tc>
          <w:tcPr>
            <w:tcW w:w="280" w:type="dxa"/>
            <w:vAlign w:val="bottom"/>
            <w:tcBorders>
              <w:top w:val="single" w:sz="8" w:color="auto"/>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415,233</w:t>
            </w:r>
          </w:p>
        </w:tc>
        <w:tc>
          <w:tcPr>
            <w:tcW w:w="1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406,046</w:t>
            </w:r>
          </w:p>
        </w:tc>
        <w:tc>
          <w:tcPr>
            <w:tcW w:w="3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307,633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tcPr>
          <w:p>
            <w:pPr>
              <w:spacing w:after="0"/>
              <w:rPr>
                <w:sz w:val="20"/>
                <w:szCs w:val="20"/>
                <w:color w:val="auto"/>
              </w:rPr>
            </w:pPr>
            <w:r>
              <w:rPr>
                <w:rFonts w:ascii="Arial" w:cs="Arial" w:eastAsia="Arial" w:hAnsi="Arial"/>
                <w:sz w:val="18"/>
                <w:szCs w:val="18"/>
                <w:color w:val="auto"/>
              </w:rPr>
              <w:t>Operating expenses:</w:t>
            </w:r>
          </w:p>
        </w:tc>
        <w:tc>
          <w:tcPr>
            <w:tcW w:w="2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Research and development and other</w:t>
            </w:r>
          </w:p>
        </w:tc>
        <w:tc>
          <w:tcPr>
            <w:tcW w:w="2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238,475</w:t>
            </w:r>
          </w:p>
        </w:tc>
        <w:tc>
          <w:tcPr>
            <w:tcW w:w="1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266,464</w:t>
            </w:r>
          </w:p>
        </w:tc>
        <w:tc>
          <w:tcPr>
            <w:tcW w:w="3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234,133</w:t>
            </w: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0" w:gutter="0" w:footer="0" w:header="0"/>
        </w:sectPr>
      </w:pPr>
    </w:p>
    <w:bookmarkStart w:id="5" w:name="page6"/>
    <w:bookmarkEnd w:id="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4040" w:type="dxa"/>
            <w:vAlign w:val="bottom"/>
            <w:gridSpan w:val="2"/>
          </w:tcPr>
          <w:p>
            <w:pPr>
              <w:ind w:left="160"/>
              <w:spacing w:after="0"/>
              <w:rPr>
                <w:sz w:val="20"/>
                <w:szCs w:val="20"/>
                <w:color w:val="auto"/>
              </w:rPr>
            </w:pPr>
            <w:r>
              <w:rPr>
                <w:rFonts w:ascii="Arial" w:cs="Arial" w:eastAsia="Arial" w:hAnsi="Arial"/>
                <w:sz w:val="18"/>
                <w:szCs w:val="18"/>
                <w:color w:val="auto"/>
              </w:rPr>
              <w:t>Selling and marketing</w:t>
            </w:r>
          </w:p>
        </w:tc>
        <w:tc>
          <w:tcPr>
            <w:tcW w:w="27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46,088</w:t>
            </w:r>
          </w:p>
        </w:tc>
        <w:tc>
          <w:tcPr>
            <w:tcW w:w="2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60,504</w:t>
            </w: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80" w:type="dxa"/>
            <w:vAlign w:val="bottom"/>
            <w:gridSpan w:val="3"/>
          </w:tcPr>
          <w:p>
            <w:pPr>
              <w:jc w:val="right"/>
              <w:ind w:right="20"/>
              <w:spacing w:after="0"/>
              <w:rPr>
                <w:sz w:val="20"/>
                <w:szCs w:val="20"/>
                <w:color w:val="auto"/>
              </w:rPr>
            </w:pPr>
            <w:r>
              <w:rPr>
                <w:rFonts w:ascii="Arial" w:cs="Arial" w:eastAsia="Arial" w:hAnsi="Arial"/>
                <w:sz w:val="18"/>
                <w:szCs w:val="18"/>
                <w:color w:val="auto"/>
              </w:rPr>
              <w:t>50,392</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General and administrative</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12,951</w:t>
            </w: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48,340</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23,988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320" w:type="dxa"/>
            <w:vAlign w:val="bottom"/>
            <w:gridSpan w:val="5"/>
          </w:tcPr>
          <w:p>
            <w:pPr>
              <w:ind w:left="160"/>
              <w:spacing w:after="0"/>
              <w:rPr>
                <w:sz w:val="20"/>
                <w:szCs w:val="20"/>
                <w:color w:val="auto"/>
              </w:rPr>
            </w:pPr>
            <w:r>
              <w:rPr>
                <w:rFonts w:ascii="Arial" w:cs="Arial" w:eastAsia="Arial" w:hAnsi="Arial"/>
                <w:sz w:val="18"/>
                <w:szCs w:val="18"/>
                <w:color w:val="auto"/>
              </w:rPr>
              <w:t>Amortization and write-off of acquired intangible assets (a)</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35,247</w:t>
            </w: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43,810</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3"/>
          </w:tcPr>
          <w:p>
            <w:pPr>
              <w:jc w:val="right"/>
              <w:ind w:right="20"/>
              <w:spacing w:after="0"/>
              <w:rPr>
                <w:sz w:val="20"/>
                <w:szCs w:val="20"/>
                <w:color w:val="auto"/>
              </w:rPr>
            </w:pPr>
            <w:r>
              <w:rPr>
                <w:rFonts w:ascii="Arial" w:cs="Arial" w:eastAsia="Arial" w:hAnsi="Arial"/>
                <w:sz w:val="18"/>
                <w:szCs w:val="18"/>
                <w:color w:val="auto"/>
              </w:rPr>
              <w:t>37,320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Restructuring</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7,856</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040" w:type="dxa"/>
            <w:vAlign w:val="bottom"/>
            <w:tcBorders>
              <w:bottom w:val="single" w:sz="8" w:color="CCEEFF"/>
            </w:tcBorders>
            <w:gridSpan w:val="2"/>
          </w:tcPr>
          <w:p>
            <w:pPr>
              <w:ind w:left="340"/>
              <w:spacing w:after="0"/>
              <w:rPr>
                <w:sz w:val="20"/>
                <w:szCs w:val="20"/>
                <w:color w:val="auto"/>
              </w:rPr>
            </w:pPr>
            <w:r>
              <w:rPr>
                <w:rFonts w:ascii="Arial" w:cs="Arial" w:eastAsia="Arial" w:hAnsi="Arial"/>
                <w:sz w:val="18"/>
                <w:szCs w:val="18"/>
                <w:color w:val="auto"/>
              </w:rPr>
              <w:t>Total operating expenses</w:t>
            </w:r>
          </w:p>
        </w:tc>
        <w:tc>
          <w:tcPr>
            <w:tcW w:w="276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380" w:type="dxa"/>
            <w:vAlign w:val="bottom"/>
            <w:tcBorders>
              <w:top w:val="single" w:sz="8" w:color="auto"/>
              <w:bottom w:val="single" w:sz="8" w:color="auto"/>
            </w:tcBorders>
          </w:tcPr>
          <w:p>
            <w:pPr>
              <w:spacing w:after="0"/>
              <w:rPr>
                <w:sz w:val="18"/>
                <w:szCs w:val="18"/>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332,761</w:t>
            </w:r>
          </w:p>
        </w:tc>
        <w:tc>
          <w:tcPr>
            <w:tcW w:w="8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40" w:type="dxa"/>
            <w:vAlign w:val="bottom"/>
            <w:tcBorders>
              <w:top w:val="single" w:sz="8" w:color="auto"/>
              <w:bottom w:val="single" w:sz="8" w:color="auto"/>
            </w:tcBorders>
          </w:tcPr>
          <w:p>
            <w:pPr>
              <w:spacing w:after="0"/>
              <w:rPr>
                <w:sz w:val="18"/>
                <w:szCs w:val="18"/>
                <w:color w:val="auto"/>
              </w:rPr>
            </w:pPr>
          </w:p>
        </w:tc>
        <w:tc>
          <w:tcPr>
            <w:tcW w:w="180" w:type="dxa"/>
            <w:vAlign w:val="bottom"/>
            <w:tcBorders>
              <w:top w:val="single" w:sz="8" w:color="auto"/>
              <w:bottom w:val="single" w:sz="8" w:color="auto"/>
            </w:tcBorders>
          </w:tcPr>
          <w:p>
            <w:pPr>
              <w:spacing w:after="0"/>
              <w:rPr>
                <w:sz w:val="18"/>
                <w:szCs w:val="18"/>
                <w:color w:val="auto"/>
              </w:rPr>
            </w:pP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426,974</w:t>
            </w:r>
          </w:p>
        </w:tc>
        <w:tc>
          <w:tcPr>
            <w:tcW w:w="20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0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345,833</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82,472</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(20,928)</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(38,200)</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tcPr>
          <w:p>
            <w:pPr>
              <w:spacing w:after="0"/>
              <w:rPr>
                <w:sz w:val="20"/>
                <w:szCs w:val="20"/>
                <w:color w:val="auto"/>
              </w:rPr>
            </w:pPr>
            <w:r>
              <w:rPr>
                <w:rFonts w:ascii="Arial" w:cs="Arial" w:eastAsia="Arial" w:hAnsi="Arial"/>
                <w:sz w:val="18"/>
                <w:szCs w:val="18"/>
                <w:color w:val="auto"/>
              </w:rPr>
              <w:t>Interest and other income (expense), net (b)</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(3,959)</w:t>
            </w: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18,864</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(8,656)</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04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27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78,513</w:t>
            </w: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auto"/>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(2,064)</w:t>
            </w: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0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(46,856)</w:t>
            </w: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tcPr>
          <w:p>
            <w:pPr>
              <w:spacing w:after="0"/>
              <w:rPr>
                <w:sz w:val="20"/>
                <w:szCs w:val="20"/>
                <w:color w:val="auto"/>
              </w:rPr>
            </w:pPr>
            <w:r>
              <w:rPr>
                <w:rFonts w:ascii="Arial" w:cs="Arial" w:eastAsia="Arial" w:hAnsi="Arial"/>
                <w:sz w:val="18"/>
                <w:szCs w:val="18"/>
                <w:color w:val="auto"/>
              </w:rPr>
              <w:t>Provision (benefit) for income taxes</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8,574</w:t>
            </w: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(3,357)</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3"/>
          </w:tcPr>
          <w:p>
            <w:pPr>
              <w:jc w:val="right"/>
              <w:ind w:right="20"/>
              <w:spacing w:after="0"/>
              <w:rPr>
                <w:sz w:val="20"/>
                <w:szCs w:val="20"/>
                <w:color w:val="auto"/>
              </w:rPr>
            </w:pPr>
            <w:r>
              <w:rPr>
                <w:rFonts w:ascii="Arial" w:cs="Arial" w:eastAsia="Arial" w:hAnsi="Arial"/>
                <w:sz w:val="18"/>
                <w:szCs w:val="18"/>
                <w:color w:val="auto"/>
              </w:rPr>
              <w:t>5,972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04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276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bottom w:val="single" w:sz="8" w:color="auto"/>
            </w:tcBorders>
            <w:shd w:val="clear" w:color="auto" w:fill="CCEEFF"/>
          </w:tcPr>
          <w:p>
            <w:pPr>
              <w:spacing w:after="0"/>
              <w:rPr>
                <w:sz w:val="18"/>
                <w:szCs w:val="18"/>
                <w:color w:val="auto"/>
              </w:rPr>
            </w:pP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69,939</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gridSpan w:val="2"/>
            <w:shd w:val="clear" w:color="auto" w:fill="CCEEFF"/>
          </w:tcPr>
          <w:p>
            <w:pPr>
              <w:spacing w:after="0"/>
              <w:rPr>
                <w:sz w:val="20"/>
                <w:szCs w:val="20"/>
                <w:color w:val="auto"/>
              </w:rPr>
            </w:pPr>
            <w:r>
              <w:rPr>
                <w:rFonts w:ascii="Arial" w:cs="Arial" w:eastAsia="Arial" w:hAnsi="Arial"/>
                <w:sz w:val="18"/>
                <w:szCs w:val="18"/>
                <w:color w:val="auto"/>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1,293</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(52,828)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28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6"/>
        </w:trPr>
        <w:tc>
          <w:tcPr>
            <w:tcW w:w="20" w:type="dxa"/>
            <w:vAlign w:val="bottom"/>
            <w:vMerge w:val="continue"/>
          </w:tcPr>
          <w:p>
            <w:pPr>
              <w:spacing w:after="0"/>
              <w:rPr>
                <w:sz w:val="20"/>
                <w:szCs w:val="20"/>
                <w:color w:val="auto"/>
              </w:rPr>
            </w:pPr>
          </w:p>
        </w:tc>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2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20"/>
                <w:szCs w:val="20"/>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200" w:type="dxa"/>
            <w:vAlign w:val="bottom"/>
            <w:shd w:val="clear" w:color="auto" w:fill="CCEEFF"/>
          </w:tcPr>
          <w:p>
            <w:pPr>
              <w:spacing w:after="0"/>
              <w:rPr>
                <w:sz w:val="20"/>
                <w:szCs w:val="20"/>
                <w:color w:val="auto"/>
              </w:rPr>
            </w:pPr>
          </w:p>
        </w:tc>
        <w:tc>
          <w:tcPr>
            <w:tcW w:w="260" w:type="dxa"/>
            <w:vAlign w:val="bottom"/>
            <w:gridSpan w:val="3"/>
            <w:shd w:val="clear" w:color="auto" w:fill="CCEEFF"/>
          </w:tcPr>
          <w:p>
            <w:pPr>
              <w:ind w:left="4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0.00</w:t>
            </w:r>
          </w:p>
        </w:tc>
        <w:tc>
          <w:tcPr>
            <w:tcW w:w="300" w:type="dxa"/>
            <w:vAlign w:val="bottom"/>
            <w:gridSpan w:val="3"/>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040" w:type="dxa"/>
            <w:vAlign w:val="bottom"/>
            <w:tcBorders>
              <w:top w:val="single" w:sz="8" w:color="CCEEFF"/>
              <w:bottom w:val="single" w:sz="8" w:color="CCEEFF"/>
            </w:tcBorders>
            <w:gridSpan w:val="2"/>
          </w:tcPr>
          <w:p>
            <w:pPr>
              <w:spacing w:after="0" w:line="203" w:lineRule="exact"/>
              <w:rPr>
                <w:sz w:val="20"/>
                <w:szCs w:val="20"/>
                <w:color w:val="auto"/>
              </w:rPr>
            </w:pPr>
            <w:r>
              <w:rPr>
                <w:rFonts w:ascii="Arial" w:cs="Arial" w:eastAsia="Arial" w:hAnsi="Arial"/>
                <w:sz w:val="18"/>
                <w:szCs w:val="18"/>
                <w:color w:val="auto"/>
              </w:rPr>
              <w:t>Diluted net income (loss) per share</w:t>
            </w:r>
          </w:p>
        </w:tc>
        <w:tc>
          <w:tcPr>
            <w:tcW w:w="2760" w:type="dxa"/>
            <w:vAlign w:val="bottom"/>
            <w:tcBorders>
              <w:top w:val="single" w:sz="8" w:color="CCEEFF"/>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bottom w:val="single" w:sz="8" w:color="auto"/>
            </w:tcBorders>
          </w:tcPr>
          <w:p>
            <w:pPr>
              <w:spacing w:after="0"/>
              <w:rPr>
                <w:sz w:val="18"/>
                <w:szCs w:val="18"/>
                <w:color w:val="auto"/>
              </w:rPr>
            </w:pPr>
          </w:p>
        </w:tc>
        <w:tc>
          <w:tcPr>
            <w:tcW w:w="7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0.11</w:t>
            </w:r>
          </w:p>
        </w:tc>
        <w:tc>
          <w:tcPr>
            <w:tcW w:w="80" w:type="dxa"/>
            <w:vAlign w:val="bottom"/>
            <w:tcBorders>
              <w:top w:val="single" w:sz="8" w:color="CCEEFF"/>
              <w:bottom w:val="single" w:sz="8" w:color="CCEEFF"/>
            </w:tcBorders>
          </w:tcPr>
          <w:p>
            <w:pPr>
              <w:spacing w:after="0"/>
              <w:rPr>
                <w:sz w:val="18"/>
                <w:szCs w:val="18"/>
                <w:color w:val="auto"/>
              </w:rPr>
            </w:pPr>
          </w:p>
        </w:tc>
        <w:tc>
          <w:tcPr>
            <w:tcW w:w="200" w:type="dxa"/>
            <w:vAlign w:val="bottom"/>
            <w:tcBorders>
              <w:top w:val="single" w:sz="8" w:color="CCEEFF"/>
              <w:bottom w:val="single" w:sz="8" w:color="CCEEFF"/>
            </w:tcBorders>
          </w:tcPr>
          <w:p>
            <w:pPr>
              <w:spacing w:after="0"/>
              <w:rPr>
                <w:sz w:val="18"/>
                <w:szCs w:val="18"/>
                <w:color w:val="auto"/>
              </w:rPr>
            </w:pPr>
          </w:p>
        </w:tc>
        <w:tc>
          <w:tcPr>
            <w:tcW w:w="40" w:type="dxa"/>
            <w:vAlign w:val="bottom"/>
            <w:tcBorders>
              <w:top w:val="single" w:sz="8" w:color="CCEEFF"/>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gridSpan w:val="2"/>
          </w:tcPr>
          <w:p>
            <w:pPr>
              <w:spacing w:after="0" w:line="203" w:lineRule="exact"/>
              <w:rPr>
                <w:sz w:val="20"/>
                <w:szCs w:val="20"/>
                <w:color w:val="auto"/>
              </w:rPr>
            </w:pPr>
            <w:r>
              <w:rPr>
                <w:rFonts w:ascii="Arial" w:cs="Arial" w:eastAsia="Arial" w:hAnsi="Arial"/>
                <w:sz w:val="18"/>
                <w:szCs w:val="18"/>
                <w:color w:val="auto"/>
              </w:rPr>
              <w:t>$</w:t>
            </w:r>
          </w:p>
        </w:tc>
        <w:tc>
          <w:tcPr>
            <w:tcW w:w="10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0.00</w:t>
            </w:r>
          </w:p>
        </w:tc>
        <w:tc>
          <w:tcPr>
            <w:tcW w:w="200" w:type="dxa"/>
            <w:vAlign w:val="bottom"/>
            <w:tcBorders>
              <w:top w:val="single" w:sz="8" w:color="CCEEFF"/>
              <w:bottom w:val="single" w:sz="8" w:color="CCEEFF"/>
            </w:tcBorders>
          </w:tcPr>
          <w:p>
            <w:pPr>
              <w:spacing w:after="0"/>
              <w:rPr>
                <w:sz w:val="18"/>
                <w:szCs w:val="18"/>
                <w:color w:val="auto"/>
              </w:rPr>
            </w:pPr>
          </w:p>
        </w:tc>
        <w:tc>
          <w:tcPr>
            <w:tcW w:w="80" w:type="dxa"/>
            <w:vAlign w:val="bottom"/>
            <w:tcBorders>
              <w:top w:val="single" w:sz="8" w:color="CCEEFF"/>
              <w:bottom w:val="single" w:sz="8" w:color="CCEEFF"/>
            </w:tcBorders>
          </w:tcPr>
          <w:p>
            <w:pPr>
              <w:spacing w:after="0"/>
              <w:rPr>
                <w:sz w:val="18"/>
                <w:szCs w:val="18"/>
                <w:color w:val="auto"/>
              </w:rPr>
            </w:pPr>
          </w:p>
        </w:tc>
        <w:tc>
          <w:tcPr>
            <w:tcW w:w="20" w:type="dxa"/>
            <w:vAlign w:val="bottom"/>
            <w:tcBorders>
              <w:top w:val="single" w:sz="8" w:color="CCEEFF"/>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line="203" w:lineRule="exact"/>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gridSpan w:val="2"/>
          </w:tcPr>
          <w:p>
            <w:pPr>
              <w:jc w:val="right"/>
              <w:spacing w:after="0" w:line="203" w:lineRule="exact"/>
              <w:rPr>
                <w:sz w:val="20"/>
                <w:szCs w:val="20"/>
                <w:color w:val="auto"/>
              </w:rPr>
            </w:pPr>
            <w:r>
              <w:rPr>
                <w:rFonts w:ascii="Arial" w:cs="Arial" w:eastAsia="Arial" w:hAnsi="Arial"/>
                <w:sz w:val="18"/>
                <w:szCs w:val="18"/>
                <w:color w:val="auto"/>
              </w:rPr>
              <w:t>(0.09)</w:t>
            </w:r>
          </w:p>
        </w:tc>
        <w:tc>
          <w:tcPr>
            <w:tcW w:w="100" w:type="dxa"/>
            <w:vAlign w:val="bottom"/>
            <w:tcBorders>
              <w:top w:val="single" w:sz="8" w:color="CCEEFF"/>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286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40" w:type="dxa"/>
            <w:vAlign w:val="bottom"/>
            <w:gridSpan w:val="2"/>
          </w:tcPr>
          <w:p>
            <w:pPr>
              <w:spacing w:after="0"/>
              <w:rPr>
                <w:sz w:val="20"/>
                <w:szCs w:val="20"/>
                <w:color w:val="auto"/>
              </w:rPr>
            </w:pPr>
            <w:r>
              <w:rPr>
                <w:rFonts w:ascii="Arial" w:cs="Arial" w:eastAsia="Arial" w:hAnsi="Arial"/>
                <w:sz w:val="18"/>
                <w:szCs w:val="18"/>
                <w:color w:val="auto"/>
                <w:w w:val="97"/>
              </w:rPr>
              <w:t>Shares used in computing basic earnings per share</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601,222</w:t>
            </w: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595,512</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3"/>
          </w:tcPr>
          <w:p>
            <w:pPr>
              <w:jc w:val="right"/>
              <w:ind w:right="20"/>
              <w:spacing w:after="0"/>
              <w:rPr>
                <w:sz w:val="20"/>
                <w:szCs w:val="20"/>
                <w:color w:val="auto"/>
              </w:rPr>
            </w:pPr>
            <w:r>
              <w:rPr>
                <w:rFonts w:ascii="Arial" w:cs="Arial" w:eastAsia="Arial" w:hAnsi="Arial"/>
                <w:sz w:val="18"/>
                <w:szCs w:val="18"/>
                <w:color w:val="auto"/>
              </w:rPr>
              <w:t>587,426</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5"/>
              </w:rPr>
              <w:t>Shares used in computing diluted earnings per share</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624,351</w:t>
            </w: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626,699</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587,426</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860" w:type="dxa"/>
            <w:vAlign w:val="bottom"/>
            <w:tcBorders>
              <w:bottom w:val="single" w:sz="8" w:color="auto"/>
            </w:tcBorders>
          </w:tcPr>
          <w:p>
            <w:pPr>
              <w:spacing w:after="0"/>
              <w:rPr>
                <w:sz w:val="24"/>
                <w:szCs w:val="24"/>
                <w:color w:val="auto"/>
              </w:rPr>
            </w:pPr>
          </w:p>
        </w:tc>
        <w:tc>
          <w:tcPr>
            <w:tcW w:w="1180" w:type="dxa"/>
            <w:vAlign w:val="bottom"/>
          </w:tcPr>
          <w:p>
            <w:pPr>
              <w:spacing w:after="0"/>
              <w:rPr>
                <w:sz w:val="24"/>
                <w:szCs w:val="24"/>
                <w:color w:val="auto"/>
              </w:rPr>
            </w:pPr>
          </w:p>
        </w:tc>
        <w:tc>
          <w:tcPr>
            <w:tcW w:w="2900" w:type="dxa"/>
            <w:vAlign w:val="bottom"/>
            <w:gridSpan w:val="2"/>
          </w:tcPr>
          <w:p>
            <w:pPr>
              <w:spacing w:after="0"/>
              <w:rPr>
                <w:sz w:val="24"/>
                <w:szCs w:val="24"/>
                <w:color w:val="auto"/>
              </w:rPr>
            </w:pPr>
          </w:p>
        </w:tc>
        <w:tc>
          <w:tcPr>
            <w:tcW w:w="380" w:type="dxa"/>
            <w:vAlign w:val="bottom"/>
          </w:tcPr>
          <w:p>
            <w:pPr>
              <w:spacing w:after="0"/>
              <w:rPr>
                <w:sz w:val="24"/>
                <w:szCs w:val="24"/>
                <w:color w:val="auto"/>
              </w:rPr>
            </w:pPr>
          </w:p>
        </w:tc>
        <w:tc>
          <w:tcPr>
            <w:tcW w:w="860" w:type="dxa"/>
            <w:vAlign w:val="bottom"/>
            <w:gridSpan w:val="2"/>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gridSpan w:val="2"/>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gridSpan w:val="2"/>
          </w:tcPr>
          <w:p>
            <w:pPr>
              <w:spacing w:after="0"/>
              <w:rPr>
                <w:sz w:val="24"/>
                <w:szCs w:val="24"/>
                <w:color w:val="auto"/>
              </w:rPr>
            </w:pPr>
          </w:p>
        </w:tc>
        <w:tc>
          <w:tcPr>
            <w:tcW w:w="1020" w:type="dxa"/>
            <w:vAlign w:val="bottom"/>
          </w:tcPr>
          <w:p>
            <w:pPr>
              <w:spacing w:after="0"/>
              <w:rPr>
                <w:sz w:val="24"/>
                <w:szCs w:val="24"/>
                <w:color w:val="auto"/>
              </w:rPr>
            </w:pPr>
          </w:p>
        </w:tc>
        <w:tc>
          <w:tcPr>
            <w:tcW w:w="160" w:type="dxa"/>
            <w:vAlign w:val="bottom"/>
            <w:gridSpan w:val="2"/>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040" w:type="dxa"/>
            <w:vAlign w:val="bottom"/>
            <w:gridSpan w:val="2"/>
          </w:tcPr>
          <w:p>
            <w:pPr>
              <w:spacing w:after="0"/>
              <w:rPr>
                <w:sz w:val="8"/>
                <w:szCs w:val="8"/>
                <w:color w:val="auto"/>
              </w:rPr>
            </w:pPr>
          </w:p>
        </w:tc>
        <w:tc>
          <w:tcPr>
            <w:tcW w:w="2900" w:type="dxa"/>
            <w:vAlign w:val="bottom"/>
            <w:gridSpan w:val="2"/>
          </w:tcPr>
          <w:p>
            <w:pPr>
              <w:spacing w:after="0"/>
              <w:rPr>
                <w:sz w:val="8"/>
                <w:szCs w:val="8"/>
                <w:color w:val="auto"/>
              </w:rPr>
            </w:pPr>
          </w:p>
        </w:tc>
        <w:tc>
          <w:tcPr>
            <w:tcW w:w="380" w:type="dxa"/>
            <w:vAlign w:val="bottom"/>
          </w:tcPr>
          <w:p>
            <w:pPr>
              <w:spacing w:after="0"/>
              <w:rPr>
                <w:sz w:val="8"/>
                <w:szCs w:val="8"/>
                <w:color w:val="auto"/>
              </w:rPr>
            </w:pPr>
          </w:p>
        </w:tc>
        <w:tc>
          <w:tcPr>
            <w:tcW w:w="860" w:type="dxa"/>
            <w:vAlign w:val="bottom"/>
            <w:gridSpan w:val="2"/>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gridSpan w:val="2"/>
          </w:tcPr>
          <w:p>
            <w:pPr>
              <w:spacing w:after="0"/>
              <w:rPr>
                <w:sz w:val="8"/>
                <w:szCs w:val="8"/>
                <w:color w:val="auto"/>
              </w:rPr>
            </w:pPr>
          </w:p>
        </w:tc>
        <w:tc>
          <w:tcPr>
            <w:tcW w:w="180" w:type="dxa"/>
            <w:vAlign w:val="bottom"/>
          </w:tcPr>
          <w:p>
            <w:pPr>
              <w:spacing w:after="0"/>
              <w:rPr>
                <w:sz w:val="8"/>
                <w:szCs w:val="8"/>
                <w:color w:val="auto"/>
              </w:rPr>
            </w:pPr>
          </w:p>
        </w:tc>
        <w:tc>
          <w:tcPr>
            <w:tcW w:w="1080" w:type="dxa"/>
            <w:vAlign w:val="bottom"/>
          </w:tcPr>
          <w:p>
            <w:pPr>
              <w:spacing w:after="0"/>
              <w:rPr>
                <w:sz w:val="8"/>
                <w:szCs w:val="8"/>
                <w:color w:val="auto"/>
              </w:rPr>
            </w:pPr>
          </w:p>
        </w:tc>
        <w:tc>
          <w:tcPr>
            <w:tcW w:w="200" w:type="dxa"/>
            <w:vAlign w:val="bottom"/>
          </w:tcPr>
          <w:p>
            <w:pPr>
              <w:spacing w:after="0"/>
              <w:rPr>
                <w:sz w:val="8"/>
                <w:szCs w:val="8"/>
                <w:color w:val="auto"/>
              </w:rPr>
            </w:pPr>
          </w:p>
        </w:tc>
        <w:tc>
          <w:tcPr>
            <w:tcW w:w="80" w:type="dxa"/>
            <w:vAlign w:val="bottom"/>
          </w:tcPr>
          <w:p>
            <w:pPr>
              <w:spacing w:after="0"/>
              <w:rPr>
                <w:sz w:val="8"/>
                <w:szCs w:val="8"/>
                <w:color w:val="auto"/>
              </w:rPr>
            </w:pPr>
          </w:p>
        </w:tc>
        <w:tc>
          <w:tcPr>
            <w:tcW w:w="220" w:type="dxa"/>
            <w:vAlign w:val="bottom"/>
            <w:gridSpan w:val="2"/>
          </w:tcPr>
          <w:p>
            <w:pPr>
              <w:spacing w:after="0"/>
              <w:rPr>
                <w:sz w:val="8"/>
                <w:szCs w:val="8"/>
                <w:color w:val="auto"/>
              </w:rPr>
            </w:pPr>
          </w:p>
        </w:tc>
        <w:tc>
          <w:tcPr>
            <w:tcW w:w="1020" w:type="dxa"/>
            <w:vAlign w:val="bottom"/>
          </w:tcPr>
          <w:p>
            <w:pPr>
              <w:spacing w:after="0"/>
              <w:rPr>
                <w:sz w:val="8"/>
                <w:szCs w:val="8"/>
                <w:color w:val="auto"/>
              </w:rPr>
            </w:pPr>
          </w:p>
        </w:tc>
        <w:tc>
          <w:tcPr>
            <w:tcW w:w="160" w:type="dxa"/>
            <w:vAlign w:val="bottom"/>
            <w:gridSpan w:val="2"/>
          </w:tcPr>
          <w:p>
            <w:pPr>
              <w:spacing w:after="0"/>
              <w:rPr>
                <w:sz w:val="8"/>
                <w:szCs w:val="8"/>
                <w:color w:val="auto"/>
              </w:rPr>
            </w:pP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 Write-off of acquired intangible assets</w:t>
            </w:r>
          </w:p>
        </w:tc>
        <w:tc>
          <w:tcPr>
            <w:tcW w:w="2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60" w:type="dxa"/>
            <w:vAlign w:val="bottom"/>
            <w:gridSpan w:val="3"/>
            <w:shd w:val="clear" w:color="auto" w:fill="CCEEFF"/>
          </w:tcPr>
          <w:p>
            <w:pPr>
              <w:ind w:left="40"/>
              <w:spacing w:after="0"/>
              <w:rPr>
                <w:sz w:val="20"/>
                <w:szCs w:val="20"/>
                <w:color w:val="auto"/>
              </w:rPr>
            </w:pPr>
            <w:r>
              <w:rPr>
                <w:rFonts w:ascii="Arial" w:cs="Arial" w:eastAsia="Arial" w:hAnsi="Arial"/>
                <w:sz w:val="18"/>
                <w:szCs w:val="18"/>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7,232</w:t>
            </w:r>
          </w:p>
        </w:tc>
        <w:tc>
          <w:tcPr>
            <w:tcW w:w="200" w:type="dxa"/>
            <w:vAlign w:val="bottom"/>
            <w:shd w:val="clear" w:color="auto" w:fill="CCEEFF"/>
          </w:tcPr>
          <w:p>
            <w:pPr>
              <w:spacing w:after="0"/>
              <w:rPr>
                <w:sz w:val="18"/>
                <w:szCs w:val="18"/>
                <w:color w:val="auto"/>
              </w:rPr>
            </w:pPr>
          </w:p>
        </w:tc>
        <w:tc>
          <w:tcPr>
            <w:tcW w:w="300" w:type="dxa"/>
            <w:vAlign w:val="bottom"/>
            <w:gridSpan w:val="3"/>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1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tcPr>
          <w:p>
            <w:pPr>
              <w:spacing w:after="0"/>
              <w:rPr>
                <w:sz w:val="20"/>
                <w:szCs w:val="20"/>
                <w:color w:val="auto"/>
              </w:rPr>
            </w:pPr>
            <w:r>
              <w:rPr>
                <w:rFonts w:ascii="Arial" w:cs="Arial" w:eastAsia="Arial" w:hAnsi="Arial"/>
                <w:sz w:val="18"/>
                <w:szCs w:val="18"/>
                <w:color w:val="auto"/>
              </w:rPr>
              <w:t>(b) Consists of:</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Interest expense on term loan and capital lease</w:t>
            </w:r>
          </w:p>
        </w:tc>
        <w:tc>
          <w:tcPr>
            <w:tcW w:w="2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(7,151)</w:t>
            </w:r>
          </w:p>
        </w:tc>
        <w:tc>
          <w:tcPr>
            <w:tcW w:w="200" w:type="dxa"/>
            <w:vAlign w:val="bottom"/>
            <w:shd w:val="clear" w:color="auto" w:fill="CCEEFF"/>
          </w:tcPr>
          <w:p>
            <w:pPr>
              <w:spacing w:after="0"/>
              <w:rPr>
                <w:sz w:val="18"/>
                <w:szCs w:val="18"/>
                <w:color w:val="auto"/>
              </w:rPr>
            </w:pPr>
          </w:p>
        </w:tc>
        <w:tc>
          <w:tcPr>
            <w:tcW w:w="260" w:type="dxa"/>
            <w:vAlign w:val="bottom"/>
            <w:gridSpan w:val="3"/>
            <w:shd w:val="clear" w:color="auto" w:fill="CCEEFF"/>
          </w:tcPr>
          <w:p>
            <w:pPr>
              <w:ind w:left="4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(8,898)</w:t>
            </w:r>
          </w:p>
        </w:tc>
        <w:tc>
          <w:tcPr>
            <w:tcW w:w="300" w:type="dxa"/>
            <w:vAlign w:val="bottom"/>
            <w:gridSpan w:val="3"/>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(8,414)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tcPr>
          <w:p>
            <w:pPr>
              <w:ind w:left="240"/>
              <w:spacing w:after="0"/>
              <w:rPr>
                <w:sz w:val="20"/>
                <w:szCs w:val="20"/>
                <w:color w:val="auto"/>
              </w:rPr>
            </w:pPr>
            <w:r>
              <w:rPr>
                <w:rFonts w:ascii="Arial" w:cs="Arial" w:eastAsia="Arial" w:hAnsi="Arial"/>
                <w:sz w:val="18"/>
                <w:szCs w:val="18"/>
                <w:color w:val="auto"/>
              </w:rPr>
              <w:t>Interest expense on supply agreement</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60" w:type="dxa"/>
            <w:vAlign w:val="bottom"/>
            <w:gridSpan w:val="3"/>
          </w:tcPr>
          <w:p>
            <w:pPr>
              <w:jc w:val="right"/>
              <w:ind w:right="2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80" w:type="dxa"/>
            <w:vAlign w:val="bottom"/>
            <w:gridSpan w:val="2"/>
          </w:tcPr>
          <w:p>
            <w:pPr>
              <w:jc w:val="right"/>
              <w:ind w:right="140"/>
              <w:spacing w:after="0"/>
              <w:rPr>
                <w:sz w:val="20"/>
                <w:szCs w:val="20"/>
                <w:color w:val="auto"/>
              </w:rPr>
            </w:pPr>
            <w:r>
              <w:rPr>
                <w:rFonts w:ascii="Arial" w:cs="Arial" w:eastAsia="Arial" w:hAnsi="Arial"/>
                <w:sz w:val="18"/>
                <w:szCs w:val="18"/>
                <w:color w:val="auto"/>
              </w:rPr>
              <w:t>(1,165)</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(1,560)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Interest income, foreign exchange and other</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3,192</w:t>
            </w: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28,927</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1,318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760" w:type="dxa"/>
            <w:vAlign w:val="bottom"/>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380" w:type="dxa"/>
            <w:vAlign w:val="bottom"/>
            <w:tcBorders>
              <w:top w:val="single" w:sz="8" w:color="auto"/>
              <w:bottom w:val="single" w:sz="8" w:color="auto"/>
            </w:tcBorders>
          </w:tcPr>
          <w:p>
            <w:pPr>
              <w:spacing w:after="0"/>
              <w:rPr>
                <w:sz w:val="18"/>
                <w:szCs w:val="18"/>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(3,959</w:t>
            </w:r>
          </w:p>
        </w:tc>
        <w:tc>
          <w:tcPr>
            <w:tcW w:w="8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Borders>
              <w:top w:val="single" w:sz="8" w:color="auto"/>
              <w:bottom w:val="single" w:sz="8" w:color="auto"/>
            </w:tcBorders>
            <w:gridSpan w:val="2"/>
          </w:tcPr>
          <w:p>
            <w:pPr>
              <w:spacing w:after="0"/>
              <w:rPr>
                <w:sz w:val="20"/>
                <w:szCs w:val="20"/>
                <w:color w:val="auto"/>
              </w:rPr>
            </w:pPr>
            <w:r>
              <w:rPr>
                <w:rFonts w:ascii="Arial" w:cs="Arial" w:eastAsia="Arial" w:hAnsi="Arial"/>
                <w:sz w:val="18"/>
                <w:szCs w:val="18"/>
                <w:color w:val="auto"/>
              </w:rPr>
              <w:t>$</w:t>
            </w:r>
          </w:p>
        </w:tc>
        <w:tc>
          <w:tcPr>
            <w:tcW w:w="10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18,864</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(8,656</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28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760" w:type="dxa"/>
            <w:vAlign w:val="bottom"/>
          </w:tcPr>
          <w:p>
            <w:pPr>
              <w:jc w:val="center"/>
              <w:ind w:left="450"/>
              <w:spacing w:after="0"/>
              <w:rPr>
                <w:sz w:val="20"/>
                <w:szCs w:val="20"/>
                <w:color w:val="auto"/>
              </w:rPr>
            </w:pPr>
            <w:r>
              <w:rPr>
                <w:rFonts w:ascii="Arial" w:cs="Arial" w:eastAsia="Arial" w:hAnsi="Arial"/>
                <w:sz w:val="18"/>
                <w:szCs w:val="18"/>
                <w:color w:val="auto"/>
                <w:w w:val="99"/>
              </w:rPr>
              <w:t>6</w:t>
            </w:r>
          </w:p>
        </w:tc>
        <w:tc>
          <w:tcPr>
            <w:tcW w:w="1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010101"/>
            </w:tcBorders>
          </w:tcPr>
          <w:p>
            <w:pPr>
              <w:spacing w:after="0"/>
              <w:rPr>
                <w:sz w:val="11"/>
                <w:szCs w:val="11"/>
                <w:color w:val="auto"/>
              </w:rPr>
            </w:pPr>
          </w:p>
        </w:tc>
        <w:tc>
          <w:tcPr>
            <w:tcW w:w="2860" w:type="dxa"/>
            <w:vAlign w:val="bottom"/>
            <w:tcBorders>
              <w:bottom w:val="single" w:sz="8" w:color="010101"/>
            </w:tcBorders>
          </w:tcPr>
          <w:p>
            <w:pPr>
              <w:spacing w:after="0"/>
              <w:rPr>
                <w:sz w:val="11"/>
                <w:szCs w:val="11"/>
                <w:color w:val="auto"/>
              </w:rPr>
            </w:pPr>
          </w:p>
        </w:tc>
        <w:tc>
          <w:tcPr>
            <w:tcW w:w="1180" w:type="dxa"/>
            <w:vAlign w:val="bottom"/>
            <w:tcBorders>
              <w:bottom w:val="single" w:sz="8" w:color="010101"/>
            </w:tcBorders>
          </w:tcPr>
          <w:p>
            <w:pPr>
              <w:spacing w:after="0"/>
              <w:rPr>
                <w:sz w:val="11"/>
                <w:szCs w:val="11"/>
                <w:color w:val="auto"/>
              </w:rPr>
            </w:pPr>
          </w:p>
        </w:tc>
        <w:tc>
          <w:tcPr>
            <w:tcW w:w="2900" w:type="dxa"/>
            <w:vAlign w:val="bottom"/>
            <w:tcBorders>
              <w:bottom w:val="single" w:sz="8" w:color="010101"/>
            </w:tcBorders>
            <w:gridSpan w:val="2"/>
          </w:tcPr>
          <w:p>
            <w:pPr>
              <w:spacing w:after="0"/>
              <w:rPr>
                <w:sz w:val="11"/>
                <w:szCs w:val="11"/>
                <w:color w:val="auto"/>
              </w:rPr>
            </w:pPr>
          </w:p>
        </w:tc>
        <w:tc>
          <w:tcPr>
            <w:tcW w:w="380" w:type="dxa"/>
            <w:vAlign w:val="bottom"/>
            <w:tcBorders>
              <w:bottom w:val="single" w:sz="8" w:color="010101"/>
            </w:tcBorders>
          </w:tcPr>
          <w:p>
            <w:pPr>
              <w:spacing w:after="0"/>
              <w:rPr>
                <w:sz w:val="11"/>
                <w:szCs w:val="11"/>
                <w:color w:val="auto"/>
              </w:rPr>
            </w:pPr>
          </w:p>
        </w:tc>
        <w:tc>
          <w:tcPr>
            <w:tcW w:w="78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108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1020" w:type="dxa"/>
            <w:vAlign w:val="bottom"/>
            <w:tcBorders>
              <w:bottom w:val="single" w:sz="8" w:color="010101"/>
            </w:tcBorders>
          </w:tcPr>
          <w:p>
            <w:pPr>
              <w:spacing w:after="0"/>
              <w:rPr>
                <w:sz w:val="11"/>
                <w:szCs w:val="11"/>
                <w:color w:val="auto"/>
              </w:rPr>
            </w:pPr>
          </w:p>
        </w:tc>
        <w:tc>
          <w:tcPr>
            <w:tcW w:w="6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r>
        <w:trPr>
          <w:trHeight w:val="762"/>
        </w:trPr>
        <w:tc>
          <w:tcPr>
            <w:tcW w:w="20" w:type="dxa"/>
            <w:vAlign w:val="bottom"/>
          </w:tcPr>
          <w:p>
            <w:pPr>
              <w:spacing w:after="0"/>
              <w:rPr>
                <w:sz w:val="24"/>
                <w:szCs w:val="24"/>
                <w:color w:val="auto"/>
              </w:rPr>
            </w:pPr>
          </w:p>
        </w:tc>
        <w:tc>
          <w:tcPr>
            <w:tcW w:w="28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32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2"/>
              </w:rPr>
              <w:t>Marvell Technology Group Ltd.</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2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0"/>
              </w:rPr>
              <w:t>Reconciliation of Non-GAAP Adjustments</w:t>
            </w: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280" w:type="dxa"/>
            <w:vAlign w:val="bottom"/>
            <w:gridSpan w:val="3"/>
          </w:tcPr>
          <w:p>
            <w:pPr>
              <w:jc w:val="center"/>
              <w:spacing w:after="0"/>
              <w:rPr>
                <w:sz w:val="20"/>
                <w:szCs w:val="20"/>
                <w:color w:val="auto"/>
              </w:rPr>
            </w:pPr>
            <w:r>
              <w:rPr>
                <w:rFonts w:ascii="Arial" w:cs="Arial" w:eastAsia="Arial" w:hAnsi="Arial"/>
                <w:sz w:val="18"/>
                <w:szCs w:val="18"/>
                <w:b w:val="1"/>
                <w:bCs w:val="1"/>
                <w:color w:val="auto"/>
                <w:w w:val="93"/>
              </w:rPr>
              <w:t>(Unaudited)</w:t>
            </w: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286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3280" w:type="dxa"/>
            <w:vAlign w:val="bottom"/>
            <w:gridSpan w:val="3"/>
          </w:tcPr>
          <w:p>
            <w:pPr>
              <w:jc w:val="center"/>
              <w:spacing w:after="0"/>
              <w:rPr>
                <w:sz w:val="20"/>
                <w:szCs w:val="20"/>
                <w:color w:val="auto"/>
              </w:rPr>
            </w:pPr>
            <w:r>
              <w:rPr>
                <w:rFonts w:ascii="Arial" w:cs="Arial" w:eastAsia="Arial" w:hAnsi="Arial"/>
                <w:sz w:val="18"/>
                <w:szCs w:val="18"/>
                <w:b w:val="1"/>
                <w:bCs w:val="1"/>
                <w:color w:val="auto"/>
                <w:w w:val="88"/>
              </w:rPr>
              <w:t>(In thousands, except per share amounts)</w:t>
            </w:r>
          </w:p>
        </w:tc>
        <w:tc>
          <w:tcPr>
            <w:tcW w:w="7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7340" w:type="dxa"/>
            <w:vAlign w:val="bottom"/>
            <w:gridSpan w:val="6"/>
          </w:tcPr>
          <w:p>
            <w:pPr>
              <w:spacing w:after="0"/>
              <w:rPr>
                <w:sz w:val="20"/>
                <w:szCs w:val="20"/>
                <w:color w:val="auto"/>
              </w:rPr>
            </w:pPr>
            <w:r>
              <w:rPr>
                <w:rFonts w:ascii="Arial" w:cs="Arial" w:eastAsia="Arial" w:hAnsi="Arial"/>
                <w:sz w:val="18"/>
                <w:szCs w:val="18"/>
                <w:b w:val="1"/>
                <w:bCs w:val="1"/>
                <w:color w:val="auto"/>
              </w:rPr>
              <w:t>Reconciliation of GAAP net income (loss) to non-GAAP net income:</w:t>
            </w:r>
          </w:p>
        </w:tc>
        <w:tc>
          <w:tcPr>
            <w:tcW w:w="7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28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7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80" w:type="dxa"/>
            <w:vAlign w:val="bottom"/>
            <w:tcBorders>
              <w:bottom w:val="single" w:sz="8" w:color="auto"/>
            </w:tcBorders>
          </w:tcPr>
          <w:p>
            <w:pPr>
              <w:spacing w:after="0"/>
              <w:rPr>
                <w:sz w:val="24"/>
                <w:szCs w:val="24"/>
                <w:color w:val="auto"/>
              </w:rPr>
            </w:pPr>
          </w:p>
        </w:tc>
        <w:tc>
          <w:tcPr>
            <w:tcW w:w="7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1500" w:type="dxa"/>
            <w:vAlign w:val="bottom"/>
            <w:tcBorders>
              <w:bottom w:val="single" w:sz="8" w:color="auto"/>
            </w:tcBorders>
            <w:gridSpan w:val="4"/>
          </w:tcPr>
          <w:p>
            <w:pPr>
              <w:ind w:left="20"/>
              <w:spacing w:after="0"/>
              <w:rPr>
                <w:sz w:val="20"/>
                <w:szCs w:val="20"/>
                <w:color w:val="auto"/>
              </w:rPr>
            </w:pPr>
            <w:r>
              <w:rPr>
                <w:rFonts w:ascii="Arial" w:cs="Arial" w:eastAsia="Arial" w:hAnsi="Arial"/>
                <w:sz w:val="14"/>
                <w:szCs w:val="14"/>
                <w:b w:val="1"/>
                <w:bCs w:val="1"/>
                <w:color w:val="auto"/>
              </w:rPr>
              <w:t>Three Months Ended</w:t>
            </w:r>
          </w:p>
        </w:tc>
        <w:tc>
          <w:tcPr>
            <w:tcW w:w="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02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2860" w:type="dxa"/>
            <w:vAlign w:val="bottom"/>
          </w:tcPr>
          <w:p>
            <w:pPr>
              <w:spacing w:after="0"/>
              <w:rPr>
                <w:sz w:val="10"/>
                <w:szCs w:val="10"/>
                <w:color w:val="auto"/>
              </w:rPr>
            </w:pPr>
          </w:p>
        </w:tc>
        <w:tc>
          <w:tcPr>
            <w:tcW w:w="1180" w:type="dxa"/>
            <w:vAlign w:val="bottom"/>
          </w:tcPr>
          <w:p>
            <w:pPr>
              <w:spacing w:after="0"/>
              <w:rPr>
                <w:sz w:val="10"/>
                <w:szCs w:val="10"/>
                <w:color w:val="auto"/>
              </w:rPr>
            </w:pPr>
          </w:p>
        </w:tc>
        <w:tc>
          <w:tcPr>
            <w:tcW w:w="27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1060" w:type="dxa"/>
            <w:vAlign w:val="bottom"/>
            <w:gridSpan w:val="3"/>
          </w:tcPr>
          <w:p>
            <w:pPr>
              <w:jc w:val="right"/>
              <w:ind w:right="600"/>
              <w:spacing w:after="0" w:line="119" w:lineRule="exact"/>
              <w:rPr>
                <w:sz w:val="20"/>
                <w:szCs w:val="20"/>
                <w:color w:val="auto"/>
              </w:rPr>
            </w:pPr>
            <w:r>
              <w:rPr>
                <w:rFonts w:ascii="Arial" w:cs="Arial" w:eastAsia="Arial" w:hAnsi="Arial"/>
                <w:sz w:val="13"/>
                <w:szCs w:val="13"/>
                <w:b w:val="1"/>
                <w:bCs w:val="1"/>
                <w:color w:val="auto"/>
              </w:rPr>
              <w:t>May 3,</w:t>
            </w:r>
          </w:p>
        </w:tc>
        <w:tc>
          <w:tcPr>
            <w:tcW w:w="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80" w:type="dxa"/>
            <w:vAlign w:val="bottom"/>
            <w:gridSpan w:val="2"/>
          </w:tcPr>
          <w:p>
            <w:pPr>
              <w:jc w:val="right"/>
              <w:ind w:right="460"/>
              <w:spacing w:after="0" w:line="119" w:lineRule="exact"/>
              <w:rPr>
                <w:sz w:val="20"/>
                <w:szCs w:val="20"/>
                <w:color w:val="auto"/>
              </w:rPr>
            </w:pPr>
            <w:r>
              <w:rPr>
                <w:rFonts w:ascii="Arial" w:cs="Arial" w:eastAsia="Arial" w:hAnsi="Arial"/>
                <w:sz w:val="13"/>
                <w:szCs w:val="13"/>
                <w:b w:val="1"/>
                <w:bCs w:val="1"/>
                <w:color w:val="auto"/>
              </w:rPr>
              <w:t>February 2,</w:t>
            </w: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020" w:type="dxa"/>
            <w:vAlign w:val="bottom"/>
          </w:tcPr>
          <w:p>
            <w:pPr>
              <w:jc w:val="right"/>
              <w:ind w:right="271"/>
              <w:spacing w:after="0" w:line="119" w:lineRule="exact"/>
              <w:rPr>
                <w:sz w:val="20"/>
                <w:szCs w:val="20"/>
                <w:color w:val="auto"/>
              </w:rPr>
            </w:pPr>
            <w:r>
              <w:rPr>
                <w:rFonts w:ascii="Arial" w:cs="Arial" w:eastAsia="Arial" w:hAnsi="Arial"/>
                <w:sz w:val="13"/>
                <w:szCs w:val="13"/>
                <w:b w:val="1"/>
                <w:bCs w:val="1"/>
                <w:color w:val="auto"/>
              </w:rPr>
              <w:t>April 28,</w:t>
            </w:r>
          </w:p>
        </w:tc>
        <w:tc>
          <w:tcPr>
            <w:tcW w:w="160" w:type="dxa"/>
            <w:vAlign w:val="bottom"/>
            <w:gridSpan w:val="2"/>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8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311"/>
              <w:spacing w:after="0"/>
              <w:rPr>
                <w:sz w:val="20"/>
                <w:szCs w:val="20"/>
                <w:color w:val="auto"/>
              </w:rPr>
            </w:pPr>
            <w:r>
              <w:rPr>
                <w:rFonts w:ascii="Arial" w:cs="Arial" w:eastAsia="Arial" w:hAnsi="Arial"/>
                <w:sz w:val="14"/>
                <w:szCs w:val="14"/>
                <w:b w:val="1"/>
                <w:bCs w:val="1"/>
                <w:color w:val="auto"/>
              </w:rPr>
              <w:t>2008</w:t>
            </w:r>
          </w:p>
        </w:tc>
        <w:tc>
          <w:tcPr>
            <w:tcW w:w="8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jc w:val="right"/>
              <w:ind w:right="391"/>
              <w:spacing w:after="0"/>
              <w:rPr>
                <w:sz w:val="20"/>
                <w:szCs w:val="20"/>
                <w:color w:val="auto"/>
              </w:rPr>
            </w:pPr>
            <w:r>
              <w:rPr>
                <w:rFonts w:ascii="Arial" w:cs="Arial" w:eastAsia="Arial" w:hAnsi="Arial"/>
                <w:sz w:val="14"/>
                <w:szCs w:val="14"/>
                <w:b w:val="1"/>
                <w:bCs w:val="1"/>
                <w:color w:val="auto"/>
              </w:rPr>
              <w:t>2007</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28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net income (loss)</w:t>
            </w:r>
          </w:p>
        </w:tc>
        <w:tc>
          <w:tcPr>
            <w:tcW w:w="3280" w:type="dxa"/>
            <w:vAlign w:val="bottom"/>
            <w:gridSpan w:val="3"/>
            <w:shd w:val="clear" w:color="auto" w:fill="CCEEFF"/>
          </w:tcPr>
          <w:p>
            <w:pPr>
              <w:jc w:val="right"/>
              <w:ind w:right="190"/>
              <w:spacing w:after="0"/>
              <w:rPr>
                <w:sz w:val="20"/>
                <w:szCs w:val="20"/>
                <w:color w:val="auto"/>
              </w:rPr>
            </w:pPr>
            <w:r>
              <w:rPr>
                <w:rFonts w:ascii="Arial" w:cs="Arial" w:eastAsia="Arial" w:hAnsi="Arial"/>
                <w:sz w:val="18"/>
                <w:szCs w:val="18"/>
                <w:color w:val="auto"/>
              </w:rPr>
              <w:t>$</w:t>
            </w:r>
          </w:p>
        </w:tc>
        <w:tc>
          <w:tcPr>
            <w:tcW w:w="10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69,939</w:t>
            </w:r>
          </w:p>
        </w:tc>
        <w:tc>
          <w:tcPr>
            <w:tcW w:w="2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1,293</w:t>
            </w:r>
          </w:p>
        </w:tc>
        <w:tc>
          <w:tcPr>
            <w:tcW w:w="200" w:type="dxa"/>
            <w:vAlign w:val="bottom"/>
            <w:shd w:val="clear" w:color="auto" w:fill="CCEEFF"/>
          </w:tcPr>
          <w:p>
            <w:pPr>
              <w:spacing w:after="0"/>
              <w:rPr>
                <w:sz w:val="18"/>
                <w:szCs w:val="18"/>
                <w:color w:val="auto"/>
              </w:rPr>
            </w:pPr>
          </w:p>
        </w:tc>
        <w:tc>
          <w:tcPr>
            <w:tcW w:w="300" w:type="dxa"/>
            <w:vAlign w:val="bottom"/>
            <w:gridSpan w:val="3"/>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1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(52,828)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tcPr>
          <w:p>
            <w:pPr>
              <w:spacing w:after="0"/>
              <w:rPr>
                <w:sz w:val="20"/>
                <w:szCs w:val="20"/>
                <w:color w:val="auto"/>
              </w:rPr>
            </w:pPr>
            <w:r>
              <w:rPr>
                <w:rFonts w:ascii="Arial" w:cs="Arial" w:eastAsia="Arial" w:hAnsi="Arial"/>
                <w:sz w:val="18"/>
                <w:szCs w:val="18"/>
                <w:color w:val="auto"/>
              </w:rPr>
              <w:t>Stock-based compensation included in:</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Cost of goods sold</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3,073</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4,911</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3,018</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tcPr>
          <w:p>
            <w:pPr>
              <w:ind w:left="160"/>
              <w:spacing w:after="0"/>
              <w:rPr>
                <w:sz w:val="20"/>
                <w:szCs w:val="20"/>
                <w:color w:val="auto"/>
              </w:rPr>
            </w:pPr>
            <w:r>
              <w:rPr>
                <w:rFonts w:ascii="Arial" w:cs="Arial" w:eastAsia="Arial" w:hAnsi="Arial"/>
                <w:sz w:val="18"/>
                <w:szCs w:val="18"/>
                <w:color w:val="auto"/>
              </w:rPr>
              <w:t>Research and development and other</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60" w:type="dxa"/>
            <w:vAlign w:val="bottom"/>
            <w:gridSpan w:val="3"/>
          </w:tcPr>
          <w:p>
            <w:pPr>
              <w:jc w:val="right"/>
              <w:ind w:right="200"/>
              <w:spacing w:after="0"/>
              <w:rPr>
                <w:sz w:val="20"/>
                <w:szCs w:val="20"/>
                <w:color w:val="auto"/>
              </w:rPr>
            </w:pPr>
            <w:r>
              <w:rPr>
                <w:rFonts w:ascii="Arial" w:cs="Arial" w:eastAsia="Arial" w:hAnsi="Arial"/>
                <w:sz w:val="18"/>
                <w:szCs w:val="18"/>
                <w:color w:val="auto"/>
              </w:rPr>
              <w:t>29,932</w:t>
            </w: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45,627</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32,042</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Selling and marketing</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7,348</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13,925</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7,151</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tcPr>
          <w:p>
            <w:pPr>
              <w:ind w:left="160"/>
              <w:spacing w:after="0"/>
              <w:rPr>
                <w:sz w:val="20"/>
                <w:szCs w:val="20"/>
                <w:color w:val="auto"/>
              </w:rPr>
            </w:pPr>
            <w:r>
              <w:rPr>
                <w:rFonts w:ascii="Arial" w:cs="Arial" w:eastAsia="Arial" w:hAnsi="Arial"/>
                <w:sz w:val="18"/>
                <w:szCs w:val="18"/>
                <w:color w:val="auto"/>
              </w:rPr>
              <w:t>General and administrative</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60" w:type="dxa"/>
            <w:vAlign w:val="bottom"/>
            <w:gridSpan w:val="3"/>
          </w:tcPr>
          <w:p>
            <w:pPr>
              <w:jc w:val="right"/>
              <w:ind w:right="200"/>
              <w:spacing w:after="0"/>
              <w:rPr>
                <w:sz w:val="20"/>
                <w:szCs w:val="20"/>
                <w:color w:val="auto"/>
              </w:rPr>
            </w:pPr>
            <w:r>
              <w:rPr>
                <w:rFonts w:ascii="Arial" w:cs="Arial" w:eastAsia="Arial" w:hAnsi="Arial"/>
                <w:sz w:val="18"/>
                <w:szCs w:val="18"/>
                <w:color w:val="auto"/>
              </w:rPr>
              <w:t>4,873</w:t>
            </w: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5,497</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4,557</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1"/>
              </w:rPr>
              <w:t>Amortization and write-off of acquired intangible assets</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35,247</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43,810</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37,320</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tcPr>
          <w:p>
            <w:pPr>
              <w:spacing w:after="0"/>
              <w:rPr>
                <w:sz w:val="20"/>
                <w:szCs w:val="20"/>
                <w:color w:val="auto"/>
              </w:rPr>
            </w:pPr>
            <w:r>
              <w:rPr>
                <w:rFonts w:ascii="Arial" w:cs="Arial" w:eastAsia="Arial" w:hAnsi="Arial"/>
                <w:sz w:val="18"/>
                <w:szCs w:val="18"/>
                <w:color w:val="auto"/>
              </w:rPr>
              <w:t>Restructuring</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6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7,856</w:t>
            </w: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3"/>
          </w:tcPr>
          <w:p>
            <w:pPr>
              <w:jc w:val="right"/>
              <w:ind w:right="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04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2900" w:type="dxa"/>
            <w:vAlign w:val="bottom"/>
            <w:tcBorders>
              <w:top w:val="single" w:sz="8" w:color="CCEEFF"/>
              <w:bottom w:val="single" w:sz="8" w:color="CCEEFF"/>
            </w:tcBorders>
            <w:gridSpan w:val="2"/>
            <w:shd w:val="clear" w:color="auto" w:fill="CCEEFF"/>
          </w:tcPr>
          <w:p>
            <w:pPr>
              <w:spacing w:after="0"/>
              <w:rPr>
                <w:sz w:val="18"/>
                <w:szCs w:val="18"/>
                <w:color w:val="auto"/>
              </w:rPr>
            </w:pPr>
          </w:p>
        </w:tc>
        <w:tc>
          <w:tcPr>
            <w:tcW w:w="380" w:type="dxa"/>
            <w:vAlign w:val="bottom"/>
            <w:tcBorders>
              <w:top w:val="single" w:sz="8" w:color="auto"/>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150,412</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gridSpan w:val="2"/>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122,919</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gridSpan w:val="2"/>
            <w:shd w:val="clear" w:color="auto" w:fill="CCEEFF"/>
          </w:tcPr>
          <w:p>
            <w:pPr>
              <w:jc w:val="right"/>
              <w:ind w:right="50"/>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31,260</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28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weighted average shares - diluted</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624,351</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626,699</w:t>
            </w: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587,426</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tcPr>
          <w:p>
            <w:pPr>
              <w:ind w:left="160"/>
              <w:spacing w:after="0"/>
              <w:rPr>
                <w:sz w:val="20"/>
                <w:szCs w:val="20"/>
                <w:color w:val="auto"/>
              </w:rPr>
            </w:pPr>
            <w:r>
              <w:rPr>
                <w:rFonts w:ascii="Arial" w:cs="Arial" w:eastAsia="Arial" w:hAnsi="Arial"/>
                <w:sz w:val="18"/>
                <w:szCs w:val="18"/>
                <w:color w:val="auto"/>
              </w:rPr>
              <w:t>Non-GAAP adjustment</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60" w:type="dxa"/>
            <w:vAlign w:val="bottom"/>
            <w:gridSpan w:val="3"/>
          </w:tcPr>
          <w:p>
            <w:pPr>
              <w:jc w:val="right"/>
              <w:ind w:right="200"/>
              <w:spacing w:after="0"/>
              <w:rPr>
                <w:sz w:val="20"/>
                <w:szCs w:val="20"/>
                <w:color w:val="auto"/>
              </w:rPr>
            </w:pPr>
            <w:r>
              <w:rPr>
                <w:rFonts w:ascii="Arial" w:cs="Arial" w:eastAsia="Arial" w:hAnsi="Arial"/>
                <w:sz w:val="18"/>
                <w:szCs w:val="18"/>
                <w:color w:val="auto"/>
              </w:rPr>
              <w:t>91</w:t>
            </w: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542</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80" w:type="dxa"/>
            <w:vAlign w:val="bottom"/>
            <w:gridSpan w:val="2"/>
          </w:tcPr>
          <w:p>
            <w:pPr>
              <w:jc w:val="right"/>
              <w:ind w:right="60"/>
              <w:spacing w:after="0"/>
              <w:rPr>
                <w:sz w:val="20"/>
                <w:szCs w:val="20"/>
                <w:color w:val="auto"/>
              </w:rPr>
            </w:pPr>
            <w:r>
              <w:rPr>
                <w:rFonts w:ascii="Arial" w:cs="Arial" w:eastAsia="Arial" w:hAnsi="Arial"/>
                <w:sz w:val="18"/>
                <w:szCs w:val="18"/>
                <w:color w:val="auto"/>
              </w:rPr>
              <w:t>46,335</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040" w:type="dxa"/>
            <w:vAlign w:val="bottom"/>
            <w:tcBorders>
              <w:top w:val="single" w:sz="8" w:color="CCEEFF"/>
              <w:bottom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(b)</w:t>
            </w:r>
          </w:p>
        </w:tc>
        <w:tc>
          <w:tcPr>
            <w:tcW w:w="2760" w:type="dxa"/>
            <w:vAlign w:val="bottom"/>
            <w:tcBorders>
              <w:top w:val="single" w:sz="8" w:color="CCEEFF"/>
              <w:bottom w:val="single" w:sz="8" w:color="CCEEFF"/>
            </w:tcBorders>
            <w:shd w:val="clear" w:color="auto" w:fill="CCEEFF"/>
          </w:tcPr>
          <w:p>
            <w:pPr>
              <w:spacing w:after="0"/>
              <w:rPr>
                <w:sz w:val="18"/>
                <w:szCs w:val="18"/>
                <w:color w:val="auto"/>
              </w:rPr>
            </w:pP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c>
          <w:tcPr>
            <w:tcW w:w="380" w:type="dxa"/>
            <w:vAlign w:val="bottom"/>
            <w:tcBorders>
              <w:top w:val="single" w:sz="8" w:color="auto"/>
              <w:bottom w:val="single" w:sz="8" w:color="auto"/>
            </w:tcBorders>
            <w:shd w:val="clear" w:color="auto" w:fill="CCEEFF"/>
          </w:tcPr>
          <w:p>
            <w:pPr>
              <w:spacing w:after="0"/>
              <w:rPr>
                <w:sz w:val="18"/>
                <w:szCs w:val="18"/>
                <w:color w:val="auto"/>
              </w:rPr>
            </w:pPr>
          </w:p>
        </w:tc>
        <w:tc>
          <w:tcPr>
            <w:tcW w:w="86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624,442</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spacing w:after="0"/>
              <w:rPr>
                <w:sz w:val="18"/>
                <w:szCs w:val="18"/>
                <w:color w:val="auto"/>
              </w:rPr>
            </w:pPr>
          </w:p>
        </w:tc>
        <w:tc>
          <w:tcPr>
            <w:tcW w:w="10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627,241</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auto"/>
              <w:bottom w:val="single" w:sz="8" w:color="auto"/>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0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633,761</w:t>
            </w:r>
          </w:p>
        </w:tc>
        <w:tc>
          <w:tcPr>
            <w:tcW w:w="6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28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6"/>
        </w:trPr>
        <w:tc>
          <w:tcPr>
            <w:tcW w:w="20" w:type="dxa"/>
            <w:vAlign w:val="bottom"/>
            <w:vMerge w:val="continue"/>
          </w:tcPr>
          <w:p>
            <w:pPr>
              <w:spacing w:after="0"/>
              <w:rPr>
                <w:sz w:val="20"/>
                <w:szCs w:val="20"/>
                <w:color w:val="auto"/>
              </w:rPr>
            </w:pPr>
          </w:p>
        </w:tc>
        <w:tc>
          <w:tcPr>
            <w:tcW w:w="4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diluted net income (loss) per share</w:t>
            </w:r>
          </w:p>
        </w:tc>
        <w:tc>
          <w:tcPr>
            <w:tcW w:w="3280" w:type="dxa"/>
            <w:vAlign w:val="bottom"/>
            <w:gridSpan w:val="3"/>
            <w:shd w:val="clear" w:color="auto" w:fill="CCEEFF"/>
          </w:tcPr>
          <w:p>
            <w:pPr>
              <w:jc w:val="right"/>
              <w:ind w:right="190"/>
              <w:spacing w:after="0"/>
              <w:rPr>
                <w:sz w:val="20"/>
                <w:szCs w:val="20"/>
                <w:color w:val="auto"/>
              </w:rPr>
            </w:pPr>
            <w:r>
              <w:rPr>
                <w:rFonts w:ascii="Arial" w:cs="Arial" w:eastAsia="Arial" w:hAnsi="Arial"/>
                <w:sz w:val="18"/>
                <w:szCs w:val="18"/>
                <w:color w:val="auto"/>
              </w:rPr>
              <w:t>$</w:t>
            </w:r>
          </w:p>
        </w:tc>
        <w:tc>
          <w:tcPr>
            <w:tcW w:w="106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0.11</w:t>
            </w:r>
          </w:p>
        </w:tc>
        <w:tc>
          <w:tcPr>
            <w:tcW w:w="2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0.00</w:t>
            </w:r>
          </w:p>
        </w:tc>
        <w:tc>
          <w:tcPr>
            <w:tcW w:w="300" w:type="dxa"/>
            <w:vAlign w:val="bottom"/>
            <w:gridSpan w:val="3"/>
            <w:shd w:val="clear" w:color="auto" w:fill="CCEEFF"/>
          </w:tcPr>
          <w:p>
            <w:pPr>
              <w:jc w:val="right"/>
              <w:ind w:right="50"/>
              <w:spacing w:after="0"/>
              <w:rPr>
                <w:sz w:val="20"/>
                <w:szCs w:val="20"/>
                <w:color w:val="auto"/>
              </w:rPr>
            </w:pPr>
            <w:r>
              <w:rPr>
                <w:rFonts w:ascii="Arial" w:cs="Arial" w:eastAsia="Arial" w:hAnsi="Arial"/>
                <w:sz w:val="18"/>
                <w:szCs w:val="18"/>
                <w:color w:val="auto"/>
              </w:rPr>
              <w:t>$</w:t>
            </w:r>
          </w:p>
        </w:tc>
        <w:tc>
          <w:tcPr>
            <w:tcW w:w="118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(0.09)</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040" w:type="dxa"/>
            <w:vAlign w:val="bottom"/>
            <w:tcBorders>
              <w:top w:val="single" w:sz="8" w:color="CCEEFF"/>
              <w:bottom w:val="single" w:sz="8" w:color="CCEEFF"/>
            </w:tcBorders>
            <w:gridSpan w:val="2"/>
          </w:tcPr>
          <w:p>
            <w:pPr>
              <w:spacing w:after="0" w:line="203" w:lineRule="exact"/>
              <w:rPr>
                <w:sz w:val="20"/>
                <w:szCs w:val="20"/>
                <w:color w:val="auto"/>
              </w:rPr>
            </w:pPr>
            <w:r>
              <w:rPr>
                <w:rFonts w:ascii="Arial" w:cs="Arial" w:eastAsia="Arial" w:hAnsi="Arial"/>
                <w:sz w:val="18"/>
                <w:szCs w:val="18"/>
                <w:color w:val="auto"/>
              </w:rPr>
              <w:t xml:space="preserve">Non-GAAP diluted net income per share </w:t>
            </w:r>
            <w:r>
              <w:rPr>
                <w:rFonts w:ascii="Arial" w:cs="Arial" w:eastAsia="Arial" w:hAnsi="Arial"/>
                <w:sz w:val="18"/>
                <w:szCs w:val="18"/>
                <w:i w:val="1"/>
                <w:iCs w:val="1"/>
                <w:color w:val="auto"/>
              </w:rPr>
              <w:t>(a)</w:t>
            </w:r>
          </w:p>
        </w:tc>
        <w:tc>
          <w:tcPr>
            <w:tcW w:w="2900" w:type="dxa"/>
            <w:vAlign w:val="bottom"/>
            <w:tcBorders>
              <w:top w:val="single" w:sz="8" w:color="CCEEFF"/>
              <w:bottom w:val="single" w:sz="8" w:color="CCEEFF"/>
            </w:tcBorders>
            <w:gridSpan w:val="2"/>
          </w:tcPr>
          <w:p>
            <w:pPr>
              <w:spacing w:after="0"/>
              <w:rPr>
                <w:sz w:val="18"/>
                <w:szCs w:val="18"/>
                <w:color w:val="auto"/>
              </w:rPr>
            </w:pPr>
          </w:p>
        </w:tc>
        <w:tc>
          <w:tcPr>
            <w:tcW w:w="380" w:type="dxa"/>
            <w:vAlign w:val="bottom"/>
            <w:tcBorders>
              <w:top w:val="single" w:sz="8" w:color="auto"/>
              <w:bottom w:val="single" w:sz="8" w:color="auto"/>
            </w:tcBorders>
          </w:tcPr>
          <w:p>
            <w:pPr>
              <w:jc w:val="right"/>
              <w:ind w:right="190"/>
              <w:spacing w:after="0" w:line="203" w:lineRule="exact"/>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gridSpan w:val="2"/>
          </w:tcPr>
          <w:p>
            <w:pPr>
              <w:jc w:val="right"/>
              <w:spacing w:after="0" w:line="203" w:lineRule="exact"/>
              <w:rPr>
                <w:sz w:val="20"/>
                <w:szCs w:val="20"/>
                <w:color w:val="auto"/>
              </w:rPr>
            </w:pPr>
            <w:r>
              <w:rPr>
                <w:rFonts w:ascii="Arial" w:cs="Arial" w:eastAsia="Arial" w:hAnsi="Arial"/>
                <w:sz w:val="18"/>
                <w:szCs w:val="18"/>
                <w:color w:val="auto"/>
              </w:rPr>
              <w:t>0.24</w:t>
            </w:r>
          </w:p>
        </w:tc>
        <w:tc>
          <w:tcPr>
            <w:tcW w:w="200" w:type="dxa"/>
            <w:vAlign w:val="bottom"/>
            <w:tcBorders>
              <w:top w:val="single" w:sz="8" w:color="CCEEFF"/>
              <w:bottom w:val="single" w:sz="8" w:color="CCEEFF"/>
            </w:tcBorders>
          </w:tcPr>
          <w:p>
            <w:pPr>
              <w:spacing w:after="0"/>
              <w:rPr>
                <w:sz w:val="18"/>
                <w:szCs w:val="18"/>
                <w:color w:val="auto"/>
              </w:rPr>
            </w:pPr>
          </w:p>
        </w:tc>
        <w:tc>
          <w:tcPr>
            <w:tcW w:w="80" w:type="dxa"/>
            <w:vAlign w:val="bottom"/>
            <w:tcBorders>
              <w:top w:val="single" w:sz="8" w:color="CCEEFF"/>
              <w:bottom w:val="single" w:sz="8" w:color="CCEEFF"/>
            </w:tcBorders>
            <w:gridSpan w:val="2"/>
          </w:tcPr>
          <w:p>
            <w:pPr>
              <w:spacing w:after="0"/>
              <w:rPr>
                <w:sz w:val="18"/>
                <w:szCs w:val="18"/>
                <w:color w:val="auto"/>
              </w:rPr>
            </w:pPr>
          </w:p>
        </w:tc>
        <w:tc>
          <w:tcPr>
            <w:tcW w:w="1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0.20</w:t>
            </w:r>
          </w:p>
        </w:tc>
        <w:tc>
          <w:tcPr>
            <w:tcW w:w="200" w:type="dxa"/>
            <w:vAlign w:val="bottom"/>
            <w:tcBorders>
              <w:top w:val="single" w:sz="8" w:color="CCEEFF"/>
              <w:bottom w:val="single" w:sz="8" w:color="CCEEFF"/>
            </w:tcBorders>
          </w:tcPr>
          <w:p>
            <w:pPr>
              <w:spacing w:after="0"/>
              <w:rPr>
                <w:sz w:val="18"/>
                <w:szCs w:val="18"/>
                <w:color w:val="auto"/>
              </w:rPr>
            </w:pPr>
          </w:p>
        </w:tc>
        <w:tc>
          <w:tcPr>
            <w:tcW w:w="80" w:type="dxa"/>
            <w:vAlign w:val="bottom"/>
            <w:tcBorders>
              <w:top w:val="single" w:sz="8" w:color="CCEEFF"/>
              <w:bottom w:val="single" w:sz="8" w:color="CCEEFF"/>
            </w:tcBorders>
          </w:tcPr>
          <w:p>
            <w:pPr>
              <w:spacing w:after="0"/>
              <w:rPr>
                <w:sz w:val="18"/>
                <w:szCs w:val="18"/>
                <w:color w:val="auto"/>
              </w:rPr>
            </w:pPr>
          </w:p>
        </w:tc>
        <w:tc>
          <w:tcPr>
            <w:tcW w:w="220" w:type="dxa"/>
            <w:vAlign w:val="bottom"/>
            <w:tcBorders>
              <w:top w:val="single" w:sz="8" w:color="auto"/>
              <w:bottom w:val="single" w:sz="8" w:color="auto"/>
            </w:tcBorders>
            <w:gridSpan w:val="2"/>
          </w:tcPr>
          <w:p>
            <w:pPr>
              <w:jc w:val="right"/>
              <w:ind w:right="50"/>
              <w:spacing w:after="0"/>
              <w:rPr>
                <w:sz w:val="20"/>
                <w:szCs w:val="20"/>
                <w:color w:val="auto"/>
              </w:rPr>
            </w:pPr>
            <w:r>
              <w:rPr>
                <w:rFonts w:ascii="Arial" w:cs="Arial" w:eastAsia="Arial" w:hAnsi="Arial"/>
                <w:sz w:val="15"/>
                <w:szCs w:val="15"/>
                <w:color w:val="auto"/>
                <w:w w:val="71"/>
              </w:rPr>
              <w:t>$</w:t>
            </w:r>
          </w:p>
        </w:tc>
        <w:tc>
          <w:tcPr>
            <w:tcW w:w="102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0.05</w:t>
            </w:r>
          </w:p>
        </w:tc>
        <w:tc>
          <w:tcPr>
            <w:tcW w:w="60" w:type="dxa"/>
            <w:vAlign w:val="bottom"/>
            <w:tcBorders>
              <w:top w:val="single" w:sz="8" w:color="CCEEFF"/>
              <w:bottom w:val="single" w:sz="8" w:color="CCEEFF"/>
            </w:tcBorders>
          </w:tcPr>
          <w:p>
            <w:pPr>
              <w:spacing w:after="0"/>
              <w:rPr>
                <w:sz w:val="18"/>
                <w:szCs w:val="18"/>
                <w:color w:val="auto"/>
              </w:rPr>
            </w:pPr>
          </w:p>
        </w:tc>
        <w:tc>
          <w:tcPr>
            <w:tcW w:w="100" w:type="dxa"/>
            <w:vAlign w:val="bottom"/>
            <w:tcBorders>
              <w:top w:val="single" w:sz="8" w:color="CCEEFF"/>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86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tcPr>
          <w:p>
            <w:pPr>
              <w:ind w:left="160"/>
              <w:spacing w:after="0"/>
              <w:rPr>
                <w:sz w:val="20"/>
                <w:szCs w:val="20"/>
                <w:color w:val="auto"/>
              </w:rPr>
            </w:pPr>
            <w:r>
              <w:rPr>
                <w:rFonts w:ascii="Arial" w:cs="Arial" w:eastAsia="Arial" w:hAnsi="Arial"/>
                <w:sz w:val="18"/>
                <w:szCs w:val="18"/>
                <w:color w:val="auto"/>
              </w:rPr>
              <w:t>GAAP gross margin</w:t>
            </w:r>
          </w:p>
        </w:tc>
        <w:tc>
          <w:tcPr>
            <w:tcW w:w="27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60" w:type="dxa"/>
            <w:vAlign w:val="bottom"/>
            <w:gridSpan w:val="3"/>
          </w:tcPr>
          <w:p>
            <w:pPr>
              <w:jc w:val="right"/>
              <w:ind w:right="40"/>
              <w:spacing w:after="0"/>
              <w:rPr>
                <w:sz w:val="20"/>
                <w:szCs w:val="20"/>
                <w:color w:val="auto"/>
              </w:rPr>
            </w:pPr>
            <w:r>
              <w:rPr>
                <w:rFonts w:ascii="Arial" w:cs="Arial" w:eastAsia="Arial" w:hAnsi="Arial"/>
                <w:sz w:val="18"/>
                <w:szCs w:val="18"/>
                <w:color w:val="auto"/>
              </w:rPr>
              <w:t>51.6%</w:t>
            </w:r>
          </w:p>
        </w:tc>
        <w:tc>
          <w:tcPr>
            <w:tcW w:w="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48.1%</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48.4%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Non-GAAP gross margin</w:t>
            </w:r>
          </w:p>
        </w:tc>
        <w:tc>
          <w:tcPr>
            <w:tcW w:w="27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52.0%</w:t>
            </w:r>
          </w:p>
        </w:tc>
        <w:tc>
          <w:tcPr>
            <w:tcW w:w="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48.7%</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48.9%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-4478020</wp:posOffset>
            </wp:positionV>
            <wp:extent cx="12700"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-4478020</wp:posOffset>
            </wp:positionV>
            <wp:extent cx="12700"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205740</wp:posOffset>
            </wp:positionV>
            <wp:extent cx="182689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420" w:hanging="412"/>
        <w:spacing w:after="0"/>
        <w:tabs>
          <w:tab w:leader="none" w:pos="42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Non GAAP net income per share is calculated by dividing non-GAAP net income by non-GAAP weighted average shares diluted.</w:t>
      </w:r>
    </w:p>
    <w:p>
      <w:pPr>
        <w:spacing w:after="0" w:line="225" w:lineRule="exact"/>
        <w:rPr>
          <w:rFonts w:ascii="Arial" w:cs="Arial" w:eastAsia="Arial" w:hAnsi="Arial"/>
          <w:sz w:val="18"/>
          <w:szCs w:val="18"/>
          <w:i w:val="1"/>
          <w:iCs w:val="1"/>
          <w:color w:val="auto"/>
        </w:rPr>
      </w:pPr>
    </w:p>
    <w:p>
      <w:pPr>
        <w:ind w:left="420" w:right="80" w:hanging="412"/>
        <w:spacing w:after="0" w:line="259" w:lineRule="auto"/>
        <w:tabs>
          <w:tab w:leader="none" w:pos="420" w:val="left"/>
        </w:tabs>
        <w:numPr>
          <w:ilvl w:val="0"/>
          <w:numId w:val="6"/>
        </w:numPr>
        <w:rPr>
          <w:rFonts w:ascii="Arial" w:cs="Arial" w:eastAsia="Arial" w:hAnsi="Arial"/>
          <w:sz w:val="18"/>
          <w:szCs w:val="18"/>
          <w:i w:val="1"/>
          <w:iCs w:val="1"/>
          <w:color w:val="auto"/>
        </w:rPr>
      </w:pPr>
      <w:r>
        <w:rPr>
          <w:rFonts w:ascii="Arial" w:cs="Arial" w:eastAsia="Arial" w:hAnsi="Arial"/>
          <w:sz w:val="18"/>
          <w:szCs w:val="18"/>
          <w:i w:val="1"/>
          <w:iCs w:val="1"/>
          <w:color w:val="auto"/>
        </w:rPr>
        <w:t>For purposes of calculating non-GAAP net income per share, the GAAP diluted weighted average shares outstanding is adjusted to exclude the benefits of SFAS 123R compensation costs attributable to future services and not yet recognized in the financial statements that are treated as proceeds assumed to be used to repurchase shares under the GAAP treasury method and also includes the dilutive/antidilutive effects of warrants, common stock options and restricted stock.</w:t>
      </w:r>
    </w:p>
    <w:p>
      <w:pPr>
        <w:spacing w:after="0" w:line="187"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w:t>
      </w:r>
    </w:p>
    <w:p>
      <w:pPr>
        <w:sectPr>
          <w:pgSz w:w="11900" w:h="16838" w:orient="portrait"/>
          <w:cols w:equalWidth="0" w:num="1">
            <w:col w:w="11460"/>
          </w:cols>
          <w:pgMar w:left="240" w:top="125" w:right="199" w:bottom="0" w:gutter="0" w:footer="0" w:header="0"/>
        </w:sectPr>
      </w:pPr>
    </w:p>
    <w:bookmarkStart w:id="6" w:name="page7"/>
    <w:bookmarkEnd w:id="6"/>
    <w:p>
      <w:pPr>
        <w:spacing w:after="0" w:line="62"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 thousands)</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72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80" w:type="dxa"/>
            <w:vAlign w:val="bottom"/>
            <w:gridSpan w:val="2"/>
          </w:tcPr>
          <w:p>
            <w:pPr>
              <w:jc w:val="right"/>
              <w:ind w:right="760"/>
              <w:spacing w:after="0"/>
              <w:rPr>
                <w:sz w:val="20"/>
                <w:szCs w:val="20"/>
                <w:color w:val="auto"/>
              </w:rPr>
            </w:pPr>
            <w:r>
              <w:rPr>
                <w:rFonts w:ascii="Arial" w:cs="Arial" w:eastAsia="Arial" w:hAnsi="Arial"/>
                <w:sz w:val="14"/>
                <w:szCs w:val="14"/>
                <w:b w:val="1"/>
                <w:bCs w:val="1"/>
                <w:color w:val="auto"/>
              </w:rPr>
              <w:t>May 3,</w:t>
            </w:r>
          </w:p>
        </w:tc>
        <w:tc>
          <w:tcPr>
            <w:tcW w:w="200" w:type="dxa"/>
            <w:vAlign w:val="bottom"/>
          </w:tcPr>
          <w:p>
            <w:pPr>
              <w:spacing w:after="0"/>
              <w:rPr>
                <w:sz w:val="14"/>
                <w:szCs w:val="14"/>
                <w:color w:val="auto"/>
              </w:rPr>
            </w:pPr>
          </w:p>
        </w:tc>
        <w:tc>
          <w:tcPr>
            <w:tcW w:w="126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February 2,</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720" w:type="dxa"/>
            <w:vAlign w:val="bottom"/>
            <w:tcBorders>
              <w:bottom w:val="single" w:sz="8" w:color="CCEEFF"/>
            </w:tcBorders>
          </w:tcPr>
          <w:p>
            <w:pPr>
              <w:spacing w:after="0"/>
              <w:rPr>
                <w:sz w:val="14"/>
                <w:szCs w:val="14"/>
                <w:color w:val="auto"/>
              </w:rPr>
            </w:pPr>
          </w:p>
        </w:tc>
        <w:tc>
          <w:tcPr>
            <w:tcW w:w="3560" w:type="dxa"/>
            <w:vAlign w:val="bottom"/>
            <w:tcBorders>
              <w:bottom w:val="single" w:sz="8" w:color="CCEEFF"/>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100" w:type="dxa"/>
            <w:vAlign w:val="bottom"/>
            <w:tcBorders>
              <w:bottom w:val="single" w:sz="8" w:color="CCEEFF"/>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7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35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Current assets:</w:t>
            </w: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Cash, cash equivalents and short-term investments</w:t>
            </w:r>
          </w:p>
        </w:tc>
        <w:tc>
          <w:tcPr>
            <w:tcW w:w="38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773,642</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630,903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Accounts receivable, net</w:t>
            </w: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370,172</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332,020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Inventory</w:t>
            </w:r>
          </w:p>
        </w:tc>
        <w:tc>
          <w:tcPr>
            <w:tcW w:w="3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369,959</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419,493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Prepaid expenses and other current assets</w:t>
            </w: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96,766</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121,325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assets</w:t>
            </w:r>
          </w:p>
        </w:tc>
        <w:tc>
          <w:tcPr>
            <w:tcW w:w="356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1,610,539</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1,503,741</w:t>
            </w: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421,264</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416,241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3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40,459</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45,628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Goodwill and acquired intangible assets</w:t>
            </w: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2,392,613</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2,427,877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3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144,731</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157,107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72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assets</w:t>
            </w:r>
          </w:p>
        </w:tc>
        <w:tc>
          <w:tcPr>
            <w:tcW w:w="356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4,609,606</w:t>
            </w:r>
          </w:p>
        </w:tc>
        <w:tc>
          <w:tcPr>
            <w:tcW w:w="28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4720" w:type="dxa"/>
            <w:vAlign w:val="bottom"/>
            <w:shd w:val="clear" w:color="auto" w:fill="CCEEFF"/>
          </w:tcPr>
          <w:p>
            <w:pPr>
              <w:spacing w:after="0"/>
              <w:rPr>
                <w:sz w:val="18"/>
                <w:szCs w:val="18"/>
                <w:color w:val="auto"/>
              </w:rPr>
            </w:pPr>
          </w:p>
        </w:tc>
        <w:tc>
          <w:tcPr>
            <w:tcW w:w="3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3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Accounts payable</w:t>
            </w:r>
          </w:p>
        </w:tc>
        <w:tc>
          <w:tcPr>
            <w:tcW w:w="384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168,073</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231,135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Accrued liabilities</w:t>
            </w:r>
          </w:p>
        </w:tc>
        <w:tc>
          <w:tcPr>
            <w:tcW w:w="3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240,701</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241,062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Income taxes payable</w:t>
            </w: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41,522</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39,132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income</w:t>
            </w:r>
          </w:p>
        </w:tc>
        <w:tc>
          <w:tcPr>
            <w:tcW w:w="3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59,667</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69,420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Current portion of capital lease obligations</w:t>
            </w: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1,771</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2,463</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current liabilities</w:t>
            </w:r>
          </w:p>
        </w:tc>
        <w:tc>
          <w:tcPr>
            <w:tcW w:w="356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511,734</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583,212</w:t>
            </w: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Capital lease obligations</w:t>
            </w: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3,805</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4,238</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Term loan obligations</w:t>
            </w:r>
          </w:p>
        </w:tc>
        <w:tc>
          <w:tcPr>
            <w:tcW w:w="3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389,750</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390,750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166,584</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160,875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tcBorders>
              <w:top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liabilities</w:t>
            </w:r>
          </w:p>
        </w:tc>
        <w:tc>
          <w:tcPr>
            <w:tcW w:w="356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1,071,873</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1,139,075</w:t>
            </w: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472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3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Common stock</w:t>
            </w: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1,206</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1,200</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Additional paid-in capital</w:t>
            </w:r>
          </w:p>
        </w:tc>
        <w:tc>
          <w:tcPr>
            <w:tcW w:w="3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4,158,626</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4,100,659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tcPr>
          <w:p>
            <w:pPr>
              <w:ind w:left="160"/>
              <w:spacing w:after="0"/>
              <w:rPr>
                <w:sz w:val="20"/>
                <w:szCs w:val="20"/>
                <w:color w:val="auto"/>
              </w:rPr>
            </w:pPr>
            <w:r>
              <w:rPr>
                <w:rFonts w:ascii="Arial" w:cs="Arial" w:eastAsia="Arial" w:hAnsi="Arial"/>
                <w:sz w:val="18"/>
                <w:szCs w:val="18"/>
                <w:color w:val="auto"/>
              </w:rPr>
              <w:t>Accumulated other comprehensive income</w:t>
            </w:r>
          </w:p>
        </w:tc>
        <w:tc>
          <w:tcPr>
            <w:tcW w:w="35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(1,083)</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615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Accumulated deficit</w:t>
            </w:r>
          </w:p>
        </w:tc>
        <w:tc>
          <w:tcPr>
            <w:tcW w:w="35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(621,016)</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(690,955)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2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Total shareholders’ equity</w:t>
            </w:r>
          </w:p>
        </w:tc>
        <w:tc>
          <w:tcPr>
            <w:tcW w:w="356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3,537,733</w:t>
            </w:r>
          </w:p>
        </w:tc>
        <w:tc>
          <w:tcPr>
            <w:tcW w:w="28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3,411,519</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472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Total liabilities and shareholders’ equity</w:t>
            </w:r>
          </w:p>
        </w:tc>
        <w:tc>
          <w:tcPr>
            <w:tcW w:w="3560" w:type="dxa"/>
            <w:vAlign w:val="bottom"/>
            <w:tcBorders>
              <w:bottom w:val="single" w:sz="8" w:color="CCEEFF"/>
            </w:tcBorders>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4,609,606</w:t>
            </w:r>
          </w:p>
        </w:tc>
        <w:tc>
          <w:tcPr>
            <w:tcW w:w="280" w:type="dxa"/>
            <w:vAlign w:val="bottom"/>
            <w:tcBorders>
              <w:bottom w:val="single" w:sz="8" w:color="CCEEFF"/>
            </w:tcBorders>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Borders>
              <w:bottom w:val="single" w:sz="8" w:color="CCEEFF"/>
            </w:tcBorders>
            <w:shd w:val="clear" w:color="auto" w:fill="CCEEFF"/>
          </w:tcPr>
          <w:p>
            <w:pPr>
              <w:spacing w:after="0"/>
              <w:rPr>
                <w:sz w:val="19"/>
                <w:szCs w:val="19"/>
                <w:color w:val="auto"/>
              </w:rPr>
            </w:pP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9"/>
        </w:trPr>
        <w:tc>
          <w:tcPr>
            <w:tcW w:w="20" w:type="dxa"/>
            <w:vAlign w:val="bottom"/>
          </w:tcPr>
          <w:p>
            <w:pPr>
              <w:spacing w:after="0"/>
              <w:rPr>
                <w:sz w:val="24"/>
                <w:szCs w:val="24"/>
                <w:color w:val="auto"/>
              </w:rPr>
            </w:pPr>
          </w:p>
        </w:tc>
        <w:tc>
          <w:tcPr>
            <w:tcW w:w="4720" w:type="dxa"/>
            <w:vAlign w:val="bottom"/>
          </w:tcPr>
          <w:p>
            <w:pPr>
              <w:spacing w:after="0"/>
              <w:rPr>
                <w:sz w:val="24"/>
                <w:szCs w:val="24"/>
                <w:color w:val="auto"/>
              </w:rPr>
            </w:pPr>
          </w:p>
        </w:tc>
        <w:tc>
          <w:tcPr>
            <w:tcW w:w="3560" w:type="dxa"/>
            <w:vAlign w:val="bottom"/>
          </w:tcPr>
          <w:p>
            <w:pPr>
              <w:jc w:val="right"/>
              <w:ind w:right="2450"/>
              <w:spacing w:after="0"/>
              <w:rPr>
                <w:sz w:val="20"/>
                <w:szCs w:val="20"/>
                <w:color w:val="auto"/>
              </w:rPr>
            </w:pPr>
            <w:r>
              <w:rPr>
                <w:rFonts w:ascii="Arial" w:cs="Arial" w:eastAsia="Arial" w:hAnsi="Arial"/>
                <w:sz w:val="18"/>
                <w:szCs w:val="18"/>
                <w:color w:val="auto"/>
              </w:rPr>
              <w:t>8</w:t>
            </w:r>
          </w:p>
        </w:tc>
        <w:tc>
          <w:tcPr>
            <w:tcW w:w="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010101"/>
            </w:tcBorders>
          </w:tcPr>
          <w:p>
            <w:pPr>
              <w:spacing w:after="0"/>
              <w:rPr>
                <w:sz w:val="11"/>
                <w:szCs w:val="11"/>
                <w:color w:val="auto"/>
              </w:rPr>
            </w:pPr>
          </w:p>
        </w:tc>
        <w:tc>
          <w:tcPr>
            <w:tcW w:w="4720" w:type="dxa"/>
            <w:vAlign w:val="bottom"/>
            <w:tcBorders>
              <w:bottom w:val="single" w:sz="8" w:color="010101"/>
            </w:tcBorders>
          </w:tcPr>
          <w:p>
            <w:pPr>
              <w:spacing w:after="0"/>
              <w:rPr>
                <w:sz w:val="11"/>
                <w:szCs w:val="11"/>
                <w:color w:val="auto"/>
              </w:rPr>
            </w:pPr>
          </w:p>
        </w:tc>
        <w:tc>
          <w:tcPr>
            <w:tcW w:w="356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110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116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 thousands)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6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560" w:type="dxa"/>
            <w:vAlign w:val="bottom"/>
            <w:tcBorders>
              <w:bottom w:val="single" w:sz="8" w:color="auto"/>
            </w:tcBorders>
            <w:gridSpan w:val="4"/>
          </w:tcPr>
          <w:p>
            <w:pPr>
              <w:jc w:val="center"/>
              <w:ind w:right="60"/>
              <w:spacing w:after="0"/>
              <w:rPr>
                <w:sz w:val="20"/>
                <w:szCs w:val="20"/>
                <w:color w:val="auto"/>
              </w:rPr>
            </w:pPr>
            <w:r>
              <w:rPr>
                <w:rFonts w:ascii="Arial" w:cs="Arial" w:eastAsia="Arial" w:hAnsi="Arial"/>
                <w:sz w:val="14"/>
                <w:szCs w:val="14"/>
                <w:b w:val="1"/>
                <w:bCs w:val="1"/>
                <w:color w:val="auto"/>
                <w:w w:val="93"/>
              </w:rPr>
              <w:t>Three Months Ended</w:t>
            </w:r>
          </w:p>
        </w:tc>
        <w:tc>
          <w:tcPr>
            <w:tcW w:w="1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19"/>
        </w:trPr>
        <w:tc>
          <w:tcPr>
            <w:tcW w:w="664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160" w:type="dxa"/>
            <w:vAlign w:val="bottom"/>
            <w:gridSpan w:val="2"/>
          </w:tcPr>
          <w:p>
            <w:pPr>
              <w:jc w:val="right"/>
              <w:ind w:right="560"/>
              <w:spacing w:after="0" w:line="119" w:lineRule="exact"/>
              <w:rPr>
                <w:sz w:val="20"/>
                <w:szCs w:val="20"/>
                <w:color w:val="auto"/>
              </w:rPr>
            </w:pPr>
            <w:r>
              <w:rPr>
                <w:rFonts w:ascii="Arial" w:cs="Arial" w:eastAsia="Arial" w:hAnsi="Arial"/>
                <w:sz w:val="13"/>
                <w:szCs w:val="13"/>
                <w:b w:val="1"/>
                <w:bCs w:val="1"/>
                <w:color w:val="auto"/>
              </w:rPr>
              <w:t>May 3,</w:t>
            </w:r>
          </w:p>
        </w:tc>
        <w:tc>
          <w:tcPr>
            <w:tcW w:w="1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40" w:type="dxa"/>
            <w:vAlign w:val="bottom"/>
            <w:gridSpan w:val="2"/>
          </w:tcPr>
          <w:p>
            <w:pPr>
              <w:jc w:val="center"/>
              <w:ind w:right="360"/>
              <w:spacing w:after="0" w:line="119" w:lineRule="exact"/>
              <w:rPr>
                <w:sz w:val="20"/>
                <w:szCs w:val="20"/>
                <w:color w:val="auto"/>
              </w:rPr>
            </w:pPr>
            <w:r>
              <w:rPr>
                <w:rFonts w:ascii="Arial" w:cs="Arial" w:eastAsia="Arial" w:hAnsi="Arial"/>
                <w:sz w:val="13"/>
                <w:szCs w:val="13"/>
                <w:b w:val="1"/>
                <w:bCs w:val="1"/>
                <w:color w:val="auto"/>
              </w:rPr>
              <w:t>February 2,</w:t>
            </w:r>
          </w:p>
        </w:tc>
        <w:tc>
          <w:tcPr>
            <w:tcW w:w="1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040" w:type="dxa"/>
            <w:vAlign w:val="bottom"/>
          </w:tcPr>
          <w:p>
            <w:pPr>
              <w:jc w:val="right"/>
              <w:ind w:right="272"/>
              <w:spacing w:after="0" w:line="119" w:lineRule="exact"/>
              <w:rPr>
                <w:sz w:val="20"/>
                <w:szCs w:val="20"/>
                <w:color w:val="auto"/>
              </w:rPr>
            </w:pPr>
            <w:r>
              <w:rPr>
                <w:rFonts w:ascii="Arial" w:cs="Arial" w:eastAsia="Arial" w:hAnsi="Arial"/>
                <w:sz w:val="13"/>
                <w:szCs w:val="13"/>
                <w:b w:val="1"/>
                <w:bCs w:val="1"/>
                <w:color w:val="auto"/>
              </w:rPr>
              <w:t>April 28,</w:t>
            </w:r>
          </w:p>
        </w:tc>
        <w:tc>
          <w:tcPr>
            <w:tcW w:w="100" w:type="dxa"/>
            <w:vAlign w:val="bottom"/>
          </w:tcPr>
          <w:p>
            <w:pPr>
              <w:spacing w:after="0"/>
              <w:rPr>
                <w:sz w:val="10"/>
                <w:szCs w:val="10"/>
                <w:color w:val="auto"/>
              </w:rPr>
            </w:pPr>
          </w:p>
        </w:tc>
      </w:tr>
      <w:tr>
        <w:trPr>
          <w:trHeight w:val="171"/>
        </w:trPr>
        <w:tc>
          <w:tcPr>
            <w:tcW w:w="6640" w:type="dxa"/>
            <w:vAlign w:val="bottom"/>
            <w:tcBorders>
              <w:bottom w:val="single" w:sz="8" w:color="CCEEFF"/>
            </w:tcBorders>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2008</w:t>
            </w:r>
          </w:p>
        </w:tc>
        <w:tc>
          <w:tcPr>
            <w:tcW w:w="14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jc w:val="center"/>
              <w:ind w:right="92"/>
              <w:spacing w:after="0"/>
              <w:rPr>
                <w:sz w:val="20"/>
                <w:szCs w:val="20"/>
                <w:color w:val="auto"/>
              </w:rPr>
            </w:pPr>
            <w:r>
              <w:rPr>
                <w:rFonts w:ascii="Arial" w:cs="Arial" w:eastAsia="Arial" w:hAnsi="Arial"/>
                <w:sz w:val="14"/>
                <w:szCs w:val="14"/>
                <w:b w:val="1"/>
                <w:bCs w:val="1"/>
                <w:color w:val="auto"/>
                <w:w w:val="89"/>
              </w:rPr>
              <w:t>2008</w:t>
            </w:r>
          </w:p>
        </w:tc>
        <w:tc>
          <w:tcPr>
            <w:tcW w:w="18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right"/>
              <w:ind w:right="392"/>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CCEEFF"/>
            </w:tcBorders>
          </w:tcPr>
          <w:p>
            <w:pPr>
              <w:spacing w:after="0"/>
              <w:rPr>
                <w:sz w:val="14"/>
                <w:szCs w:val="14"/>
                <w:color w:val="auto"/>
              </w:rPr>
            </w:pPr>
          </w:p>
        </w:tc>
      </w:tr>
      <w:tr>
        <w:trPr>
          <w:trHeight w:val="196"/>
        </w:trPr>
        <w:tc>
          <w:tcPr>
            <w:tcW w:w="66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3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2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6640" w:type="dxa"/>
            <w:vAlign w:val="bottom"/>
          </w:tcPr>
          <w:p>
            <w:pPr>
              <w:spacing w:after="0"/>
              <w:rPr>
                <w:sz w:val="20"/>
                <w:szCs w:val="20"/>
                <w:color w:val="auto"/>
              </w:rPr>
            </w:pPr>
            <w:r>
              <w:rPr>
                <w:rFonts w:ascii="Arial" w:cs="Arial" w:eastAsia="Arial" w:hAnsi="Arial"/>
                <w:sz w:val="18"/>
                <w:szCs w:val="18"/>
                <w:color w:val="auto"/>
              </w:rPr>
              <w:t>Net income (loss)</w:t>
            </w:r>
          </w:p>
        </w:tc>
        <w:tc>
          <w:tcPr>
            <w:tcW w:w="6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69,939</w:t>
            </w:r>
          </w:p>
        </w:tc>
        <w:tc>
          <w:tcPr>
            <w:tcW w:w="32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1,293</w:t>
            </w:r>
          </w:p>
        </w:tc>
        <w:tc>
          <w:tcPr>
            <w:tcW w:w="180" w:type="dxa"/>
            <w:vAlign w:val="bottom"/>
          </w:tcPr>
          <w:p>
            <w:pPr>
              <w:spacing w:after="0"/>
              <w:rPr>
                <w:sz w:val="18"/>
                <w:szCs w:val="18"/>
                <w:color w:val="auto"/>
              </w:rPr>
            </w:pPr>
          </w:p>
        </w:tc>
        <w:tc>
          <w:tcPr>
            <w:tcW w:w="3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40"/>
              <w:spacing w:after="0"/>
              <w:rPr>
                <w:sz w:val="20"/>
                <w:szCs w:val="20"/>
                <w:color w:val="auto"/>
              </w:rPr>
            </w:pPr>
            <w:r>
              <w:rPr>
                <w:rFonts w:ascii="Arial" w:cs="Arial" w:eastAsia="Arial" w:hAnsi="Arial"/>
                <w:sz w:val="18"/>
                <w:szCs w:val="18"/>
                <w:color w:val="auto"/>
              </w:rPr>
              <w:t>(52,828)</w:t>
            </w:r>
          </w:p>
        </w:tc>
      </w:tr>
      <w:tr>
        <w:trPr>
          <w:trHeight w:val="216"/>
        </w:trPr>
        <w:tc>
          <w:tcPr>
            <w:tcW w:w="6640" w:type="dxa"/>
            <w:vAlign w:val="bottom"/>
            <w:shd w:val="clear" w:color="auto" w:fill="CCEEFF"/>
          </w:tcPr>
          <w:p>
            <w:pPr>
              <w:spacing w:after="0"/>
              <w:rPr>
                <w:sz w:val="20"/>
                <w:szCs w:val="20"/>
                <w:color w:val="auto"/>
              </w:rPr>
            </w:pPr>
            <w:r>
              <w:rPr>
                <w:rFonts w:ascii="Arial" w:cs="Arial" w:eastAsia="Arial" w:hAnsi="Arial"/>
                <w:sz w:val="18"/>
                <w:szCs w:val="18"/>
                <w:color w:val="auto"/>
                <w:w w:val="96"/>
              </w:rPr>
              <w:t>Adjustments to reconcile net income (loss) to net cash provided by operating activities:</w:t>
            </w: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6640" w:type="dxa"/>
            <w:vAlign w:val="bottom"/>
          </w:tcPr>
          <w:p>
            <w:pPr>
              <w:ind w:left="180"/>
              <w:spacing w:after="0"/>
              <w:rPr>
                <w:sz w:val="20"/>
                <w:szCs w:val="20"/>
                <w:color w:val="auto"/>
              </w:rPr>
            </w:pPr>
            <w:r>
              <w:rPr>
                <w:rFonts w:ascii="Arial" w:cs="Arial" w:eastAsia="Arial" w:hAnsi="Arial"/>
                <w:sz w:val="18"/>
                <w:szCs w:val="18"/>
                <w:color w:val="auto"/>
              </w:rPr>
              <w:t>Depreciation and amortization</w:t>
            </w: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28,618</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27,008</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26,530</w:t>
            </w:r>
          </w:p>
        </w:tc>
      </w:tr>
      <w:tr>
        <w:trPr>
          <w:trHeight w:val="216"/>
        </w:trPr>
        <w:tc>
          <w:tcPr>
            <w:tcW w:w="6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Stock-based compensation</w:t>
            </w: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45,226</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69,960</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46,768</w:t>
            </w:r>
          </w:p>
        </w:tc>
      </w:tr>
      <w:tr>
        <w:trPr>
          <w:trHeight w:val="216"/>
        </w:trPr>
        <w:tc>
          <w:tcPr>
            <w:tcW w:w="6640" w:type="dxa"/>
            <w:vAlign w:val="bottom"/>
          </w:tcPr>
          <w:p>
            <w:pPr>
              <w:ind w:left="180"/>
              <w:spacing w:after="0"/>
              <w:rPr>
                <w:sz w:val="20"/>
                <w:szCs w:val="20"/>
                <w:color w:val="auto"/>
              </w:rPr>
            </w:pPr>
            <w:r>
              <w:rPr>
                <w:rFonts w:ascii="Arial" w:cs="Arial" w:eastAsia="Arial" w:hAnsi="Arial"/>
                <w:sz w:val="18"/>
                <w:szCs w:val="18"/>
                <w:color w:val="auto"/>
              </w:rPr>
              <w:t>Amortization and write-off of acquired intangible assets</w:t>
            </w: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35,247</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43,810</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37,320</w:t>
            </w:r>
          </w:p>
        </w:tc>
      </w:tr>
      <w:tr>
        <w:trPr>
          <w:trHeight w:val="216"/>
        </w:trPr>
        <w:tc>
          <w:tcPr>
            <w:tcW w:w="6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Loss from disposal of assets</w:t>
            </w: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3,300</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6640" w:type="dxa"/>
            <w:vAlign w:val="bottom"/>
          </w:tcPr>
          <w:p>
            <w:pPr>
              <w:ind w:left="180"/>
              <w:spacing w:after="0"/>
              <w:rPr>
                <w:sz w:val="20"/>
                <w:szCs w:val="20"/>
                <w:color w:val="auto"/>
              </w:rPr>
            </w:pPr>
            <w:r>
              <w:rPr>
                <w:rFonts w:ascii="Arial" w:cs="Arial" w:eastAsia="Arial" w:hAnsi="Arial"/>
                <w:sz w:val="18"/>
                <w:szCs w:val="18"/>
                <w:color w:val="auto"/>
              </w:rPr>
              <w:t>Fair market value adjustment to cost of goods sold from supply contract</w:t>
            </w: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gridSpan w:val="2"/>
          </w:tcPr>
          <w:p>
            <w:pPr>
              <w:jc w:val="right"/>
              <w:ind w:right="80"/>
              <w:spacing w:after="0"/>
              <w:rPr>
                <w:sz w:val="20"/>
                <w:szCs w:val="20"/>
                <w:color w:val="auto"/>
              </w:rPr>
            </w:pPr>
            <w:r>
              <w:rPr>
                <w:rFonts w:ascii="Arial" w:cs="Arial" w:eastAsia="Arial" w:hAnsi="Arial"/>
                <w:sz w:val="18"/>
                <w:szCs w:val="18"/>
                <w:color w:val="auto"/>
              </w:rPr>
              <w:t>(6,383)</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(5,348)</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40"/>
              <w:spacing w:after="0"/>
              <w:rPr>
                <w:sz w:val="20"/>
                <w:szCs w:val="20"/>
                <w:color w:val="auto"/>
              </w:rPr>
            </w:pPr>
            <w:r>
              <w:rPr>
                <w:rFonts w:ascii="Arial" w:cs="Arial" w:eastAsia="Arial" w:hAnsi="Arial"/>
                <w:sz w:val="18"/>
                <w:szCs w:val="18"/>
                <w:color w:val="auto"/>
              </w:rPr>
              <w:t>(33,756)</w:t>
            </w:r>
          </w:p>
        </w:tc>
      </w:tr>
      <w:tr>
        <w:trPr>
          <w:trHeight w:val="216"/>
        </w:trPr>
        <w:tc>
          <w:tcPr>
            <w:tcW w:w="6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Termination of supply agreement</w:t>
            </w: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(22,069)</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6640" w:type="dxa"/>
            <w:vAlign w:val="bottom"/>
          </w:tcPr>
          <w:p>
            <w:pPr>
              <w:ind w:left="180"/>
              <w:spacing w:after="0"/>
              <w:rPr>
                <w:sz w:val="20"/>
                <w:szCs w:val="20"/>
                <w:color w:val="auto"/>
              </w:rPr>
            </w:pPr>
            <w:r>
              <w:rPr>
                <w:rFonts w:ascii="Arial" w:cs="Arial" w:eastAsia="Arial" w:hAnsi="Arial"/>
                <w:sz w:val="18"/>
                <w:szCs w:val="18"/>
                <w:color w:val="auto"/>
              </w:rPr>
              <w:t>Interest expense related to supply contract</w:t>
            </w: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1,165</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1,560</w:t>
            </w:r>
          </w:p>
        </w:tc>
      </w:tr>
      <w:tr>
        <w:trPr>
          <w:trHeight w:val="216"/>
        </w:trPr>
        <w:tc>
          <w:tcPr>
            <w:tcW w:w="6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tax provision</w:t>
            </w: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(16,778)</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6640" w:type="dxa"/>
            <w:vAlign w:val="bottom"/>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gridSpan w:val="2"/>
          </w:tcPr>
          <w:p>
            <w:pPr>
              <w:jc w:val="right"/>
              <w:ind w:right="80"/>
              <w:spacing w:after="0"/>
              <w:rPr>
                <w:sz w:val="20"/>
                <w:szCs w:val="20"/>
                <w:color w:val="auto"/>
              </w:rPr>
            </w:pPr>
            <w:r>
              <w:rPr>
                <w:rFonts w:ascii="Arial" w:cs="Arial" w:eastAsia="Arial" w:hAnsi="Arial"/>
                <w:sz w:val="18"/>
                <w:szCs w:val="18"/>
                <w:color w:val="auto"/>
              </w:rPr>
              <w:t>(169)</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(199)</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6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Changes in assets and liabilities, net of acquisitions:</w:t>
            </w: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6640" w:type="dxa"/>
            <w:vAlign w:val="bottom"/>
          </w:tcPr>
          <w:p>
            <w:pPr>
              <w:ind w:left="360"/>
              <w:spacing w:after="0"/>
              <w:rPr>
                <w:sz w:val="20"/>
                <w:szCs w:val="20"/>
                <w:color w:val="auto"/>
              </w:rPr>
            </w:pPr>
            <w:r>
              <w:rPr>
                <w:rFonts w:ascii="Arial" w:cs="Arial" w:eastAsia="Arial" w:hAnsi="Arial"/>
                <w:sz w:val="18"/>
                <w:szCs w:val="18"/>
                <w:color w:val="auto"/>
              </w:rPr>
              <w:t>Accounts receivable</w:t>
            </w: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gridSpan w:val="2"/>
          </w:tcPr>
          <w:p>
            <w:pPr>
              <w:jc w:val="right"/>
              <w:ind w:right="80"/>
              <w:spacing w:after="0"/>
              <w:rPr>
                <w:sz w:val="20"/>
                <w:szCs w:val="20"/>
                <w:color w:val="auto"/>
              </w:rPr>
            </w:pPr>
            <w:r>
              <w:rPr>
                <w:rFonts w:ascii="Arial" w:cs="Arial" w:eastAsia="Arial" w:hAnsi="Arial"/>
                <w:sz w:val="18"/>
                <w:szCs w:val="18"/>
                <w:color w:val="auto"/>
              </w:rPr>
              <w:t>(38,152)</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55,169</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45,418</w:t>
            </w:r>
          </w:p>
        </w:tc>
      </w:tr>
      <w:tr>
        <w:trPr>
          <w:trHeight w:val="216"/>
        </w:trPr>
        <w:tc>
          <w:tcPr>
            <w:tcW w:w="6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55,918</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(43,441)</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(28,688)</w:t>
            </w:r>
          </w:p>
        </w:tc>
      </w:tr>
      <w:tr>
        <w:trPr>
          <w:trHeight w:val="216"/>
        </w:trPr>
        <w:tc>
          <w:tcPr>
            <w:tcW w:w="6640" w:type="dxa"/>
            <w:vAlign w:val="bottom"/>
          </w:tcPr>
          <w:p>
            <w:pPr>
              <w:ind w:left="360"/>
              <w:spacing w:after="0"/>
              <w:rPr>
                <w:sz w:val="20"/>
                <w:szCs w:val="20"/>
                <w:color w:val="auto"/>
              </w:rPr>
            </w:pPr>
            <w:r>
              <w:rPr>
                <w:rFonts w:ascii="Arial" w:cs="Arial" w:eastAsia="Arial" w:hAnsi="Arial"/>
                <w:sz w:val="18"/>
                <w:szCs w:val="18"/>
                <w:color w:val="auto"/>
              </w:rPr>
              <w:t>Prepaid expenses and other assets</w:t>
            </w: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32,466</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8,798</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11,820</w:t>
            </w:r>
          </w:p>
        </w:tc>
      </w:tr>
      <w:tr>
        <w:trPr>
          <w:trHeight w:val="216"/>
        </w:trPr>
        <w:tc>
          <w:tcPr>
            <w:tcW w:w="6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(63,076)</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22,920</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16,985</w:t>
            </w:r>
          </w:p>
        </w:tc>
      </w:tr>
      <w:tr>
        <w:trPr>
          <w:trHeight w:val="216"/>
        </w:trPr>
        <w:tc>
          <w:tcPr>
            <w:tcW w:w="6640" w:type="dxa"/>
            <w:vAlign w:val="bottom"/>
          </w:tcPr>
          <w:p>
            <w:pPr>
              <w:ind w:left="360"/>
              <w:spacing w:after="0"/>
              <w:rPr>
                <w:sz w:val="20"/>
                <w:szCs w:val="20"/>
                <w:color w:val="auto"/>
              </w:rPr>
            </w:pPr>
            <w:r>
              <w:rPr>
                <w:rFonts w:ascii="Arial" w:cs="Arial" w:eastAsia="Arial" w:hAnsi="Arial"/>
                <w:sz w:val="18"/>
                <w:szCs w:val="18"/>
                <w:color w:val="auto"/>
              </w:rPr>
              <w:t>Accrued liabilities and other</w:t>
            </w: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gridSpan w:val="2"/>
          </w:tcPr>
          <w:p>
            <w:pPr>
              <w:jc w:val="right"/>
              <w:ind w:right="80"/>
              <w:spacing w:after="0"/>
              <w:rPr>
                <w:sz w:val="20"/>
                <w:szCs w:val="20"/>
                <w:color w:val="auto"/>
              </w:rPr>
            </w:pPr>
            <w:r>
              <w:rPr>
                <w:rFonts w:ascii="Arial" w:cs="Arial" w:eastAsia="Arial" w:hAnsi="Arial"/>
                <w:sz w:val="18"/>
                <w:szCs w:val="18"/>
                <w:color w:val="auto"/>
              </w:rPr>
              <w:t>(18,807)</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17,134</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40"/>
              <w:spacing w:after="0"/>
              <w:rPr>
                <w:sz w:val="20"/>
                <w:szCs w:val="20"/>
                <w:color w:val="auto"/>
              </w:rPr>
            </w:pPr>
            <w:r>
              <w:rPr>
                <w:rFonts w:ascii="Arial" w:cs="Arial" w:eastAsia="Arial" w:hAnsi="Arial"/>
                <w:sz w:val="18"/>
                <w:szCs w:val="18"/>
                <w:color w:val="auto"/>
              </w:rPr>
              <w:t>(26,447)</w:t>
            </w:r>
          </w:p>
        </w:tc>
      </w:tr>
      <w:tr>
        <w:trPr>
          <w:trHeight w:val="216"/>
        </w:trPr>
        <w:tc>
          <w:tcPr>
            <w:tcW w:w="6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16,963</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(1,645)</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1,282</w:t>
            </w:r>
          </w:p>
        </w:tc>
      </w:tr>
      <w:tr>
        <w:trPr>
          <w:trHeight w:val="216"/>
        </w:trPr>
        <w:tc>
          <w:tcPr>
            <w:tcW w:w="6640" w:type="dxa"/>
            <w:vAlign w:val="bottom"/>
          </w:tcPr>
          <w:p>
            <w:pPr>
              <w:ind w:left="360"/>
              <w:spacing w:after="0"/>
              <w:rPr>
                <w:sz w:val="20"/>
                <w:szCs w:val="20"/>
                <w:color w:val="auto"/>
              </w:rPr>
            </w:pPr>
            <w:r>
              <w:rPr>
                <w:rFonts w:ascii="Arial" w:cs="Arial" w:eastAsia="Arial" w:hAnsi="Arial"/>
                <w:sz w:val="18"/>
                <w:szCs w:val="18"/>
                <w:color w:val="auto"/>
              </w:rPr>
              <w:t>Income taxes payable</w:t>
            </w: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6,656</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9,032</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2,608</w:t>
            </w:r>
          </w:p>
        </w:tc>
      </w:tr>
      <w:tr>
        <w:trPr>
          <w:trHeight w:val="216"/>
        </w:trPr>
        <w:tc>
          <w:tcPr>
            <w:tcW w:w="66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Deferred income</w:t>
            </w: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(9,753)</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(6,872)</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5,602</w:t>
            </w:r>
          </w:p>
        </w:tc>
      </w:tr>
      <w:tr>
        <w:trPr>
          <w:trHeight w:val="210"/>
        </w:trPr>
        <w:tc>
          <w:tcPr>
            <w:tcW w:w="6640" w:type="dxa"/>
            <w:vAlign w:val="bottom"/>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36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0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154,693</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Borders>
              <w:top w:val="single" w:sz="8" w:color="auto"/>
            </w:tcBorders>
          </w:tcPr>
          <w:p>
            <w:pPr>
              <w:spacing w:after="0"/>
              <w:rPr>
                <w:sz w:val="18"/>
                <w:szCs w:val="18"/>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163,237</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54,174</w:t>
            </w:r>
          </w:p>
        </w:tc>
        <w:tc>
          <w:tcPr>
            <w:tcW w:w="100" w:type="dxa"/>
            <w:vAlign w:val="bottom"/>
          </w:tcPr>
          <w:p>
            <w:pPr>
              <w:spacing w:after="0"/>
              <w:rPr>
                <w:sz w:val="18"/>
                <w:szCs w:val="18"/>
                <w:color w:val="auto"/>
              </w:rPr>
            </w:pPr>
          </w:p>
        </w:tc>
      </w:tr>
      <w:tr>
        <w:trPr>
          <w:trHeight w:val="216"/>
        </w:trPr>
        <w:tc>
          <w:tcPr>
            <w:tcW w:w="664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6640" w:type="dxa"/>
            <w:vAlign w:val="bottom"/>
          </w:tcPr>
          <w:p>
            <w:pPr>
              <w:ind w:left="180"/>
              <w:spacing w:after="0"/>
              <w:rPr>
                <w:sz w:val="20"/>
                <w:szCs w:val="20"/>
                <w:color w:val="auto"/>
              </w:rPr>
            </w:pPr>
            <w:r>
              <w:rPr>
                <w:rFonts w:ascii="Arial" w:cs="Arial" w:eastAsia="Arial" w:hAnsi="Arial"/>
                <w:sz w:val="18"/>
                <w:szCs w:val="18"/>
                <w:color w:val="auto"/>
              </w:rPr>
              <w:t>Cash paid in acquisitions, net</w:t>
            </w:r>
          </w:p>
        </w:tc>
        <w:tc>
          <w:tcPr>
            <w:tcW w:w="3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40" w:type="dxa"/>
            <w:vAlign w:val="bottom"/>
            <w:gridSpan w:val="2"/>
          </w:tcPr>
          <w:p>
            <w:pPr>
              <w:jc w:val="right"/>
              <w:ind w:right="120"/>
              <w:spacing w:after="0"/>
              <w:rPr>
                <w:sz w:val="20"/>
                <w:szCs w:val="20"/>
                <w:color w:val="auto"/>
              </w:rPr>
            </w:pPr>
            <w:r>
              <w:rPr>
                <w:rFonts w:ascii="Arial" w:cs="Arial" w:eastAsia="Arial" w:hAnsi="Arial"/>
                <w:sz w:val="18"/>
                <w:szCs w:val="18"/>
                <w:color w:val="auto"/>
              </w:rPr>
              <w:t>(12,846)</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66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short-term and long-term investments</w:t>
            </w: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(10,126)</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(96,979)</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(107,953)</w:t>
            </w:r>
          </w:p>
        </w:tc>
      </w:tr>
      <w:tr>
        <w:trPr>
          <w:trHeight w:val="216"/>
        </w:trPr>
        <w:tc>
          <w:tcPr>
            <w:tcW w:w="664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Sales and maturities of short-term and long-term investments</w:t>
            </w:r>
          </w:p>
        </w:tc>
        <w:tc>
          <w:tcPr>
            <w:tcW w:w="36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spacing w:after="0"/>
              <w:rPr>
                <w:sz w:val="18"/>
                <w:szCs w:val="18"/>
                <w:color w:val="auto"/>
              </w:rPr>
            </w:pPr>
          </w:p>
        </w:tc>
        <w:tc>
          <w:tcPr>
            <w:tcW w:w="1160" w:type="dxa"/>
            <w:vAlign w:val="bottom"/>
            <w:tcBorders>
              <w:bottom w:val="single" w:sz="8" w:color="CCEEFF"/>
            </w:tcBorders>
            <w:gridSpan w:val="2"/>
          </w:tcPr>
          <w:p>
            <w:pPr>
              <w:jc w:val="right"/>
              <w:ind w:right="140"/>
              <w:spacing w:after="0"/>
              <w:rPr>
                <w:sz w:val="20"/>
                <w:szCs w:val="20"/>
                <w:color w:val="auto"/>
              </w:rPr>
            </w:pPr>
            <w:r>
              <w:rPr>
                <w:rFonts w:ascii="Arial" w:cs="Arial" w:eastAsia="Arial" w:hAnsi="Arial"/>
                <w:sz w:val="18"/>
                <w:szCs w:val="18"/>
                <w:color w:val="auto"/>
              </w:rPr>
              <w:t>23,793</w:t>
            </w: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CCEEFF"/>
            </w:tcBorders>
          </w:tcPr>
          <w:p>
            <w:pPr>
              <w:spacing w:after="0"/>
              <w:rPr>
                <w:sz w:val="18"/>
                <w:szCs w:val="18"/>
                <w:color w:val="auto"/>
              </w:rPr>
            </w:pPr>
          </w:p>
        </w:tc>
        <w:tc>
          <w:tcPr>
            <w:tcW w:w="1240" w:type="dxa"/>
            <w:vAlign w:val="bottom"/>
            <w:tcBorders>
              <w:bottom w:val="single" w:sz="8" w:color="CCEEFF"/>
            </w:tcBorders>
            <w:gridSpan w:val="2"/>
          </w:tcPr>
          <w:p>
            <w:pPr>
              <w:jc w:val="right"/>
              <w:ind w:right="180"/>
              <w:spacing w:after="0"/>
              <w:rPr>
                <w:sz w:val="20"/>
                <w:szCs w:val="20"/>
                <w:color w:val="auto"/>
              </w:rPr>
            </w:pPr>
            <w:r>
              <w:rPr>
                <w:rFonts w:ascii="Arial" w:cs="Arial" w:eastAsia="Arial" w:hAnsi="Arial"/>
                <w:sz w:val="18"/>
                <w:szCs w:val="18"/>
                <w:color w:val="auto"/>
              </w:rPr>
              <w:t>110,390</w:t>
            </w:r>
          </w:p>
        </w:tc>
        <w:tc>
          <w:tcPr>
            <w:tcW w:w="100" w:type="dxa"/>
            <w:vAlign w:val="bottom"/>
            <w:tcBorders>
              <w:bottom w:val="single" w:sz="8" w:color="CCEEFF"/>
            </w:tcBorders>
          </w:tcPr>
          <w:p>
            <w:pPr>
              <w:spacing w:after="0"/>
              <w:rPr>
                <w:sz w:val="18"/>
                <w:szCs w:val="18"/>
                <w:color w:val="auto"/>
              </w:rPr>
            </w:pPr>
          </w:p>
        </w:tc>
        <w:tc>
          <w:tcPr>
            <w:tcW w:w="220" w:type="dxa"/>
            <w:vAlign w:val="bottom"/>
            <w:tcBorders>
              <w:bottom w:val="single" w:sz="8" w:color="CCEEFF"/>
            </w:tcBorders>
          </w:tcPr>
          <w:p>
            <w:pPr>
              <w:spacing w:after="0"/>
              <w:rPr>
                <w:sz w:val="18"/>
                <w:szCs w:val="18"/>
                <w:color w:val="auto"/>
              </w:rPr>
            </w:pPr>
          </w:p>
        </w:tc>
        <w:tc>
          <w:tcPr>
            <w:tcW w:w="1140" w:type="dxa"/>
            <w:vAlign w:val="bottom"/>
            <w:tcBorders>
              <w:bottom w:val="single" w:sz="8" w:color="CCEEFF"/>
            </w:tcBorders>
            <w:gridSpan w:val="2"/>
          </w:tcPr>
          <w:p>
            <w:pPr>
              <w:jc w:val="right"/>
              <w:ind w:right="100"/>
              <w:spacing w:after="0"/>
              <w:rPr>
                <w:sz w:val="20"/>
                <w:szCs w:val="20"/>
                <w:color w:val="auto"/>
              </w:rPr>
            </w:pPr>
            <w:r>
              <w:rPr>
                <w:rFonts w:ascii="Arial" w:cs="Arial" w:eastAsia="Arial" w:hAnsi="Arial"/>
                <w:sz w:val="18"/>
                <w:szCs w:val="18"/>
                <w:color w:val="auto"/>
              </w:rPr>
              <w:t>8,018</w:t>
            </w:r>
          </w:p>
        </w:tc>
      </w:tr>
    </w:tbl>
    <w:p>
      <w:pPr>
        <w:sectPr>
          <w:pgSz w:w="11900" w:h="16900" w:orient="portrait"/>
          <w:cols w:equalWidth="0" w:num="1">
            <w:col w:w="11460"/>
          </w:cols>
          <w:pgMar w:left="240" w:top="121" w:right="199" w:bottom="0" w:gutter="0" w:footer="0" w:header="0"/>
        </w:sectPr>
      </w:pPr>
    </w:p>
    <w:bookmarkStart w:id="7" w:name="page8"/>
    <w:bookmarkEnd w:id="7"/>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4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Acquisition costs</w:t>
            </w:r>
          </w:p>
        </w:tc>
        <w:tc>
          <w:tcPr>
            <w:tcW w:w="20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(132)</w:t>
            </w: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(974)</w:t>
            </w:r>
          </w:p>
        </w:tc>
        <w:tc>
          <w:tcPr>
            <w:tcW w:w="40" w:type="dxa"/>
            <w:vAlign w:val="bottom"/>
          </w:tcPr>
          <w:p>
            <w:pPr>
              <w:spacing w:after="0"/>
              <w:rPr>
                <w:sz w:val="18"/>
                <w:szCs w:val="18"/>
                <w:color w:val="auto"/>
              </w:rPr>
            </w:pPr>
          </w:p>
        </w:tc>
      </w:tr>
      <w:tr>
        <w:trPr>
          <w:trHeight w:val="216"/>
        </w:trPr>
        <w:tc>
          <w:tcPr>
            <w:tcW w:w="4960" w:type="dxa"/>
            <w:vAlign w:val="bottom"/>
          </w:tcPr>
          <w:p>
            <w:pPr>
              <w:ind w:left="180"/>
              <w:spacing w:after="0"/>
              <w:rPr>
                <w:sz w:val="20"/>
                <w:szCs w:val="20"/>
                <w:color w:val="auto"/>
              </w:rPr>
            </w:pPr>
            <w:r>
              <w:rPr>
                <w:rFonts w:ascii="Arial" w:cs="Arial" w:eastAsia="Arial" w:hAnsi="Arial"/>
                <w:sz w:val="18"/>
                <w:szCs w:val="18"/>
                <w:color w:val="auto"/>
              </w:rPr>
              <w:t>Purchases of investments</w:t>
            </w:r>
          </w:p>
        </w:tc>
        <w:tc>
          <w:tcPr>
            <w:tcW w:w="20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1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0" w:type="dxa"/>
            <w:vAlign w:val="bottom"/>
            <w:gridSpan w:val="2"/>
          </w:tcPr>
          <w:p>
            <w:pPr>
              <w:jc w:val="right"/>
              <w:ind w:right="40"/>
              <w:spacing w:after="0"/>
              <w:rPr>
                <w:sz w:val="20"/>
                <w:szCs w:val="20"/>
                <w:color w:val="auto"/>
              </w:rPr>
            </w:pPr>
            <w:r>
              <w:rPr>
                <w:rFonts w:ascii="Arial" w:cs="Arial" w:eastAsia="Arial" w:hAnsi="Arial"/>
                <w:sz w:val="18"/>
                <w:szCs w:val="18"/>
                <w:color w:val="auto"/>
              </w:rPr>
              <w:t>(15,700)</w:t>
            </w:r>
          </w:p>
        </w:tc>
        <w:tc>
          <w:tcPr>
            <w:tcW w:w="40" w:type="dxa"/>
            <w:vAlign w:val="bottom"/>
          </w:tcPr>
          <w:p>
            <w:pPr>
              <w:spacing w:after="0"/>
              <w:rPr>
                <w:sz w:val="18"/>
                <w:szCs w:val="18"/>
                <w:color w:val="auto"/>
              </w:rPr>
            </w:pPr>
          </w:p>
        </w:tc>
      </w:tr>
      <w:tr>
        <w:trPr>
          <w:trHeight w:val="216"/>
        </w:trPr>
        <w:tc>
          <w:tcPr>
            <w:tcW w:w="4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property and equipment</w:t>
            </w:r>
          </w:p>
        </w:tc>
        <w:tc>
          <w:tcPr>
            <w:tcW w:w="20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(30,522)</w:t>
            </w:r>
          </w:p>
        </w:tc>
        <w:tc>
          <w:tcPr>
            <w:tcW w:w="3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(32,327)</w:t>
            </w: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(35,282)</w:t>
            </w:r>
          </w:p>
        </w:tc>
        <w:tc>
          <w:tcPr>
            <w:tcW w:w="40" w:type="dxa"/>
            <w:vAlign w:val="bottom"/>
          </w:tcPr>
          <w:p>
            <w:pPr>
              <w:spacing w:after="0"/>
              <w:rPr>
                <w:sz w:val="18"/>
                <w:szCs w:val="18"/>
                <w:color w:val="auto"/>
              </w:rPr>
            </w:pPr>
          </w:p>
        </w:tc>
      </w:tr>
      <w:tr>
        <w:trPr>
          <w:trHeight w:val="216"/>
        </w:trPr>
        <w:tc>
          <w:tcPr>
            <w:tcW w:w="4960" w:type="dxa"/>
            <w:vAlign w:val="bottom"/>
          </w:tcPr>
          <w:p>
            <w:pPr>
              <w:ind w:left="180"/>
              <w:spacing w:after="0"/>
              <w:rPr>
                <w:sz w:val="20"/>
                <w:szCs w:val="20"/>
                <w:color w:val="auto"/>
              </w:rPr>
            </w:pPr>
            <w:r>
              <w:rPr>
                <w:rFonts w:ascii="Arial" w:cs="Arial" w:eastAsia="Arial" w:hAnsi="Arial"/>
                <w:sz w:val="18"/>
                <w:szCs w:val="18"/>
                <w:color w:val="auto"/>
              </w:rPr>
              <w:t>Purchases of technology licenses</w:t>
            </w:r>
          </w:p>
        </w:tc>
        <w:tc>
          <w:tcPr>
            <w:tcW w:w="20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1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(3,650)</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0"/>
        </w:trPr>
        <w:tc>
          <w:tcPr>
            <w:tcW w:w="496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used in investing activities</w:t>
            </w:r>
          </w:p>
        </w:tc>
        <w:tc>
          <w:tcPr>
            <w:tcW w:w="204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(16,855)</w:t>
            </w:r>
          </w:p>
        </w:tc>
        <w:tc>
          <w:tcPr>
            <w:tcW w:w="28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(35,544)</w:t>
            </w: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(151,891)</w:t>
            </w: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96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20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4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Proceeds from the issuance of common stock and other</w:t>
            </w:r>
          </w:p>
        </w:tc>
        <w:tc>
          <w:tcPr>
            <w:tcW w:w="20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17,054</w:t>
            </w:r>
          </w:p>
        </w:tc>
        <w:tc>
          <w:tcPr>
            <w:tcW w:w="3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33,614</w:t>
            </w: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4960" w:type="dxa"/>
            <w:vAlign w:val="bottom"/>
          </w:tcPr>
          <w:p>
            <w:pPr>
              <w:ind w:left="180"/>
              <w:spacing w:after="0"/>
              <w:rPr>
                <w:sz w:val="20"/>
                <w:szCs w:val="20"/>
                <w:color w:val="auto"/>
              </w:rPr>
            </w:pPr>
            <w:r>
              <w:rPr>
                <w:rFonts w:ascii="Arial" w:cs="Arial" w:eastAsia="Arial" w:hAnsi="Arial"/>
                <w:sz w:val="18"/>
                <w:szCs w:val="18"/>
                <w:color w:val="auto"/>
              </w:rPr>
              <w:t>Principal payments on capital lease and debt obligations</w:t>
            </w:r>
          </w:p>
        </w:tc>
        <w:tc>
          <w:tcPr>
            <w:tcW w:w="20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160" w:type="dxa"/>
            <w:vAlign w:val="bottom"/>
            <w:gridSpan w:val="2"/>
          </w:tcPr>
          <w:p>
            <w:pPr>
              <w:jc w:val="right"/>
              <w:ind w:right="220"/>
              <w:spacing w:after="0"/>
              <w:rPr>
                <w:sz w:val="20"/>
                <w:szCs w:val="20"/>
                <w:color w:val="auto"/>
              </w:rPr>
            </w:pPr>
            <w:r>
              <w:rPr>
                <w:rFonts w:ascii="Arial" w:cs="Arial" w:eastAsia="Arial" w:hAnsi="Arial"/>
                <w:sz w:val="18"/>
                <w:szCs w:val="18"/>
                <w:color w:val="auto"/>
              </w:rPr>
              <w:t>(2,125)</w:t>
            </w:r>
          </w:p>
        </w:tc>
        <w:tc>
          <w:tcPr>
            <w:tcW w:w="380" w:type="dxa"/>
            <w:vAlign w:val="bottom"/>
          </w:tcPr>
          <w:p>
            <w:pPr>
              <w:spacing w:after="0"/>
              <w:rPr>
                <w:sz w:val="18"/>
                <w:szCs w:val="18"/>
                <w:color w:val="auto"/>
              </w:rPr>
            </w:pPr>
          </w:p>
        </w:tc>
        <w:tc>
          <w:tcPr>
            <w:tcW w:w="1040" w:type="dxa"/>
            <w:vAlign w:val="bottom"/>
            <w:gridSpan w:val="2"/>
          </w:tcPr>
          <w:p>
            <w:pPr>
              <w:jc w:val="right"/>
              <w:ind w:right="120"/>
              <w:spacing w:after="0"/>
              <w:rPr>
                <w:sz w:val="20"/>
                <w:szCs w:val="20"/>
                <w:color w:val="auto"/>
              </w:rPr>
            </w:pPr>
            <w:r>
              <w:rPr>
                <w:rFonts w:ascii="Arial" w:cs="Arial" w:eastAsia="Arial" w:hAnsi="Arial"/>
                <w:sz w:val="18"/>
                <w:szCs w:val="18"/>
                <w:color w:val="auto"/>
              </w:rPr>
              <w:t>(1,159)</w:t>
            </w:r>
          </w:p>
        </w:tc>
        <w:tc>
          <w:tcPr>
            <w:tcW w:w="1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0" w:type="dxa"/>
            <w:vAlign w:val="bottom"/>
            <w:gridSpan w:val="2"/>
          </w:tcPr>
          <w:p>
            <w:pPr>
              <w:jc w:val="right"/>
              <w:ind w:right="40"/>
              <w:spacing w:after="0"/>
              <w:rPr>
                <w:sz w:val="20"/>
                <w:szCs w:val="20"/>
                <w:color w:val="auto"/>
              </w:rPr>
            </w:pPr>
            <w:r>
              <w:rPr>
                <w:rFonts w:ascii="Arial" w:cs="Arial" w:eastAsia="Arial" w:hAnsi="Arial"/>
                <w:sz w:val="18"/>
                <w:szCs w:val="18"/>
                <w:color w:val="auto"/>
              </w:rPr>
              <w:t>(5,793)</w:t>
            </w:r>
          </w:p>
        </w:tc>
        <w:tc>
          <w:tcPr>
            <w:tcW w:w="40" w:type="dxa"/>
            <w:vAlign w:val="bottom"/>
          </w:tcPr>
          <w:p>
            <w:pPr>
              <w:spacing w:after="0"/>
              <w:rPr>
                <w:sz w:val="18"/>
                <w:szCs w:val="18"/>
                <w:color w:val="auto"/>
              </w:rPr>
            </w:pPr>
          </w:p>
        </w:tc>
      </w:tr>
      <w:tr>
        <w:trPr>
          <w:trHeight w:val="216"/>
        </w:trPr>
        <w:tc>
          <w:tcPr>
            <w:tcW w:w="4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20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169</w:t>
            </w:r>
          </w:p>
        </w:tc>
        <w:tc>
          <w:tcPr>
            <w:tcW w:w="3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199</w:t>
            </w:r>
          </w:p>
        </w:tc>
        <w:tc>
          <w:tcPr>
            <w:tcW w:w="1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0"/>
        </w:trPr>
        <w:tc>
          <w:tcPr>
            <w:tcW w:w="496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(used in) financing activities</w:t>
            </w:r>
          </w:p>
        </w:tc>
        <w:tc>
          <w:tcPr>
            <w:tcW w:w="2040" w:type="dxa"/>
            <w:vAlign w:val="bottom"/>
            <w:tcBorders>
              <w:bottom w:val="single" w:sz="8" w:color="CCEEFF"/>
            </w:tcBorders>
          </w:tcPr>
          <w:p>
            <w:pPr>
              <w:spacing w:after="0"/>
              <w:rPr>
                <w:sz w:val="18"/>
                <w:szCs w:val="18"/>
                <w:color w:val="auto"/>
              </w:rPr>
            </w:pPr>
          </w:p>
        </w:tc>
        <w:tc>
          <w:tcPr>
            <w:tcW w:w="380" w:type="dxa"/>
            <w:vAlign w:val="bottom"/>
            <w:tcBorders>
              <w:top w:val="single" w:sz="8" w:color="auto"/>
              <w:bottom w:val="single" w:sz="8" w:color="auto"/>
            </w:tcBorders>
          </w:tcPr>
          <w:p>
            <w:pPr>
              <w:spacing w:after="0"/>
              <w:rPr>
                <w:sz w:val="18"/>
                <w:szCs w:val="18"/>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15,098</w:t>
            </w:r>
          </w:p>
        </w:tc>
        <w:tc>
          <w:tcPr>
            <w:tcW w:w="280" w:type="dxa"/>
            <w:vAlign w:val="bottom"/>
            <w:tcBorders>
              <w:bottom w:val="single" w:sz="8" w:color="CCEEFF"/>
            </w:tcBorders>
          </w:tcPr>
          <w:p>
            <w:pPr>
              <w:spacing w:after="0"/>
              <w:rPr>
                <w:sz w:val="18"/>
                <w:szCs w:val="18"/>
                <w:color w:val="auto"/>
              </w:rPr>
            </w:pPr>
          </w:p>
        </w:tc>
        <w:tc>
          <w:tcPr>
            <w:tcW w:w="380" w:type="dxa"/>
            <w:vAlign w:val="bottom"/>
            <w:tcBorders>
              <w:top w:val="single" w:sz="8" w:color="auto"/>
              <w:bottom w:val="single" w:sz="8" w:color="auto"/>
            </w:tcBorders>
          </w:tcPr>
          <w:p>
            <w:pPr>
              <w:spacing w:after="0"/>
              <w:rPr>
                <w:sz w:val="18"/>
                <w:szCs w:val="18"/>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32,654</w:t>
            </w:r>
          </w:p>
        </w:tc>
        <w:tc>
          <w:tcPr>
            <w:tcW w:w="1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36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(5,793)</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2040" w:type="dxa"/>
            <w:vAlign w:val="bottom"/>
            <w:shd w:val="clear" w:color="auto" w:fill="CCEEFF"/>
          </w:tcPr>
          <w:p>
            <w:pPr>
              <w:spacing w:after="0"/>
              <w:rPr>
                <w:sz w:val="18"/>
                <w:szCs w:val="18"/>
                <w:color w:val="auto"/>
              </w:rPr>
            </w:pPr>
          </w:p>
        </w:tc>
        <w:tc>
          <w:tcPr>
            <w:tcW w:w="380" w:type="dxa"/>
            <w:vAlign w:val="bottom"/>
            <w:tcBorders>
              <w:bottom w:val="single" w:sz="8" w:color="auto"/>
            </w:tcBorders>
            <w:shd w:val="clear" w:color="auto" w:fill="CCEEFF"/>
          </w:tcPr>
          <w:p>
            <w:pPr>
              <w:spacing w:after="0"/>
              <w:rPr>
                <w:sz w:val="18"/>
                <w:szCs w:val="18"/>
                <w:color w:val="auto"/>
              </w:rPr>
            </w:pP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152,936</w:t>
            </w:r>
          </w:p>
        </w:tc>
        <w:tc>
          <w:tcPr>
            <w:tcW w:w="280" w:type="dxa"/>
            <w:vAlign w:val="bottom"/>
            <w:shd w:val="clear" w:color="auto" w:fill="CCEEFF"/>
          </w:tcPr>
          <w:p>
            <w:pPr>
              <w:spacing w:after="0"/>
              <w:rPr>
                <w:sz w:val="18"/>
                <w:szCs w:val="18"/>
                <w:color w:val="auto"/>
              </w:rPr>
            </w:pPr>
          </w:p>
        </w:tc>
        <w:tc>
          <w:tcPr>
            <w:tcW w:w="38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160,347</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60" w:type="dxa"/>
            <w:vAlign w:val="bottom"/>
            <w:tcBorders>
              <w:bottom w:val="single" w:sz="8" w:color="auto"/>
            </w:tcBorders>
            <w:shd w:val="clear" w:color="auto" w:fill="CCEEFF"/>
          </w:tcPr>
          <w:p>
            <w:pPr>
              <w:spacing w:after="0"/>
              <w:rPr>
                <w:sz w:val="18"/>
                <w:szCs w:val="18"/>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(103,510)</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49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Cash and cash equivalents at beginning of period</w:t>
            </w:r>
          </w:p>
        </w:tc>
        <w:tc>
          <w:tcPr>
            <w:tcW w:w="2040" w:type="dxa"/>
            <w:vAlign w:val="bottom"/>
            <w:tcBorders>
              <w:bottom w:val="single" w:sz="8" w:color="CCEEFF"/>
            </w:tcBorders>
          </w:tcPr>
          <w:p>
            <w:pPr>
              <w:spacing w:after="0"/>
              <w:rPr>
                <w:sz w:val="18"/>
                <w:szCs w:val="18"/>
                <w:color w:val="auto"/>
              </w:rPr>
            </w:pPr>
          </w:p>
        </w:tc>
        <w:tc>
          <w:tcPr>
            <w:tcW w:w="380" w:type="dxa"/>
            <w:vAlign w:val="bottom"/>
            <w:tcBorders>
              <w:bottom w:val="single" w:sz="8" w:color="auto"/>
            </w:tcBorders>
          </w:tcPr>
          <w:p>
            <w:pPr>
              <w:spacing w:after="0"/>
              <w:rPr>
                <w:sz w:val="18"/>
                <w:szCs w:val="18"/>
                <w:color w:val="auto"/>
              </w:rPr>
            </w:pPr>
          </w:p>
        </w:tc>
        <w:tc>
          <w:tcPr>
            <w:tcW w:w="8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615,648</w:t>
            </w:r>
          </w:p>
        </w:tc>
        <w:tc>
          <w:tcPr>
            <w:tcW w:w="280" w:type="dxa"/>
            <w:vAlign w:val="bottom"/>
            <w:tcBorders>
              <w:bottom w:val="single" w:sz="8" w:color="CCEEFF"/>
            </w:tcBorders>
          </w:tcPr>
          <w:p>
            <w:pPr>
              <w:spacing w:after="0"/>
              <w:rPr>
                <w:sz w:val="18"/>
                <w:szCs w:val="18"/>
                <w:color w:val="auto"/>
              </w:rPr>
            </w:pPr>
          </w:p>
        </w:tc>
        <w:tc>
          <w:tcPr>
            <w:tcW w:w="380" w:type="dxa"/>
            <w:vAlign w:val="bottom"/>
            <w:tcBorders>
              <w:bottom w:val="single" w:sz="8" w:color="auto"/>
            </w:tcBorders>
          </w:tcPr>
          <w:p>
            <w:pPr>
              <w:spacing w:after="0"/>
              <w:rPr>
                <w:sz w:val="18"/>
                <w:szCs w:val="18"/>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455,301</w:t>
            </w:r>
          </w:p>
        </w:tc>
        <w:tc>
          <w:tcPr>
            <w:tcW w:w="18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36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568,008</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30"/>
        </w:trPr>
        <w:tc>
          <w:tcPr>
            <w:tcW w:w="496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2040" w:type="dxa"/>
            <w:vAlign w:val="bottom"/>
            <w:tcBorders>
              <w:bottom w:val="single" w:sz="8" w:color="CCEEFF"/>
            </w:tcBorders>
            <w:shd w:val="clear" w:color="auto" w:fill="CCEEFF"/>
          </w:tcPr>
          <w:p>
            <w:pPr>
              <w:spacing w:after="0"/>
              <w:rPr>
                <w:sz w:val="19"/>
                <w:szCs w:val="19"/>
                <w:color w:val="auto"/>
              </w:rPr>
            </w:pPr>
          </w:p>
        </w:tc>
        <w:tc>
          <w:tcPr>
            <w:tcW w:w="380" w:type="dxa"/>
            <w:vAlign w:val="bottom"/>
            <w:tcBorders>
              <w:bottom w:val="single" w:sz="8" w:color="auto"/>
            </w:tcBorders>
            <w:shd w:val="clear" w:color="auto" w:fill="CCEEFF"/>
          </w:tcPr>
          <w:p>
            <w:pPr>
              <w:jc w:val="right"/>
              <w:ind w:right="225"/>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768,584</w:t>
            </w:r>
          </w:p>
        </w:tc>
        <w:tc>
          <w:tcPr>
            <w:tcW w:w="280" w:type="dxa"/>
            <w:vAlign w:val="bottom"/>
            <w:tcBorders>
              <w:bottom w:val="single" w:sz="8" w:color="CCEEFF"/>
            </w:tcBorders>
            <w:shd w:val="clear" w:color="auto" w:fill="CCEEFF"/>
          </w:tcPr>
          <w:p>
            <w:pPr>
              <w:spacing w:after="0"/>
              <w:rPr>
                <w:sz w:val="19"/>
                <w:szCs w:val="19"/>
                <w:color w:val="auto"/>
              </w:rPr>
            </w:pPr>
          </w:p>
        </w:tc>
        <w:tc>
          <w:tcPr>
            <w:tcW w:w="380" w:type="dxa"/>
            <w:vAlign w:val="bottom"/>
            <w:tcBorders>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615,648</w:t>
            </w:r>
          </w:p>
        </w:tc>
        <w:tc>
          <w:tcPr>
            <w:tcW w:w="180" w:type="dxa"/>
            <w:vAlign w:val="bottom"/>
            <w:tcBorders>
              <w:bottom w:val="single" w:sz="8" w:color="CCEEFF"/>
            </w:tcBorders>
            <w:shd w:val="clear" w:color="auto" w:fill="CCEEFF"/>
          </w:tcPr>
          <w:p>
            <w:pPr>
              <w:spacing w:after="0"/>
              <w:rPr>
                <w:sz w:val="19"/>
                <w:szCs w:val="19"/>
                <w:color w:val="auto"/>
              </w:rPr>
            </w:pPr>
          </w:p>
        </w:tc>
        <w:tc>
          <w:tcPr>
            <w:tcW w:w="100" w:type="dxa"/>
            <w:vAlign w:val="bottom"/>
            <w:tcBorders>
              <w:bottom w:val="single" w:sz="8" w:color="CCEEFF"/>
            </w:tcBorders>
            <w:shd w:val="clear" w:color="auto" w:fill="CCEEFF"/>
          </w:tcPr>
          <w:p>
            <w:pPr>
              <w:spacing w:after="0"/>
              <w:rPr>
                <w:sz w:val="19"/>
                <w:szCs w:val="19"/>
                <w:color w:val="auto"/>
              </w:rPr>
            </w:pPr>
          </w:p>
        </w:tc>
        <w:tc>
          <w:tcPr>
            <w:tcW w:w="360" w:type="dxa"/>
            <w:vAlign w:val="bottom"/>
            <w:tcBorders>
              <w:bottom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464,498</w:t>
            </w:r>
          </w:p>
        </w:tc>
        <w:tc>
          <w:tcPr>
            <w:tcW w:w="100" w:type="dxa"/>
            <w:vAlign w:val="bottom"/>
            <w:tcBorders>
              <w:bottom w:val="single" w:sz="8" w:color="CCEEFF"/>
            </w:tcBorders>
            <w:shd w:val="clear" w:color="auto" w:fill="CCEEFF"/>
          </w:tcPr>
          <w:p>
            <w:pPr>
              <w:spacing w:after="0"/>
              <w:rPr>
                <w:sz w:val="19"/>
                <w:szCs w:val="19"/>
                <w:color w:val="auto"/>
              </w:rPr>
            </w:pPr>
          </w:p>
        </w:tc>
        <w:tc>
          <w:tcPr>
            <w:tcW w:w="40" w:type="dxa"/>
            <w:vAlign w:val="bottom"/>
          </w:tcPr>
          <w:p>
            <w:pPr>
              <w:spacing w:after="0"/>
              <w:rPr>
                <w:sz w:val="19"/>
                <w:szCs w:val="19"/>
                <w:color w:val="auto"/>
              </w:rPr>
            </w:pPr>
          </w:p>
        </w:tc>
      </w:tr>
      <w:tr>
        <w:trPr>
          <w:trHeight w:val="419"/>
        </w:trPr>
        <w:tc>
          <w:tcPr>
            <w:tcW w:w="4960" w:type="dxa"/>
            <w:vAlign w:val="bottom"/>
          </w:tcPr>
          <w:p>
            <w:pPr>
              <w:spacing w:after="0"/>
              <w:rPr>
                <w:sz w:val="24"/>
                <w:szCs w:val="24"/>
                <w:color w:val="auto"/>
              </w:rPr>
            </w:pPr>
          </w:p>
        </w:tc>
        <w:tc>
          <w:tcPr>
            <w:tcW w:w="2040" w:type="dxa"/>
            <w:vAlign w:val="bottom"/>
          </w:tcPr>
          <w:p>
            <w:pPr>
              <w:jc w:val="right"/>
              <w:ind w:right="1150"/>
              <w:spacing w:after="0"/>
              <w:rPr>
                <w:sz w:val="20"/>
                <w:szCs w:val="20"/>
                <w:color w:val="auto"/>
              </w:rPr>
            </w:pPr>
            <w:r>
              <w:rPr>
                <w:rFonts w:ascii="Arial" w:cs="Arial" w:eastAsia="Arial" w:hAnsi="Arial"/>
                <w:sz w:val="18"/>
                <w:szCs w:val="18"/>
                <w:color w:val="auto"/>
              </w:rPr>
              <w:t>9</w:t>
            </w:r>
          </w:p>
        </w:tc>
        <w:tc>
          <w:tcPr>
            <w:tcW w:w="3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4960" w:type="dxa"/>
            <w:vAlign w:val="bottom"/>
            <w:tcBorders>
              <w:bottom w:val="single" w:sz="8" w:color="010101"/>
            </w:tcBorders>
          </w:tcPr>
          <w:p>
            <w:pPr>
              <w:spacing w:after="0"/>
              <w:rPr>
                <w:sz w:val="11"/>
                <w:szCs w:val="11"/>
                <w:color w:val="auto"/>
              </w:rPr>
            </w:pPr>
          </w:p>
        </w:tc>
        <w:tc>
          <w:tcPr>
            <w:tcW w:w="2040" w:type="dxa"/>
            <w:vAlign w:val="bottom"/>
            <w:tcBorders>
              <w:bottom w:val="single" w:sz="8" w:color="010101"/>
            </w:tcBorders>
          </w:tcPr>
          <w:p>
            <w:pPr>
              <w:spacing w:after="0"/>
              <w:rPr>
                <w:sz w:val="11"/>
                <w:szCs w:val="11"/>
                <w:color w:val="auto"/>
              </w:rPr>
            </w:pPr>
          </w:p>
        </w:tc>
        <w:tc>
          <w:tcPr>
            <w:tcW w:w="380" w:type="dxa"/>
            <w:vAlign w:val="bottom"/>
            <w:tcBorders>
              <w:bottom w:val="single" w:sz="8" w:color="010101"/>
            </w:tcBorders>
          </w:tcPr>
          <w:p>
            <w:pPr>
              <w:spacing w:after="0"/>
              <w:rPr>
                <w:sz w:val="11"/>
                <w:szCs w:val="11"/>
                <w:color w:val="auto"/>
              </w:rPr>
            </w:pPr>
          </w:p>
        </w:tc>
        <w:tc>
          <w:tcPr>
            <w:tcW w:w="88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380" w:type="dxa"/>
            <w:vAlign w:val="bottom"/>
            <w:tcBorders>
              <w:bottom w:val="single" w:sz="8" w:color="010101"/>
            </w:tcBorders>
          </w:tcPr>
          <w:p>
            <w:pPr>
              <w:spacing w:after="0"/>
              <w:rPr>
                <w:sz w:val="11"/>
                <w:szCs w:val="11"/>
                <w:color w:val="auto"/>
              </w:rPr>
            </w:pPr>
          </w:p>
        </w:tc>
        <w:tc>
          <w:tcPr>
            <w:tcW w:w="860" w:type="dxa"/>
            <w:vAlign w:val="bottom"/>
            <w:tcBorders>
              <w:bottom w:val="single" w:sz="8" w:color="010101"/>
            </w:tcBorders>
          </w:tcPr>
          <w:p>
            <w:pPr>
              <w:spacing w:after="0"/>
              <w:rPr>
                <w:sz w:val="11"/>
                <w:szCs w:val="11"/>
                <w:color w:val="auto"/>
              </w:rPr>
            </w:pPr>
          </w:p>
        </w:tc>
        <w:tc>
          <w:tcPr>
            <w:tcW w:w="18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360" w:type="dxa"/>
            <w:vAlign w:val="bottom"/>
            <w:tcBorders>
              <w:bottom w:val="single" w:sz="8" w:color="010101"/>
            </w:tcBorders>
          </w:tcPr>
          <w:p>
            <w:pPr>
              <w:spacing w:after="0"/>
              <w:rPr>
                <w:sz w:val="11"/>
                <w:szCs w:val="11"/>
                <w:color w:val="auto"/>
              </w:rPr>
            </w:pPr>
          </w:p>
        </w:tc>
        <w:tc>
          <w:tcPr>
            <w:tcW w:w="90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sectPr>
      <w:pgSz w:w="11900" w:h="16838" w:orient="portrait"/>
      <w:cols w:equalWidth="0" w:num="1">
        <w:col w:w="11460"/>
      </w:cols>
      <w:pgMar w:left="240" w:top="140" w:right="1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1)"/>
      <w:numFmt w:val="lowerLetter"/>
      <w:start w:val="4"/>
    </w:lvl>
  </w:abstractNum>
  <w:abstractNum w:abstractNumId="5">
    <w:nsid w:val="507ED7A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2019-12-14T19:00:19Z</dcterms:created>
  <dcterms:modified xsi:type="dcterms:W3CDTF">2019-12-14T19:00:19Z</dcterms:modified>
</cp:coreProperties>
</file>