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96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9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DE URIOSTE GEORGE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2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700" w:type="dxa"/>
            <w:vAlign w:val="bottom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Interim CFO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06/02/2008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06/02/2008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10,500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17.37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8,542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06/02/2008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210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17.44</w:t>
            </w: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8,332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89"/>
              </w:rPr>
              <w:t>1. The sales reported in this Form 4 were effected pursuant to a Rule 10b5-1 trading plan adopted by the reporting person on April 18, 2008.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George de Urioste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06/03/2008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9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3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>Reminder: Report on a separate line for each class of securities beneficially owned directly or indirectly.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  <w:w w:val="96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27006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2019-12-18T12:25:37Z</dcterms:created>
  <dcterms:modified xsi:type="dcterms:W3CDTF">2019-12-18T12:25:37Z</dcterms:modified>
</cp:coreProperties>
</file>