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7"/>
          <w:szCs w:val="17"/>
          <w:b w:val="1"/>
          <w:bCs w:val="1"/>
          <w:color w:val="auto"/>
        </w:rPr>
        <w:t>May 8</w:t>
      </w:r>
      <w:r>
        <w:rPr>
          <w:rFonts w:ascii="Arial" w:cs="Arial" w:eastAsia="Arial" w:hAnsi="Arial"/>
          <w:sz w:val="18"/>
          <w:szCs w:val="18"/>
          <w:b w:val="1"/>
          <w:bCs w:val="1"/>
          <w:color w:val="auto"/>
        </w:rPr>
        <w:t>, 2008</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00"/>
          </w:cols>
          <w:pgMar w:left="240" w:top="530" w:right="259" w:bottom="0" w:gutter="0" w:footer="0" w:header="0"/>
        </w:sectPr>
      </w:pPr>
    </w:p>
    <w:p>
      <w:pPr>
        <w:spacing w:after="0" w:line="205" w:lineRule="exact"/>
        <w:rPr>
          <w:sz w:val="24"/>
          <w:szCs w:val="24"/>
          <w:color w:val="auto"/>
        </w:rPr>
      </w:pPr>
    </w:p>
    <w:p>
      <w:pPr>
        <w:jc w:val="center"/>
        <w:ind w:right="3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4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4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4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4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20" w:space="720"/>
            <w:col w:w="3460" w:space="720"/>
            <w:col w:w="2480"/>
          </w:cols>
          <w:pgMar w:left="240" w:top="530" w:right="259" w:bottom="0" w:gutter="0" w:footer="0" w:header="0"/>
          <w:type w:val="continuous"/>
        </w:sectPr>
      </w:pPr>
    </w:p>
    <w:p>
      <w:pPr>
        <w:spacing w:after="0" w:line="1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400"/>
          </w:cols>
          <w:pgMar w:left="240" w:top="530" w:right="259" w:bottom="0" w:gutter="0" w:footer="0" w:header="0"/>
          <w:type w:val="continuous"/>
        </w:sectPr>
      </w:pP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ind w:right="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460" w:hanging="452"/>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460" w:hanging="452"/>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460" w:hanging="452"/>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460" w:hanging="452"/>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424180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4"/>
          <w:szCs w:val="24"/>
          <w:color w:val="auto"/>
        </w:rPr>
      </w:pPr>
    </w:p>
    <w:p>
      <w:pPr>
        <w:ind w:right="100" w:firstLine="648"/>
        <w:spacing w:after="0" w:line="259" w:lineRule="auto"/>
        <w:rPr>
          <w:sz w:val="20"/>
          <w:szCs w:val="20"/>
          <w:color w:val="auto"/>
        </w:rPr>
      </w:pPr>
      <w:r>
        <w:rPr>
          <w:rFonts w:ascii="Arial" w:cs="Arial" w:eastAsia="Arial" w:hAnsi="Arial"/>
          <w:sz w:val="18"/>
          <w:szCs w:val="18"/>
          <w:color w:val="auto"/>
        </w:rPr>
        <w:t>The information in Item 2.02 of this Current Report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87" w:lineRule="exact"/>
        <w:rPr>
          <w:sz w:val="24"/>
          <w:szCs w:val="24"/>
          <w:color w:val="auto"/>
        </w:rPr>
      </w:pPr>
    </w:p>
    <w:p>
      <w:pPr>
        <w:ind w:right="40" w:firstLine="648"/>
        <w:spacing w:after="0" w:line="259" w:lineRule="auto"/>
        <w:rPr>
          <w:sz w:val="20"/>
          <w:szCs w:val="20"/>
          <w:color w:val="auto"/>
        </w:rPr>
      </w:pPr>
      <w:r>
        <w:rPr>
          <w:rFonts w:ascii="Arial" w:cs="Arial" w:eastAsia="Arial" w:hAnsi="Arial"/>
          <w:sz w:val="18"/>
          <w:szCs w:val="18"/>
          <w:color w:val="auto"/>
        </w:rPr>
        <w:t>On May 8, 2008, Marvell Technology Group Ltd. (the “Company”) issued a press release announcing that it has entered into a settlement with the Securities and Exchange Commission (“SEC”) in connection with the SEC’s previously disclosed inves</w:t>
      </w:r>
      <w:r>
        <w:rPr>
          <w:rFonts w:ascii="Arial" w:cs="Arial" w:eastAsia="Arial" w:hAnsi="Arial"/>
          <w:sz w:val="17"/>
          <w:szCs w:val="17"/>
          <w:color w:val="auto"/>
        </w:rPr>
        <w:t>tigation into the Company’s historic</w:t>
      </w:r>
      <w:r>
        <w:rPr>
          <w:rFonts w:ascii="Arial" w:cs="Arial" w:eastAsia="Arial" w:hAnsi="Arial"/>
          <w:sz w:val="18"/>
          <w:szCs w:val="18"/>
          <w:color w:val="auto"/>
        </w:rPr>
        <w:t xml:space="preserve"> stock option granting practices. In connection with the settlement, the Company will accrue $10 million for the payment of a civil penalty in its first quarter of fiscal 2009 financial statements.</w:t>
      </w:r>
    </w:p>
    <w:p>
      <w:pPr>
        <w:spacing w:after="0" w:line="183"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8.01 Other Events.</w:t>
      </w:r>
    </w:p>
    <w:p>
      <w:pPr>
        <w:spacing w:after="0" w:line="229" w:lineRule="exact"/>
        <w:rPr>
          <w:sz w:val="24"/>
          <w:szCs w:val="24"/>
          <w:color w:val="auto"/>
        </w:rPr>
      </w:pPr>
    </w:p>
    <w:p>
      <w:pPr>
        <w:ind w:firstLine="648"/>
        <w:spacing w:after="0" w:line="264" w:lineRule="auto"/>
        <w:rPr>
          <w:sz w:val="20"/>
          <w:szCs w:val="20"/>
          <w:color w:val="auto"/>
        </w:rPr>
      </w:pPr>
      <w:r>
        <w:rPr>
          <w:rFonts w:ascii="Arial" w:cs="Arial" w:eastAsia="Arial" w:hAnsi="Arial"/>
          <w:sz w:val="18"/>
          <w:szCs w:val="18"/>
          <w:color w:val="auto"/>
        </w:rPr>
        <w:t>On May 8, 2008, the Company issued a press release announcing that it has entered into a settlement with the SEC in connection with the SEC’s previously disclosed investigation into the Company’s historic stock option granting practices. A copy of the press release is attached as Exhibit 99.1, and the information in Exhibit 99.1 is incorporated herein by reference.</w:t>
      </w:r>
    </w:p>
    <w:p>
      <w:pPr>
        <w:spacing w:after="0" w:line="177"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29" w:lineRule="exact"/>
        <w:rPr>
          <w:sz w:val="24"/>
          <w:szCs w:val="24"/>
          <w:color w:val="auto"/>
        </w:rPr>
      </w:pPr>
    </w:p>
    <w:p>
      <w:pPr>
        <w:ind w:left="1760" w:hanging="874"/>
        <w:spacing w:after="0"/>
        <w:tabs>
          <w:tab w:leader="none" w:pos="17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ectPr>
          <w:pgSz w:w="11900" w:h="16838" w:orient="portrait"/>
          <w:cols w:equalWidth="0" w:num="1">
            <w:col w:w="11400"/>
          </w:cols>
          <w:pgMar w:left="240" w:top="530" w:right="259" w:bottom="0" w:gutter="0" w:footer="0" w:header="0"/>
          <w:type w:val="continuous"/>
        </w:sectPr>
      </w:pPr>
    </w:p>
    <w:bookmarkStart w:id="1" w:name="page2"/>
    <w:bookmarkEnd w:id="1"/>
    <w:p>
      <w:pPr>
        <w:ind w:left="1760"/>
        <w:spacing w:after="0"/>
        <w:tabs>
          <w:tab w:leader="none" w:pos="26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May 8, 2008.</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 xml:space="preserve">Dated: </w:t>
      </w:r>
      <w:r>
        <w:rPr>
          <w:rFonts w:ascii="Arial" w:cs="Arial" w:eastAsia="Arial" w:hAnsi="Arial"/>
          <w:sz w:val="17"/>
          <w:szCs w:val="17"/>
          <w:color w:val="auto"/>
        </w:rPr>
        <w:t>May 8</w:t>
      </w:r>
      <w:r>
        <w:rPr>
          <w:rFonts w:ascii="Arial" w:cs="Arial" w:eastAsia="Arial" w:hAnsi="Arial"/>
          <w:sz w:val="18"/>
          <w:szCs w:val="18"/>
          <w:color w:val="auto"/>
        </w:rPr>
        <w:t>, 2008</w:t>
      </w:r>
    </w:p>
    <w:p>
      <w:pPr>
        <w:spacing w:after="0" w:line="225" w:lineRule="exact"/>
        <w:rPr>
          <w:sz w:val="20"/>
          <w:szCs w:val="20"/>
          <w:color w:val="auto"/>
        </w:rPr>
      </w:pPr>
    </w:p>
    <w:p>
      <w:pPr>
        <w:ind w:left="578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5780" w:type="dxa"/>
        <w:tblCellMar>
          <w:top w:w="0" w:type="dxa"/>
          <w:left w:w="0" w:type="dxa"/>
          <w:bottom w:w="0" w:type="dxa"/>
          <w:right w:w="0" w:type="dxa"/>
        </w:tblCellMar>
      </w:tblPr>
      <w:tr>
        <w:trPr>
          <w:trHeight w:val="230"/>
        </w:trPr>
        <w:tc>
          <w:tcPr>
            <w:tcW w:w="340" w:type="dxa"/>
            <w:vAlign w:val="bottom"/>
          </w:tcPr>
          <w:p>
            <w:pPr>
              <w:spacing w:after="0"/>
              <w:rPr>
                <w:sz w:val="20"/>
                <w:szCs w:val="20"/>
                <w:color w:val="auto"/>
              </w:rPr>
            </w:pPr>
            <w:r>
              <w:rPr>
                <w:rFonts w:ascii="Arial" w:cs="Arial" w:eastAsia="Arial" w:hAnsi="Arial"/>
                <w:sz w:val="18"/>
                <w:szCs w:val="18"/>
                <w:color w:val="auto"/>
              </w:rPr>
              <w:t>By:</w:t>
            </w:r>
          </w:p>
        </w:tc>
        <w:tc>
          <w:tcPr>
            <w:tcW w:w="5300" w:type="dxa"/>
            <w:vAlign w:val="bottom"/>
            <w:tcBorders>
              <w:bottom w:val="single" w:sz="8" w:color="auto"/>
            </w:tcBorders>
          </w:tcPr>
          <w:p>
            <w:pPr>
              <w:ind w:left="720"/>
              <w:spacing w:after="0"/>
              <w:rPr>
                <w:sz w:val="20"/>
                <w:szCs w:val="20"/>
                <w:color w:val="auto"/>
              </w:rPr>
            </w:pPr>
            <w:r>
              <w:rPr>
                <w:rFonts w:ascii="Arial" w:cs="Arial" w:eastAsia="Arial" w:hAnsi="Arial"/>
                <w:sz w:val="18"/>
                <w:szCs w:val="18"/>
                <w:color w:val="auto"/>
              </w:rPr>
              <w:t>/s/ George de Urioste</w:t>
            </w:r>
          </w:p>
        </w:tc>
      </w:tr>
      <w:tr>
        <w:trPr>
          <w:trHeight w:val="195"/>
        </w:trPr>
        <w:tc>
          <w:tcPr>
            <w:tcW w:w="340" w:type="dxa"/>
            <w:vAlign w:val="bottom"/>
          </w:tcPr>
          <w:p>
            <w:pPr>
              <w:spacing w:after="0"/>
              <w:rPr>
                <w:sz w:val="16"/>
                <w:szCs w:val="16"/>
                <w:color w:val="auto"/>
              </w:rPr>
            </w:pPr>
          </w:p>
        </w:tc>
        <w:tc>
          <w:tcPr>
            <w:tcW w:w="5300" w:type="dxa"/>
            <w:vAlign w:val="bottom"/>
          </w:tcPr>
          <w:p>
            <w:pPr>
              <w:ind w:left="1380"/>
              <w:spacing w:after="0" w:line="195" w:lineRule="exact"/>
              <w:rPr>
                <w:sz w:val="20"/>
                <w:szCs w:val="20"/>
                <w:color w:val="auto"/>
              </w:rPr>
            </w:pPr>
            <w:r>
              <w:rPr>
                <w:rFonts w:ascii="Arial" w:cs="Arial" w:eastAsia="Arial" w:hAnsi="Arial"/>
                <w:sz w:val="18"/>
                <w:szCs w:val="18"/>
                <w:color w:val="auto"/>
              </w:rPr>
              <w:t>George de Urioste</w:t>
            </w:r>
          </w:p>
        </w:tc>
      </w:tr>
      <w:tr>
        <w:trPr>
          <w:trHeight w:val="230"/>
        </w:trPr>
        <w:tc>
          <w:tcPr>
            <w:tcW w:w="340" w:type="dxa"/>
            <w:vAlign w:val="bottom"/>
          </w:tcPr>
          <w:p>
            <w:pPr>
              <w:spacing w:after="0"/>
              <w:rPr>
                <w:sz w:val="20"/>
                <w:szCs w:val="20"/>
                <w:color w:val="auto"/>
              </w:rPr>
            </w:pPr>
          </w:p>
        </w:tc>
        <w:tc>
          <w:tcPr>
            <w:tcW w:w="5300" w:type="dxa"/>
            <w:vAlign w:val="bottom"/>
          </w:tcPr>
          <w:p>
            <w:pPr>
              <w:ind w:left="720"/>
              <w:spacing w:after="0"/>
              <w:rPr>
                <w:sz w:val="20"/>
                <w:szCs w:val="20"/>
                <w:color w:val="auto"/>
              </w:rPr>
            </w:pPr>
            <w:r>
              <w:rPr>
                <w:rFonts w:ascii="Arial" w:cs="Arial" w:eastAsia="Arial" w:hAnsi="Arial"/>
                <w:sz w:val="18"/>
                <w:szCs w:val="18"/>
                <w:color w:val="auto"/>
              </w:rPr>
              <w:t>Interim Chief Financial Officer</w:t>
            </w:r>
          </w:p>
        </w:tc>
      </w:tr>
    </w:tbl>
    <w:p>
      <w:pPr>
        <w:spacing w:after="0" w:line="202"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860" w:type="dxa"/>
            <w:vAlign w:val="bottom"/>
          </w:tcPr>
          <w:p>
            <w:pPr>
              <w:jc w:val="center"/>
              <w:ind w:right="1474"/>
              <w:spacing w:after="0"/>
              <w:rPr>
                <w:sz w:val="20"/>
                <w:szCs w:val="20"/>
                <w:color w:val="auto"/>
              </w:rPr>
            </w:pPr>
            <w:r>
              <w:rPr>
                <w:rFonts w:ascii="Arial" w:cs="Arial" w:eastAsia="Arial" w:hAnsi="Arial"/>
                <w:sz w:val="18"/>
                <w:szCs w:val="18"/>
                <w:b w:val="1"/>
                <w:bCs w:val="1"/>
                <w:color w:val="auto"/>
                <w:w w:val="94"/>
              </w:rPr>
              <w:t>Exhibit Index</w:t>
            </w:r>
          </w:p>
        </w:tc>
        <w:tc>
          <w:tcPr>
            <w:tcW w:w="40" w:type="dxa"/>
            <w:vAlign w:val="bottom"/>
          </w:tcPr>
          <w:p>
            <w:pPr>
              <w:spacing w:after="0"/>
              <w:rPr>
                <w:sz w:val="20"/>
                <w:szCs w:val="20"/>
                <w:color w:val="auto"/>
              </w:rPr>
            </w:pPr>
          </w:p>
        </w:tc>
      </w:tr>
      <w:tr>
        <w:trPr>
          <w:trHeight w:val="365"/>
        </w:trPr>
        <w:tc>
          <w:tcPr>
            <w:tcW w:w="1560" w:type="dxa"/>
            <w:vAlign w:val="bottom"/>
            <w:gridSpan w:val="3"/>
          </w:tcPr>
          <w:p>
            <w:pPr>
              <w:spacing w:after="0"/>
              <w:rPr>
                <w:sz w:val="20"/>
                <w:szCs w:val="20"/>
                <w:color w:val="auto"/>
              </w:rPr>
            </w:pPr>
            <w:r>
              <w:rPr>
                <w:rFonts w:ascii="Arial" w:cs="Arial" w:eastAsia="Arial" w:hAnsi="Arial"/>
                <w:sz w:val="14"/>
                <w:szCs w:val="14"/>
                <w:b w:val="1"/>
                <w:bCs w:val="1"/>
                <w:color w:val="auto"/>
              </w:rPr>
              <w:t>Exhibit No.</w:t>
            </w:r>
          </w:p>
        </w:tc>
        <w:tc>
          <w:tcPr>
            <w:tcW w:w="9860" w:type="dxa"/>
            <w:vAlign w:val="bottom"/>
          </w:tcPr>
          <w:p>
            <w:pPr>
              <w:ind w:left="458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224"/>
        </w:trPr>
        <w:tc>
          <w:tcPr>
            <w:tcW w:w="20" w:type="dxa"/>
            <w:vAlign w:val="bottom"/>
          </w:tcPr>
          <w:p>
            <w:pPr>
              <w:spacing w:after="0"/>
              <w:rPr>
                <w:sz w:val="19"/>
                <w:szCs w:val="19"/>
                <w:color w:val="auto"/>
              </w:rPr>
            </w:pPr>
          </w:p>
        </w:tc>
        <w:tc>
          <w:tcPr>
            <w:tcW w:w="114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99.1</w:t>
            </w:r>
          </w:p>
        </w:tc>
        <w:tc>
          <w:tcPr>
            <w:tcW w:w="400" w:type="dxa"/>
            <w:vAlign w:val="bottom"/>
          </w:tcPr>
          <w:p>
            <w:pPr>
              <w:spacing w:after="0"/>
              <w:rPr>
                <w:sz w:val="19"/>
                <w:szCs w:val="19"/>
                <w:color w:val="auto"/>
              </w:rPr>
            </w:pPr>
          </w:p>
        </w:tc>
        <w:tc>
          <w:tcPr>
            <w:tcW w:w="986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Press release dated May 8, 2008.</w:t>
            </w:r>
          </w:p>
        </w:tc>
        <w:tc>
          <w:tcPr>
            <w:tcW w:w="40" w:type="dxa"/>
            <w:vAlign w:val="bottom"/>
          </w:tcPr>
          <w:p>
            <w:pPr>
              <w:spacing w:after="0"/>
              <w:rPr>
                <w:sz w:val="19"/>
                <w:szCs w:val="19"/>
                <w:color w:val="auto"/>
              </w:rPr>
            </w:pPr>
          </w:p>
        </w:tc>
      </w:tr>
      <w:tr>
        <w:trPr>
          <w:trHeight w:val="418"/>
        </w:trPr>
        <w:tc>
          <w:tcPr>
            <w:tcW w:w="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9860" w:type="dxa"/>
            <w:vAlign w:val="bottom"/>
          </w:tcPr>
          <w:p>
            <w:pPr>
              <w:jc w:val="right"/>
              <w:ind w:right="5574"/>
              <w:spacing w:after="0"/>
              <w:rPr>
                <w:sz w:val="20"/>
                <w:szCs w:val="20"/>
                <w:color w:val="auto"/>
              </w:rPr>
            </w:pPr>
            <w:r>
              <w:rPr>
                <w:rFonts w:ascii="Arial" w:cs="Arial" w:eastAsia="Arial" w:hAnsi="Arial"/>
                <w:sz w:val="18"/>
                <w:szCs w:val="18"/>
                <w:color w:val="auto"/>
              </w:rPr>
              <w:t>4</w:t>
            </w:r>
          </w:p>
        </w:tc>
        <w:tc>
          <w:tcPr>
            <w:tcW w:w="40" w:type="dxa"/>
            <w:vAlign w:val="bottom"/>
          </w:tcPr>
          <w:p>
            <w:pPr>
              <w:spacing w:after="0"/>
              <w:rPr>
                <w:sz w:val="24"/>
                <w:szCs w:val="24"/>
                <w:color w:val="auto"/>
              </w:rPr>
            </w:pPr>
          </w:p>
        </w:tc>
      </w:tr>
      <w:tr>
        <w:trPr>
          <w:trHeight w:val="132"/>
        </w:trPr>
        <w:tc>
          <w:tcPr>
            <w:tcW w:w="20" w:type="dxa"/>
            <w:vAlign w:val="bottom"/>
            <w:tcBorders>
              <w:bottom w:val="single" w:sz="8" w:color="010101"/>
            </w:tcBorders>
          </w:tcPr>
          <w:p>
            <w:pPr>
              <w:spacing w:after="0"/>
              <w:rPr>
                <w:sz w:val="11"/>
                <w:szCs w:val="11"/>
                <w:color w:val="auto"/>
              </w:rPr>
            </w:pPr>
          </w:p>
        </w:tc>
        <w:tc>
          <w:tcPr>
            <w:tcW w:w="1140" w:type="dxa"/>
            <w:vAlign w:val="bottom"/>
            <w:tcBorders>
              <w:bottom w:val="single" w:sz="8" w:color="010101"/>
            </w:tcBorders>
          </w:tcPr>
          <w:p>
            <w:pPr>
              <w:spacing w:after="0"/>
              <w:rPr>
                <w:sz w:val="11"/>
                <w:szCs w:val="11"/>
                <w:color w:val="auto"/>
              </w:rPr>
            </w:pPr>
          </w:p>
        </w:tc>
        <w:tc>
          <w:tcPr>
            <w:tcW w:w="400" w:type="dxa"/>
            <w:vAlign w:val="bottom"/>
            <w:tcBorders>
              <w:bottom w:val="single" w:sz="8" w:color="010101"/>
            </w:tcBorders>
          </w:tcPr>
          <w:p>
            <w:pPr>
              <w:spacing w:after="0"/>
              <w:rPr>
                <w:sz w:val="11"/>
                <w:szCs w:val="11"/>
                <w:color w:val="auto"/>
              </w:rPr>
            </w:pPr>
          </w:p>
        </w:tc>
        <w:tc>
          <w:tcPr>
            <w:tcW w:w="986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ind w:left="1320"/>
        <w:spacing w:after="0"/>
        <w:rPr>
          <w:sz w:val="20"/>
          <w:szCs w:val="20"/>
          <w:color w:val="auto"/>
        </w:rPr>
      </w:pPr>
      <w:r>
        <w:rPr>
          <w:rFonts w:ascii="Arial" w:cs="Arial" w:eastAsia="Arial" w:hAnsi="Arial"/>
          <w:sz w:val="18"/>
          <w:szCs w:val="18"/>
          <w:b w:val="1"/>
          <w:bCs w:val="1"/>
          <w:color w:val="auto"/>
        </w:rPr>
        <w:t>Marvell Technology Group Ltd. Reaches Settlement with SEC regarding Historic Stock Option Granting Practices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Media: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Louise Kehoe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Ogilvy PR Worldwide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650-544-5070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louise.kehoe@ogilvypr.com</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Investors:</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Jeff Palmer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408-222-8373</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jpalmer@marvell.com</w:t>
      </w:r>
    </w:p>
    <w:p>
      <w:pPr>
        <w:spacing w:after="0" w:line="207" w:lineRule="exact"/>
        <w:rPr>
          <w:sz w:val="20"/>
          <w:szCs w:val="20"/>
          <w:color w:val="auto"/>
        </w:rPr>
      </w:pPr>
    </w:p>
    <w:p>
      <w:pPr>
        <w:spacing w:after="0" w:line="347" w:lineRule="auto"/>
        <w:rPr>
          <w:sz w:val="20"/>
          <w:szCs w:val="20"/>
          <w:color w:val="auto"/>
        </w:rPr>
      </w:pPr>
      <w:r>
        <w:rPr>
          <w:rFonts w:ascii="Arial" w:cs="Arial" w:eastAsia="Arial" w:hAnsi="Arial"/>
          <w:sz w:val="16"/>
          <w:szCs w:val="16"/>
          <w:b w:val="1"/>
          <w:bCs w:val="1"/>
          <w:color w:val="auto"/>
        </w:rPr>
        <w:t xml:space="preserve">Santa Clara, California (May 8, 2008) — </w:t>
      </w:r>
      <w:r>
        <w:rPr>
          <w:rFonts w:ascii="Arial" w:cs="Arial" w:eastAsia="Arial" w:hAnsi="Arial"/>
          <w:sz w:val="16"/>
          <w:szCs w:val="16"/>
          <w:u w:val="single" w:color="auto"/>
          <w:color w:val="auto"/>
        </w:rPr>
        <w:t>Marvell</w:t>
      </w:r>
      <w:r>
        <w:rPr>
          <w:rFonts w:ascii="Arial" w:cs="Arial" w:eastAsia="Arial" w:hAnsi="Arial"/>
          <w:sz w:val="16"/>
          <w:szCs w:val="16"/>
          <w:b w:val="1"/>
          <w:bCs w:val="1"/>
          <w:color w:val="auto"/>
        </w:rPr>
        <w:t xml:space="preserve"> </w:t>
      </w:r>
      <w:r>
        <w:rPr>
          <w:rFonts w:ascii="Arial" w:cs="Arial" w:eastAsia="Arial" w:hAnsi="Arial"/>
          <w:sz w:val="16"/>
          <w:szCs w:val="16"/>
          <w:color w:val="auto"/>
        </w:rPr>
        <w:t>(NASDAQ: MRVL) today announced that it has entered into a settlement with the Securities &amp; Exchange</w:t>
      </w:r>
      <w:r>
        <w:rPr>
          <w:rFonts w:ascii="Arial" w:cs="Arial" w:eastAsia="Arial" w:hAnsi="Arial"/>
          <w:sz w:val="16"/>
          <w:szCs w:val="16"/>
          <w:b w:val="1"/>
          <w:bCs w:val="1"/>
          <w:color w:val="auto"/>
        </w:rPr>
        <w:t xml:space="preserve"> </w:t>
      </w:r>
      <w:r>
        <w:rPr>
          <w:rFonts w:ascii="Arial" w:cs="Arial" w:eastAsia="Arial" w:hAnsi="Arial"/>
          <w:sz w:val="16"/>
          <w:szCs w:val="16"/>
          <w:color w:val="auto"/>
        </w:rPr>
        <w:t>Commission (“SEC”) in connection with the SEC’s previously disclosed investigation into the Company’s historic stock option granting practices.</w:t>
      </w:r>
    </w:p>
    <w:p>
      <w:pPr>
        <w:spacing w:after="0" w:line="120"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Without admitting or denying the allegations in the SEC’s complaint, the Company agreed to settle the charges by consenting to a permanent injunction against any future violations of various provisions of the federal securities laws. The Company will also pay a civil penalty of $10 million in connection with the settlement.</w:t>
      </w:r>
    </w:p>
    <w:p>
      <w:pPr>
        <w:spacing w:after="0" w:line="181" w:lineRule="exact"/>
        <w:rPr>
          <w:sz w:val="20"/>
          <w:szCs w:val="20"/>
          <w:color w:val="auto"/>
        </w:rPr>
      </w:pPr>
    </w:p>
    <w:p>
      <w:pPr>
        <w:ind w:right="220"/>
        <w:spacing w:after="0" w:line="286" w:lineRule="auto"/>
        <w:rPr>
          <w:sz w:val="20"/>
          <w:szCs w:val="20"/>
          <w:color w:val="auto"/>
        </w:rPr>
      </w:pPr>
      <w:r>
        <w:rPr>
          <w:rFonts w:ascii="Arial" w:cs="Arial" w:eastAsia="Arial" w:hAnsi="Arial"/>
          <w:sz w:val="17"/>
          <w:szCs w:val="17"/>
          <w:color w:val="auto"/>
        </w:rPr>
        <w:t>In a related agreement, Weili Dai, one of the Company’s co-founders, also entered into a settlement with the SEC. Without admitting or denying the allegations in the SEC’s complaint, Ms. Dai consented to a permanent injunction against any future violations of various provisions of the federal securities laws, agreed not to serve as a director or officer of a public company for a period of five years, and will pay a civil penalty of $500,000.</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jc w:val="both"/>
        <w:ind w:right="420"/>
        <w:spacing w:after="0" w:line="264" w:lineRule="auto"/>
        <w:rPr>
          <w:sz w:val="20"/>
          <w:szCs w:val="20"/>
          <w:color w:val="auto"/>
        </w:rPr>
      </w:pPr>
      <w:r>
        <w:rPr>
          <w:rFonts w:ascii="Arial" w:cs="Arial" w:eastAsia="Arial" w:hAnsi="Arial"/>
          <w:sz w:val="18"/>
          <w:szCs w:val="18"/>
          <w:color w:val="auto"/>
        </w:rPr>
        <w:t>Marvell (NASDAQ: MRVL) is a leader in the development of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190500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right="960"/>
        <w:spacing w:after="0" w:line="277" w:lineRule="auto"/>
        <w:rPr>
          <w:sz w:val="20"/>
          <w:szCs w:val="20"/>
          <w:color w:val="auto"/>
        </w:rPr>
      </w:pPr>
      <w:r>
        <w:rPr>
          <w:rFonts w:ascii="Arial" w:cs="Arial" w:eastAsia="Arial" w:hAnsi="Arial"/>
          <w:sz w:val="18"/>
          <w:szCs w:val="18"/>
          <w:color w:val="auto"/>
        </w:rPr>
        <w:t>used in this release, the terms “company” and “Marvell” refer to Marvell Technology Group Ltd. and its subsidiaries. For more information, visit http://www.marvell.com.</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30"/>
          <w:szCs w:val="30"/>
          <w:i w:val="1"/>
          <w:iCs w:val="1"/>
          <w:color w:val="auto"/>
          <w:vertAlign w:val="superscript"/>
        </w:rPr>
        <w:t>®</w:t>
      </w:r>
      <w:r>
        <w:rPr>
          <w:rFonts w:ascii="Arial" w:cs="Arial" w:eastAsia="Arial" w:hAnsi="Arial"/>
          <w:sz w:val="18"/>
          <w:szCs w:val="18"/>
          <w:i w:val="1"/>
          <w:iCs w:val="1"/>
          <w:color w:val="auto"/>
        </w:rPr>
        <w:t xml:space="preserve"> is a registered trademark of Marvell or its affiliates.</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Other names and brands may be claimed as the property of others.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o"/>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2019-12-14T20:10:58Z</dcterms:created>
  <dcterms:modified xsi:type="dcterms:W3CDTF">2019-12-14T20:10:58Z</dcterms:modified>
</cp:coreProperties>
</file>