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-232410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spacing w:after="0" w:line="1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4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CURRENT REPORT</w:t>
      </w:r>
    </w:p>
    <w:p>
      <w:pPr>
        <w:spacing w:after="0" w:line="196"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Securities Exchange Act of 1934</w:t>
      </w:r>
    </w:p>
    <w:p>
      <w:pPr>
        <w:spacing w:after="0" w:line="195"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Date of Report (Date of earliest event reported): May 21, 2008</w:t>
      </w:r>
    </w:p>
    <w:p>
      <w:pPr>
        <w:spacing w:after="0" w:line="198"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240"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314" w:right="279" w:bottom="0" w:gutter="0" w:footer="0" w:header="0"/>
        </w:sectPr>
      </w:pPr>
    </w:p>
    <w:p>
      <w:pPr>
        <w:spacing w:after="0" w:line="221" w:lineRule="exact"/>
        <w:rPr>
          <w:sz w:val="24"/>
          <w:szCs w:val="24"/>
          <w:color w:val="auto"/>
        </w:rPr>
      </w:pPr>
    </w:p>
    <w:p>
      <w:pPr>
        <w:jc w:val="center"/>
        <w:ind w:right="34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right="34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201"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201"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00" w:lineRule="exact"/>
        <w:rPr>
          <w:sz w:val="24"/>
          <w:szCs w:val="24"/>
          <w:color w:val="auto"/>
        </w:rPr>
      </w:pPr>
    </w:p>
    <w:p>
      <w:pPr>
        <w:sectPr>
          <w:pgSz w:w="11900" w:h="16838" w:orient="portrait"/>
          <w:cols w:equalWidth="0" w:num="3">
            <w:col w:w="4020" w:space="720"/>
            <w:col w:w="3460" w:space="720"/>
            <w:col w:w="2460"/>
          </w:cols>
          <w:pgMar w:left="240" w:top="314" w:right="279" w:bottom="0" w:gutter="0" w:footer="0" w:header="0"/>
          <w:type w:val="continuous"/>
        </w:sectPr>
      </w:pPr>
    </w:p>
    <w:p>
      <w:pPr>
        <w:spacing w:after="0" w:line="18"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380"/>
          </w:cols>
          <w:pgMar w:left="240" w:top="314" w:right="279" w:bottom="0" w:gutter="0" w:footer="0" w:header="0"/>
          <w:type w:val="continuous"/>
        </w:sectPr>
      </w:pP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ind w:left="120" w:hanging="112"/>
        <w:spacing w:after="0"/>
        <w:tabs>
          <w:tab w:leader="none" w:pos="120" w:val="left"/>
        </w:tabs>
        <w:numPr>
          <w:ilvl w:val="0"/>
          <w:numId w:val="1"/>
        </w:numPr>
        <w:rPr>
          <w:rFonts w:ascii="Arial" w:cs="Arial" w:eastAsia="Arial" w:hAnsi="Arial"/>
          <w:sz w:val="18"/>
          <w:szCs w:val="18"/>
          <w:color w:val="auto"/>
        </w:rPr>
      </w:pPr>
      <w:r>
        <w:rPr>
          <w:rFonts w:ascii="Arial" w:cs="Arial" w:eastAsia="Arial" w:hAnsi="Arial"/>
          <w:sz w:val="18"/>
          <w:szCs w:val="18"/>
          <w:color w:val="auto"/>
        </w:rPr>
        <w:t>] Written communications pursuant to Rule 425 under the Securities Act (17 CFR 230.425)</w:t>
      </w:r>
    </w:p>
    <w:p>
      <w:pPr>
        <w:spacing w:after="0" w:line="225" w:lineRule="exact"/>
        <w:rPr>
          <w:rFonts w:ascii="Arial" w:cs="Arial" w:eastAsia="Arial" w:hAnsi="Arial"/>
          <w:sz w:val="18"/>
          <w:szCs w:val="18"/>
          <w:color w:val="auto"/>
        </w:rPr>
      </w:pPr>
    </w:p>
    <w:p>
      <w:pPr>
        <w:ind w:left="120" w:hanging="112"/>
        <w:spacing w:after="0"/>
        <w:tabs>
          <w:tab w:leader="none" w:pos="120" w:val="left"/>
        </w:tabs>
        <w:numPr>
          <w:ilvl w:val="0"/>
          <w:numId w:val="1"/>
        </w:numPr>
        <w:rPr>
          <w:rFonts w:ascii="Arial" w:cs="Arial" w:eastAsia="Arial" w:hAnsi="Arial"/>
          <w:sz w:val="18"/>
          <w:szCs w:val="18"/>
          <w:color w:val="auto"/>
        </w:rPr>
      </w:pPr>
      <w:r>
        <w:rPr>
          <w:rFonts w:ascii="Arial" w:cs="Arial" w:eastAsia="Arial" w:hAnsi="Arial"/>
          <w:sz w:val="18"/>
          <w:szCs w:val="18"/>
          <w:color w:val="auto"/>
        </w:rPr>
        <w:t>] Soliciting material pursuant to Rule 14a-12 under the Exchange Act (17 CFR 240.14a-12)</w:t>
      </w:r>
    </w:p>
    <w:p>
      <w:pPr>
        <w:spacing w:after="0" w:line="225" w:lineRule="exact"/>
        <w:rPr>
          <w:rFonts w:ascii="Arial" w:cs="Arial" w:eastAsia="Arial" w:hAnsi="Arial"/>
          <w:sz w:val="18"/>
          <w:szCs w:val="18"/>
          <w:color w:val="auto"/>
        </w:rPr>
      </w:pPr>
    </w:p>
    <w:p>
      <w:pPr>
        <w:ind w:left="120" w:hanging="112"/>
        <w:spacing w:after="0"/>
        <w:tabs>
          <w:tab w:leader="none" w:pos="120" w:val="left"/>
        </w:tabs>
        <w:numPr>
          <w:ilvl w:val="0"/>
          <w:numId w:val="1"/>
        </w:numPr>
        <w:rPr>
          <w:rFonts w:ascii="Arial" w:cs="Arial" w:eastAsia="Arial" w:hAnsi="Arial"/>
          <w:sz w:val="18"/>
          <w:szCs w:val="18"/>
          <w:color w:val="auto"/>
        </w:rPr>
      </w:pPr>
      <w:r>
        <w:rPr>
          <w:rFonts w:ascii="Arial" w:cs="Arial" w:eastAsia="Arial" w:hAnsi="Arial"/>
          <w:sz w:val="18"/>
          <w:szCs w:val="18"/>
          <w:color w:val="auto"/>
        </w:rPr>
        <w:t>] Pre-commencement communications pursuant to Rule 14d-2(b) under the Exchange Act (17 CFR 240.14d-2(b))</w:t>
      </w:r>
    </w:p>
    <w:p>
      <w:pPr>
        <w:spacing w:after="0" w:line="225" w:lineRule="exact"/>
        <w:rPr>
          <w:rFonts w:ascii="Arial" w:cs="Arial" w:eastAsia="Arial" w:hAnsi="Arial"/>
          <w:sz w:val="18"/>
          <w:szCs w:val="18"/>
          <w:color w:val="auto"/>
        </w:rPr>
      </w:pPr>
    </w:p>
    <w:p>
      <w:pPr>
        <w:ind w:left="120" w:hanging="112"/>
        <w:spacing w:after="0"/>
        <w:tabs>
          <w:tab w:leader="none" w:pos="120" w:val="left"/>
        </w:tabs>
        <w:numPr>
          <w:ilvl w:val="0"/>
          <w:numId w:val="1"/>
        </w:numPr>
        <w:rPr>
          <w:rFonts w:ascii="Arial" w:cs="Arial" w:eastAsia="Arial" w:hAnsi="Arial"/>
          <w:sz w:val="18"/>
          <w:szCs w:val="18"/>
          <w:color w:val="auto"/>
        </w:rPr>
      </w:pPr>
      <w:r>
        <w:rPr>
          <w:rFonts w:ascii="Arial" w:cs="Arial" w:eastAsia="Arial" w:hAnsi="Arial"/>
          <w:sz w:val="18"/>
          <w:szCs w:val="18"/>
          <w:color w:val="auto"/>
        </w:rPr>
        <w:t>]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561975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ind w:right="440"/>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166" w:lineRule="exact"/>
        <w:rPr>
          <w:sz w:val="24"/>
          <w:szCs w:val="24"/>
          <w:color w:val="auto"/>
        </w:rPr>
      </w:pPr>
    </w:p>
    <w:p>
      <w:pPr>
        <w:spacing w:after="0"/>
        <w:rPr>
          <w:sz w:val="20"/>
          <w:szCs w:val="20"/>
          <w:color w:val="auto"/>
        </w:rPr>
      </w:pPr>
      <w:r>
        <w:rPr>
          <w:rFonts w:ascii="Arial" w:cs="Arial" w:eastAsia="Arial" w:hAnsi="Arial"/>
          <w:sz w:val="18"/>
          <w:szCs w:val="18"/>
          <w:color w:val="auto"/>
        </w:rPr>
        <w:t>(e)</w:t>
      </w:r>
    </w:p>
    <w:p>
      <w:pPr>
        <w:spacing w:after="0" w:line="225" w:lineRule="exact"/>
        <w:rPr>
          <w:sz w:val="24"/>
          <w:szCs w:val="24"/>
          <w:color w:val="auto"/>
        </w:rPr>
      </w:pPr>
    </w:p>
    <w:p>
      <w:pPr>
        <w:ind w:right="140"/>
        <w:spacing w:after="0" w:line="293" w:lineRule="auto"/>
        <w:rPr>
          <w:sz w:val="20"/>
          <w:szCs w:val="20"/>
          <w:color w:val="auto"/>
        </w:rPr>
      </w:pPr>
      <w:r>
        <w:rPr>
          <w:rFonts w:ascii="Arial" w:cs="Arial" w:eastAsia="Arial" w:hAnsi="Arial"/>
          <w:sz w:val="16"/>
          <w:szCs w:val="16"/>
          <w:color w:val="auto"/>
        </w:rPr>
        <w:t>On May 21, 2008, the executive compensation committee of the board of directors (the “Board”) of Marvell Technology Group Ltd. (the “Company”) approved a formal corporate policy for non-business use of our corporate aircraft and approved its use for one personal use trip in the fiscal year ended February 2, 2008 by Dr. Sehat Sutardja, our chief executive officer. Ms. Weili Dai, the director of strategic marketing and business development of Marvell Semiconductor, Inc. and the spouse of Dr. Sehat Sutardja, accompanied Dr. Sutardja on the trip. This policy permits personal use of our corporate aircraft only by the chief executive officer (the “CEO”) of the Company. The CEO may use our corporate aircraft for three personal trips annually. Any additional personal use of our corporate aircraft by the CEO requires the approval of the executive compensation committee.</w:t>
      </w:r>
    </w:p>
    <w:p>
      <w:pPr>
        <w:spacing w:after="0" w:line="165" w:lineRule="exact"/>
        <w:rPr>
          <w:sz w:val="24"/>
          <w:szCs w:val="24"/>
          <w:color w:val="auto"/>
        </w:rPr>
      </w:pPr>
    </w:p>
    <w:p>
      <w:pPr>
        <w:ind w:right="200"/>
        <w:spacing w:after="0" w:line="277" w:lineRule="auto"/>
        <w:rPr>
          <w:sz w:val="20"/>
          <w:szCs w:val="20"/>
          <w:color w:val="auto"/>
        </w:rPr>
      </w:pPr>
      <w:r>
        <w:rPr>
          <w:rFonts w:ascii="Arial" w:cs="Arial" w:eastAsia="Arial" w:hAnsi="Arial"/>
          <w:sz w:val="18"/>
          <w:szCs w:val="18"/>
          <w:color w:val="auto"/>
        </w:rPr>
        <w:t>A copy of the corporate policy for non-business use of our corporate aircraft is being filed hereto as Exhibit 10.1 to this Current Report on Form 8-K and is incorporated herein in its entirety by reference.</w:t>
      </w:r>
    </w:p>
    <w:p>
      <w:pPr>
        <w:spacing w:after="0" w:line="166"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8.01 Other Events.</w:t>
      </w:r>
    </w:p>
    <w:p>
      <w:pPr>
        <w:spacing w:after="0" w:line="229" w:lineRule="exact"/>
        <w:rPr>
          <w:sz w:val="24"/>
          <w:szCs w:val="24"/>
          <w:color w:val="auto"/>
        </w:rPr>
      </w:pPr>
    </w:p>
    <w:p>
      <w:pPr>
        <w:spacing w:after="0" w:line="312" w:lineRule="auto"/>
        <w:rPr>
          <w:sz w:val="20"/>
          <w:szCs w:val="20"/>
          <w:color w:val="auto"/>
        </w:rPr>
      </w:pPr>
      <w:r>
        <w:rPr>
          <w:rFonts w:ascii="Arial" w:cs="Arial" w:eastAsia="Arial" w:hAnsi="Arial"/>
          <w:sz w:val="16"/>
          <w:szCs w:val="16"/>
          <w:color w:val="auto"/>
        </w:rPr>
        <w:t>On May 22, 2008, the Company issued a press release announcing that it currently plans to hold its 2008 annual general meeting of shareholders at 3:30 p.m., Pacific time, on Friday, July 11, 2008, at the Hyatt Regency Hotel, Santa Clara Convention Center, 5101 Great America Parkway, Santa Clara, California 95054 (the “Annual Meeting”). Shareholders of record as of the close of business on May 23, 2008 are entitled to notice of and vote at the Annual Meeting.</w:t>
      </w:r>
    </w:p>
    <w:p>
      <w:pPr>
        <w:spacing w:after="0" w:line="147" w:lineRule="exact"/>
        <w:rPr>
          <w:sz w:val="24"/>
          <w:szCs w:val="24"/>
          <w:color w:val="auto"/>
        </w:rPr>
      </w:pPr>
    </w:p>
    <w:p>
      <w:pPr>
        <w:spacing w:after="0"/>
        <w:rPr>
          <w:sz w:val="20"/>
          <w:szCs w:val="20"/>
          <w:color w:val="auto"/>
        </w:rPr>
      </w:pPr>
      <w:r>
        <w:rPr>
          <w:rFonts w:ascii="Arial" w:cs="Arial" w:eastAsia="Arial" w:hAnsi="Arial"/>
          <w:sz w:val="18"/>
          <w:szCs w:val="18"/>
          <w:u w:val="single" w:color="auto"/>
          <w:color w:val="auto"/>
        </w:rPr>
        <w:t>Deadline for Shareholder Proposals Pursuant to Rule 14a-8</w:t>
      </w:r>
    </w:p>
    <w:p>
      <w:pPr>
        <w:sectPr>
          <w:pgSz w:w="11900" w:h="16838" w:orient="portrait"/>
          <w:cols w:equalWidth="0" w:num="1">
            <w:col w:w="11380"/>
          </w:cols>
          <w:pgMar w:left="240" w:top="314" w:right="279" w:bottom="0" w:gutter="0" w:footer="0" w:header="0"/>
          <w:type w:val="continuous"/>
        </w:sectPr>
      </w:pPr>
    </w:p>
    <w:bookmarkStart w:id="1" w:name="page2"/>
    <w:bookmarkEnd w:id="1"/>
    <w:p>
      <w:pPr>
        <w:ind w:right="160"/>
        <w:spacing w:after="0" w:line="312" w:lineRule="auto"/>
        <w:rPr>
          <w:sz w:val="20"/>
          <w:szCs w:val="20"/>
          <w:color w:val="auto"/>
        </w:rPr>
      </w:pPr>
      <w:r>
        <w:rPr>
          <w:rFonts w:ascii="Arial" w:cs="Arial" w:eastAsia="Arial" w:hAnsi="Arial"/>
          <w:sz w:val="16"/>
          <w:szCs w:val="16"/>
          <w:color w:val="auto"/>
        </w:rPr>
        <w:t>As set forth in the Company’s proxy statement for the 2007 annual general meeting of shareholders, the Company previously set a deadline for the receipt of any shareholder proposals submitted pursuant to Rule 14a-8 under the Securities Exchange Act of 1934, as amended, for inclusion in the Company’s proxy materials for the Annual Meeting. The deadline for the receipt of shareholder proposals for the Annual Meeting under Rule 14a-8 has passed.</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Deadline for Shareholder Proposals Not Pursuant to Rule 14a-8</w:t>
      </w:r>
    </w:p>
    <w:p>
      <w:pPr>
        <w:spacing w:after="0" w:line="225" w:lineRule="exact"/>
        <w:rPr>
          <w:sz w:val="20"/>
          <w:szCs w:val="20"/>
          <w:color w:val="auto"/>
        </w:rPr>
      </w:pPr>
    </w:p>
    <w:p>
      <w:pPr>
        <w:ind w:right="100"/>
        <w:spacing w:after="0" w:line="264" w:lineRule="auto"/>
        <w:rPr>
          <w:sz w:val="20"/>
          <w:szCs w:val="20"/>
          <w:color w:val="auto"/>
        </w:rPr>
      </w:pPr>
      <w:r>
        <w:rPr>
          <w:rFonts w:ascii="Arial" w:cs="Arial" w:eastAsia="Arial" w:hAnsi="Arial"/>
          <w:sz w:val="18"/>
          <w:szCs w:val="18"/>
          <w:color w:val="auto"/>
        </w:rPr>
        <w:t>As set forth in the Company’s proxy statement for the 2007 annual general meeting of shareholders, shareholder proposals, including director nominations, may also be made at the Annual Meeting in accordance with the terms of the Company’s Bye-Laws and the applicable provisions of the Bermuda Companies Act of 1981.</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The press release constitutes public announcement of the date of the Annual Meeting for purposes of Bye-Law 32 of the Company’s Bye-Laws.</w:t>
      </w:r>
    </w:p>
    <w:p>
      <w:pPr>
        <w:spacing w:after="0" w:line="225" w:lineRule="exact"/>
        <w:rPr>
          <w:sz w:val="20"/>
          <w:szCs w:val="20"/>
          <w:color w:val="auto"/>
        </w:rPr>
      </w:pPr>
    </w:p>
    <w:p>
      <w:pPr>
        <w:spacing w:after="0"/>
        <w:rPr>
          <w:sz w:val="20"/>
          <w:szCs w:val="20"/>
          <w:color w:val="auto"/>
        </w:rPr>
      </w:pPr>
      <w:r>
        <w:rPr>
          <w:rFonts w:ascii="Arial" w:cs="Arial" w:eastAsia="Arial" w:hAnsi="Arial"/>
          <w:sz w:val="16"/>
          <w:szCs w:val="16"/>
          <w:color w:val="auto"/>
        </w:rPr>
        <w:t>The text of the press release is being filed hereto as Exhibit 99.1 to this Current Report on Form 8-K and is incorporated herein in its entirety by reference.</w:t>
      </w:r>
    </w:p>
    <w:p>
      <w:pPr>
        <w:spacing w:after="0" w:line="200" w:lineRule="exact"/>
        <w:rPr>
          <w:sz w:val="20"/>
          <w:szCs w:val="20"/>
          <w:color w:val="auto"/>
        </w:rPr>
      </w:pPr>
    </w:p>
    <w:p>
      <w:pPr>
        <w:spacing w:after="0" w:line="264"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229" w:lineRule="exact"/>
        <w:rPr>
          <w:sz w:val="20"/>
          <w:szCs w:val="20"/>
          <w:color w:val="auto"/>
        </w:rPr>
      </w:pPr>
    </w:p>
    <w:p>
      <w:pPr>
        <w:ind w:left="1360" w:hanging="704"/>
        <w:spacing w:after="0"/>
        <w:tabs>
          <w:tab w:leader="none" w:pos="136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600" w:type="dxa"/>
            <w:vAlign w:val="bottom"/>
            <w:gridSpan w:val="2"/>
          </w:tcPr>
          <w:p>
            <w:pPr>
              <w:ind w:left="20"/>
              <w:spacing w:after="0"/>
              <w:rPr>
                <w:sz w:val="20"/>
                <w:szCs w:val="20"/>
                <w:color w:val="auto"/>
              </w:rPr>
            </w:pPr>
            <w:r>
              <w:rPr>
                <w:rFonts w:ascii="Arial" w:cs="Arial" w:eastAsia="Arial" w:hAnsi="Arial"/>
                <w:sz w:val="14"/>
                <w:szCs w:val="14"/>
                <w:b w:val="1"/>
                <w:bCs w:val="1"/>
                <w:color w:val="auto"/>
              </w:rPr>
              <w:t>Exhibit No.</w:t>
            </w:r>
          </w:p>
        </w:tc>
        <w:tc>
          <w:tcPr>
            <w:tcW w:w="8820" w:type="dxa"/>
            <w:vAlign w:val="bottom"/>
          </w:tcPr>
          <w:p>
            <w:pPr>
              <w:ind w:left="406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14"/>
                <w:szCs w:val="14"/>
                <w:color w:val="auto"/>
              </w:rPr>
            </w:pPr>
          </w:p>
        </w:tc>
      </w:tr>
      <w:tr>
        <w:trPr>
          <w:trHeight w:val="195"/>
        </w:trPr>
        <w:tc>
          <w:tcPr>
            <w:tcW w:w="1860" w:type="dxa"/>
            <w:vAlign w:val="bottom"/>
            <w:tcBorders>
              <w:top w:val="single" w:sz="8" w:color="auto"/>
            </w:tcBorders>
          </w:tcPr>
          <w:p>
            <w:pPr>
              <w:ind w:left="20"/>
              <w:spacing w:after="0" w:line="195" w:lineRule="exact"/>
              <w:rPr>
                <w:sz w:val="20"/>
                <w:szCs w:val="20"/>
                <w:color w:val="auto"/>
              </w:rPr>
            </w:pPr>
            <w:r>
              <w:rPr>
                <w:rFonts w:ascii="Arial" w:cs="Arial" w:eastAsia="Arial" w:hAnsi="Arial"/>
                <w:sz w:val="18"/>
                <w:szCs w:val="18"/>
                <w:color w:val="auto"/>
              </w:rPr>
              <w:t>10.1</w:t>
            </w:r>
          </w:p>
        </w:tc>
        <w:tc>
          <w:tcPr>
            <w:tcW w:w="740" w:type="dxa"/>
            <w:vAlign w:val="bottom"/>
          </w:tcPr>
          <w:p>
            <w:pPr>
              <w:spacing w:after="0"/>
              <w:rPr>
                <w:sz w:val="16"/>
                <w:szCs w:val="16"/>
                <w:color w:val="auto"/>
              </w:rPr>
            </w:pPr>
          </w:p>
        </w:tc>
        <w:tc>
          <w:tcPr>
            <w:tcW w:w="8820" w:type="dxa"/>
            <w:vAlign w:val="bottom"/>
            <w:tcBorders>
              <w:top w:val="single" w:sz="8" w:color="auto"/>
            </w:tcBorders>
          </w:tcPr>
          <w:p>
            <w:pPr>
              <w:ind w:left="20"/>
              <w:spacing w:after="0" w:line="195" w:lineRule="exact"/>
              <w:rPr>
                <w:sz w:val="20"/>
                <w:szCs w:val="20"/>
                <w:color w:val="auto"/>
              </w:rPr>
            </w:pPr>
            <w:r>
              <w:rPr>
                <w:rFonts w:ascii="Arial" w:cs="Arial" w:eastAsia="Arial" w:hAnsi="Arial"/>
                <w:sz w:val="18"/>
                <w:szCs w:val="18"/>
                <w:color w:val="auto"/>
              </w:rPr>
              <w:t>Policy for Non-Business Use of Corporate Aircraft.</w:t>
            </w:r>
          </w:p>
        </w:tc>
        <w:tc>
          <w:tcPr>
            <w:tcW w:w="40" w:type="dxa"/>
            <w:vAlign w:val="bottom"/>
          </w:tcPr>
          <w:p>
            <w:pPr>
              <w:spacing w:after="0"/>
              <w:rPr>
                <w:sz w:val="16"/>
                <w:szCs w:val="16"/>
                <w:color w:val="auto"/>
              </w:rPr>
            </w:pPr>
          </w:p>
        </w:tc>
      </w:tr>
      <w:tr>
        <w:trPr>
          <w:trHeight w:val="230"/>
        </w:trPr>
        <w:tc>
          <w:tcPr>
            <w:tcW w:w="1860" w:type="dxa"/>
            <w:vAlign w:val="bottom"/>
          </w:tcPr>
          <w:p>
            <w:pPr>
              <w:ind w:left="20"/>
              <w:spacing w:after="0"/>
              <w:rPr>
                <w:sz w:val="20"/>
                <w:szCs w:val="20"/>
                <w:color w:val="auto"/>
              </w:rPr>
            </w:pPr>
            <w:r>
              <w:rPr>
                <w:rFonts w:ascii="Arial" w:cs="Arial" w:eastAsia="Arial" w:hAnsi="Arial"/>
                <w:sz w:val="18"/>
                <w:szCs w:val="18"/>
                <w:color w:val="auto"/>
              </w:rPr>
              <w:t>99.1</w:t>
            </w:r>
          </w:p>
        </w:tc>
        <w:tc>
          <w:tcPr>
            <w:tcW w:w="740" w:type="dxa"/>
            <w:vAlign w:val="bottom"/>
          </w:tcPr>
          <w:p>
            <w:pPr>
              <w:spacing w:after="0"/>
              <w:rPr>
                <w:sz w:val="20"/>
                <w:szCs w:val="20"/>
                <w:color w:val="auto"/>
              </w:rPr>
            </w:pPr>
          </w:p>
        </w:tc>
        <w:tc>
          <w:tcPr>
            <w:tcW w:w="8820" w:type="dxa"/>
            <w:vAlign w:val="bottom"/>
          </w:tcPr>
          <w:p>
            <w:pPr>
              <w:ind w:left="20"/>
              <w:spacing w:after="0"/>
              <w:rPr>
                <w:sz w:val="20"/>
                <w:szCs w:val="20"/>
                <w:color w:val="auto"/>
              </w:rPr>
            </w:pPr>
            <w:r>
              <w:rPr>
                <w:rFonts w:ascii="Arial" w:cs="Arial" w:eastAsia="Arial" w:hAnsi="Arial"/>
                <w:sz w:val="18"/>
                <w:szCs w:val="18"/>
                <w:color w:val="auto"/>
              </w:rPr>
              <w:t>Press release dated May 22, 2008.</w:t>
            </w:r>
          </w:p>
        </w:tc>
        <w:tc>
          <w:tcPr>
            <w:tcW w:w="40" w:type="dxa"/>
            <w:vAlign w:val="bottom"/>
          </w:tcPr>
          <w:p>
            <w:pPr>
              <w:spacing w:after="0"/>
              <w:rPr>
                <w:sz w:val="20"/>
                <w:szCs w:val="20"/>
                <w:color w:val="auto"/>
              </w:rPr>
            </w:pPr>
          </w:p>
        </w:tc>
      </w:tr>
      <w:tr>
        <w:trPr>
          <w:trHeight w:val="648"/>
        </w:trPr>
        <w:tc>
          <w:tcPr>
            <w:tcW w:w="18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820" w:type="dxa"/>
            <w:vAlign w:val="bottom"/>
          </w:tcPr>
          <w:p>
            <w:pPr>
              <w:jc w:val="right"/>
              <w:ind w:right="5574"/>
              <w:spacing w:after="0"/>
              <w:rPr>
                <w:sz w:val="20"/>
                <w:szCs w:val="20"/>
                <w:color w:val="auto"/>
              </w:rPr>
            </w:pPr>
            <w:r>
              <w:rPr>
                <w:rFonts w:ascii="Arial" w:cs="Arial" w:eastAsia="Arial" w:hAnsi="Arial"/>
                <w:sz w:val="18"/>
                <w:szCs w:val="18"/>
                <w:color w:val="auto"/>
              </w:rPr>
              <w:t>3</w:t>
            </w:r>
          </w:p>
        </w:tc>
        <w:tc>
          <w:tcPr>
            <w:tcW w:w="40" w:type="dxa"/>
            <w:vAlign w:val="bottom"/>
          </w:tcPr>
          <w:p>
            <w:pPr>
              <w:spacing w:after="0"/>
              <w:rPr>
                <w:sz w:val="24"/>
                <w:szCs w:val="24"/>
                <w:color w:val="auto"/>
              </w:rPr>
            </w:pPr>
          </w:p>
        </w:tc>
      </w:tr>
      <w:tr>
        <w:trPr>
          <w:trHeight w:val="132"/>
        </w:trPr>
        <w:tc>
          <w:tcPr>
            <w:tcW w:w="1860" w:type="dxa"/>
            <w:vAlign w:val="bottom"/>
            <w:tcBorders>
              <w:bottom w:val="single" w:sz="8" w:color="010101"/>
            </w:tcBorders>
          </w:tcPr>
          <w:p>
            <w:pPr>
              <w:spacing w:after="0"/>
              <w:rPr>
                <w:sz w:val="11"/>
                <w:szCs w:val="11"/>
                <w:color w:val="auto"/>
              </w:rPr>
            </w:pPr>
          </w:p>
        </w:tc>
        <w:tc>
          <w:tcPr>
            <w:tcW w:w="740" w:type="dxa"/>
            <w:vAlign w:val="bottom"/>
            <w:tcBorders>
              <w:bottom w:val="single" w:sz="8" w:color="010101"/>
            </w:tcBorders>
          </w:tcPr>
          <w:p>
            <w:pPr>
              <w:spacing w:after="0"/>
              <w:rPr>
                <w:sz w:val="11"/>
                <w:szCs w:val="11"/>
                <w:color w:val="auto"/>
              </w:rPr>
            </w:pPr>
          </w:p>
        </w:tc>
        <w:tc>
          <w:tcPr>
            <w:tcW w:w="882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May 23, 2008</w:t>
      </w:r>
    </w:p>
    <w:p>
      <w:pPr>
        <w:spacing w:after="0" w:line="225"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3940" w:type="dxa"/>
            <w:vAlign w:val="bottom"/>
            <w:gridSpan w:val="2"/>
          </w:tcPr>
          <w:p>
            <w:pPr>
              <w:ind w:left="3140"/>
              <w:spacing w:after="0"/>
              <w:rPr>
                <w:sz w:val="20"/>
                <w:szCs w:val="20"/>
                <w:color w:val="auto"/>
              </w:rPr>
            </w:pPr>
            <w:r>
              <w:rPr>
                <w:rFonts w:ascii="Arial" w:cs="Arial" w:eastAsia="Arial" w:hAnsi="Arial"/>
                <w:sz w:val="18"/>
                <w:szCs w:val="18"/>
                <w:color w:val="auto"/>
              </w:rPr>
              <w:t>By:</w:t>
            </w:r>
          </w:p>
        </w:tc>
        <w:tc>
          <w:tcPr>
            <w:tcW w:w="4880" w:type="dxa"/>
            <w:vAlign w:val="bottom"/>
          </w:tcPr>
          <w:p>
            <w:pPr>
              <w:ind w:left="820"/>
              <w:spacing w:after="0"/>
              <w:rPr>
                <w:sz w:val="20"/>
                <w:szCs w:val="20"/>
                <w:color w:val="auto"/>
              </w:rPr>
            </w:pPr>
            <w:r>
              <w:rPr>
                <w:rFonts w:ascii="Arial" w:cs="Arial" w:eastAsia="Arial" w:hAnsi="Arial"/>
                <w:sz w:val="18"/>
                <w:szCs w:val="18"/>
                <w:color w:val="auto"/>
              </w:rPr>
              <w:t>/s/ George de Urioste</w:t>
            </w:r>
          </w:p>
        </w:tc>
        <w:tc>
          <w:tcPr>
            <w:tcW w:w="40" w:type="dxa"/>
            <w:vAlign w:val="bottom"/>
          </w:tcPr>
          <w:p>
            <w:pPr>
              <w:spacing w:after="0"/>
              <w:rPr>
                <w:sz w:val="20"/>
                <w:szCs w:val="20"/>
                <w:color w:val="auto"/>
              </w:rPr>
            </w:pPr>
          </w:p>
        </w:tc>
      </w:tr>
      <w:tr>
        <w:trPr>
          <w:trHeight w:val="182"/>
        </w:trPr>
        <w:tc>
          <w:tcPr>
            <w:tcW w:w="20" w:type="dxa"/>
            <w:vAlign w:val="bottom"/>
          </w:tcPr>
          <w:p>
            <w:pPr>
              <w:spacing w:after="0"/>
              <w:rPr>
                <w:sz w:val="15"/>
                <w:szCs w:val="15"/>
                <w:color w:val="auto"/>
              </w:rPr>
            </w:pPr>
          </w:p>
        </w:tc>
        <w:tc>
          <w:tcPr>
            <w:tcW w:w="18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3640" w:type="dxa"/>
            <w:vAlign w:val="bottom"/>
          </w:tcPr>
          <w:p>
            <w:pPr>
              <w:spacing w:after="0"/>
              <w:rPr>
                <w:sz w:val="15"/>
                <w:szCs w:val="15"/>
                <w:color w:val="auto"/>
              </w:rPr>
            </w:pPr>
          </w:p>
        </w:tc>
        <w:tc>
          <w:tcPr>
            <w:tcW w:w="300" w:type="dxa"/>
            <w:vAlign w:val="bottom"/>
            <w:tcBorders>
              <w:top w:val="single" w:sz="8" w:color="auto"/>
            </w:tcBorders>
          </w:tcPr>
          <w:p>
            <w:pPr>
              <w:spacing w:after="0"/>
              <w:rPr>
                <w:sz w:val="15"/>
                <w:szCs w:val="15"/>
                <w:color w:val="auto"/>
              </w:rPr>
            </w:pPr>
          </w:p>
        </w:tc>
        <w:tc>
          <w:tcPr>
            <w:tcW w:w="4880" w:type="dxa"/>
            <w:vAlign w:val="bottom"/>
            <w:tcBorders>
              <w:top w:val="single" w:sz="8" w:color="auto"/>
            </w:tcBorders>
          </w:tcPr>
          <w:p>
            <w:pPr>
              <w:jc w:val="center"/>
              <w:ind w:right="734"/>
              <w:spacing w:after="0" w:line="182" w:lineRule="exact"/>
              <w:rPr>
                <w:sz w:val="20"/>
                <w:szCs w:val="20"/>
                <w:color w:val="auto"/>
              </w:rPr>
            </w:pPr>
            <w:r>
              <w:rPr>
                <w:rFonts w:ascii="Arial" w:cs="Arial" w:eastAsia="Arial" w:hAnsi="Arial"/>
                <w:sz w:val="18"/>
                <w:szCs w:val="18"/>
                <w:color w:val="auto"/>
                <w:w w:val="88"/>
              </w:rPr>
              <w:t>George de Urioste</w:t>
            </w:r>
          </w:p>
        </w:tc>
        <w:tc>
          <w:tcPr>
            <w:tcW w:w="40" w:type="dxa"/>
            <w:vAlign w:val="bottom"/>
          </w:tcPr>
          <w:p>
            <w:pPr>
              <w:spacing w:after="0"/>
              <w:rPr>
                <w:sz w:val="15"/>
                <w:szCs w:val="15"/>
                <w:color w:val="auto"/>
              </w:rPr>
            </w:pPr>
          </w:p>
        </w:tc>
      </w:tr>
      <w:tr>
        <w:trPr>
          <w:trHeight w:val="230"/>
        </w:trPr>
        <w:tc>
          <w:tcPr>
            <w:tcW w:w="20" w:type="dxa"/>
            <w:vAlign w:val="bottom"/>
          </w:tcPr>
          <w:p>
            <w:pPr>
              <w:spacing w:after="0"/>
              <w:rPr>
                <w:sz w:val="20"/>
                <w:szCs w:val="20"/>
                <w:color w:val="auto"/>
              </w:rPr>
            </w:pPr>
          </w:p>
        </w:tc>
        <w:tc>
          <w:tcPr>
            <w:tcW w:w="18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36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880" w:type="dxa"/>
            <w:vAlign w:val="bottom"/>
          </w:tcPr>
          <w:p>
            <w:pPr>
              <w:jc w:val="center"/>
              <w:ind w:right="734"/>
              <w:spacing w:after="0"/>
              <w:rPr>
                <w:sz w:val="20"/>
                <w:szCs w:val="20"/>
                <w:color w:val="auto"/>
              </w:rPr>
            </w:pPr>
            <w:r>
              <w:rPr>
                <w:rFonts w:ascii="Arial" w:cs="Arial" w:eastAsia="Arial" w:hAnsi="Arial"/>
                <w:sz w:val="18"/>
                <w:szCs w:val="18"/>
                <w:color w:val="auto"/>
                <w:w w:val="95"/>
              </w:rPr>
              <w:t>Interim Chief Financial Officer</w:t>
            </w:r>
          </w:p>
        </w:tc>
        <w:tc>
          <w:tcPr>
            <w:tcW w:w="40" w:type="dxa"/>
            <w:vAlign w:val="bottom"/>
          </w:tcPr>
          <w:p>
            <w:pPr>
              <w:spacing w:after="0"/>
              <w:rPr>
                <w:sz w:val="20"/>
                <w:szCs w:val="20"/>
                <w:color w:val="auto"/>
              </w:rPr>
            </w:pPr>
          </w:p>
        </w:tc>
      </w:tr>
      <w:tr>
        <w:trPr>
          <w:trHeight w:val="648"/>
        </w:trPr>
        <w:tc>
          <w:tcPr>
            <w:tcW w:w="2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640" w:type="dxa"/>
            <w:vAlign w:val="bottom"/>
          </w:tcPr>
          <w:p>
            <w:pPr>
              <w:jc w:val="center"/>
              <w:ind w:left="2490"/>
              <w:spacing w:after="0"/>
              <w:rPr>
                <w:sz w:val="20"/>
                <w:szCs w:val="20"/>
                <w:color w:val="auto"/>
              </w:rPr>
            </w:pPr>
            <w:r>
              <w:rPr>
                <w:rFonts w:ascii="Arial" w:cs="Arial" w:eastAsia="Arial" w:hAnsi="Arial"/>
                <w:sz w:val="18"/>
                <w:szCs w:val="18"/>
                <w:color w:val="auto"/>
                <w:w w:val="99"/>
              </w:rPr>
              <w:t>4</w:t>
            </w:r>
          </w:p>
        </w:tc>
        <w:tc>
          <w:tcPr>
            <w:tcW w:w="300" w:type="dxa"/>
            <w:vAlign w:val="bottom"/>
          </w:tcPr>
          <w:p>
            <w:pPr>
              <w:spacing w:after="0"/>
              <w:rPr>
                <w:sz w:val="24"/>
                <w:szCs w:val="24"/>
                <w:color w:val="auto"/>
              </w:rPr>
            </w:pPr>
          </w:p>
        </w:tc>
        <w:tc>
          <w:tcPr>
            <w:tcW w:w="48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20" w:type="dxa"/>
            <w:vAlign w:val="bottom"/>
            <w:tcBorders>
              <w:bottom w:val="single" w:sz="8" w:color="010101"/>
            </w:tcBorders>
          </w:tcPr>
          <w:p>
            <w:pPr>
              <w:spacing w:after="0"/>
              <w:rPr>
                <w:sz w:val="11"/>
                <w:szCs w:val="11"/>
                <w:color w:val="auto"/>
              </w:rPr>
            </w:pPr>
          </w:p>
        </w:tc>
        <w:tc>
          <w:tcPr>
            <w:tcW w:w="1840" w:type="dxa"/>
            <w:vAlign w:val="bottom"/>
            <w:tcBorders>
              <w:bottom w:val="single" w:sz="8" w:color="010101"/>
            </w:tcBorders>
          </w:tcPr>
          <w:p>
            <w:pPr>
              <w:spacing w:after="0"/>
              <w:rPr>
                <w:sz w:val="11"/>
                <w:szCs w:val="11"/>
                <w:color w:val="auto"/>
              </w:rPr>
            </w:pPr>
          </w:p>
        </w:tc>
        <w:tc>
          <w:tcPr>
            <w:tcW w:w="740" w:type="dxa"/>
            <w:vAlign w:val="bottom"/>
            <w:tcBorders>
              <w:bottom w:val="single" w:sz="8" w:color="010101"/>
            </w:tcBorders>
          </w:tcPr>
          <w:p>
            <w:pPr>
              <w:spacing w:after="0"/>
              <w:rPr>
                <w:sz w:val="11"/>
                <w:szCs w:val="11"/>
                <w:color w:val="auto"/>
              </w:rPr>
            </w:pPr>
          </w:p>
        </w:tc>
        <w:tc>
          <w:tcPr>
            <w:tcW w:w="3940" w:type="dxa"/>
            <w:vAlign w:val="bottom"/>
            <w:tcBorders>
              <w:bottom w:val="single" w:sz="8" w:color="010101"/>
            </w:tcBorders>
            <w:gridSpan w:val="2"/>
          </w:tcPr>
          <w:p>
            <w:pPr>
              <w:spacing w:after="0"/>
              <w:rPr>
                <w:sz w:val="11"/>
                <w:szCs w:val="11"/>
                <w:color w:val="auto"/>
              </w:rPr>
            </w:pPr>
          </w:p>
        </w:tc>
        <w:tc>
          <w:tcPr>
            <w:tcW w:w="488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r>
        <w:trPr>
          <w:trHeight w:val="780"/>
        </w:trPr>
        <w:tc>
          <w:tcPr>
            <w:tcW w:w="2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940" w:type="dxa"/>
            <w:vAlign w:val="bottom"/>
            <w:gridSpan w:val="2"/>
          </w:tcPr>
          <w:p>
            <w:pPr>
              <w:jc w:val="center"/>
              <w:ind w:left="2190"/>
              <w:spacing w:after="0"/>
              <w:rPr>
                <w:sz w:val="20"/>
                <w:szCs w:val="20"/>
                <w:color w:val="auto"/>
              </w:rPr>
            </w:pPr>
            <w:r>
              <w:rPr>
                <w:rFonts w:ascii="Arial" w:cs="Arial" w:eastAsia="Arial" w:hAnsi="Arial"/>
                <w:sz w:val="18"/>
                <w:szCs w:val="18"/>
                <w:b w:val="1"/>
                <w:bCs w:val="1"/>
                <w:color w:val="auto"/>
              </w:rPr>
              <w:t>EXHIBIT INDEX</w:t>
            </w:r>
          </w:p>
        </w:tc>
        <w:tc>
          <w:tcPr>
            <w:tcW w:w="48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65"/>
        </w:trPr>
        <w:tc>
          <w:tcPr>
            <w:tcW w:w="20" w:type="dxa"/>
            <w:vAlign w:val="bottom"/>
          </w:tcPr>
          <w:p>
            <w:pPr>
              <w:spacing w:after="0"/>
              <w:rPr>
                <w:sz w:val="24"/>
                <w:szCs w:val="24"/>
                <w:color w:val="auto"/>
              </w:rPr>
            </w:pPr>
          </w:p>
        </w:tc>
        <w:tc>
          <w:tcPr>
            <w:tcW w:w="2580" w:type="dxa"/>
            <w:vAlign w:val="bottom"/>
            <w:gridSpan w:val="2"/>
          </w:tcPr>
          <w:p>
            <w:pPr>
              <w:spacing w:after="0"/>
              <w:rPr>
                <w:sz w:val="20"/>
                <w:szCs w:val="20"/>
                <w:color w:val="auto"/>
              </w:rPr>
            </w:pPr>
            <w:r>
              <w:rPr>
                <w:rFonts w:ascii="Arial" w:cs="Arial" w:eastAsia="Arial" w:hAnsi="Arial"/>
                <w:sz w:val="14"/>
                <w:szCs w:val="14"/>
                <w:b w:val="1"/>
                <w:bCs w:val="1"/>
                <w:color w:val="auto"/>
              </w:rPr>
              <w:t>Exhibit No.</w:t>
            </w:r>
          </w:p>
        </w:tc>
        <w:tc>
          <w:tcPr>
            <w:tcW w:w="36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880" w:type="dxa"/>
            <w:vAlign w:val="bottom"/>
          </w:tcPr>
          <w:p>
            <w:pPr>
              <w:ind w:left="12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195"/>
        </w:trPr>
        <w:tc>
          <w:tcPr>
            <w:tcW w:w="20" w:type="dxa"/>
            <w:vAlign w:val="bottom"/>
          </w:tcPr>
          <w:p>
            <w:pPr>
              <w:spacing w:after="0"/>
              <w:rPr>
                <w:sz w:val="16"/>
                <w:szCs w:val="16"/>
                <w:color w:val="auto"/>
              </w:rPr>
            </w:pPr>
          </w:p>
        </w:tc>
        <w:tc>
          <w:tcPr>
            <w:tcW w:w="18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10.1</w:t>
            </w:r>
          </w:p>
        </w:tc>
        <w:tc>
          <w:tcPr>
            <w:tcW w:w="740" w:type="dxa"/>
            <w:vAlign w:val="bottom"/>
          </w:tcPr>
          <w:p>
            <w:pPr>
              <w:spacing w:after="0"/>
              <w:rPr>
                <w:sz w:val="16"/>
                <w:szCs w:val="16"/>
                <w:color w:val="auto"/>
              </w:rPr>
            </w:pPr>
          </w:p>
        </w:tc>
        <w:tc>
          <w:tcPr>
            <w:tcW w:w="3940" w:type="dxa"/>
            <w:vAlign w:val="bottom"/>
            <w:tcBorders>
              <w:top w:val="single" w:sz="8" w:color="auto"/>
            </w:tcBorders>
            <w:gridSpan w:val="2"/>
          </w:tcPr>
          <w:p>
            <w:pPr>
              <w:ind w:left="20"/>
              <w:spacing w:after="0" w:line="195" w:lineRule="exact"/>
              <w:rPr>
                <w:sz w:val="20"/>
                <w:szCs w:val="20"/>
                <w:color w:val="auto"/>
              </w:rPr>
            </w:pPr>
            <w:r>
              <w:rPr>
                <w:rFonts w:ascii="Arial" w:cs="Arial" w:eastAsia="Arial" w:hAnsi="Arial"/>
                <w:sz w:val="18"/>
                <w:szCs w:val="18"/>
                <w:color w:val="auto"/>
                <w:w w:val="97"/>
              </w:rPr>
              <w:t>Policy for Non-Business Use of Corporate Aircraft.</w:t>
            </w:r>
          </w:p>
        </w:tc>
        <w:tc>
          <w:tcPr>
            <w:tcW w:w="4880" w:type="dxa"/>
            <w:vAlign w:val="bottom"/>
            <w:tcBorders>
              <w:top w:val="single" w:sz="8" w:color="auto"/>
            </w:tcBorders>
          </w:tcPr>
          <w:p>
            <w:pPr>
              <w:spacing w:after="0"/>
              <w:rPr>
                <w:sz w:val="16"/>
                <w:szCs w:val="16"/>
                <w:color w:val="auto"/>
              </w:rPr>
            </w:pPr>
          </w:p>
        </w:tc>
        <w:tc>
          <w:tcPr>
            <w:tcW w:w="40" w:type="dxa"/>
            <w:vAlign w:val="bottom"/>
          </w:tcPr>
          <w:p>
            <w:pPr>
              <w:spacing w:after="0"/>
              <w:rPr>
                <w:sz w:val="16"/>
                <w:szCs w:val="16"/>
                <w:color w:val="auto"/>
              </w:rPr>
            </w:pPr>
          </w:p>
        </w:tc>
      </w:tr>
      <w:tr>
        <w:trPr>
          <w:trHeight w:val="230"/>
        </w:trPr>
        <w:tc>
          <w:tcPr>
            <w:tcW w:w="1860" w:type="dxa"/>
            <w:vAlign w:val="bottom"/>
            <w:gridSpan w:val="2"/>
          </w:tcPr>
          <w:p>
            <w:pPr>
              <w:ind w:left="20"/>
              <w:spacing w:after="0"/>
              <w:rPr>
                <w:sz w:val="20"/>
                <w:szCs w:val="20"/>
                <w:color w:val="auto"/>
              </w:rPr>
            </w:pPr>
            <w:r>
              <w:rPr>
                <w:rFonts w:ascii="Arial" w:cs="Arial" w:eastAsia="Arial" w:hAnsi="Arial"/>
                <w:sz w:val="18"/>
                <w:szCs w:val="18"/>
                <w:color w:val="auto"/>
              </w:rPr>
              <w:t>99.1</w:t>
            </w:r>
          </w:p>
        </w:tc>
        <w:tc>
          <w:tcPr>
            <w:tcW w:w="740" w:type="dxa"/>
            <w:vAlign w:val="bottom"/>
          </w:tcPr>
          <w:p>
            <w:pPr>
              <w:spacing w:after="0"/>
              <w:rPr>
                <w:sz w:val="20"/>
                <w:szCs w:val="20"/>
                <w:color w:val="auto"/>
              </w:rPr>
            </w:pPr>
          </w:p>
        </w:tc>
        <w:tc>
          <w:tcPr>
            <w:tcW w:w="3940" w:type="dxa"/>
            <w:vAlign w:val="bottom"/>
            <w:gridSpan w:val="2"/>
          </w:tcPr>
          <w:p>
            <w:pPr>
              <w:ind w:left="20"/>
              <w:spacing w:after="0"/>
              <w:rPr>
                <w:sz w:val="20"/>
                <w:szCs w:val="20"/>
                <w:color w:val="auto"/>
              </w:rPr>
            </w:pPr>
            <w:r>
              <w:rPr>
                <w:rFonts w:ascii="Arial" w:cs="Arial" w:eastAsia="Arial" w:hAnsi="Arial"/>
                <w:sz w:val="18"/>
                <w:szCs w:val="18"/>
                <w:color w:val="auto"/>
              </w:rPr>
              <w:t>Press release dated May 22, 2008.</w:t>
            </w:r>
          </w:p>
        </w:tc>
        <w:tc>
          <w:tcPr>
            <w:tcW w:w="488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648"/>
        </w:trPr>
        <w:tc>
          <w:tcPr>
            <w:tcW w:w="2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640" w:type="dxa"/>
            <w:vAlign w:val="bottom"/>
          </w:tcPr>
          <w:p>
            <w:pPr>
              <w:jc w:val="center"/>
              <w:ind w:left="2490"/>
              <w:spacing w:after="0"/>
              <w:rPr>
                <w:sz w:val="20"/>
                <w:szCs w:val="20"/>
                <w:color w:val="auto"/>
              </w:rPr>
            </w:pPr>
            <w:r>
              <w:rPr>
                <w:rFonts w:ascii="Arial" w:cs="Arial" w:eastAsia="Arial" w:hAnsi="Arial"/>
                <w:sz w:val="18"/>
                <w:szCs w:val="18"/>
                <w:color w:val="auto"/>
                <w:w w:val="99"/>
              </w:rPr>
              <w:t>5</w:t>
            </w:r>
          </w:p>
        </w:tc>
        <w:tc>
          <w:tcPr>
            <w:tcW w:w="300" w:type="dxa"/>
            <w:vAlign w:val="bottom"/>
          </w:tcPr>
          <w:p>
            <w:pPr>
              <w:spacing w:after="0"/>
              <w:rPr>
                <w:sz w:val="24"/>
                <w:szCs w:val="24"/>
                <w:color w:val="auto"/>
              </w:rPr>
            </w:pPr>
          </w:p>
        </w:tc>
        <w:tc>
          <w:tcPr>
            <w:tcW w:w="48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20" w:type="dxa"/>
            <w:vAlign w:val="bottom"/>
            <w:tcBorders>
              <w:bottom w:val="single" w:sz="8" w:color="010101"/>
            </w:tcBorders>
          </w:tcPr>
          <w:p>
            <w:pPr>
              <w:spacing w:after="0"/>
              <w:rPr>
                <w:sz w:val="11"/>
                <w:szCs w:val="11"/>
                <w:color w:val="auto"/>
              </w:rPr>
            </w:pPr>
          </w:p>
        </w:tc>
        <w:tc>
          <w:tcPr>
            <w:tcW w:w="1840" w:type="dxa"/>
            <w:vAlign w:val="bottom"/>
            <w:tcBorders>
              <w:bottom w:val="single" w:sz="8" w:color="010101"/>
            </w:tcBorders>
          </w:tcPr>
          <w:p>
            <w:pPr>
              <w:spacing w:after="0"/>
              <w:rPr>
                <w:sz w:val="11"/>
                <w:szCs w:val="11"/>
                <w:color w:val="auto"/>
              </w:rPr>
            </w:pPr>
          </w:p>
        </w:tc>
        <w:tc>
          <w:tcPr>
            <w:tcW w:w="740" w:type="dxa"/>
            <w:vAlign w:val="bottom"/>
            <w:tcBorders>
              <w:bottom w:val="single" w:sz="8" w:color="010101"/>
            </w:tcBorders>
          </w:tcPr>
          <w:p>
            <w:pPr>
              <w:spacing w:after="0"/>
              <w:rPr>
                <w:sz w:val="11"/>
                <w:szCs w:val="11"/>
                <w:color w:val="auto"/>
              </w:rPr>
            </w:pPr>
          </w:p>
        </w:tc>
        <w:tc>
          <w:tcPr>
            <w:tcW w:w="3640" w:type="dxa"/>
            <w:vAlign w:val="bottom"/>
            <w:tcBorders>
              <w:bottom w:val="single" w:sz="8" w:color="010101"/>
            </w:tcBorders>
          </w:tcPr>
          <w:p>
            <w:pPr>
              <w:spacing w:after="0"/>
              <w:rPr>
                <w:sz w:val="11"/>
                <w:szCs w:val="11"/>
                <w:color w:val="auto"/>
              </w:rPr>
            </w:pPr>
          </w:p>
        </w:tc>
        <w:tc>
          <w:tcPr>
            <w:tcW w:w="300" w:type="dxa"/>
            <w:vAlign w:val="bottom"/>
            <w:tcBorders>
              <w:bottom w:val="single" w:sz="8" w:color="010101"/>
            </w:tcBorders>
          </w:tcPr>
          <w:p>
            <w:pPr>
              <w:spacing w:after="0"/>
              <w:rPr>
                <w:sz w:val="11"/>
                <w:szCs w:val="11"/>
                <w:color w:val="auto"/>
              </w:rPr>
            </w:pPr>
          </w:p>
        </w:tc>
        <w:tc>
          <w:tcPr>
            <w:tcW w:w="488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-1546860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-1546860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5" w:right="199"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b w:val="1"/>
          <w:bCs w:val="1"/>
          <w:color w:val="auto"/>
        </w:rPr>
        <w:t>Exhibit 10.1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Policy for Non-Business Use of the Corporate Aircraft</w:t>
      </w:r>
    </w:p>
    <w:p>
      <w:pPr>
        <w:spacing w:after="0" w:line="229" w:lineRule="exact"/>
        <w:rPr>
          <w:sz w:val="20"/>
          <w:szCs w:val="20"/>
          <w:color w:val="auto"/>
        </w:rPr>
      </w:pPr>
    </w:p>
    <w:p>
      <w:pPr>
        <w:ind w:right="80"/>
        <w:spacing w:after="0" w:line="273" w:lineRule="auto"/>
        <w:rPr>
          <w:sz w:val="20"/>
          <w:szCs w:val="20"/>
          <w:color w:val="auto"/>
        </w:rPr>
      </w:pPr>
      <w:r>
        <w:rPr>
          <w:rFonts w:ascii="Arial" w:cs="Arial" w:eastAsia="Arial" w:hAnsi="Arial"/>
          <w:sz w:val="17"/>
          <w:szCs w:val="17"/>
          <w:color w:val="auto"/>
        </w:rPr>
        <w:t>Non-business (personal) use of the corporate aircraft of Marvell Technology Group Ltd. (“Marvell”) and its subsidiaries shall be limited to the Chief Executive Officer (the “CEO”), provided that the CEO may not use the corporate aircraft for more than three personal trips in any fiscal year without the approval of the executive compensation committee of the board of directors of Marvell. For clarity, one round trip or one multi-point trip shall constitute one trip for purposes of this limitation. Family members, friends or people associated with a charitable interest of the CEO may accompany the CEO on a personal use flight or use the corporate aircraft with the CEO’s approval within these limitations. With respect to any personal use, all applicable IRS guidelines (e.g., the SIFL or Standard Industry Fare Level) for personal use flights shall be followed.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326390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6454140</wp:posOffset>
            </wp:positionH>
            <wp:positionV relativeFrom="paragraph">
              <wp:posOffset>154940</wp:posOffset>
            </wp:positionV>
            <wp:extent cx="797560" cy="42037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97560" cy="4203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ectPr>
          <w:pgSz w:w="11900" w:h="16838" w:orient="portrait"/>
          <w:cols w:equalWidth="0" w:num="1">
            <w:col w:w="11420"/>
          </w:cols>
          <w:pgMar w:left="240" w:top="337" w:right="239" w:bottom="1440" w:gutter="0" w:footer="0" w:header="0"/>
        </w:sectPr>
      </w:pPr>
    </w:p>
    <w:p>
      <w:pPr>
        <w:spacing w:after="0" w:line="229" w:lineRule="exact"/>
        <w:rPr>
          <w:sz w:val="20"/>
          <w:szCs w:val="20"/>
          <w:color w:val="auto"/>
        </w:rPr>
      </w:pPr>
    </w:p>
    <w:p>
      <w:pPr>
        <w:ind w:left="20"/>
        <w:spacing w:after="0"/>
        <w:rPr>
          <w:sz w:val="20"/>
          <w:szCs w:val="20"/>
          <w:color w:val="auto"/>
        </w:rPr>
      </w:pPr>
      <w:r>
        <w:rPr>
          <w:rFonts w:ascii="Arial" w:cs="Arial" w:eastAsia="Arial" w:hAnsi="Arial"/>
          <w:sz w:val="16"/>
          <w:szCs w:val="16"/>
          <w:color w:val="auto"/>
        </w:rPr>
        <w:t>Marvell Investor Relations</w:t>
      </w:r>
    </w:p>
    <w:p>
      <w:pPr>
        <w:spacing w:after="0" w:line="46" w:lineRule="exact"/>
        <w:rPr>
          <w:sz w:val="20"/>
          <w:szCs w:val="20"/>
          <w:color w:val="auto"/>
        </w:rPr>
      </w:pPr>
    </w:p>
    <w:p>
      <w:pPr>
        <w:ind w:left="20"/>
        <w:spacing w:after="0"/>
        <w:rPr>
          <w:sz w:val="20"/>
          <w:szCs w:val="20"/>
          <w:color w:val="auto"/>
        </w:rPr>
      </w:pPr>
      <w:r>
        <w:rPr>
          <w:rFonts w:ascii="Arial" w:cs="Arial" w:eastAsia="Arial" w:hAnsi="Arial"/>
          <w:sz w:val="18"/>
          <w:szCs w:val="18"/>
          <w:color w:val="auto"/>
        </w:rPr>
        <w:t>Jeff Palmer</w:t>
      </w:r>
    </w:p>
    <w:p>
      <w:pPr>
        <w:spacing w:after="0" w:line="9" w:lineRule="exact"/>
        <w:rPr>
          <w:sz w:val="20"/>
          <w:szCs w:val="20"/>
          <w:color w:val="auto"/>
        </w:rPr>
      </w:pPr>
    </w:p>
    <w:p>
      <w:pPr>
        <w:ind w:left="20"/>
        <w:spacing w:after="0"/>
        <w:rPr>
          <w:sz w:val="20"/>
          <w:szCs w:val="20"/>
          <w:color w:val="auto"/>
        </w:rPr>
      </w:pPr>
      <w:r>
        <w:rPr>
          <w:rFonts w:ascii="Arial" w:cs="Arial" w:eastAsia="Arial" w:hAnsi="Arial"/>
          <w:sz w:val="18"/>
          <w:szCs w:val="18"/>
          <w:color w:val="auto"/>
        </w:rPr>
        <w:t>Tel: 408-222-8373</w:t>
      </w:r>
    </w:p>
    <w:p>
      <w:pPr>
        <w:spacing w:after="0" w:line="9" w:lineRule="exact"/>
        <w:rPr>
          <w:sz w:val="20"/>
          <w:szCs w:val="20"/>
          <w:color w:val="auto"/>
        </w:rPr>
      </w:pPr>
    </w:p>
    <w:p>
      <w:pPr>
        <w:ind w:left="20"/>
        <w:spacing w:after="0"/>
        <w:rPr>
          <w:sz w:val="20"/>
          <w:szCs w:val="20"/>
          <w:color w:val="auto"/>
        </w:rPr>
      </w:pPr>
      <w:r>
        <w:rPr>
          <w:rFonts w:ascii="Arial" w:cs="Arial" w:eastAsia="Arial" w:hAnsi="Arial"/>
          <w:sz w:val="18"/>
          <w:szCs w:val="18"/>
          <w:color w:val="auto"/>
        </w:rPr>
        <w:t>jpalmer@marvell.com</w:t>
      </w:r>
    </w:p>
    <w:p>
      <w:pPr>
        <w:spacing w:after="0" w:line="20" w:lineRule="exact"/>
        <w:rPr>
          <w:sz w:val="20"/>
          <w:szCs w:val="20"/>
          <w:color w:val="auto"/>
        </w:rPr>
      </w:pPr>
      <w:r>
        <w:rPr>
          <w:sz w:val="20"/>
          <w:szCs w:val="20"/>
          <w:color w:val="auto"/>
        </w:rPr>
        <w:br w:type="column"/>
      </w:r>
    </w:p>
    <w:p>
      <w:pPr>
        <w:spacing w:after="0" w:line="209" w:lineRule="exact"/>
        <w:rPr>
          <w:sz w:val="20"/>
          <w:szCs w:val="20"/>
          <w:color w:val="auto"/>
        </w:rPr>
      </w:pPr>
    </w:p>
    <w:p>
      <w:pPr>
        <w:spacing w:after="0"/>
        <w:rPr>
          <w:sz w:val="20"/>
          <w:szCs w:val="20"/>
          <w:color w:val="auto"/>
        </w:rPr>
      </w:pPr>
      <w:r>
        <w:rPr>
          <w:rFonts w:ascii="Arial" w:cs="Arial" w:eastAsia="Arial" w:hAnsi="Arial"/>
          <w:sz w:val="16"/>
          <w:szCs w:val="16"/>
          <w:color w:val="auto"/>
        </w:rPr>
        <w:t>Marvell Media Relations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Diane Vanasse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Tel: 408.242.0027</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dvanasse@marvell.com</w:t>
      </w:r>
    </w:p>
    <w:p>
      <w:pPr>
        <w:spacing w:after="0" w:line="222" w:lineRule="exact"/>
        <w:rPr>
          <w:sz w:val="20"/>
          <w:szCs w:val="20"/>
          <w:color w:val="auto"/>
        </w:rPr>
      </w:pPr>
    </w:p>
    <w:p>
      <w:pPr>
        <w:sectPr>
          <w:pgSz w:w="11900" w:h="16838" w:orient="portrait"/>
          <w:cols w:equalWidth="0" w:num="2">
            <w:col w:w="3660" w:space="720"/>
            <w:col w:w="7040"/>
          </w:cols>
          <w:pgMar w:left="240" w:top="337" w:right="239" w:bottom="1440" w:gutter="0" w:footer="0" w:header="0"/>
          <w:type w:val="continuous"/>
        </w:sectPr>
      </w:pPr>
    </w:p>
    <w:p>
      <w:pPr>
        <w:spacing w:after="0" w:line="7" w:lineRule="exact"/>
        <w:rPr>
          <w:sz w:val="20"/>
          <w:szCs w:val="20"/>
          <w:color w:val="auto"/>
        </w:rPr>
      </w:pPr>
    </w:p>
    <w:p>
      <w:pPr>
        <w:ind w:right="80"/>
        <w:spacing w:after="0" w:line="261" w:lineRule="auto"/>
        <w:rPr>
          <w:sz w:val="20"/>
          <w:szCs w:val="20"/>
          <w:color w:val="auto"/>
        </w:rPr>
      </w:pPr>
      <w:r>
        <w:rPr>
          <w:rFonts w:ascii="Arial" w:cs="Arial" w:eastAsia="Arial" w:hAnsi="Arial"/>
          <w:sz w:val="18"/>
          <w:szCs w:val="18"/>
          <w:b w:val="1"/>
          <w:bCs w:val="1"/>
          <w:color w:val="auto"/>
        </w:rPr>
        <w:t>MARVELL ANNOUNCES DATE OF ITS 2008 ANNUAL GENERAL MEETING OF SHAREHOLDERS AND DEADLINES FOR SUBMITTING SHAREHOLDER PROPOSALS</w:t>
      </w:r>
    </w:p>
    <w:p>
      <w:pPr>
        <w:ind w:right="20"/>
        <w:spacing w:after="0" w:line="273" w:lineRule="auto"/>
        <w:rPr>
          <w:sz w:val="20"/>
          <w:szCs w:val="20"/>
          <w:color w:val="auto"/>
        </w:rPr>
      </w:pPr>
      <w:r>
        <w:rPr>
          <w:rFonts w:ascii="Arial" w:cs="Arial" w:eastAsia="Arial" w:hAnsi="Arial"/>
          <w:sz w:val="17"/>
          <w:szCs w:val="17"/>
          <w:b w:val="1"/>
          <w:bCs w:val="1"/>
          <w:color w:val="auto"/>
        </w:rPr>
        <w:t xml:space="preserve">Santa Clara, California (May 22, 2008) </w:t>
      </w:r>
      <w:r>
        <w:rPr>
          <w:rFonts w:ascii="Arial" w:cs="Arial" w:eastAsia="Arial" w:hAnsi="Arial"/>
          <w:sz w:val="17"/>
          <w:szCs w:val="17"/>
          <w:color w:val="auto"/>
        </w:rPr>
        <w:t>— Marvell Technology Group Ltd. (NASDAQ: MRVL), a leader in storage, communications, and consumer silicon</w:t>
      </w:r>
      <w:r>
        <w:rPr>
          <w:rFonts w:ascii="Arial" w:cs="Arial" w:eastAsia="Arial" w:hAnsi="Arial"/>
          <w:sz w:val="17"/>
          <w:szCs w:val="17"/>
          <w:b w:val="1"/>
          <w:bCs w:val="1"/>
          <w:color w:val="auto"/>
        </w:rPr>
        <w:t xml:space="preserve"> </w:t>
      </w:r>
      <w:r>
        <w:rPr>
          <w:rFonts w:ascii="Arial" w:cs="Arial" w:eastAsia="Arial" w:hAnsi="Arial"/>
          <w:sz w:val="17"/>
          <w:szCs w:val="17"/>
          <w:color w:val="auto"/>
        </w:rPr>
        <w:t>solutions, today announced that it currently plans to hold its 2008 annual general meeting of shareholders at 3:30 p.m., Pacific time, on Friday, July 11, 2008, at the Hyatt Regency Hotel, Santa Clara Convention Center, 5101 Great America Parkway, Santa Clara, California 95054. Shareholders of record as of the close of business on May 23, 2008 are entitled to notice of and vote at the 2008 annual general meeting.</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Deadline for Shareholder Proposals Pursuant to Rule 14a-8</w:t>
      </w:r>
    </w:p>
    <w:p>
      <w:pPr>
        <w:spacing w:after="0" w:line="23" w:lineRule="exact"/>
        <w:rPr>
          <w:sz w:val="20"/>
          <w:szCs w:val="20"/>
          <w:color w:val="auto"/>
        </w:rPr>
      </w:pPr>
    </w:p>
    <w:p>
      <w:pPr>
        <w:ind w:right="140"/>
        <w:spacing w:after="0" w:line="302" w:lineRule="auto"/>
        <w:rPr>
          <w:sz w:val="20"/>
          <w:szCs w:val="20"/>
          <w:color w:val="auto"/>
        </w:rPr>
      </w:pPr>
      <w:r>
        <w:rPr>
          <w:rFonts w:ascii="Arial" w:cs="Arial" w:eastAsia="Arial" w:hAnsi="Arial"/>
          <w:sz w:val="16"/>
          <w:szCs w:val="16"/>
          <w:color w:val="auto"/>
        </w:rPr>
        <w:t>As set forth in Marvell’s proxy statement for the 2007 annual general meeting, Marvell previously set a deadline for the receipt of any shareholder proposals submitted pursuant to Rule 14a-8 under the Securities Exchange Act of 1934, as amended, for inclusion in Marvell’s proxy materials for the 2008 annual general meeting. The deadline for the receipt of shareholder proposals for the 2008 annual general meeting under Rule 14a-8 has passed.</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Deadline for Shareholder Proposals Not Pursuant to Rule 14a-8</w:t>
      </w:r>
    </w:p>
    <w:p>
      <w:pPr>
        <w:spacing w:after="0" w:line="23" w:lineRule="exact"/>
        <w:rPr>
          <w:sz w:val="20"/>
          <w:szCs w:val="20"/>
          <w:color w:val="auto"/>
        </w:rPr>
      </w:pPr>
    </w:p>
    <w:p>
      <w:pPr>
        <w:spacing w:after="0" w:line="261" w:lineRule="auto"/>
        <w:rPr>
          <w:sz w:val="20"/>
          <w:szCs w:val="20"/>
          <w:color w:val="auto"/>
        </w:rPr>
      </w:pPr>
      <w:r>
        <w:rPr>
          <w:rFonts w:ascii="Arial" w:cs="Arial" w:eastAsia="Arial" w:hAnsi="Arial"/>
          <w:sz w:val="18"/>
          <w:szCs w:val="18"/>
          <w:color w:val="auto"/>
        </w:rPr>
        <w:t>As set forth in Marvell’s proxy statement for the 2007 annual general meeting, shareholder proposals, including director nominations, may also be made at the 2008 annual general meeting in accordance with the terms of Marvell’s Bye-Laws and the Bermuda Companies Act of 1981.</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7" w:lineRule="exact"/>
        <w:rPr>
          <w:sz w:val="20"/>
          <w:szCs w:val="20"/>
          <w:color w:val="auto"/>
        </w:rPr>
      </w:pPr>
    </w:p>
    <w:p>
      <w:pPr>
        <w:ind w:right="200"/>
        <w:spacing w:after="0" w:line="254" w:lineRule="auto"/>
        <w:rPr>
          <w:sz w:val="20"/>
          <w:szCs w:val="20"/>
          <w:color w:val="auto"/>
        </w:rPr>
      </w:pPr>
      <w:r>
        <w:rPr>
          <w:rFonts w:ascii="Arial" w:cs="Arial" w:eastAsia="Arial" w:hAnsi="Arial"/>
          <w:sz w:val="18"/>
          <w:szCs w:val="18"/>
          <w:color w:val="auto"/>
        </w:rPr>
        <w:t>Marvell (NASDAQ: MRVL) is a leader in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“Marvell” refers to Marvell Technology Group Ltd. and its subsidiaries. For more information, visit http://www.marvell.com.</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 and the Marvell logo are trademarks of 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355600</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337"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2019-12-14T19:22:11Z</dcterms:created>
  <dcterms:modified xsi:type="dcterms:W3CDTF">2019-12-14T19:22:11Z</dcterms:modified>
</cp:coreProperties>
</file>