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March 31, 2008</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530" w:right="23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ind w:left="24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ind w:left="40"/>
        <w:spacing w:after="0"/>
        <w:rPr>
          <w:sz w:val="20"/>
          <w:szCs w:val="20"/>
          <w:color w:val="auto"/>
        </w:rPr>
      </w:pPr>
      <w:r>
        <w:rPr>
          <w:rFonts w:ascii="Arial" w:cs="Arial" w:eastAsia="Arial" w:hAnsi="Arial"/>
          <w:sz w:val="17"/>
          <w:szCs w:val="17"/>
          <w:color w:val="auto"/>
        </w:rPr>
        <w:t>(I.R.S. Employer</w:t>
      </w:r>
    </w:p>
    <w:p>
      <w:pPr>
        <w:spacing w:after="0" w:line="21" w:lineRule="exact"/>
        <w:rPr>
          <w:sz w:val="24"/>
          <w:szCs w:val="24"/>
          <w:color w:val="auto"/>
        </w:rPr>
      </w:pPr>
    </w:p>
    <w:p>
      <w:pPr>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500"/>
          </w:cols>
          <w:pgMar w:left="240" w:top="530" w:right="239" w:bottom="0" w:gutter="0" w:footer="0" w:header="0"/>
          <w:type w:val="continuous"/>
        </w:sectPr>
      </w:pPr>
    </w:p>
    <w:p>
      <w:pPr>
        <w:spacing w:after="0" w:line="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420"/>
          </w:cols>
          <w:pgMar w:left="240" w:top="530" w:right="239" w:bottom="0" w:gutter="0" w:footer="0" w:header="0"/>
          <w:type w:val="continuous"/>
        </w:sectPr>
      </w:pP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4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ind w:right="68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Departure of Director</w:t>
      </w:r>
    </w:p>
    <w:p>
      <w:pPr>
        <w:spacing w:after="0" w:line="225" w:lineRule="exact"/>
        <w:rPr>
          <w:sz w:val="24"/>
          <w:szCs w:val="24"/>
          <w:color w:val="auto"/>
        </w:rPr>
      </w:pPr>
    </w:p>
    <w:p>
      <w:pPr>
        <w:ind w:firstLine="648"/>
        <w:spacing w:after="0" w:line="259" w:lineRule="auto"/>
        <w:rPr>
          <w:sz w:val="20"/>
          <w:szCs w:val="20"/>
          <w:color w:val="auto"/>
        </w:rPr>
      </w:pPr>
      <w:r>
        <w:rPr>
          <w:rFonts w:ascii="Arial" w:cs="Arial" w:eastAsia="Arial" w:hAnsi="Arial"/>
          <w:sz w:val="18"/>
          <w:szCs w:val="18"/>
          <w:color w:val="auto"/>
        </w:rPr>
        <w:t>On March 31, 2008, Dr. Paul Gray notified the registrant of his intention to retire from the board of directors of the registrant (the “Board”). His retirement will be effective April 11, 2008. Dr. Gray is currently Chairman of the Executive Compensation Committee and a member of the Audit Committee and the Implementation Committee of the Board. Dr. Gray has advised the registrant that the reasons for his decision to retire are only personal and are not related to any issues involving the business operations of the registrant.</w:t>
      </w:r>
    </w:p>
    <w:p>
      <w:pPr>
        <w:spacing w:after="0" w:line="18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right="4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April 4, 2008</w:t>
      </w:r>
    </w:p>
    <w:p>
      <w:pPr>
        <w:spacing w:after="0" w:line="225" w:lineRule="exact"/>
        <w:rPr>
          <w:sz w:val="24"/>
          <w:szCs w:val="24"/>
          <w:color w:val="auto"/>
        </w:rPr>
      </w:pPr>
    </w:p>
    <w:p>
      <w:pPr>
        <w:ind w:left="636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420"/>
          </w:cols>
          <w:pgMar w:left="240" w:top="530" w:right="239" w:bottom="0" w:gutter="0" w:footer="0" w:header="0"/>
          <w:type w:val="continuous"/>
        </w:sectPr>
      </w:pPr>
    </w:p>
    <w:bookmarkStart w:id="1" w:name="page2"/>
    <w:bookmarkEnd w:id="1"/>
    <w:tbl>
      <w:tblPr>
        <w:tblLayout w:type="fixed"/>
        <w:tblInd w:w="5160" w:type="dxa"/>
        <w:tblCellMar>
          <w:top w:w="0" w:type="dxa"/>
          <w:left w:w="0" w:type="dxa"/>
          <w:bottom w:w="0" w:type="dxa"/>
          <w:right w:w="0" w:type="dxa"/>
        </w:tblCellMar>
      </w:tblPr>
      <w:tr>
        <w:trPr>
          <w:trHeight w:val="230"/>
        </w:trPr>
        <w:tc>
          <w:tcPr>
            <w:tcW w:w="380" w:type="dxa"/>
            <w:vAlign w:val="bottom"/>
          </w:tcPr>
          <w:p>
            <w:pPr>
              <w:spacing w:after="0"/>
              <w:rPr>
                <w:sz w:val="20"/>
                <w:szCs w:val="20"/>
                <w:color w:val="auto"/>
              </w:rPr>
            </w:pPr>
            <w:r>
              <w:rPr>
                <w:rFonts w:ascii="Arial" w:cs="Arial" w:eastAsia="Arial" w:hAnsi="Arial"/>
                <w:sz w:val="18"/>
                <w:szCs w:val="18"/>
                <w:color w:val="auto"/>
              </w:rPr>
              <w:t>By:</w:t>
            </w:r>
          </w:p>
        </w:tc>
        <w:tc>
          <w:tcPr>
            <w:tcW w:w="4680" w:type="dxa"/>
            <w:vAlign w:val="bottom"/>
            <w:tcBorders>
              <w:bottom w:val="single" w:sz="8" w:color="auto"/>
            </w:tcBorders>
          </w:tcPr>
          <w:p>
            <w:pPr>
              <w:ind w:left="720"/>
              <w:spacing w:after="0"/>
              <w:rPr>
                <w:sz w:val="20"/>
                <w:szCs w:val="20"/>
                <w:color w:val="auto"/>
              </w:rPr>
            </w:pPr>
            <w:r>
              <w:rPr>
                <w:rFonts w:ascii="Arial" w:cs="Arial" w:eastAsia="Arial" w:hAnsi="Arial"/>
                <w:sz w:val="18"/>
                <w:szCs w:val="18"/>
                <w:color w:val="auto"/>
              </w:rPr>
              <w:t>/s/ George de Urioste</w:t>
            </w:r>
          </w:p>
        </w:tc>
      </w:tr>
      <w:tr>
        <w:trPr>
          <w:trHeight w:val="195"/>
        </w:trPr>
        <w:tc>
          <w:tcPr>
            <w:tcW w:w="380" w:type="dxa"/>
            <w:vAlign w:val="bottom"/>
          </w:tcPr>
          <w:p>
            <w:pPr>
              <w:spacing w:after="0"/>
              <w:rPr>
                <w:sz w:val="16"/>
                <w:szCs w:val="16"/>
                <w:color w:val="auto"/>
              </w:rPr>
            </w:pPr>
          </w:p>
        </w:tc>
        <w:tc>
          <w:tcPr>
            <w:tcW w:w="4680" w:type="dxa"/>
            <w:vAlign w:val="bottom"/>
          </w:tcPr>
          <w:p>
            <w:pPr>
              <w:ind w:left="1140"/>
              <w:spacing w:after="0" w:line="195" w:lineRule="exact"/>
              <w:rPr>
                <w:sz w:val="20"/>
                <w:szCs w:val="20"/>
                <w:color w:val="auto"/>
              </w:rPr>
            </w:pPr>
            <w:r>
              <w:rPr>
                <w:rFonts w:ascii="Arial" w:cs="Arial" w:eastAsia="Arial" w:hAnsi="Arial"/>
                <w:sz w:val="18"/>
                <w:szCs w:val="18"/>
                <w:color w:val="auto"/>
              </w:rPr>
              <w:t>George de Urioste</w:t>
            </w:r>
          </w:p>
        </w:tc>
      </w:tr>
      <w:tr>
        <w:trPr>
          <w:trHeight w:val="230"/>
        </w:trPr>
        <w:tc>
          <w:tcPr>
            <w:tcW w:w="380" w:type="dxa"/>
            <w:vAlign w:val="bottom"/>
          </w:tcPr>
          <w:p>
            <w:pPr>
              <w:spacing w:after="0"/>
              <w:rPr>
                <w:sz w:val="20"/>
                <w:szCs w:val="20"/>
                <w:color w:val="auto"/>
              </w:rPr>
            </w:pPr>
          </w:p>
        </w:tc>
        <w:tc>
          <w:tcPr>
            <w:tcW w:w="4680" w:type="dxa"/>
            <w:vAlign w:val="bottom"/>
          </w:tcPr>
          <w:p>
            <w:pPr>
              <w:ind w:left="540"/>
              <w:spacing w:after="0"/>
              <w:rPr>
                <w:sz w:val="20"/>
                <w:szCs w:val="20"/>
                <w:color w:val="auto"/>
              </w:rPr>
            </w:pPr>
            <w:r>
              <w:rPr>
                <w:rFonts w:ascii="Arial" w:cs="Arial" w:eastAsia="Arial" w:hAnsi="Arial"/>
                <w:sz w:val="18"/>
                <w:szCs w:val="18"/>
                <w:color w:val="auto"/>
              </w:rPr>
              <w:t>Interim Chief Financial Officer</w:t>
            </w:r>
          </w:p>
        </w:tc>
      </w:tr>
    </w:tbl>
    <w:p>
      <w:pPr>
        <w:spacing w:after="0" w:line="202"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81280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0220"/>
      </w:cols>
      <w:pgMar w:left="1440" w:top="557"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2019-12-14T20:23:29Z</dcterms:created>
  <dcterms:modified xsi:type="dcterms:W3CDTF">2019-12-14T20:23:29Z</dcterms:modified>
</cp:coreProperties>
</file>