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spacing w:after="0"/>
        <w:rPr>
          <w:sz w:val="20"/>
          <w:szCs w:val="20"/>
          <w:color w:val="auto"/>
        </w:rPr>
      </w:pPr>
      <w:r>
        <w:rPr>
          <w:rFonts w:ascii="Times New Roman" w:cs="Times New Roman" w:eastAsia="Times New Roman" w:hAnsi="Times New Roman"/>
          <w:sz w:val="20"/>
          <w:szCs w:val="20"/>
          <w:color w:val="auto"/>
        </w:rPr>
        <w:t>Mail Stop 6010</w:t>
      </w:r>
    </w:p>
    <w:p>
      <w:pPr>
        <w:spacing w:after="0" w:line="200" w:lineRule="exact"/>
        <w:rPr>
          <w:sz w:val="24"/>
          <w:szCs w:val="24"/>
          <w:color w:val="auto"/>
        </w:rPr>
      </w:pPr>
    </w:p>
    <w:p>
      <w:pPr>
        <w:spacing w:after="0" w:line="350"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June 30, 2008</w:t>
      </w:r>
    </w:p>
    <w:p>
      <w:pPr>
        <w:spacing w:after="0" w:line="200" w:lineRule="exact"/>
        <w:rPr>
          <w:sz w:val="24"/>
          <w:szCs w:val="24"/>
          <w:color w:val="auto"/>
        </w:rPr>
      </w:pPr>
    </w:p>
    <w:p>
      <w:pPr>
        <w:spacing w:after="0" w:line="35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U.S. Mail and Facsimile</w:t>
      </w:r>
    </w:p>
    <w:p>
      <w:pPr>
        <w:spacing w:after="0" w:line="276"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Chief Financial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5488 Marvell Lane</w:t>
      </w:r>
    </w:p>
    <w:p>
      <w:pPr>
        <w:ind w:left="54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980"/>
        <w:spacing w:after="0"/>
        <w:rPr>
          <w:sz w:val="20"/>
          <w:szCs w:val="20"/>
          <w:color w:val="auto"/>
        </w:rPr>
      </w:pPr>
      <w:r>
        <w:rPr>
          <w:rFonts w:ascii="Times New Roman" w:cs="Times New Roman" w:eastAsia="Times New Roman" w:hAnsi="Times New Roman"/>
          <w:sz w:val="24"/>
          <w:szCs w:val="24"/>
          <w:b w:val="1"/>
          <w:bCs w:val="1"/>
          <w:color w:val="auto"/>
        </w:rPr>
        <w:t>Form 10-K for the Fiscal-Year ended February 2, 2008</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March 28, 2008</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10-Q for the Fiscal-Quarter ended May 3, 2008</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24"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Mr. Hosein:</w:t>
      </w:r>
    </w:p>
    <w:p>
      <w:pPr>
        <w:spacing w:after="0" w:line="276" w:lineRule="exact"/>
        <w:rPr>
          <w:sz w:val="24"/>
          <w:szCs w:val="24"/>
          <w:color w:val="auto"/>
        </w:rPr>
      </w:pPr>
    </w:p>
    <w:p>
      <w:pPr>
        <w:ind w:left="540" w:right="360" w:firstLine="720"/>
        <w:spacing w:after="0" w:line="245" w:lineRule="auto"/>
        <w:rPr>
          <w:sz w:val="20"/>
          <w:szCs w:val="20"/>
          <w:color w:val="auto"/>
        </w:rPr>
      </w:pPr>
      <w:r>
        <w:rPr>
          <w:rFonts w:ascii="Times New Roman" w:cs="Times New Roman" w:eastAsia="Times New Roman" w:hAnsi="Times New Roman"/>
          <w:sz w:val="24"/>
          <w:szCs w:val="24"/>
          <w:color w:val="auto"/>
        </w:rPr>
        <w:t>We have reviewed your filing and have the following comments. Where indicated, we think you should revise your document in response to these comments. If you disagree, we will consider your explanation as to why our comment is inapplicable or a revision is unnecessary. Please be as detailed as necessary in your explanation. In some of our comments, we may ask you to provide us with information so we may better understand your disclosure. After reviewing this information, we may raise additional comments.</w:t>
      </w:r>
    </w:p>
    <w:p>
      <w:pPr>
        <w:spacing w:after="0" w:line="236" w:lineRule="exact"/>
        <w:rPr>
          <w:sz w:val="24"/>
          <w:szCs w:val="24"/>
          <w:color w:val="auto"/>
        </w:rPr>
      </w:pPr>
    </w:p>
    <w:p>
      <w:pPr>
        <w:ind w:left="54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ectPr>
          <w:pgSz w:w="12240" w:h="15840" w:orient="portrait"/>
          <w:cols w:equalWidth="0" w:num="1">
            <w:col w:w="9540"/>
          </w:cols>
          <w:pgMar w:left="1260" w:top="1440" w:right="1440" w:bottom="144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30, 2008</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10-K for the Fiscal-Year ended February 2, 2008</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Notes to Consolidated Financial Statements, page 84</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 1 – The Company and its Significant Accounting Policies, page 84</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Revenue Recognition, page 88</w:t>
      </w:r>
    </w:p>
    <w:p>
      <w:pPr>
        <w:spacing w:after="0" w:line="276" w:lineRule="exact"/>
        <w:rPr>
          <w:sz w:val="20"/>
          <w:szCs w:val="20"/>
          <w:color w:val="auto"/>
        </w:rPr>
      </w:pPr>
    </w:p>
    <w:p>
      <w:pPr>
        <w:jc w:val="both"/>
        <w:ind w:left="1080" w:right="560" w:hanging="720"/>
        <w:spacing w:after="0" w:line="247" w:lineRule="auto"/>
        <w:tabs>
          <w:tab w:leader="none" w:pos="1081"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agreements with distributors include price protection and rights of return other than for warranty, therefore you defer recognizing revenue on sales made to these customers until the customers sell the products to a third party.</w:t>
      </w:r>
    </w:p>
    <w:p>
      <w:pPr>
        <w:spacing w:after="0" w:line="1" w:lineRule="exact"/>
        <w:rPr>
          <w:rFonts w:ascii="Times New Roman" w:cs="Times New Roman" w:eastAsia="Times New Roman" w:hAnsi="Times New Roman"/>
          <w:sz w:val="24"/>
          <w:szCs w:val="24"/>
          <w:color w:val="auto"/>
        </w:rPr>
      </w:pPr>
    </w:p>
    <w:p>
      <w:pPr>
        <w:ind w:left="1080" w:right="520"/>
        <w:spacing w:after="0" w:line="255" w:lineRule="auto"/>
        <w:rPr>
          <w:rFonts w:ascii="Times New Roman" w:cs="Times New Roman" w:eastAsia="Times New Roman" w:hAnsi="Times New Roman"/>
          <w:sz w:val="24"/>
          <w:szCs w:val="24"/>
          <w:color w:val="auto"/>
        </w:rPr>
      </w:pPr>
      <w:r>
        <w:rPr>
          <w:rFonts w:ascii="Times New Roman" w:cs="Times New Roman" w:eastAsia="Times New Roman" w:hAnsi="Times New Roman"/>
          <w:sz w:val="23"/>
          <w:szCs w:val="23"/>
          <w:color w:val="auto"/>
        </w:rPr>
        <w:t>You also defer recognizing revenue in certain instances where delivery is made prior to the customer requested delivery date and when customers receive extended payment terms. We also note that when you defer recognizing revenue, you record a current liability on the balance sheet under the “deferred income” caption as the net of the deferred revenue and the related cost of the inventories.</w:t>
      </w:r>
    </w:p>
    <w:p>
      <w:pPr>
        <w:spacing w:after="0" w:line="242" w:lineRule="exact"/>
        <w:rPr>
          <w:rFonts w:ascii="Times New Roman" w:cs="Times New Roman" w:eastAsia="Times New Roman" w:hAnsi="Times New Roman"/>
          <w:sz w:val="24"/>
          <w:szCs w:val="24"/>
          <w:color w:val="auto"/>
        </w:rPr>
      </w:pPr>
    </w:p>
    <w:p>
      <w:pPr>
        <w:ind w:left="1440" w:right="480" w:hanging="360"/>
        <w:spacing w:after="0" w:line="255" w:lineRule="auto"/>
        <w:tabs>
          <w:tab w:leader="none" w:pos="1440" w:val="left"/>
        </w:tabs>
        <w:numPr>
          <w:ilvl w:val="1"/>
          <w:numId w:val="1"/>
        </w:numPr>
        <w:rPr>
          <w:rFonts w:ascii="MS PGothic" w:cs="MS PGothic" w:eastAsia="MS PGothic" w:hAnsi="MS PGothic"/>
          <w:sz w:val="24"/>
          <w:szCs w:val="24"/>
          <w:color w:val="auto"/>
        </w:rPr>
      </w:pPr>
      <w:r>
        <w:rPr>
          <w:rFonts w:ascii="Times New Roman" w:cs="Times New Roman" w:eastAsia="Times New Roman" w:hAnsi="Times New Roman"/>
          <w:sz w:val="24"/>
          <w:szCs w:val="24"/>
          <w:color w:val="auto"/>
        </w:rPr>
        <w:t>Please tell us the amount of gross deferred revenue and gross deferred cost of sales present at each balance sheet date.</w:t>
      </w:r>
    </w:p>
    <w:p>
      <w:pPr>
        <w:ind w:left="1440" w:right="700" w:hanging="360"/>
        <w:spacing w:after="0" w:line="244" w:lineRule="auto"/>
        <w:tabs>
          <w:tab w:leader="none" w:pos="1440" w:val="left"/>
        </w:tabs>
        <w:numPr>
          <w:ilvl w:val="1"/>
          <w:numId w:val="1"/>
        </w:numPr>
        <w:rPr>
          <w:rFonts w:ascii="MS PGothic" w:cs="MS PGothic" w:eastAsia="MS PGothic" w:hAnsi="MS PGothic"/>
          <w:sz w:val="24"/>
          <w:szCs w:val="24"/>
          <w:color w:val="auto"/>
        </w:rPr>
      </w:pPr>
      <w:r>
        <w:rPr>
          <w:rFonts w:ascii="Times New Roman" w:cs="Times New Roman" w:eastAsia="Times New Roman" w:hAnsi="Times New Roman"/>
          <w:sz w:val="24"/>
          <w:szCs w:val="24"/>
          <w:color w:val="auto"/>
        </w:rPr>
        <w:t>Describe to us the methodology, if any, employed to evaluate the deferred costs for impairment and the authoritative literature in US GAAP on which you base that policy.</w:t>
      </w:r>
    </w:p>
    <w:p>
      <w:pPr>
        <w:spacing w:after="0" w:line="3" w:lineRule="exact"/>
        <w:rPr>
          <w:rFonts w:ascii="MS PGothic" w:cs="MS PGothic" w:eastAsia="MS PGothic" w:hAnsi="MS PGothic"/>
          <w:sz w:val="24"/>
          <w:szCs w:val="24"/>
          <w:color w:val="auto"/>
        </w:rPr>
      </w:pPr>
    </w:p>
    <w:p>
      <w:pPr>
        <w:ind w:left="1440" w:right="580" w:hanging="360"/>
        <w:spacing w:after="0" w:line="243" w:lineRule="auto"/>
        <w:tabs>
          <w:tab w:leader="none" w:pos="1440" w:val="left"/>
        </w:tabs>
        <w:numPr>
          <w:ilvl w:val="1"/>
          <w:numId w:val="1"/>
        </w:numPr>
        <w:rPr>
          <w:rFonts w:ascii="MS PGothic" w:cs="MS PGothic" w:eastAsia="MS PGothic" w:hAnsi="MS PGothic"/>
          <w:sz w:val="24"/>
          <w:szCs w:val="24"/>
          <w:color w:val="auto"/>
        </w:rPr>
      </w:pPr>
      <w:r>
        <w:rPr>
          <w:rFonts w:ascii="Times New Roman" w:cs="Times New Roman" w:eastAsia="Times New Roman" w:hAnsi="Times New Roman"/>
          <w:sz w:val="24"/>
          <w:szCs w:val="24"/>
          <w:color w:val="auto"/>
        </w:rPr>
        <w:t xml:space="preserve">We note that you defer revenue for customers who have return rights and price protection. Please revise future filings to clarify, if true, that the reason you defer revenue in those situations is because you are </w:t>
      </w:r>
      <w:r>
        <w:rPr>
          <w:rFonts w:ascii="Times New Roman" w:cs="Times New Roman" w:eastAsia="Times New Roman" w:hAnsi="Times New Roman"/>
          <w:sz w:val="24"/>
          <w:szCs w:val="24"/>
          <w:u w:val="single" w:color="auto"/>
          <w:color w:val="auto"/>
        </w:rPr>
        <w:t>unable</w:t>
      </w:r>
      <w:r>
        <w:rPr>
          <w:rFonts w:ascii="Times New Roman" w:cs="Times New Roman" w:eastAsia="Times New Roman" w:hAnsi="Times New Roman"/>
          <w:sz w:val="24"/>
          <w:szCs w:val="24"/>
          <w:color w:val="auto"/>
        </w:rPr>
        <w:t xml:space="preserve"> to estimate returns and pricing changes for the revenue transactions.</w:t>
      </w:r>
    </w:p>
    <w:p>
      <w:pPr>
        <w:spacing w:after="0" w:line="3" w:lineRule="exact"/>
        <w:rPr>
          <w:rFonts w:ascii="MS PGothic" w:cs="MS PGothic" w:eastAsia="MS PGothic" w:hAnsi="MS PGothic"/>
          <w:sz w:val="24"/>
          <w:szCs w:val="24"/>
          <w:color w:val="auto"/>
        </w:rPr>
      </w:pPr>
    </w:p>
    <w:p>
      <w:pPr>
        <w:jc w:val="both"/>
        <w:ind w:left="1440" w:right="1260" w:hanging="360"/>
        <w:spacing w:after="0" w:line="247" w:lineRule="auto"/>
        <w:tabs>
          <w:tab w:leader="none" w:pos="1440" w:val="left"/>
        </w:tabs>
        <w:numPr>
          <w:ilvl w:val="1"/>
          <w:numId w:val="1"/>
        </w:numPr>
        <w:rPr>
          <w:rFonts w:ascii="MS PGothic" w:cs="MS PGothic" w:eastAsia="MS PGothic" w:hAnsi="MS PGothic"/>
          <w:sz w:val="24"/>
          <w:szCs w:val="24"/>
          <w:color w:val="auto"/>
        </w:rPr>
      </w:pPr>
      <w:r>
        <w:rPr>
          <w:rFonts w:ascii="Times New Roman" w:cs="Times New Roman" w:eastAsia="Times New Roman" w:hAnsi="Times New Roman"/>
          <w:sz w:val="24"/>
          <w:szCs w:val="24"/>
          <w:color w:val="auto"/>
        </w:rPr>
        <w:t>Explain to us how that you considered the guidance in paragraph 6 of SFAS 48 in determining the appropriate accounting treatment for the referenced revenue transactions.</w:t>
      </w:r>
    </w:p>
    <w:p>
      <w:pPr>
        <w:spacing w:after="0" w:line="234" w:lineRule="exact"/>
        <w:rPr>
          <w:rFonts w:ascii="MS PGothic" w:cs="MS PGothic" w:eastAsia="MS PGothic" w:hAnsi="MS PGothic"/>
          <w:sz w:val="24"/>
          <w:szCs w:val="24"/>
          <w:color w:val="auto"/>
        </w:rPr>
      </w:pPr>
    </w:p>
    <w:p>
      <w:pPr>
        <w:ind w:left="1080" w:right="700" w:hanging="720"/>
        <w:spacing w:after="0" w:line="245" w:lineRule="auto"/>
        <w:tabs>
          <w:tab w:leader="none" w:pos="1081"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 do not discuss, or present a separate caption for, inventory held at customers, which appears to indicate that you relieve inventory at the time of sales to your customers. We also note that customers can return physical inventory to you and you are unable to reasonably estimate the amount of the inventory that may be returned. Please discuss your basis under US GAAP for relieving inventory at the time of shipment to these customers. Reference the specific authoritative literature on which you have based your policy.</w:t>
      </w:r>
    </w:p>
    <w:p>
      <w:pPr>
        <w:spacing w:after="0" w:line="23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 4 – Supplemental Financial Information, page 105</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Accrued Liabilities, page 106</w:t>
      </w:r>
    </w:p>
    <w:p>
      <w:pPr>
        <w:spacing w:after="0" w:line="276" w:lineRule="exact"/>
        <w:rPr>
          <w:sz w:val="20"/>
          <w:szCs w:val="20"/>
          <w:color w:val="auto"/>
        </w:rPr>
      </w:pPr>
    </w:p>
    <w:p>
      <w:pPr>
        <w:jc w:val="both"/>
        <w:ind w:left="1080" w:right="860" w:hanging="720"/>
        <w:spacing w:after="0" w:line="255" w:lineRule="auto"/>
        <w:tabs>
          <w:tab w:leader="none" w:pos="1081"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see that during the fourth fiscal quarter of 2008, you amended the supply agreement with Intel. Due to this amendment, you recorded an $18.3 million adjustment to the supply agreement liability and goodwill and also recorded</w:t>
      </w:r>
    </w:p>
    <w:p>
      <w:pPr>
        <w:sectPr>
          <w:pgSz w:w="12240" w:h="15840" w:orient="portrait"/>
          <w:cols w:equalWidth="0" w:num="1">
            <w:col w:w="9360"/>
          </w:cols>
          <w:pgMar w:left="1440" w:top="700" w:right="1440" w:bottom="654" w:gutter="0" w:footer="0" w:header="0"/>
        </w:sectPr>
      </w:pPr>
    </w:p>
    <w:bookmarkStart w:id="2" w:name="page3"/>
    <w:bookmarkEnd w:id="2"/>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30, 2008</w:t>
      </w:r>
    </w:p>
    <w:p>
      <w:pPr>
        <w:ind w:left="360"/>
        <w:spacing w:after="0"/>
        <w:rPr>
          <w:sz w:val="20"/>
          <w:szCs w:val="20"/>
          <w:color w:val="auto"/>
        </w:rPr>
      </w:pPr>
      <w:r>
        <w:rPr>
          <w:rFonts w:ascii="Times New Roman" w:cs="Times New Roman" w:eastAsia="Times New Roman" w:hAnsi="Times New Roman"/>
          <w:sz w:val="24"/>
          <w:szCs w:val="24"/>
          <w:color w:val="auto"/>
        </w:rPr>
        <w:t>Page 3</w:t>
      </w:r>
    </w:p>
    <w:p>
      <w:pPr>
        <w:spacing w:after="0" w:line="250" w:lineRule="exact"/>
        <w:rPr>
          <w:sz w:val="20"/>
          <w:szCs w:val="20"/>
          <w:color w:val="auto"/>
        </w:rPr>
      </w:pPr>
    </w:p>
    <w:p>
      <w:pPr>
        <w:ind w:left="1080" w:right="520"/>
        <w:spacing w:after="0" w:line="247" w:lineRule="auto"/>
        <w:rPr>
          <w:sz w:val="20"/>
          <w:szCs w:val="20"/>
          <w:color w:val="auto"/>
        </w:rPr>
      </w:pPr>
      <w:r>
        <w:rPr>
          <w:rFonts w:ascii="Times New Roman" w:cs="Times New Roman" w:eastAsia="Times New Roman" w:hAnsi="Times New Roman"/>
          <w:sz w:val="24"/>
          <w:szCs w:val="24"/>
          <w:color w:val="auto"/>
        </w:rPr>
        <w:t>$22.1 million as a credit to other income. Please describe for us in greater detail the accounting basis for the referenced adjustments to goodwill and the separate recognition of the credit to other income. In your discussion, please discuss how you determined the proper amounts to allocate to goodwill and other income. Revise future filings as necessary based on our concerns.</w:t>
      </w:r>
    </w:p>
    <w:p>
      <w:pPr>
        <w:spacing w:after="0" w:line="23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 13 – Segment and Geographic Information, page 128</w:t>
      </w:r>
    </w:p>
    <w:p>
      <w:pPr>
        <w:spacing w:after="0" w:line="276" w:lineRule="exact"/>
        <w:rPr>
          <w:sz w:val="20"/>
          <w:szCs w:val="20"/>
          <w:color w:val="auto"/>
        </w:rPr>
      </w:pPr>
    </w:p>
    <w:p>
      <w:pPr>
        <w:ind w:left="1080" w:right="760" w:hanging="720"/>
        <w:spacing w:after="0" w:line="250" w:lineRule="auto"/>
        <w:tabs>
          <w:tab w:leader="none" w:pos="108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Disclosure of long-lived assets by geographic area under SFAS 131 should present tangible assets only and should not include intangibles or investments. See question 22 to the FASB publication “Segment Information: Guidance on Applying Statement 131.” Please address our concern in your future filings.</w:t>
      </w:r>
    </w:p>
    <w:p>
      <w:pPr>
        <w:spacing w:after="0" w:line="23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Item 11. Executive Compensation, page 135</w:t>
      </w:r>
    </w:p>
    <w:p>
      <w:pPr>
        <w:spacing w:after="0" w:line="276" w:lineRule="exact"/>
        <w:rPr>
          <w:sz w:val="20"/>
          <w:szCs w:val="20"/>
          <w:color w:val="auto"/>
        </w:rPr>
      </w:pPr>
    </w:p>
    <w:p>
      <w:pPr>
        <w:ind w:left="1080" w:right="460" w:hanging="720"/>
        <w:spacing w:after="0" w:line="244" w:lineRule="auto"/>
        <w:tabs>
          <w:tab w:leader="none" w:pos="1081" w:val="left"/>
        </w:tabs>
        <w:numPr>
          <w:ilvl w:val="0"/>
          <w:numId w:val="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disclosure on page 9 of the proxy statement that you have incorporated by reference into your Form 10-K that you intend to appoint a non-executive chairman to your board of directors. We also note that you made the same statement on page 7 of your proxy statement filed on September 14, 2007. In your future filings, as applicable, please describe your efforts to appoint a non-executive chairman and address the reasons why you have not been able to make such appointment and whether you have established any timeline for making the future appointment.</w:t>
      </w:r>
    </w:p>
    <w:p>
      <w:pPr>
        <w:spacing w:after="0" w:line="23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10-Q for the Fiscal-Quarter ended May 3, 2008</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Notes to the Unaudited Condensed Consolidated Financial Statements, page 6</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 3. Supplemental Financial Information, page 11</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Available-for-sale investments, page 11</w:t>
      </w:r>
    </w:p>
    <w:p>
      <w:pPr>
        <w:spacing w:after="0" w:line="276" w:lineRule="exact"/>
        <w:rPr>
          <w:sz w:val="20"/>
          <w:szCs w:val="20"/>
          <w:color w:val="auto"/>
        </w:rPr>
      </w:pPr>
    </w:p>
    <w:p>
      <w:pPr>
        <w:ind w:left="1080" w:right="460" w:hanging="720"/>
        <w:spacing w:after="0" w:line="246" w:lineRule="auto"/>
        <w:tabs>
          <w:tab w:leader="none" w:pos="1081" w:val="left"/>
        </w:tabs>
        <w:numPr>
          <w:ilvl w:val="0"/>
          <w:numId w:val="5"/>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beginning in February 2008, most auction rate securities (ARS) auctions began to fail, and accordingly the contractual interest rates on the securities reset and the securities became illiquid. Consequently, you reclassified these securities to long-term investments since there was an insufficient observable market for the ARS, and you determined the fair value of the ARS utilizing a discounted cash flow model. Please tell us the following:</w:t>
      </w:r>
    </w:p>
    <w:p>
      <w:pPr>
        <w:spacing w:after="0" w:line="252" w:lineRule="exact"/>
        <w:rPr>
          <w:rFonts w:ascii="Times New Roman" w:cs="Times New Roman" w:eastAsia="Times New Roman" w:hAnsi="Times New Roman"/>
          <w:sz w:val="24"/>
          <w:szCs w:val="24"/>
          <w:color w:val="auto"/>
        </w:rPr>
      </w:pPr>
    </w:p>
    <w:p>
      <w:pPr>
        <w:ind w:left="1440" w:right="420" w:hanging="360"/>
        <w:spacing w:after="0" w:line="260" w:lineRule="auto"/>
        <w:tabs>
          <w:tab w:leader="none" w:pos="1440" w:val="left"/>
        </w:tabs>
        <w:numPr>
          <w:ilvl w:val="1"/>
          <w:numId w:val="5"/>
        </w:numPr>
        <w:rPr>
          <w:rFonts w:ascii="MS PGothic" w:cs="MS PGothic" w:eastAsia="MS PGothic" w:hAnsi="MS PGothic"/>
          <w:sz w:val="23"/>
          <w:szCs w:val="23"/>
          <w:color w:val="auto"/>
        </w:rPr>
      </w:pPr>
      <w:r>
        <w:rPr>
          <w:rFonts w:ascii="Times New Roman" w:cs="Times New Roman" w:eastAsia="Times New Roman" w:hAnsi="Times New Roman"/>
          <w:sz w:val="23"/>
          <w:szCs w:val="23"/>
          <w:color w:val="auto"/>
        </w:rPr>
        <w:t>The basis for the assumptions used to determine your estimate of the present value of the auction rate securities in your discounted cash flow analysis, including the sensitivity of your estimated present value to those assumptions.</w:t>
      </w:r>
    </w:p>
    <w:p>
      <w:pPr>
        <w:spacing w:after="0" w:line="3" w:lineRule="exact"/>
        <w:rPr>
          <w:rFonts w:ascii="MS PGothic" w:cs="MS PGothic" w:eastAsia="MS PGothic" w:hAnsi="MS PGothic"/>
          <w:sz w:val="23"/>
          <w:szCs w:val="23"/>
          <w:color w:val="auto"/>
        </w:rPr>
      </w:pPr>
    </w:p>
    <w:p>
      <w:pPr>
        <w:ind w:left="1440" w:right="460" w:hanging="360"/>
        <w:spacing w:after="0" w:line="263" w:lineRule="auto"/>
        <w:tabs>
          <w:tab w:leader="none" w:pos="1440" w:val="left"/>
        </w:tabs>
        <w:numPr>
          <w:ilvl w:val="1"/>
          <w:numId w:val="5"/>
        </w:numPr>
        <w:rPr>
          <w:rFonts w:ascii="MS PGothic" w:cs="MS PGothic" w:eastAsia="MS PGothic" w:hAnsi="MS PGothic"/>
          <w:sz w:val="23"/>
          <w:szCs w:val="23"/>
          <w:color w:val="auto"/>
        </w:rPr>
      </w:pPr>
      <w:r>
        <w:rPr>
          <w:rFonts w:ascii="Times New Roman" w:cs="Times New Roman" w:eastAsia="Times New Roman" w:hAnsi="Times New Roman"/>
          <w:sz w:val="23"/>
          <w:szCs w:val="23"/>
          <w:color w:val="auto"/>
        </w:rPr>
        <w:t xml:space="preserve">How you determined, based on your estimate of fair value, that the temporary impairment loss was only $1.7 million and specifically how you concluded that there were no </w:t>
      </w:r>
      <w:r>
        <w:rPr>
          <w:rFonts w:ascii="Times New Roman" w:cs="Times New Roman" w:eastAsia="Times New Roman" w:hAnsi="Times New Roman"/>
          <w:sz w:val="23"/>
          <w:szCs w:val="23"/>
          <w:i w:val="1"/>
          <w:iCs w:val="1"/>
          <w:color w:val="auto"/>
        </w:rPr>
        <w:t>other-than-temporary</w:t>
      </w:r>
      <w:r>
        <w:rPr>
          <w:rFonts w:ascii="Times New Roman" w:cs="Times New Roman" w:eastAsia="Times New Roman" w:hAnsi="Times New Roman"/>
          <w:sz w:val="23"/>
          <w:szCs w:val="23"/>
          <w:color w:val="auto"/>
        </w:rPr>
        <w:t xml:space="preserve"> losses in your auction rate security</w:t>
      </w:r>
    </w:p>
    <w:p>
      <w:pPr>
        <w:sectPr>
          <w:pgSz w:w="12240" w:h="15840" w:orient="portrait"/>
          <w:cols w:equalWidth="0" w:num="1">
            <w:col w:w="9360"/>
          </w:cols>
          <w:pgMar w:left="1440" w:top="700" w:right="1440" w:bottom="682" w:gutter="0" w:footer="0" w:header="0"/>
        </w:sectPr>
      </w:pPr>
    </w:p>
    <w:bookmarkStart w:id="3" w:name="page4"/>
    <w:bookmarkEnd w:id="3"/>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30, 2008</w:t>
      </w:r>
    </w:p>
    <w:p>
      <w:pPr>
        <w:ind w:left="360"/>
        <w:spacing w:after="0"/>
        <w:rPr>
          <w:sz w:val="20"/>
          <w:szCs w:val="20"/>
          <w:color w:val="auto"/>
        </w:rPr>
      </w:pPr>
      <w:r>
        <w:rPr>
          <w:rFonts w:ascii="Times New Roman" w:cs="Times New Roman" w:eastAsia="Times New Roman" w:hAnsi="Times New Roman"/>
          <w:sz w:val="24"/>
          <w:szCs w:val="24"/>
          <w:color w:val="auto"/>
        </w:rPr>
        <w:t>Page 4</w:t>
      </w:r>
    </w:p>
    <w:p>
      <w:pPr>
        <w:spacing w:after="0" w:line="250" w:lineRule="exact"/>
        <w:rPr>
          <w:sz w:val="20"/>
          <w:szCs w:val="20"/>
          <w:color w:val="auto"/>
        </w:rPr>
      </w:pPr>
    </w:p>
    <w:p>
      <w:pPr>
        <w:ind w:left="1440" w:right="480"/>
        <w:spacing w:after="0" w:line="242" w:lineRule="auto"/>
        <w:rPr>
          <w:sz w:val="20"/>
          <w:szCs w:val="20"/>
          <w:color w:val="auto"/>
        </w:rPr>
      </w:pPr>
      <w:r>
        <w:rPr>
          <w:rFonts w:ascii="Times New Roman" w:cs="Times New Roman" w:eastAsia="Times New Roman" w:hAnsi="Times New Roman"/>
          <w:sz w:val="24"/>
          <w:szCs w:val="24"/>
          <w:color w:val="auto"/>
        </w:rPr>
        <w:t xml:space="preserve">investments at May 3, 2008, considering the failed auctions for your ARS beginning in February 2008. Please clarify whether you have the intent and the ability to hold these securities until </w:t>
      </w:r>
      <w:r>
        <w:rPr>
          <w:rFonts w:ascii="Times New Roman" w:cs="Times New Roman" w:eastAsia="Times New Roman" w:hAnsi="Times New Roman"/>
          <w:sz w:val="24"/>
          <w:szCs w:val="24"/>
          <w:u w:val="single" w:color="auto"/>
          <w:color w:val="auto"/>
        </w:rPr>
        <w:t>maturity</w:t>
      </w:r>
      <w:r>
        <w:rPr>
          <w:rFonts w:ascii="Times New Roman" w:cs="Times New Roman" w:eastAsia="Times New Roman" w:hAnsi="Times New Roman"/>
          <w:sz w:val="24"/>
          <w:szCs w:val="24"/>
          <w:color w:val="auto"/>
        </w:rPr>
        <w:t>. Refer to SFAS 115, FSP FAS 115-1 and FAS 124-1, SAB Topic 5M, or other authoritative accounting literature which supports your analysis.</w:t>
      </w:r>
    </w:p>
    <w:p>
      <w:pPr>
        <w:spacing w:after="0" w:line="7" w:lineRule="exact"/>
        <w:rPr>
          <w:sz w:val="20"/>
          <w:szCs w:val="20"/>
          <w:color w:val="auto"/>
        </w:rPr>
      </w:pPr>
    </w:p>
    <w:p>
      <w:pPr>
        <w:ind w:left="1440" w:right="420" w:hanging="360"/>
        <w:spacing w:after="0" w:line="255" w:lineRule="auto"/>
        <w:tabs>
          <w:tab w:leader="none" w:pos="1440" w:val="left"/>
        </w:tabs>
        <w:numPr>
          <w:ilvl w:val="0"/>
          <w:numId w:val="6"/>
        </w:numPr>
        <w:rPr>
          <w:rFonts w:ascii="MS PGothic" w:cs="MS PGothic" w:eastAsia="MS PGothic" w:hAnsi="MS PGothic"/>
          <w:sz w:val="24"/>
          <w:szCs w:val="24"/>
          <w:color w:val="auto"/>
        </w:rPr>
      </w:pPr>
      <w:r>
        <w:rPr>
          <w:rFonts w:ascii="Times New Roman" w:cs="Times New Roman" w:eastAsia="Times New Roman" w:hAnsi="Times New Roman"/>
          <w:sz w:val="24"/>
          <w:szCs w:val="24"/>
          <w:color w:val="auto"/>
        </w:rPr>
        <w:t>Please confirm whether your investments in auction rate securities continue to be AAA or Aaa rated subsequent to the failed auctions beginning in February 2008.</w:t>
      </w:r>
    </w:p>
    <w:p>
      <w:pPr>
        <w:spacing w:after="0" w:line="223"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 7. Commitments and Contingencies, page 16</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Contingencies, page 17</w:t>
      </w:r>
    </w:p>
    <w:p>
      <w:pPr>
        <w:spacing w:after="0" w:line="276" w:lineRule="exact"/>
        <w:rPr>
          <w:sz w:val="20"/>
          <w:szCs w:val="20"/>
          <w:color w:val="auto"/>
        </w:rPr>
      </w:pPr>
    </w:p>
    <w:p>
      <w:pPr>
        <w:ind w:left="1080" w:right="400" w:hanging="720"/>
        <w:spacing w:after="0" w:line="242" w:lineRule="auto"/>
        <w:tabs>
          <w:tab w:leader="none" w:pos="1081" w:val="left"/>
        </w:tabs>
        <w:numPr>
          <w:ilvl w:val="0"/>
          <w:numId w:val="7"/>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you have numerous lawsuits and claims currently outstanding. Specifically, we see that you recently entered a memorandum of understanding regarding the Shareholder Derivative Litigation in which you agreed to pay up to $16 million in plaintiff’s attorneys’ fees and also received a settlement of $24.5 million from your liability insurers. Please clarify for us what amounts have been accrued for the Shareholder Derivative Litigation. In light of the settlement of $24.5 million from you liability insurers, please clarify how this amount impacted your accrual for the loss contingency. Additionally, please clarify whether the $10 million civil penalty from the SEC complaint was accrued at the most recent quarter end. Lastly, please also note that paragraph 9 of SFAS 5 requires you to disclose the nature of any significant accrual and in some circumstances disclose the amount accrued. Please update your discussion of these matters in future filings, including your next Form 10-Q.</w:t>
      </w:r>
    </w:p>
    <w:p>
      <w:pPr>
        <w:spacing w:after="0" w:line="246" w:lineRule="exact"/>
        <w:rPr>
          <w:sz w:val="20"/>
          <w:szCs w:val="20"/>
          <w:color w:val="auto"/>
        </w:rPr>
      </w:pPr>
    </w:p>
    <w:p>
      <w:pPr>
        <w:ind w:left="360" w:right="460" w:firstLine="720"/>
        <w:spacing w:after="0" w:line="247" w:lineRule="auto"/>
        <w:rPr>
          <w:sz w:val="20"/>
          <w:szCs w:val="20"/>
          <w:color w:val="auto"/>
        </w:rPr>
      </w:pPr>
      <w:r>
        <w:rPr>
          <w:rFonts w:ascii="Times New Roman" w:cs="Times New Roman" w:eastAsia="Times New Roman" w:hAnsi="Times New Roman"/>
          <w:sz w:val="24"/>
          <w:szCs w:val="24"/>
          <w:color w:val="auto"/>
        </w:rPr>
        <w:t>As appropriate, please respond to these comments within 10 business days or tell us when you will provide us with a response. Please furnish a cover letter that keys your responses to our comments and provides any requested information. Detailed cover letters greatly facilitate our review. Please understand that we may have additional comments after reviewing your responses to our comments.</w:t>
      </w:r>
    </w:p>
    <w:p>
      <w:pPr>
        <w:spacing w:after="0" w:line="236" w:lineRule="exact"/>
        <w:rPr>
          <w:sz w:val="20"/>
          <w:szCs w:val="20"/>
          <w:color w:val="auto"/>
        </w:rPr>
      </w:pPr>
    </w:p>
    <w:p>
      <w:pPr>
        <w:ind w:left="360" w:right="42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4" w:lineRule="exact"/>
        <w:rPr>
          <w:sz w:val="20"/>
          <w:szCs w:val="20"/>
          <w:color w:val="auto"/>
        </w:rPr>
      </w:pPr>
    </w:p>
    <w:p>
      <w:pPr>
        <w:ind w:left="360" w:right="880" w:firstLine="720"/>
        <w:spacing w:after="0" w:line="271" w:lineRule="auto"/>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 from the company acknowledging that:</w:t>
      </w:r>
    </w:p>
    <w:p>
      <w:pPr>
        <w:spacing w:after="0" w:line="205" w:lineRule="exact"/>
        <w:rPr>
          <w:sz w:val="20"/>
          <w:szCs w:val="20"/>
          <w:color w:val="auto"/>
        </w:rPr>
      </w:pPr>
    </w:p>
    <w:p>
      <w:pPr>
        <w:ind w:left="1440" w:right="440" w:hanging="360"/>
        <w:spacing w:after="0" w:line="257" w:lineRule="auto"/>
        <w:tabs>
          <w:tab w:leader="none" w:pos="1440" w:val="left"/>
        </w:tabs>
        <w:numPr>
          <w:ilvl w:val="0"/>
          <w:numId w:val="8"/>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sectPr>
          <w:pgSz w:w="12240" w:h="15840" w:orient="portrait"/>
          <w:cols w:equalWidth="0" w:num="1">
            <w:col w:w="9360"/>
          </w:cols>
          <w:pgMar w:left="1440" w:top="700" w:right="1440" w:bottom="703" w:gutter="0" w:footer="0" w:header="0"/>
        </w:sectPr>
      </w:pPr>
    </w:p>
    <w:bookmarkStart w:id="4" w:name="page5"/>
    <w:bookmarkEnd w:id="4"/>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30, 2008</w:t>
      </w:r>
    </w:p>
    <w:p>
      <w:pPr>
        <w:ind w:left="360"/>
        <w:spacing w:after="0"/>
        <w:rPr>
          <w:sz w:val="20"/>
          <w:szCs w:val="20"/>
          <w:color w:val="auto"/>
        </w:rPr>
      </w:pPr>
      <w:r>
        <w:rPr>
          <w:rFonts w:ascii="Times New Roman" w:cs="Times New Roman" w:eastAsia="Times New Roman" w:hAnsi="Times New Roman"/>
          <w:sz w:val="24"/>
          <w:szCs w:val="24"/>
          <w:color w:val="auto"/>
        </w:rPr>
        <w:t>Page 5</w:t>
      </w:r>
    </w:p>
    <w:p>
      <w:pPr>
        <w:spacing w:after="0" w:line="250" w:lineRule="exact"/>
        <w:rPr>
          <w:sz w:val="20"/>
          <w:szCs w:val="20"/>
          <w:color w:val="auto"/>
        </w:rPr>
      </w:pPr>
    </w:p>
    <w:p>
      <w:pPr>
        <w:ind w:left="1440" w:right="480" w:hanging="360"/>
        <w:spacing w:after="0" w:line="242" w:lineRule="auto"/>
        <w:tabs>
          <w:tab w:leader="none" w:pos="1440" w:val="left"/>
        </w:tabs>
        <w:numPr>
          <w:ilvl w:val="0"/>
          <w:numId w:val="9"/>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staff comments or changes to disclosure in response to staff comments do not foreclose the Commission from taking any action with respect to the filing; and</w:t>
      </w:r>
    </w:p>
    <w:p>
      <w:pPr>
        <w:spacing w:after="0" w:line="3" w:lineRule="exact"/>
        <w:rPr>
          <w:rFonts w:ascii="PMingLiU" w:cs="PMingLiU" w:eastAsia="PMingLiU" w:hAnsi="PMingLiU"/>
          <w:sz w:val="24"/>
          <w:szCs w:val="24"/>
          <w:color w:val="auto"/>
        </w:rPr>
      </w:pPr>
    </w:p>
    <w:p>
      <w:pPr>
        <w:ind w:left="1440" w:right="420" w:hanging="360"/>
        <w:spacing w:after="0" w:line="238" w:lineRule="auto"/>
        <w:tabs>
          <w:tab w:leader="none" w:pos="1440" w:val="left"/>
        </w:tabs>
        <w:numPr>
          <w:ilvl w:val="0"/>
          <w:numId w:val="9"/>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41" w:lineRule="exact"/>
        <w:rPr>
          <w:sz w:val="20"/>
          <w:szCs w:val="20"/>
          <w:color w:val="auto"/>
        </w:rPr>
      </w:pPr>
    </w:p>
    <w:p>
      <w:pPr>
        <w:ind w:left="360" w:right="420" w:firstLine="720"/>
        <w:spacing w:after="0" w:line="255"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 or in response to our comments on your filing.</w:t>
      </w:r>
    </w:p>
    <w:p>
      <w:pPr>
        <w:spacing w:after="0" w:line="224" w:lineRule="exact"/>
        <w:rPr>
          <w:sz w:val="20"/>
          <w:szCs w:val="20"/>
          <w:color w:val="auto"/>
        </w:rPr>
      </w:pPr>
    </w:p>
    <w:p>
      <w:pPr>
        <w:ind w:left="360" w:right="360" w:firstLine="720"/>
        <w:spacing w:after="0" w:line="247" w:lineRule="auto"/>
        <w:rPr>
          <w:sz w:val="20"/>
          <w:szCs w:val="20"/>
          <w:color w:val="auto"/>
        </w:rPr>
      </w:pPr>
      <w:r>
        <w:rPr>
          <w:rFonts w:ascii="Times New Roman" w:cs="Times New Roman" w:eastAsia="Times New Roman" w:hAnsi="Times New Roman"/>
          <w:sz w:val="24"/>
          <w:szCs w:val="24"/>
          <w:color w:val="auto"/>
        </w:rPr>
        <w:t>You may contact Kevin Kuhar, Staff Accountant, at (202) 551-3662 or me Jay Webb, Reviewing Accountant, at (202) 551-3603 if you have questions regarding comments on the financial statements and related matters. Please contact Tim Buchmiller at (202) 551-3635 or Joseph McCann at (202) 551-6262 if you have questions on other comments.</w:t>
      </w:r>
    </w:p>
    <w:p>
      <w:pPr>
        <w:spacing w:after="0" w:line="200" w:lineRule="exact"/>
        <w:rPr>
          <w:sz w:val="20"/>
          <w:szCs w:val="20"/>
          <w:color w:val="auto"/>
        </w:rPr>
      </w:pPr>
    </w:p>
    <w:p>
      <w:pPr>
        <w:spacing w:after="0" w:line="312"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Tim Buchmiller</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Senior Attorney</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00"/>
    <w:family w:val="swiss"/>
    <w:pitch w:val="variable"/>
    <w:sig w:usb0="E00002FF" w:usb1="6AC7FDFB" w:usb2="08000012" w:usb3="00000000" w:csb0="4002009F" w:csb1="DFD70000"/>
  </w:font>
  <w:font w:name="PMingLiU">
    <w:panose1 w:val="02020500000000000000"/>
    <w:charset w:val="00"/>
    <w:family w:val="roman"/>
    <w:pitch w:val="variable"/>
    <w:sig w:usb0="A00002FF" w:usb1="28CFFCFA" w:usb2="00000016" w:usb3="00000000" w:csb0="00100001" w:csb1="0000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decimal"/>
      <w:start w:val="1"/>
    </w:lvl>
    <w:lvl w:ilvl="1">
      <w:lvlJc w:val="left"/>
      <w:lvlText w:val="⋅"/>
      <w:numFmt w:val="bullet"/>
      <w:start w:val="1"/>
    </w:lvl>
  </w:abstractNum>
  <w:abstractNum w:abstractNumId="1">
    <w:nsid w:val="3D1B58BA"/>
    <w:multiLevelType w:val="hybridMultilevel"/>
    <w:lvl w:ilvl="0">
      <w:lvlJc w:val="left"/>
      <w:lvlText w:val="%1."/>
      <w:numFmt w:val="decimal"/>
      <w:start w:val="3"/>
    </w:lvl>
  </w:abstractNum>
  <w:abstractNum w:abstractNumId="2">
    <w:nsid w:val="507ED7AB"/>
    <w:multiLevelType w:val="hybridMultilevel"/>
    <w:lvl w:ilvl="0">
      <w:lvlJc w:val="left"/>
      <w:lvlText w:val="%1."/>
      <w:numFmt w:val="decimal"/>
      <w:start w:val="4"/>
    </w:lvl>
  </w:abstractNum>
  <w:abstractNum w:abstractNumId="3">
    <w:nsid w:val="2EB141F2"/>
    <w:multiLevelType w:val="hybridMultilevel"/>
    <w:lvl w:ilvl="0">
      <w:lvlJc w:val="left"/>
      <w:lvlText w:val="%1."/>
      <w:numFmt w:val="decimal"/>
      <w:start w:val="5"/>
    </w:lvl>
  </w:abstractNum>
  <w:abstractNum w:abstractNumId="4">
    <w:nsid w:val="41B71EFB"/>
    <w:multiLevelType w:val="hybridMultilevel"/>
    <w:lvl w:ilvl="0">
      <w:lvlJc w:val="left"/>
      <w:lvlText w:val="%1."/>
      <w:numFmt w:val="decimal"/>
      <w:start w:val="6"/>
    </w:lvl>
    <w:lvl w:ilvl="1">
      <w:lvlJc w:val="left"/>
      <w:lvlText w:val="⋅"/>
      <w:numFmt w:val="bullet"/>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1."/>
      <w:numFmt w:val="decimal"/>
      <w:start w:val="7"/>
    </w:lvl>
  </w:abstractNum>
  <w:abstractNum w:abstractNumId="7">
    <w:nsid w:val="515F007C"/>
    <w:multiLevelType w:val="hybridMultilevel"/>
    <w:lvl w:ilvl="0">
      <w:lvlJc w:val="left"/>
      <w:lvlText w:val=""/>
      <w:numFmt w:val="bullet"/>
      <w:start w:val="1"/>
    </w:lvl>
  </w:abstractNum>
  <w:abstractNum w:abstractNumId="8">
    <w:nsid w:val="5BD062C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2019-12-11T15:35:20Z</dcterms:created>
  <dcterms:modified xsi:type="dcterms:W3CDTF">2019-12-11T15:35:20Z</dcterms:modified>
</cp:coreProperties>
</file>