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6" w:lineRule="exact"/>
        <w:rPr>
          <w:sz w:val="24"/>
          <w:szCs w:val="24"/>
          <w:color w:val="auto"/>
        </w:rPr>
      </w:pPr>
    </w:p>
    <w:p>
      <w:pPr>
        <w:ind w:left="380" w:hanging="372"/>
        <w:spacing w:after="0"/>
        <w:tabs>
          <w:tab w:leader="none" w:pos="380" w:val="left"/>
        </w:tabs>
        <w:numPr>
          <w:ilvl w:val="0"/>
          <w:numId w:val="1"/>
        </w:numPr>
        <w:rPr>
          <w:rFonts w:ascii="Arial" w:cs="Arial" w:eastAsia="Arial" w:hAnsi="Arial"/>
          <w:sz w:val="22"/>
          <w:szCs w:val="22"/>
          <w:b w:val="1"/>
          <w:bCs w:val="1"/>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21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May 3, 2008</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216" w:lineRule="exact"/>
        <w:rPr>
          <w:sz w:val="24"/>
          <w:szCs w:val="24"/>
          <w:color w:val="auto"/>
        </w:rPr>
      </w:pPr>
    </w:p>
    <w:p>
      <w:pPr>
        <w:ind w:left="420" w:hanging="412"/>
        <w:spacing w:after="0"/>
        <w:tabs>
          <w:tab w:leader="none" w:pos="4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215" w:lineRule="exact"/>
        <w:rPr>
          <w:sz w:val="24"/>
          <w:szCs w:val="24"/>
          <w:color w:val="auto"/>
        </w:rPr>
      </w:pPr>
    </w:p>
    <w:p>
      <w:pPr>
        <w:ind w:left="350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20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tbl>
      <w:tblPr>
        <w:tblLayout w:type="fixed"/>
        <w:tblInd w:w="1720" w:type="dxa"/>
        <w:tblCellMar>
          <w:top w:w="0" w:type="dxa"/>
          <w:left w:w="0" w:type="dxa"/>
          <w:bottom w:w="0" w:type="dxa"/>
          <w:right w:w="0" w:type="dxa"/>
        </w:tblCellMar>
      </w:tblPr>
      <w:tr>
        <w:trPr>
          <w:trHeight w:val="220"/>
        </w:trPr>
        <w:tc>
          <w:tcPr>
            <w:tcW w:w="4200" w:type="dxa"/>
            <w:vAlign w:val="bottom"/>
          </w:tcPr>
          <w:p>
            <w:pPr>
              <w:jc w:val="center"/>
              <w:ind w:right="1910"/>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930"/>
              <w:spacing w:after="0"/>
              <w:rPr>
                <w:sz w:val="20"/>
                <w:szCs w:val="20"/>
                <w:color w:val="auto"/>
              </w:rPr>
            </w:pPr>
            <w:r>
              <w:rPr>
                <w:rFonts w:ascii="Arial" w:cs="Arial" w:eastAsia="Arial" w:hAnsi="Arial"/>
                <w:sz w:val="18"/>
                <w:szCs w:val="18"/>
                <w:b w:val="1"/>
                <w:bCs w:val="1"/>
                <w:color w:val="auto"/>
                <w:w w:val="91"/>
              </w:rPr>
              <w:t>77-0481679</w:t>
            </w:r>
          </w:p>
        </w:tc>
      </w:tr>
      <w:tr>
        <w:trPr>
          <w:trHeight w:val="216"/>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(State or other jurisdiction of</w:t>
            </w:r>
          </w:p>
        </w:tc>
        <w:tc>
          <w:tcPr>
            <w:tcW w:w="3380" w:type="dxa"/>
            <w:vAlign w:val="bottom"/>
          </w:tcPr>
          <w:p>
            <w:pPr>
              <w:jc w:val="center"/>
              <w:ind w:left="1930"/>
              <w:spacing w:after="0"/>
              <w:rPr>
                <w:sz w:val="20"/>
                <w:szCs w:val="20"/>
                <w:color w:val="auto"/>
              </w:rPr>
            </w:pPr>
            <w:r>
              <w:rPr>
                <w:rFonts w:ascii="Arial" w:cs="Arial" w:eastAsia="Arial" w:hAnsi="Arial"/>
                <w:sz w:val="18"/>
                <w:szCs w:val="18"/>
                <w:color w:val="auto"/>
                <w:w w:val="93"/>
              </w:rPr>
              <w:t>(I.R.S. Employer</w:t>
            </w:r>
          </w:p>
        </w:tc>
      </w:tr>
      <w:tr>
        <w:trPr>
          <w:trHeight w:val="230"/>
        </w:trPr>
        <w:tc>
          <w:tcPr>
            <w:tcW w:w="4200" w:type="dxa"/>
            <w:vAlign w:val="bottom"/>
          </w:tcPr>
          <w:p>
            <w:pPr>
              <w:jc w:val="center"/>
              <w:ind w:right="1930"/>
              <w:spacing w:after="0"/>
              <w:rPr>
                <w:sz w:val="20"/>
                <w:szCs w:val="20"/>
                <w:color w:val="auto"/>
              </w:rPr>
            </w:pPr>
            <w:r>
              <w:rPr>
                <w:rFonts w:ascii="Arial" w:cs="Arial" w:eastAsia="Arial" w:hAnsi="Arial"/>
                <w:sz w:val="18"/>
                <w:szCs w:val="18"/>
                <w:color w:val="auto"/>
                <w:w w:val="93"/>
              </w:rPr>
              <w:t>incorporation or organization)</w:t>
            </w:r>
          </w:p>
        </w:tc>
        <w:tc>
          <w:tcPr>
            <w:tcW w:w="3380" w:type="dxa"/>
            <w:vAlign w:val="bottom"/>
          </w:tcPr>
          <w:p>
            <w:pPr>
              <w:jc w:val="center"/>
              <w:ind w:left="1950"/>
              <w:spacing w:after="0"/>
              <w:rPr>
                <w:sz w:val="20"/>
                <w:szCs w:val="20"/>
                <w:color w:val="auto"/>
              </w:rPr>
            </w:pPr>
            <w:r>
              <w:rPr>
                <w:rFonts w:ascii="Arial" w:cs="Arial" w:eastAsia="Arial" w:hAnsi="Arial"/>
                <w:sz w:val="18"/>
                <w:szCs w:val="18"/>
                <w:color w:val="auto"/>
                <w:w w:val="95"/>
              </w:rPr>
              <w:t>Identification No.)</w:t>
            </w:r>
          </w:p>
        </w:tc>
      </w:tr>
    </w:tbl>
    <w:p>
      <w:pPr>
        <w:spacing w:after="0" w:line="19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 and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1" w:lineRule="exact"/>
        <w:rPr>
          <w:sz w:val="24"/>
          <w:szCs w:val="24"/>
          <w:color w:val="auto"/>
        </w:rPr>
      </w:pPr>
    </w:p>
    <w:p>
      <w:pPr>
        <w:ind w:right="220" w:firstLine="259"/>
        <w:spacing w:after="0" w:line="264"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x Yes o No</w:t>
      </w:r>
    </w:p>
    <w:p>
      <w:pPr>
        <w:spacing w:after="0" w:line="181" w:lineRule="exact"/>
        <w:rPr>
          <w:sz w:val="24"/>
          <w:szCs w:val="24"/>
          <w:color w:val="auto"/>
        </w:rPr>
      </w:pPr>
    </w:p>
    <w:p>
      <w:pPr>
        <w:ind w:right="140" w:firstLine="259"/>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definitions of “large accelerated filer,” “accelerated filer,” and “smaller reporting company” in Rule 12b-2 of the Exchange Act. (Check one):</w:t>
      </w:r>
    </w:p>
    <w:p>
      <w:pPr>
        <w:sectPr>
          <w:pgSz w:w="11900" w:h="16843" w:orient="portrait"/>
          <w:cols w:equalWidth="0" w:num="1">
            <w:col w:w="11420"/>
          </w:cols>
          <w:pgMar w:left="240" w:top="530" w:right="239" w:bottom="0" w:gutter="0" w:footer="0" w:header="0"/>
        </w:sectPr>
      </w:pPr>
    </w:p>
    <w:p>
      <w:pPr>
        <w:spacing w:after="0" w:line="124" w:lineRule="exact"/>
        <w:rPr>
          <w:sz w:val="24"/>
          <w:szCs w:val="24"/>
          <w:color w:val="auto"/>
        </w:rPr>
      </w:pPr>
    </w:p>
    <w:p>
      <w:pPr>
        <w:ind w:left="1940"/>
        <w:spacing w:after="0"/>
        <w:rPr>
          <w:sz w:val="20"/>
          <w:szCs w:val="20"/>
          <w:color w:val="auto"/>
        </w:rPr>
      </w:pPr>
      <w:r>
        <w:rPr>
          <w:rFonts w:ascii="Arial" w:cs="Arial" w:eastAsia="Arial" w:hAnsi="Arial"/>
          <w:sz w:val="16"/>
          <w:szCs w:val="16"/>
          <w:color w:val="auto"/>
        </w:rPr>
        <w:t>Large accelerated filer x</w:t>
      </w:r>
    </w:p>
    <w:p>
      <w:pPr>
        <w:spacing w:after="0" w:line="20" w:lineRule="exact"/>
        <w:rPr>
          <w:sz w:val="24"/>
          <w:szCs w:val="24"/>
          <w:color w:val="auto"/>
        </w:rPr>
      </w:pPr>
      <w:r>
        <w:rPr>
          <w:sz w:val="24"/>
          <w:szCs w:val="24"/>
          <w:color w:val="auto"/>
        </w:rPr>
        <w:br w:type="column"/>
      </w:r>
    </w:p>
    <w:p>
      <w:pPr>
        <w:spacing w:after="0" w:line="104"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 o</w:t>
      </w:r>
    </w:p>
    <w:p>
      <w:pPr>
        <w:spacing w:after="0" w:line="200" w:lineRule="exact"/>
        <w:rPr>
          <w:sz w:val="24"/>
          <w:szCs w:val="24"/>
          <w:color w:val="auto"/>
        </w:rPr>
      </w:pPr>
    </w:p>
    <w:p>
      <w:pPr>
        <w:sectPr>
          <w:pgSz w:w="11900" w:h="16843" w:orient="portrait"/>
          <w:cols w:equalWidth="0" w:num="2">
            <w:col w:w="7240" w:space="720"/>
            <w:col w:w="3460"/>
          </w:cols>
          <w:pgMar w:left="240" w:top="530" w:right="239" w:bottom="0" w:gutter="0" w:footer="0" w:header="0"/>
          <w:type w:val="continuous"/>
        </w:sectPr>
      </w:pPr>
    </w:p>
    <w:p>
      <w:pPr>
        <w:spacing w:after="0" w:line="48" w:lineRule="exact"/>
        <w:rPr>
          <w:sz w:val="24"/>
          <w:szCs w:val="24"/>
          <w:color w:val="auto"/>
        </w:rPr>
      </w:pPr>
    </w:p>
    <w:p>
      <w:pPr>
        <w:jc w:val="center"/>
        <w:ind w:right="1240"/>
        <w:spacing w:after="0"/>
        <w:rPr>
          <w:sz w:val="20"/>
          <w:szCs w:val="20"/>
          <w:color w:val="auto"/>
        </w:rPr>
      </w:pPr>
      <w:r>
        <w:rPr>
          <w:rFonts w:ascii="Arial" w:cs="Arial" w:eastAsia="Arial" w:hAnsi="Arial"/>
          <w:sz w:val="18"/>
          <w:szCs w:val="18"/>
          <w:color w:val="auto"/>
        </w:rPr>
        <w:t>Non-accelerated filer o</w:t>
      </w:r>
    </w:p>
    <w:p>
      <w:pPr>
        <w:spacing w:after="0" w:line="23" w:lineRule="exact"/>
        <w:rPr>
          <w:sz w:val="24"/>
          <w:szCs w:val="24"/>
          <w:color w:val="auto"/>
        </w:rPr>
      </w:pPr>
    </w:p>
    <w:p>
      <w:pPr>
        <w:jc w:val="center"/>
        <w:ind w:right="1240"/>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28"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 o</w:t>
      </w:r>
    </w:p>
    <w:p>
      <w:pPr>
        <w:spacing w:after="0" w:line="430" w:lineRule="exact"/>
        <w:rPr>
          <w:sz w:val="24"/>
          <w:szCs w:val="24"/>
          <w:color w:val="auto"/>
        </w:rPr>
      </w:pPr>
    </w:p>
    <w:p>
      <w:pPr>
        <w:sectPr>
          <w:pgSz w:w="11900" w:h="16843" w:orient="portrait"/>
          <w:cols w:equalWidth="0" w:num="2">
            <w:col w:w="6860" w:space="720"/>
            <w:col w:w="3840"/>
          </w:cols>
          <w:pgMar w:left="240" w:top="530" w:right="239" w:bottom="0" w:gutter="0" w:footer="0" w:header="0"/>
          <w:type w:val="continuous"/>
        </w:sectPr>
      </w:pPr>
    </w:p>
    <w:p>
      <w:pPr>
        <w:spacing w:after="0" w:line="34" w:lineRule="exact"/>
        <w:rPr>
          <w:sz w:val="24"/>
          <w:szCs w:val="24"/>
          <w:color w:val="auto"/>
        </w:rPr>
      </w:pPr>
    </w:p>
    <w:p>
      <w:pPr>
        <w:ind w:left="260"/>
        <w:spacing w:after="0"/>
        <w:rPr>
          <w:sz w:val="20"/>
          <w:szCs w:val="20"/>
          <w:color w:val="auto"/>
        </w:rPr>
      </w:pPr>
      <w:r>
        <w:rPr>
          <w:rFonts w:ascii="Arial" w:cs="Arial" w:eastAsia="Arial" w:hAnsi="Arial"/>
          <w:sz w:val="18"/>
          <w:szCs w:val="18"/>
          <w:color w:val="auto"/>
        </w:rPr>
        <w:t>Indicate by check mark whether the registrant is a shell company (as defined in Rule 12b-2 of the Exchange Act). o Yes x No</w:t>
      </w:r>
    </w:p>
    <w:p>
      <w:pPr>
        <w:spacing w:after="0" w:line="225" w:lineRule="exact"/>
        <w:rPr>
          <w:sz w:val="24"/>
          <w:szCs w:val="24"/>
          <w:color w:val="auto"/>
        </w:rPr>
      </w:pPr>
    </w:p>
    <w:p>
      <w:pPr>
        <w:ind w:left="260"/>
        <w:spacing w:after="0"/>
        <w:rPr>
          <w:sz w:val="20"/>
          <w:szCs w:val="20"/>
          <w:color w:val="auto"/>
        </w:rPr>
      </w:pPr>
      <w:r>
        <w:rPr>
          <w:rFonts w:ascii="Arial" w:cs="Arial" w:eastAsia="Arial" w:hAnsi="Arial"/>
          <w:sz w:val="18"/>
          <w:szCs w:val="18"/>
          <w:color w:val="auto"/>
        </w:rPr>
        <w:t>The number of common shares of the registrant outstanding as of May 31, 2008 was 604,121,515 shares.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424180</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6240" w:type="dxa"/>
            <w:vAlign w:val="bottom"/>
            <w:gridSpan w:val="11"/>
            <w:vMerge w:val="restart"/>
          </w:tcPr>
          <w:p>
            <w:pPr>
              <w:jc w:val="center"/>
              <w:ind w:right="3180"/>
              <w:spacing w:after="0"/>
              <w:rPr>
                <w:rFonts w:ascii="Arial" w:cs="Arial" w:eastAsia="Arial" w:hAnsi="Arial"/>
                <w:sz w:val="18"/>
                <w:szCs w:val="18"/>
                <w:b w:val="1"/>
                <w:bCs w:val="1"/>
                <w:color w:val="0000EE"/>
              </w:rPr>
            </w:pPr>
            <w:hyperlink w:anchor="page2">
              <w:r>
                <w:rPr>
                  <w:rFonts w:ascii="Arial" w:cs="Arial" w:eastAsia="Arial" w:hAnsi="Arial"/>
                  <w:sz w:val="18"/>
                  <w:szCs w:val="18"/>
                  <w:b w:val="1"/>
                  <w:bCs w:val="1"/>
                  <w:color w:val="0000EE"/>
                </w:rPr>
                <w:t>PART I. FINANCIAL INFORMATION</w:t>
              </w:r>
            </w:hyperlink>
          </w:p>
        </w:tc>
        <w:tc>
          <w:tcPr>
            <w:tcW w:w="74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56"/>
        </w:trPr>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6240" w:type="dxa"/>
            <w:vAlign w:val="bottom"/>
            <w:gridSpan w:val="11"/>
            <w:vMerge w:val="continue"/>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
              <w:r>
                <w:rPr>
                  <w:rFonts w:ascii="Arial" w:cs="Arial" w:eastAsia="Arial" w:hAnsi="Arial"/>
                  <w:sz w:val="18"/>
                  <w:szCs w:val="18"/>
                  <w:color w:val="0000EE"/>
                  <w:w w:val="90"/>
                </w:rPr>
                <w:t>Item 1.</w:t>
              </w:r>
            </w:hyperlink>
          </w:p>
        </w:tc>
        <w:tc>
          <w:tcPr>
            <w:tcW w:w="760" w:type="dxa"/>
            <w:vAlign w:val="bottom"/>
            <w:gridSpan w:val="2"/>
          </w:tcPr>
          <w:p>
            <w:pPr>
              <w:spacing w:after="0"/>
              <w:rPr>
                <w:sz w:val="24"/>
                <w:szCs w:val="24"/>
                <w:color w:val="auto"/>
              </w:rPr>
            </w:pPr>
          </w:p>
        </w:tc>
        <w:tc>
          <w:tcPr>
            <w:tcW w:w="1560" w:type="dxa"/>
            <w:vAlign w:val="bottom"/>
            <w:tcBorders>
              <w:bottom w:val="single" w:sz="8" w:color="0000EE"/>
            </w:tcBorders>
            <w:gridSpan w:val="3"/>
          </w:tcPr>
          <w:p>
            <w:pPr>
              <w:spacing w:after="0"/>
              <w:rPr>
                <w:rFonts w:ascii="Arial" w:cs="Arial" w:eastAsia="Arial" w:hAnsi="Arial"/>
                <w:sz w:val="18"/>
                <w:szCs w:val="18"/>
                <w:color w:val="0000EE"/>
                <w:w w:val="88"/>
              </w:rPr>
            </w:pPr>
            <w:hyperlink w:anchor="page2">
              <w:r>
                <w:rPr>
                  <w:rFonts w:ascii="Arial" w:cs="Arial" w:eastAsia="Arial" w:hAnsi="Arial"/>
                  <w:sz w:val="18"/>
                  <w:szCs w:val="18"/>
                  <w:color w:val="0000EE"/>
                  <w:w w:val="88"/>
                </w:rPr>
                <w:t>Financial Statements:</w:t>
              </w:r>
            </w:hyperlink>
          </w:p>
        </w:tc>
        <w:tc>
          <w:tcPr>
            <w:tcW w:w="1600" w:type="dxa"/>
            <w:vAlign w:val="bottom"/>
            <w:gridSpan w:val="2"/>
          </w:tcPr>
          <w:p>
            <w:pPr>
              <w:spacing w:after="0"/>
              <w:rPr>
                <w:sz w:val="24"/>
                <w:szCs w:val="24"/>
                <w:color w:val="auto"/>
              </w:rPr>
            </w:pPr>
          </w:p>
        </w:tc>
        <w:tc>
          <w:tcPr>
            <w:tcW w:w="3060" w:type="dxa"/>
            <w:vAlign w:val="bottom"/>
            <w:tcBorders>
              <w:top w:val="single" w:sz="8" w:color="0000EE"/>
            </w:tcBorders>
            <w:gridSpan w:val="6"/>
          </w:tcPr>
          <w:p>
            <w:pPr>
              <w:spacing w:after="0"/>
              <w:rPr>
                <w:sz w:val="24"/>
                <w:szCs w:val="24"/>
                <w:color w:val="auto"/>
              </w:rPr>
            </w:pPr>
          </w:p>
        </w:tc>
        <w:tc>
          <w:tcPr>
            <w:tcW w:w="3180" w:type="dxa"/>
            <w:vAlign w:val="bottom"/>
            <w:gridSpan w:val="5"/>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0" w:type="dxa"/>
            <w:vAlign w:val="bottom"/>
            <w:gridSpan w:val="16"/>
          </w:tcPr>
          <w:p>
            <w:pPr>
              <w:spacing w:after="0" w:line="196" w:lineRule="exact"/>
              <w:rPr>
                <w:rFonts w:ascii="Arial" w:cs="Arial" w:eastAsia="Arial" w:hAnsi="Arial"/>
                <w:sz w:val="18"/>
                <w:szCs w:val="18"/>
                <w:color w:val="0000EE"/>
              </w:rPr>
            </w:pPr>
            <w:hyperlink w:anchor="page2">
              <w:r>
                <w:rPr>
                  <w:rFonts w:ascii="Arial" w:cs="Arial" w:eastAsia="Arial" w:hAnsi="Arial"/>
                  <w:sz w:val="18"/>
                  <w:szCs w:val="18"/>
                  <w:color w:val="0000EE"/>
                </w:rPr>
                <w:t>Unaudited Condensed Consolidated Balance Sheets as of May 3, 2008 and February 2, 2008</w:t>
              </w:r>
            </w:hyperlink>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560" w:type="dxa"/>
            <w:vAlign w:val="bottom"/>
            <w:gridSpan w:val="2"/>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30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800" w:type="dxa"/>
            <w:vAlign w:val="bottom"/>
            <w:tcBorders>
              <w:bottom w:val="single" w:sz="8" w:color="0000EE"/>
            </w:tcBorders>
            <w:gridSpan w:val="14"/>
          </w:tcPr>
          <w:p>
            <w:pPr>
              <w:spacing w:after="0" w:line="196" w:lineRule="exact"/>
              <w:rPr>
                <w:rFonts w:ascii="Arial" w:cs="Arial" w:eastAsia="Arial" w:hAnsi="Arial"/>
                <w:sz w:val="18"/>
                <w:szCs w:val="18"/>
                <w:color w:val="0000EE"/>
                <w:w w:val="90"/>
              </w:rPr>
            </w:pPr>
            <w:hyperlink w:anchor="page2">
              <w:r>
                <w:rPr>
                  <w:rFonts w:ascii="Arial" w:cs="Arial" w:eastAsia="Arial" w:hAnsi="Arial"/>
                  <w:sz w:val="18"/>
                  <w:szCs w:val="18"/>
                  <w:color w:val="0000EE"/>
                  <w:w w:val="90"/>
                </w:rPr>
                <w:t>Unaudited Condensed Consolidated Statements of Operations for the three months ended May 3, 2008 and April 28, 2007</w:t>
              </w:r>
            </w:hyperlink>
          </w:p>
        </w:tc>
        <w:tc>
          <w:tcPr>
            <w:tcW w:w="600" w:type="dxa"/>
            <w:vAlign w:val="bottom"/>
            <w:gridSpan w:val="2"/>
          </w:tcPr>
          <w:p>
            <w:pPr>
              <w:spacing w:after="0"/>
              <w:rPr>
                <w:sz w:val="17"/>
                <w:szCs w:val="17"/>
                <w:color w:val="auto"/>
              </w:rPr>
            </w:pPr>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0" w:type="dxa"/>
            <w:vAlign w:val="bottom"/>
            <w:gridSpan w:val="16"/>
          </w:tcPr>
          <w:p>
            <w:pPr>
              <w:spacing w:after="0" w:line="196" w:lineRule="exact"/>
              <w:rPr>
                <w:rFonts w:ascii="Arial" w:cs="Arial" w:eastAsia="Arial" w:hAnsi="Arial"/>
                <w:sz w:val="18"/>
                <w:szCs w:val="18"/>
                <w:color w:val="0000EE"/>
                <w:w w:val="95"/>
              </w:rPr>
            </w:pPr>
            <w:hyperlink w:anchor="page3">
              <w:r>
                <w:rPr>
                  <w:rFonts w:ascii="Arial" w:cs="Arial" w:eastAsia="Arial" w:hAnsi="Arial"/>
                  <w:sz w:val="18"/>
                  <w:szCs w:val="18"/>
                  <w:color w:val="0000EE"/>
                  <w:w w:val="95"/>
                </w:rPr>
                <w:t>Unaudited Condensed Consolidated Statements of Cash Flows for the three months ended May 3, 2008 and April 28, 2007</w:t>
              </w:r>
            </w:hyperlink>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5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8840" w:type="dxa"/>
            <w:vAlign w:val="bottom"/>
            <w:tcBorders>
              <w:top w:val="single" w:sz="8" w:color="0000EE"/>
            </w:tcBorders>
            <w:gridSpan w:val="15"/>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Notes to Unaudited Condensed Consolidated Financial Statements</w:t>
              </w:r>
            </w:hyperlink>
          </w:p>
        </w:tc>
        <w:tc>
          <w:tcPr>
            <w:tcW w:w="560" w:type="dxa"/>
            <w:vAlign w:val="bottom"/>
          </w:tcPr>
          <w:p>
            <w:pPr>
              <w:spacing w:after="0"/>
              <w:rPr>
                <w:sz w:val="17"/>
                <w:szCs w:val="17"/>
                <w:color w:val="auto"/>
              </w:rPr>
            </w:pPr>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0"/>
        </w:trPr>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1560" w:type="dxa"/>
            <w:vAlign w:val="bottom"/>
            <w:gridSpan w:val="2"/>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940" w:type="dxa"/>
            <w:vAlign w:val="bottom"/>
            <w:gridSpan w:val="4"/>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Item 2.</w:t>
              </w:r>
            </w:hyperlink>
          </w:p>
        </w:tc>
        <w:tc>
          <w:tcPr>
            <w:tcW w:w="760" w:type="dxa"/>
            <w:vAlign w:val="bottom"/>
            <w:gridSpan w:val="2"/>
          </w:tcPr>
          <w:p>
            <w:pPr>
              <w:spacing w:after="0"/>
              <w:rPr>
                <w:sz w:val="17"/>
                <w:szCs w:val="17"/>
                <w:color w:val="auto"/>
              </w:rPr>
            </w:pPr>
          </w:p>
        </w:tc>
        <w:tc>
          <w:tcPr>
            <w:tcW w:w="6460" w:type="dxa"/>
            <w:vAlign w:val="bottom"/>
            <w:tcBorders>
              <w:bottom w:val="single" w:sz="8" w:color="0000EE"/>
            </w:tcBorders>
            <w:gridSpan w:val="12"/>
          </w:tcPr>
          <w:p>
            <w:pPr>
              <w:spacing w:after="0" w:line="196" w:lineRule="exact"/>
              <w:rPr>
                <w:rFonts w:ascii="Arial" w:cs="Arial" w:eastAsia="Arial" w:hAnsi="Arial"/>
                <w:sz w:val="18"/>
                <w:szCs w:val="18"/>
                <w:color w:val="0000EE"/>
                <w:w w:val="90"/>
              </w:rPr>
            </w:pPr>
            <w:hyperlink w:anchor="page17">
              <w:r>
                <w:rPr>
                  <w:rFonts w:ascii="Arial" w:cs="Arial" w:eastAsia="Arial" w:hAnsi="Arial"/>
                  <w:sz w:val="18"/>
                  <w:szCs w:val="18"/>
                  <w:color w:val="0000EE"/>
                  <w:w w:val="90"/>
                </w:rPr>
                <w:t>Management’s Discussion and Analysis of Financial Condition and Results of Operations</w:t>
              </w:r>
            </w:hyperlink>
          </w:p>
        </w:tc>
        <w:tc>
          <w:tcPr>
            <w:tcW w:w="2940" w:type="dxa"/>
            <w:vAlign w:val="bottom"/>
            <w:gridSpan w:val="4"/>
          </w:tcPr>
          <w:p>
            <w:pPr>
              <w:spacing w:after="0"/>
              <w:rPr>
                <w:sz w:val="17"/>
                <w:szCs w:val="17"/>
                <w:color w:val="auto"/>
              </w:rPr>
            </w:pPr>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24">
              <w:r>
                <w:rPr>
                  <w:rFonts w:ascii="Arial" w:cs="Arial" w:eastAsia="Arial" w:hAnsi="Arial"/>
                  <w:sz w:val="18"/>
                  <w:szCs w:val="18"/>
                  <w:color w:val="0000EE"/>
                  <w:w w:val="90"/>
                </w:rPr>
                <w:t>Item 3.</w:t>
              </w:r>
            </w:hyperlink>
          </w:p>
        </w:tc>
        <w:tc>
          <w:tcPr>
            <w:tcW w:w="760" w:type="dxa"/>
            <w:vAlign w:val="bottom"/>
            <w:gridSpan w:val="2"/>
          </w:tcPr>
          <w:p>
            <w:pPr>
              <w:spacing w:after="0"/>
              <w:rPr>
                <w:sz w:val="17"/>
                <w:szCs w:val="17"/>
                <w:color w:val="auto"/>
              </w:rPr>
            </w:pPr>
          </w:p>
        </w:tc>
        <w:tc>
          <w:tcPr>
            <w:tcW w:w="4360" w:type="dxa"/>
            <w:vAlign w:val="bottom"/>
            <w:tcBorders>
              <w:bottom w:val="single" w:sz="8" w:color="0000EE"/>
            </w:tcBorders>
            <w:gridSpan w:val="8"/>
          </w:tcPr>
          <w:p>
            <w:pPr>
              <w:spacing w:after="0" w:line="196" w:lineRule="exact"/>
              <w:rPr>
                <w:rFonts w:ascii="Arial" w:cs="Arial" w:eastAsia="Arial" w:hAnsi="Arial"/>
                <w:sz w:val="18"/>
                <w:szCs w:val="18"/>
                <w:color w:val="0000EE"/>
                <w:w w:val="92"/>
              </w:rPr>
            </w:pPr>
            <w:hyperlink w:anchor="page24">
              <w:r>
                <w:rPr>
                  <w:rFonts w:ascii="Arial" w:cs="Arial" w:eastAsia="Arial" w:hAnsi="Arial"/>
                  <w:sz w:val="18"/>
                  <w:szCs w:val="18"/>
                  <w:color w:val="0000EE"/>
                  <w:w w:val="92"/>
                </w:rPr>
                <w:t>Quantitative and Qualitative Disclosures About Market Risk</w:t>
              </w:r>
            </w:hyperlink>
          </w:p>
        </w:tc>
        <w:tc>
          <w:tcPr>
            <w:tcW w:w="5040" w:type="dxa"/>
            <w:vAlign w:val="bottom"/>
            <w:gridSpan w:val="8"/>
          </w:tcPr>
          <w:p>
            <w:pPr>
              <w:spacing w:after="0"/>
              <w:rPr>
                <w:sz w:val="17"/>
                <w:szCs w:val="17"/>
                <w:color w:val="auto"/>
              </w:rPr>
            </w:pPr>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1280" w:type="dxa"/>
            <w:vAlign w:val="bottom"/>
            <w:gridSpan w:val="3"/>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Item 4.</w:t>
              </w:r>
            </w:hyperlink>
          </w:p>
        </w:tc>
        <w:tc>
          <w:tcPr>
            <w:tcW w:w="9400" w:type="dxa"/>
            <w:vAlign w:val="bottom"/>
            <w:gridSpan w:val="16"/>
          </w:tcPr>
          <w:p>
            <w:pPr>
              <w:spacing w:after="0" w:line="196" w:lineRule="exact"/>
              <w:rPr>
                <w:rFonts w:ascii="Arial" w:cs="Arial" w:eastAsia="Arial" w:hAnsi="Arial"/>
                <w:sz w:val="18"/>
                <w:szCs w:val="18"/>
                <w:color w:val="0000EE"/>
              </w:rPr>
            </w:pPr>
            <w:hyperlink w:anchor="page25">
              <w:r>
                <w:rPr>
                  <w:rFonts w:ascii="Arial" w:cs="Arial" w:eastAsia="Arial" w:hAnsi="Arial"/>
                  <w:sz w:val="18"/>
                  <w:szCs w:val="18"/>
                  <w:color w:val="0000EE"/>
                </w:rPr>
                <w:t>Controls and Procedures</w:t>
              </w:r>
            </w:hyperlink>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412"/>
        </w:trPr>
        <w:tc>
          <w:tcPr>
            <w:tcW w:w="520" w:type="dxa"/>
            <w:vAlign w:val="bottom"/>
            <w:tcBorders>
              <w:top w:val="single" w:sz="8" w:color="0000EE"/>
            </w:tcBorders>
          </w:tcPr>
          <w:p>
            <w:pPr>
              <w:spacing w:after="0"/>
              <w:rPr>
                <w:sz w:val="24"/>
                <w:szCs w:val="24"/>
                <w:color w:val="auto"/>
              </w:rPr>
            </w:pPr>
          </w:p>
        </w:tc>
        <w:tc>
          <w:tcPr>
            <w:tcW w:w="1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00" w:type="dxa"/>
            <w:vAlign w:val="bottom"/>
            <w:tcBorders>
              <w:top w:val="single" w:sz="8" w:color="0000EE"/>
            </w:tcBorders>
          </w:tcPr>
          <w:p>
            <w:pPr>
              <w:spacing w:after="0"/>
              <w:rPr>
                <w:sz w:val="24"/>
                <w:szCs w:val="24"/>
                <w:color w:val="auto"/>
              </w:rPr>
            </w:pPr>
          </w:p>
        </w:tc>
        <w:tc>
          <w:tcPr>
            <w:tcW w:w="4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1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760" w:type="dxa"/>
            <w:vAlign w:val="bottom"/>
            <w:tcBorders>
              <w:bottom w:val="single" w:sz="8" w:color="0000EE"/>
            </w:tcBorders>
            <w:gridSpan w:val="4"/>
          </w:tcPr>
          <w:p>
            <w:pPr>
              <w:jc w:val="center"/>
              <w:spacing w:after="0"/>
              <w:rPr>
                <w:rFonts w:ascii="Arial" w:cs="Arial" w:eastAsia="Arial" w:hAnsi="Arial"/>
                <w:sz w:val="18"/>
                <w:szCs w:val="18"/>
                <w:b w:val="1"/>
                <w:bCs w:val="1"/>
                <w:color w:val="0000EE"/>
              </w:rPr>
            </w:pPr>
            <w:hyperlink w:anchor="page26">
              <w:r>
                <w:rPr>
                  <w:rFonts w:ascii="Arial" w:cs="Arial" w:eastAsia="Arial" w:hAnsi="Arial"/>
                  <w:sz w:val="18"/>
                  <w:szCs w:val="18"/>
                  <w:b w:val="1"/>
                  <w:bCs w:val="1"/>
                  <w:color w:val="0000EE"/>
                </w:rPr>
                <w:t>PART II. OTHER INFORMATION</w:t>
              </w:r>
            </w:hyperlink>
          </w:p>
        </w:tc>
        <w:tc>
          <w:tcPr>
            <w:tcW w:w="3320" w:type="dxa"/>
            <w:vAlign w:val="bottom"/>
            <w:gridSpan w:val="6"/>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520" w:type="dxa"/>
            <w:vAlign w:val="bottom"/>
            <w:tcBorders>
              <w:bottom w:val="single" w:sz="8" w:color="0000EE"/>
            </w:tcBorders>
          </w:tcPr>
          <w:p>
            <w:pPr>
              <w:spacing w:after="0"/>
              <w:rPr>
                <w:rFonts w:ascii="Arial" w:cs="Arial" w:eastAsia="Arial" w:hAnsi="Arial"/>
                <w:sz w:val="18"/>
                <w:szCs w:val="18"/>
                <w:color w:val="0000EE"/>
                <w:w w:val="90"/>
              </w:rPr>
            </w:pPr>
            <w:hyperlink w:anchor="page26">
              <w:r>
                <w:rPr>
                  <w:rFonts w:ascii="Arial" w:cs="Arial" w:eastAsia="Arial" w:hAnsi="Arial"/>
                  <w:sz w:val="18"/>
                  <w:szCs w:val="18"/>
                  <w:color w:val="0000EE"/>
                  <w:w w:val="90"/>
                </w:rPr>
                <w:t>Item 1.</w:t>
              </w:r>
            </w:hyperlink>
          </w:p>
        </w:tc>
        <w:tc>
          <w:tcPr>
            <w:tcW w:w="760" w:type="dxa"/>
            <w:vAlign w:val="bottom"/>
            <w:gridSpan w:val="2"/>
          </w:tcPr>
          <w:p>
            <w:pPr>
              <w:spacing w:after="0"/>
              <w:rPr>
                <w:sz w:val="24"/>
                <w:szCs w:val="24"/>
                <w:color w:val="auto"/>
              </w:rPr>
            </w:pPr>
          </w:p>
        </w:tc>
        <w:tc>
          <w:tcPr>
            <w:tcW w:w="1340" w:type="dxa"/>
            <w:vAlign w:val="bottom"/>
            <w:tcBorders>
              <w:bottom w:val="single" w:sz="8" w:color="0000EE"/>
            </w:tcBorders>
            <w:gridSpan w:val="2"/>
          </w:tcPr>
          <w:p>
            <w:pPr>
              <w:spacing w:after="0"/>
              <w:rPr>
                <w:rFonts w:ascii="Arial" w:cs="Arial" w:eastAsia="Arial" w:hAnsi="Arial"/>
                <w:sz w:val="18"/>
                <w:szCs w:val="18"/>
                <w:color w:val="0000EE"/>
                <w:w w:val="88"/>
              </w:rPr>
            </w:pPr>
            <w:hyperlink w:anchor="page26">
              <w:r>
                <w:rPr>
                  <w:rFonts w:ascii="Arial" w:cs="Arial" w:eastAsia="Arial" w:hAnsi="Arial"/>
                  <w:sz w:val="18"/>
                  <w:szCs w:val="18"/>
                  <w:color w:val="0000EE"/>
                  <w:w w:val="88"/>
                </w:rPr>
                <w:t>Legal Proceedings</w:t>
              </w:r>
            </w:hyperlink>
          </w:p>
        </w:tc>
        <w:tc>
          <w:tcPr>
            <w:tcW w:w="8060" w:type="dxa"/>
            <w:vAlign w:val="bottom"/>
            <w:gridSpan w:val="14"/>
          </w:tcPr>
          <w:p>
            <w:pPr>
              <w:spacing w:after="0"/>
              <w:rPr>
                <w:sz w:val="24"/>
                <w:szCs w:val="24"/>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1280" w:type="dxa"/>
            <w:vAlign w:val="bottom"/>
            <w:gridSpan w:val="3"/>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Item 1A.</w:t>
              </w:r>
            </w:hyperlink>
          </w:p>
        </w:tc>
        <w:tc>
          <w:tcPr>
            <w:tcW w:w="9400" w:type="dxa"/>
            <w:vAlign w:val="bottom"/>
            <w:gridSpan w:val="16"/>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Risk Factors</w:t>
              </w:r>
            </w:hyperlink>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0"/>
        </w:trPr>
        <w:tc>
          <w:tcPr>
            <w:tcW w:w="640" w:type="dxa"/>
            <w:vAlign w:val="bottom"/>
            <w:gridSpan w:val="2"/>
            <w:shd w:val="clear" w:color="auto" w:fill="0000EE"/>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5060" w:type="dxa"/>
            <w:vAlign w:val="bottom"/>
            <w:gridSpan w:val="9"/>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2.</w:t>
              </w:r>
            </w:hyperlink>
          </w:p>
        </w:tc>
        <w:tc>
          <w:tcPr>
            <w:tcW w:w="1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9400" w:type="dxa"/>
            <w:vAlign w:val="bottom"/>
            <w:gridSpan w:val="16"/>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Unregistered Sales of Equity Securities and Use of Proceeds</w:t>
              </w:r>
            </w:hyperlink>
          </w:p>
        </w:tc>
        <w:tc>
          <w:tcPr>
            <w:tcW w:w="74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90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0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43" w:orient="portrait"/>
          <w:cols w:equalWidth="0" w:num="1">
            <w:col w:w="11420"/>
          </w:cols>
          <w:pgMar w:left="240" w:top="530" w:right="239"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20" w:type="dxa"/>
            <w:vAlign w:val="bottom"/>
          </w:tcPr>
          <w:p>
            <w:pPr>
              <w:spacing w:after="0"/>
              <w:rPr>
                <w:rFonts w:ascii="Arial" w:cs="Arial" w:eastAsia="Arial" w:hAnsi="Arial"/>
                <w:sz w:val="18"/>
                <w:szCs w:val="18"/>
                <w:color w:val="0000EE"/>
                <w:w w:val="90"/>
              </w:rPr>
            </w:pPr>
            <w:hyperlink w:anchor="page41">
              <w:r>
                <w:rPr>
                  <w:rFonts w:ascii="Arial" w:cs="Arial" w:eastAsia="Arial" w:hAnsi="Arial"/>
                  <w:sz w:val="18"/>
                  <w:szCs w:val="18"/>
                  <w:color w:val="0000EE"/>
                  <w:w w:val="90"/>
                </w:rPr>
                <w:t>Item 3.</w:t>
              </w:r>
            </w:hyperlink>
          </w:p>
        </w:tc>
        <w:tc>
          <w:tcPr>
            <w:tcW w:w="760" w:type="dxa"/>
            <w:vAlign w:val="bottom"/>
            <w:gridSpan w:val="3"/>
          </w:tcPr>
          <w:p>
            <w:pPr>
              <w:spacing w:after="0"/>
              <w:rPr>
                <w:sz w:val="17"/>
                <w:szCs w:val="17"/>
                <w:color w:val="auto"/>
              </w:rPr>
            </w:pPr>
          </w:p>
        </w:tc>
        <w:tc>
          <w:tcPr>
            <w:tcW w:w="4080" w:type="dxa"/>
            <w:vAlign w:val="bottom"/>
            <w:gridSpan w:val="5"/>
          </w:tcPr>
          <w:p>
            <w:pPr>
              <w:spacing w:after="0"/>
              <w:rPr>
                <w:rFonts w:ascii="Arial" w:cs="Arial" w:eastAsia="Arial" w:hAnsi="Arial"/>
                <w:sz w:val="18"/>
                <w:szCs w:val="18"/>
                <w:color w:val="0000EE"/>
              </w:rPr>
            </w:pPr>
            <w:hyperlink w:anchor="page41">
              <w:r>
                <w:rPr>
                  <w:rFonts w:ascii="Arial" w:cs="Arial" w:eastAsia="Arial" w:hAnsi="Arial"/>
                  <w:sz w:val="18"/>
                  <w:szCs w:val="18"/>
                  <w:color w:val="0000EE"/>
                </w:rPr>
                <w:t>Defaults Upon Senior Securities</w:t>
              </w:r>
            </w:hyperlink>
          </w:p>
        </w:tc>
        <w:tc>
          <w:tcPr>
            <w:tcW w:w="61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0"/>
        </w:trPr>
        <w:tc>
          <w:tcPr>
            <w:tcW w:w="520" w:type="dxa"/>
            <w:vAlign w:val="bottom"/>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720" w:type="dxa"/>
            <w:vAlign w:val="bottom"/>
            <w:shd w:val="clear" w:color="auto" w:fill="0000EE"/>
          </w:tcPr>
          <w:p>
            <w:pPr>
              <w:spacing w:after="0" w:line="20" w:lineRule="exact"/>
              <w:rPr>
                <w:sz w:val="1"/>
                <w:szCs w:val="1"/>
                <w:color w:val="auto"/>
              </w:rPr>
            </w:pPr>
          </w:p>
        </w:tc>
        <w:tc>
          <w:tcPr>
            <w:tcW w:w="1000" w:type="dxa"/>
            <w:vAlign w:val="bottom"/>
            <w:shd w:val="clear" w:color="auto" w:fill="0000EE"/>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r>
      <w:tr>
        <w:trPr>
          <w:trHeight w:val="196"/>
        </w:trPr>
        <w:tc>
          <w:tcPr>
            <w:tcW w:w="520" w:type="dxa"/>
            <w:vAlign w:val="bottom"/>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4.</w:t>
              </w:r>
            </w:hyperlink>
          </w:p>
        </w:tc>
        <w:tc>
          <w:tcPr>
            <w:tcW w:w="760" w:type="dxa"/>
            <w:vAlign w:val="bottom"/>
            <w:gridSpan w:val="3"/>
          </w:tcPr>
          <w:p>
            <w:pPr>
              <w:spacing w:after="0"/>
              <w:rPr>
                <w:sz w:val="17"/>
                <w:szCs w:val="17"/>
                <w:color w:val="auto"/>
              </w:rPr>
            </w:pPr>
          </w:p>
        </w:tc>
        <w:tc>
          <w:tcPr>
            <w:tcW w:w="4080" w:type="dxa"/>
            <w:vAlign w:val="bottom"/>
            <w:gridSpan w:val="5"/>
          </w:tcPr>
          <w:p>
            <w:pPr>
              <w:spacing w:after="0" w:line="196" w:lineRule="exact"/>
              <w:rPr>
                <w:rFonts w:ascii="Arial" w:cs="Arial" w:eastAsia="Arial" w:hAnsi="Arial"/>
                <w:sz w:val="18"/>
                <w:szCs w:val="18"/>
                <w:color w:val="0000EE"/>
                <w:w w:val="98"/>
              </w:rPr>
            </w:pPr>
            <w:hyperlink w:anchor="page41">
              <w:r>
                <w:rPr>
                  <w:rFonts w:ascii="Arial" w:cs="Arial" w:eastAsia="Arial" w:hAnsi="Arial"/>
                  <w:sz w:val="18"/>
                  <w:szCs w:val="18"/>
                  <w:color w:val="0000EE"/>
                  <w:w w:val="98"/>
                </w:rPr>
                <w:t>Submission of Matters to a Vote of Security Holders</w:t>
              </w:r>
            </w:hyperlink>
          </w:p>
        </w:tc>
        <w:tc>
          <w:tcPr>
            <w:tcW w:w="610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5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5.</w:t>
              </w:r>
            </w:hyperlink>
          </w:p>
        </w:tc>
        <w:tc>
          <w:tcPr>
            <w:tcW w:w="760" w:type="dxa"/>
            <w:vAlign w:val="bottom"/>
            <w:gridSpan w:val="3"/>
          </w:tcPr>
          <w:p>
            <w:pPr>
              <w:spacing w:after="0"/>
              <w:rPr>
                <w:sz w:val="17"/>
                <w:szCs w:val="17"/>
                <w:color w:val="auto"/>
              </w:rPr>
            </w:pPr>
          </w:p>
        </w:tc>
        <w:tc>
          <w:tcPr>
            <w:tcW w:w="132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2"/>
              </w:rPr>
            </w:pPr>
            <w:hyperlink w:anchor="page41">
              <w:r>
                <w:rPr>
                  <w:rFonts w:ascii="Arial" w:cs="Arial" w:eastAsia="Arial" w:hAnsi="Arial"/>
                  <w:sz w:val="18"/>
                  <w:szCs w:val="18"/>
                  <w:color w:val="0000EE"/>
                  <w:w w:val="92"/>
                </w:rPr>
                <w:t>Other Information</w:t>
              </w:r>
            </w:hyperlink>
          </w:p>
        </w:tc>
        <w:tc>
          <w:tcPr>
            <w:tcW w:w="2440" w:type="dxa"/>
            <w:vAlign w:val="bottom"/>
            <w:tcBorders>
              <w:top w:val="single" w:sz="8" w:color="0000EE"/>
            </w:tcBorders>
            <w:gridSpan w:val="2"/>
          </w:tcPr>
          <w:p>
            <w:pPr>
              <w:spacing w:after="0"/>
              <w:rPr>
                <w:sz w:val="17"/>
                <w:szCs w:val="17"/>
                <w:color w:val="auto"/>
              </w:rPr>
            </w:pPr>
          </w:p>
        </w:tc>
        <w:tc>
          <w:tcPr>
            <w:tcW w:w="320" w:type="dxa"/>
            <w:vAlign w:val="bottom"/>
          </w:tcPr>
          <w:p>
            <w:pPr>
              <w:spacing w:after="0"/>
              <w:rPr>
                <w:sz w:val="17"/>
                <w:szCs w:val="17"/>
                <w:color w:val="auto"/>
              </w:rPr>
            </w:pPr>
          </w:p>
        </w:tc>
        <w:tc>
          <w:tcPr>
            <w:tcW w:w="610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520" w:type="dxa"/>
            <w:vAlign w:val="bottom"/>
            <w:tcBorders>
              <w:bottom w:val="single" w:sz="8" w:color="0000EE"/>
            </w:tcBorders>
          </w:tcPr>
          <w:p>
            <w:pPr>
              <w:spacing w:after="0" w:line="196" w:lineRule="exact"/>
              <w:rPr>
                <w:rFonts w:ascii="Arial" w:cs="Arial" w:eastAsia="Arial" w:hAnsi="Arial"/>
                <w:sz w:val="18"/>
                <w:szCs w:val="18"/>
                <w:color w:val="0000EE"/>
                <w:w w:val="90"/>
              </w:rPr>
            </w:pPr>
            <w:hyperlink w:anchor="page41">
              <w:r>
                <w:rPr>
                  <w:rFonts w:ascii="Arial" w:cs="Arial" w:eastAsia="Arial" w:hAnsi="Arial"/>
                  <w:sz w:val="18"/>
                  <w:szCs w:val="18"/>
                  <w:color w:val="0000EE"/>
                  <w:w w:val="90"/>
                </w:rPr>
                <w:t>Item 6.</w:t>
              </w:r>
            </w:hyperlink>
          </w:p>
        </w:tc>
        <w:tc>
          <w:tcPr>
            <w:tcW w:w="760" w:type="dxa"/>
            <w:vAlign w:val="bottom"/>
            <w:gridSpan w:val="3"/>
          </w:tcPr>
          <w:p>
            <w:pPr>
              <w:spacing w:after="0"/>
              <w:rPr>
                <w:sz w:val="17"/>
                <w:szCs w:val="17"/>
                <w:color w:val="auto"/>
              </w:rPr>
            </w:pPr>
          </w:p>
        </w:tc>
        <w:tc>
          <w:tcPr>
            <w:tcW w:w="600" w:type="dxa"/>
            <w:vAlign w:val="bottom"/>
            <w:tcBorders>
              <w:bottom w:val="single" w:sz="8" w:color="0000EE"/>
            </w:tcBorders>
          </w:tcPr>
          <w:p>
            <w:pPr>
              <w:spacing w:after="0" w:line="196" w:lineRule="exact"/>
              <w:rPr>
                <w:rFonts w:ascii="Arial" w:cs="Arial" w:eastAsia="Arial" w:hAnsi="Arial"/>
                <w:sz w:val="18"/>
                <w:szCs w:val="18"/>
                <w:color w:val="0000EE"/>
                <w:w w:val="91"/>
              </w:rPr>
            </w:pPr>
            <w:hyperlink w:anchor="page41">
              <w:r>
                <w:rPr>
                  <w:rFonts w:ascii="Arial" w:cs="Arial" w:eastAsia="Arial" w:hAnsi="Arial"/>
                  <w:sz w:val="18"/>
                  <w:szCs w:val="18"/>
                  <w:color w:val="0000EE"/>
                  <w:w w:val="91"/>
                </w:rPr>
                <w:t>Exhibits</w:t>
              </w:r>
            </w:hyperlink>
          </w:p>
        </w:tc>
        <w:tc>
          <w:tcPr>
            <w:tcW w:w="3480" w:type="dxa"/>
            <w:vAlign w:val="bottom"/>
            <w:gridSpan w:val="4"/>
          </w:tcPr>
          <w:p>
            <w:pPr>
              <w:spacing w:after="0"/>
              <w:rPr>
                <w:sz w:val="17"/>
                <w:szCs w:val="17"/>
                <w:color w:val="auto"/>
              </w:rPr>
            </w:pPr>
          </w:p>
        </w:tc>
        <w:tc>
          <w:tcPr>
            <w:tcW w:w="610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80" w:type="dxa"/>
            <w:vAlign w:val="bottom"/>
            <w:gridSpan w:val="4"/>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Signatures</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10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760" w:type="dxa"/>
            <w:vAlign w:val="bottom"/>
            <w:gridSpan w:val="2"/>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r>
      <w:tr>
        <w:trPr>
          <w:trHeight w:val="196"/>
        </w:trPr>
        <w:tc>
          <w:tcPr>
            <w:tcW w:w="1280" w:type="dxa"/>
            <w:vAlign w:val="bottom"/>
            <w:gridSpan w:val="4"/>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Exhibit Index</w:t>
              </w:r>
            </w:hyperlink>
          </w:p>
        </w:tc>
        <w:tc>
          <w:tcPr>
            <w:tcW w:w="6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10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453"/>
        </w:trPr>
        <w:tc>
          <w:tcPr>
            <w:tcW w:w="52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4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100" w:type="dxa"/>
            <w:vAlign w:val="bottom"/>
          </w:tcPr>
          <w:p>
            <w:pPr>
              <w:jc w:val="right"/>
              <w:ind w:right="5610"/>
              <w:spacing w:after="0"/>
              <w:rPr>
                <w:sz w:val="20"/>
                <w:szCs w:val="20"/>
                <w:color w:val="auto"/>
              </w:rPr>
            </w:pPr>
            <w:r>
              <w:rPr>
                <w:rFonts w:ascii="Arial" w:cs="Arial" w:eastAsia="Arial" w:hAnsi="Arial"/>
                <w:sz w:val="18"/>
                <w:szCs w:val="18"/>
                <w:color w:val="auto"/>
              </w:rPr>
              <w:t>2</w:t>
            </w:r>
          </w:p>
        </w:tc>
      </w:tr>
      <w:tr>
        <w:trPr>
          <w:trHeight w:val="132"/>
        </w:trPr>
        <w:tc>
          <w:tcPr>
            <w:tcW w:w="52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72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44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610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(In thousands, except par value)</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1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80" w:type="dxa"/>
            <w:vAlign w:val="bottom"/>
            <w:gridSpan w:val="2"/>
          </w:tcPr>
          <w:p>
            <w:pPr>
              <w:jc w:val="right"/>
              <w:ind w:right="760"/>
              <w:spacing w:after="0"/>
              <w:rPr>
                <w:sz w:val="20"/>
                <w:szCs w:val="20"/>
                <w:color w:val="auto"/>
              </w:rPr>
            </w:pPr>
            <w:r>
              <w:rPr>
                <w:rFonts w:ascii="Arial" w:cs="Arial" w:eastAsia="Arial" w:hAnsi="Arial"/>
                <w:sz w:val="14"/>
                <w:szCs w:val="14"/>
                <w:b w:val="1"/>
                <w:bCs w:val="1"/>
                <w:color w:val="auto"/>
              </w:rPr>
              <w:t>May 3,</w:t>
            </w:r>
          </w:p>
        </w:tc>
        <w:tc>
          <w:tcPr>
            <w:tcW w:w="200" w:type="dxa"/>
            <w:vAlign w:val="bottom"/>
          </w:tcPr>
          <w:p>
            <w:pPr>
              <w:spacing w:after="0"/>
              <w:rPr>
                <w:sz w:val="14"/>
                <w:szCs w:val="14"/>
                <w:color w:val="auto"/>
              </w:rPr>
            </w:pPr>
          </w:p>
        </w:tc>
        <w:tc>
          <w:tcPr>
            <w:tcW w:w="12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February 2,</w:t>
            </w:r>
          </w:p>
        </w:tc>
      </w:tr>
      <w:tr>
        <w:trPr>
          <w:trHeight w:val="171"/>
        </w:trPr>
        <w:tc>
          <w:tcPr>
            <w:tcW w:w="7120" w:type="dxa"/>
            <w:vAlign w:val="bottom"/>
            <w:tcBorders>
              <w:bottom w:val="single" w:sz="8" w:color="CCEEFF"/>
            </w:tcBorders>
          </w:tcPr>
          <w:p>
            <w:pPr>
              <w:spacing w:after="0"/>
              <w:rPr>
                <w:sz w:val="14"/>
                <w:szCs w:val="14"/>
                <w:color w:val="auto"/>
              </w:rPr>
            </w:pPr>
          </w:p>
        </w:tc>
        <w:tc>
          <w:tcPr>
            <w:tcW w:w="118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1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r>
      <w:tr>
        <w:trPr>
          <w:trHeight w:val="196"/>
        </w:trPr>
        <w:tc>
          <w:tcPr>
            <w:tcW w:w="7120" w:type="dxa"/>
            <w:vAlign w:val="bottom"/>
            <w:shd w:val="clear" w:color="auto" w:fill="CCEEFF"/>
          </w:tcPr>
          <w:p>
            <w:pPr>
              <w:ind w:left="3680"/>
              <w:spacing w:after="0" w:line="196" w:lineRule="exact"/>
              <w:rPr>
                <w:sz w:val="20"/>
                <w:szCs w:val="20"/>
                <w:color w:val="auto"/>
              </w:rPr>
            </w:pPr>
            <w:r>
              <w:rPr>
                <w:rFonts w:ascii="Arial" w:cs="Arial" w:eastAsia="Arial" w:hAnsi="Arial"/>
                <w:sz w:val="18"/>
                <w:szCs w:val="18"/>
                <w:b w:val="1"/>
                <w:bCs w:val="1"/>
                <w:color w:val="auto"/>
              </w:rPr>
              <w:t>ASSETS</w:t>
            </w:r>
          </w:p>
        </w:tc>
        <w:tc>
          <w:tcPr>
            <w:tcW w:w="11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Current assets: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146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744,084</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615,648</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Restricted cash</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24,500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Short-term investments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5,058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15,254</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Accounts receivable, net</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370,172</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332,020</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Inventories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369,959</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419,494</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81,250</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105,809</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income taxes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15,516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15,516</w:t>
            </w:r>
          </w:p>
        </w:tc>
      </w:tr>
      <w:tr>
        <w:trPr>
          <w:trHeight w:val="210"/>
        </w:trPr>
        <w:tc>
          <w:tcPr>
            <w:tcW w:w="7120" w:type="dxa"/>
            <w:vAlign w:val="bottom"/>
          </w:tcPr>
          <w:p>
            <w:pPr>
              <w:ind w:left="360"/>
              <w:spacing w:after="0"/>
              <w:rPr>
                <w:sz w:val="20"/>
                <w:szCs w:val="20"/>
                <w:color w:val="auto"/>
              </w:rPr>
            </w:pPr>
            <w:r>
              <w:rPr>
                <w:rFonts w:ascii="Arial" w:cs="Arial" w:eastAsia="Arial" w:hAnsi="Arial"/>
                <w:sz w:val="18"/>
                <w:szCs w:val="18"/>
                <w:color w:val="auto"/>
              </w:rPr>
              <w:t>Total current assets</w:t>
            </w:r>
          </w:p>
        </w:tc>
        <w:tc>
          <w:tcPr>
            <w:tcW w:w="11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1,610,539</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1,503,741</w:t>
            </w:r>
          </w:p>
        </w:tc>
        <w:tc>
          <w:tcPr>
            <w:tcW w:w="100" w:type="dxa"/>
            <w:vAlign w:val="bottom"/>
          </w:tcPr>
          <w:p>
            <w:pPr>
              <w:spacing w:after="0"/>
              <w:rPr>
                <w:sz w:val="18"/>
                <w:szCs w:val="18"/>
                <w:color w:val="auto"/>
              </w:rPr>
            </w:pP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421,264</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416,241</w:t>
            </w: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Long-term investments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40,459</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45,628</w:t>
            </w: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1,994,068</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1,994,068</w:t>
            </w: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398,545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433,809</w:t>
            </w: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144,731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157,107</w:t>
            </w:r>
          </w:p>
        </w:tc>
      </w:tr>
      <w:tr>
        <w:trPr>
          <w:trHeight w:val="217"/>
        </w:trPr>
        <w:tc>
          <w:tcPr>
            <w:tcW w:w="71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assets</w:t>
            </w:r>
          </w:p>
        </w:tc>
        <w:tc>
          <w:tcPr>
            <w:tcW w:w="11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4,609,606</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tcPr>
          <w:p>
            <w:pPr>
              <w:spacing w:after="0"/>
              <w:rPr>
                <w:sz w:val="18"/>
                <w:szCs w:val="18"/>
                <w:color w:val="auto"/>
              </w:rPr>
            </w:pPr>
          </w:p>
        </w:tc>
      </w:tr>
      <w:tr>
        <w:trPr>
          <w:trHeight w:val="216"/>
        </w:trPr>
        <w:tc>
          <w:tcPr>
            <w:tcW w:w="71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120" w:type="dxa"/>
            <w:vAlign w:val="bottom"/>
          </w:tcPr>
          <w:p>
            <w:pPr>
              <w:ind w:left="2060"/>
              <w:spacing w:after="0"/>
              <w:rPr>
                <w:sz w:val="20"/>
                <w:szCs w:val="20"/>
                <w:color w:val="auto"/>
              </w:rPr>
            </w:pPr>
            <w:r>
              <w:rPr>
                <w:rFonts w:ascii="Arial" w:cs="Arial" w:eastAsia="Arial" w:hAnsi="Arial"/>
                <w:sz w:val="18"/>
                <w:szCs w:val="18"/>
                <w:b w:val="1"/>
                <w:bCs w:val="1"/>
                <w:color w:val="auto"/>
              </w:rPr>
              <w:t>LIABILITIES AND SHAREHOLDERS’ EQUITY</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Accounts payable</w:t>
            </w:r>
          </w:p>
        </w:tc>
        <w:tc>
          <w:tcPr>
            <w:tcW w:w="146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168,073</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231,135</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Accrued liabilities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101,330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122,961</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Accrued employee compensation</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139,371</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118,101</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Income taxes payable</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41,522</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39,132</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Deferred income</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59,667</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69,420</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Current portion of capital lease obligations</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1,771</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2,463</w:t>
            </w:r>
          </w:p>
        </w:tc>
      </w:tr>
      <w:tr>
        <w:trPr>
          <w:trHeight w:val="210"/>
        </w:trPr>
        <w:tc>
          <w:tcPr>
            <w:tcW w:w="7120" w:type="dxa"/>
            <w:vAlign w:val="bottom"/>
          </w:tcPr>
          <w:p>
            <w:pPr>
              <w:ind w:left="360"/>
              <w:spacing w:after="0"/>
              <w:rPr>
                <w:sz w:val="20"/>
                <w:szCs w:val="20"/>
                <w:color w:val="auto"/>
              </w:rPr>
            </w:pPr>
            <w:r>
              <w:rPr>
                <w:rFonts w:ascii="Arial" w:cs="Arial" w:eastAsia="Arial" w:hAnsi="Arial"/>
                <w:sz w:val="18"/>
                <w:szCs w:val="18"/>
                <w:color w:val="auto"/>
              </w:rPr>
              <w:t>Total current liabilities</w:t>
            </w:r>
          </w:p>
        </w:tc>
        <w:tc>
          <w:tcPr>
            <w:tcW w:w="118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511,734</w:t>
            </w:r>
          </w:p>
        </w:tc>
        <w:tc>
          <w:tcPr>
            <w:tcW w:w="280" w:type="dxa"/>
            <w:vAlign w:val="bottom"/>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583,212</w:t>
            </w:r>
          </w:p>
        </w:tc>
        <w:tc>
          <w:tcPr>
            <w:tcW w:w="100" w:type="dxa"/>
            <w:vAlign w:val="bottom"/>
          </w:tcPr>
          <w:p>
            <w:pPr>
              <w:spacing w:after="0"/>
              <w:rPr>
                <w:sz w:val="18"/>
                <w:szCs w:val="18"/>
                <w:color w:val="auto"/>
              </w:rPr>
            </w:pP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3,805</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4,238</w:t>
            </w: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Non-current income taxes payable</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112,809</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108,543</w:t>
            </w: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long-term portion</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389,750</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390,750</w:t>
            </w:r>
          </w:p>
        </w:tc>
      </w:tr>
      <w:tr>
        <w:trPr>
          <w:trHeight w:val="216"/>
        </w:trPr>
        <w:tc>
          <w:tcPr>
            <w:tcW w:w="712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53,775</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52,332</w:t>
            </w:r>
          </w:p>
        </w:tc>
      </w:tr>
      <w:tr>
        <w:trPr>
          <w:trHeight w:val="210"/>
        </w:trPr>
        <w:tc>
          <w:tcPr>
            <w:tcW w:w="7120" w:type="dxa"/>
            <w:vAlign w:val="bottom"/>
            <w:tcBorders>
              <w:top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w:t>
            </w:r>
          </w:p>
        </w:tc>
        <w:tc>
          <w:tcPr>
            <w:tcW w:w="11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1,071,873</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100" w:type="dxa"/>
            <w:vAlign w:val="bottom"/>
            <w:tcBorders>
              <w:top w:val="single" w:sz="8" w:color="CCEEFF"/>
            </w:tcBorders>
            <w:shd w:val="clear" w:color="auto" w:fill="CCEEFF"/>
          </w:tcPr>
          <w:p>
            <w:pPr>
              <w:spacing w:after="0"/>
              <w:rPr>
                <w:sz w:val="18"/>
                <w:szCs w:val="18"/>
                <w:color w:val="auto"/>
              </w:rPr>
            </w:pPr>
          </w:p>
        </w:tc>
      </w:tr>
      <w:tr>
        <w:trPr>
          <w:trHeight w:val="196"/>
        </w:trPr>
        <w:tc>
          <w:tcPr>
            <w:tcW w:w="7120" w:type="dxa"/>
            <w:vAlign w:val="bottom"/>
          </w:tcPr>
          <w:p>
            <w:pPr>
              <w:spacing w:after="0" w:line="196" w:lineRule="exact"/>
              <w:rPr>
                <w:sz w:val="20"/>
                <w:szCs w:val="20"/>
                <w:color w:val="auto"/>
              </w:rPr>
            </w:pPr>
            <w:r>
              <w:rPr>
                <w:rFonts w:ascii="Arial" w:cs="Arial" w:eastAsia="Arial" w:hAnsi="Arial"/>
                <w:sz w:val="18"/>
                <w:szCs w:val="18"/>
                <w:color w:val="auto"/>
              </w:rPr>
              <w:t>Commitments and contingencies (Note 7)</w:t>
            </w:r>
          </w:p>
        </w:tc>
        <w:tc>
          <w:tcPr>
            <w:tcW w:w="11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r>
      <w:tr>
        <w:trPr>
          <w:trHeight w:val="216"/>
        </w:trPr>
        <w:tc>
          <w:tcPr>
            <w:tcW w:w="71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Common stock</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1,206</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1,200</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Additional paid-in capital</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4,158,626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4,100,659</w:t>
            </w:r>
          </w:p>
        </w:tc>
      </w:tr>
      <w:tr>
        <w:trPr>
          <w:trHeight w:val="216"/>
        </w:trPr>
        <w:tc>
          <w:tcPr>
            <w:tcW w:w="7120" w:type="dxa"/>
            <w:vAlign w:val="bottom"/>
          </w:tcPr>
          <w:p>
            <w:pPr>
              <w:ind w:left="180"/>
              <w:spacing w:after="0"/>
              <w:rPr>
                <w:sz w:val="20"/>
                <w:szCs w:val="20"/>
                <w:color w:val="auto"/>
              </w:rPr>
            </w:pPr>
            <w:r>
              <w:rPr>
                <w:rFonts w:ascii="Arial" w:cs="Arial" w:eastAsia="Arial" w:hAnsi="Arial"/>
                <w:sz w:val="18"/>
                <w:szCs w:val="18"/>
                <w:color w:val="auto"/>
              </w:rPr>
              <w:t>Accumulated other comprehensive income (loss)</w:t>
            </w:r>
          </w:p>
        </w:tc>
        <w:tc>
          <w:tcPr>
            <w:tcW w:w="11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(1,083)</w:t>
            </w:r>
          </w:p>
        </w:tc>
        <w:tc>
          <w:tcPr>
            <w:tcW w:w="200" w:type="dxa"/>
            <w:vAlign w:val="bottom"/>
          </w:tcPr>
          <w:p>
            <w:pPr>
              <w:spacing w:after="0"/>
              <w:rPr>
                <w:sz w:val="18"/>
                <w:szCs w:val="18"/>
                <w:color w:val="auto"/>
              </w:rPr>
            </w:pPr>
          </w:p>
        </w:tc>
        <w:tc>
          <w:tcPr>
            <w:tcW w:w="1260" w:type="dxa"/>
            <w:vAlign w:val="bottom"/>
            <w:gridSpan w:val="2"/>
          </w:tcPr>
          <w:p>
            <w:pPr>
              <w:jc w:val="right"/>
              <w:ind w:right="100"/>
              <w:spacing w:after="0"/>
              <w:rPr>
                <w:sz w:val="20"/>
                <w:szCs w:val="20"/>
                <w:color w:val="auto"/>
              </w:rPr>
            </w:pPr>
            <w:r>
              <w:rPr>
                <w:rFonts w:ascii="Arial" w:cs="Arial" w:eastAsia="Arial" w:hAnsi="Arial"/>
                <w:sz w:val="18"/>
                <w:szCs w:val="18"/>
                <w:color w:val="auto"/>
              </w:rPr>
              <w:t>615</w:t>
            </w:r>
          </w:p>
        </w:tc>
      </w:tr>
      <w:tr>
        <w:trPr>
          <w:trHeight w:val="216"/>
        </w:trPr>
        <w:tc>
          <w:tcPr>
            <w:tcW w:w="71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11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(621,016)</w:t>
            </w:r>
          </w:p>
        </w:tc>
        <w:tc>
          <w:tcPr>
            <w:tcW w:w="2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(690,955)</w:t>
            </w:r>
          </w:p>
        </w:tc>
      </w:tr>
      <w:tr>
        <w:trPr>
          <w:trHeight w:val="210"/>
        </w:trPr>
        <w:tc>
          <w:tcPr>
            <w:tcW w:w="71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shareholders’ equity</w:t>
            </w:r>
          </w:p>
        </w:tc>
        <w:tc>
          <w:tcPr>
            <w:tcW w:w="118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3,537,733</w:t>
            </w:r>
          </w:p>
        </w:tc>
        <w:tc>
          <w:tcPr>
            <w:tcW w:w="28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Borders>
              <w:bottom w:val="single" w:sz="8" w:color="CCEEFF"/>
            </w:tcBorders>
          </w:tcPr>
          <w:p>
            <w:pPr>
              <w:spacing w:after="0"/>
              <w:rPr>
                <w:sz w:val="18"/>
                <w:szCs w:val="18"/>
                <w:color w:val="auto"/>
              </w:rPr>
            </w:pPr>
          </w:p>
        </w:tc>
      </w:tr>
      <w:tr>
        <w:trPr>
          <w:trHeight w:val="217"/>
        </w:trPr>
        <w:tc>
          <w:tcPr>
            <w:tcW w:w="712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Total liabilities and shareholders’ equity</w:t>
            </w:r>
          </w:p>
        </w:tc>
        <w:tc>
          <w:tcPr>
            <w:tcW w:w="118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4,609,606</w:t>
            </w:r>
          </w:p>
        </w:tc>
        <w:tc>
          <w:tcPr>
            <w:tcW w:w="280" w:type="dxa"/>
            <w:vAlign w:val="bottom"/>
            <w:tcBorders>
              <w:bottom w:val="single" w:sz="8" w:color="CCEEFF"/>
            </w:tcBorders>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Borders>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3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84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830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2"/>
          </w:tcPr>
          <w:p>
            <w:pPr>
              <w:jc w:val="center"/>
              <w:ind w:right="56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tcPr>
          <w:p>
            <w:pPr>
              <w:jc w:val="center"/>
              <w:ind w:right="184"/>
              <w:spacing w:after="0" w:line="119" w:lineRule="exact"/>
              <w:rPr>
                <w:sz w:val="20"/>
                <w:szCs w:val="20"/>
                <w:color w:val="auto"/>
              </w:rPr>
            </w:pPr>
            <w:r>
              <w:rPr>
                <w:rFonts w:ascii="Arial" w:cs="Arial" w:eastAsia="Arial" w:hAnsi="Arial"/>
                <w:sz w:val="13"/>
                <w:szCs w:val="13"/>
                <w:b w:val="1"/>
                <w:bCs w:val="1"/>
                <w:color w:val="auto"/>
              </w:rPr>
              <w:t>April 28,</w:t>
            </w:r>
          </w:p>
        </w:tc>
        <w:tc>
          <w:tcPr>
            <w:tcW w:w="100" w:type="dxa"/>
            <w:vAlign w:val="bottom"/>
          </w:tcPr>
          <w:p>
            <w:pPr>
              <w:spacing w:after="0"/>
              <w:rPr>
                <w:sz w:val="10"/>
                <w:szCs w:val="10"/>
                <w:color w:val="auto"/>
              </w:rPr>
            </w:pPr>
          </w:p>
        </w:tc>
      </w:tr>
      <w:tr>
        <w:trPr>
          <w:trHeight w:val="171"/>
        </w:trPr>
        <w:tc>
          <w:tcPr>
            <w:tcW w:w="830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65"/>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64"/>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210"/>
        </w:trPr>
        <w:tc>
          <w:tcPr>
            <w:tcW w:w="83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804,075</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635,050</w:t>
            </w:r>
          </w:p>
        </w:tc>
        <w:tc>
          <w:tcPr>
            <w:tcW w:w="100" w:type="dxa"/>
            <w:vAlign w:val="bottom"/>
            <w:shd w:val="clear" w:color="auto" w:fill="CCEEFF"/>
          </w:tcPr>
          <w:p>
            <w:pPr>
              <w:spacing w:after="0"/>
              <w:rPr>
                <w:sz w:val="18"/>
                <w:szCs w:val="18"/>
                <w:color w:val="auto"/>
              </w:rPr>
            </w:pPr>
          </w:p>
        </w:tc>
      </w:tr>
    </w:tbl>
    <w:p>
      <w:pPr>
        <w:spacing w:after="0"/>
        <w:rPr>
          <w:sz w:val="20"/>
          <w:szCs w:val="20"/>
          <w:color w:val="auto"/>
        </w:rPr>
      </w:pPr>
      <w:r>
        <w:rPr>
          <w:rFonts w:ascii="Arial" w:cs="Arial" w:eastAsia="Arial" w:hAnsi="Arial"/>
          <w:sz w:val="18"/>
          <w:szCs w:val="18"/>
          <w:color w:val="auto"/>
        </w:rPr>
        <w:t>Operating costs and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wp:posOffset>
            </wp:positionV>
            <wp:extent cx="7246620" cy="11303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113030"/>
                    </a:xfrm>
                    <a:prstGeom prst="rect">
                      <a:avLst/>
                    </a:prstGeom>
                    <a:noFill/>
                  </pic:spPr>
                </pic:pic>
              </a:graphicData>
            </a:graphic>
          </wp:anchor>
        </w:drawing>
      </w:r>
    </w:p>
    <w:p>
      <w:pPr>
        <w:sectPr>
          <w:pgSz w:w="11900" w:h="16838" w:orient="portrait"/>
          <w:cols w:equalWidth="0" w:num="1">
            <w:col w:w="11460"/>
          </w:cols>
          <w:pgMar w:left="240" w:top="108" w:right="199" w:bottom="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388,842</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327,417</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238,475</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234,133</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46,088</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50,392</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12,951</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23,988</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35,247</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37,320</w:t>
            </w:r>
          </w:p>
        </w:tc>
        <w:tc>
          <w:tcPr>
            <w:tcW w:w="40" w:type="dxa"/>
            <w:vAlign w:val="bottom"/>
          </w:tcPr>
          <w:p>
            <w:pPr>
              <w:spacing w:after="0"/>
              <w:rPr>
                <w:sz w:val="18"/>
                <w:szCs w:val="18"/>
                <w:color w:val="auto"/>
              </w:rPr>
            </w:pPr>
          </w:p>
        </w:tc>
      </w:tr>
      <w:tr>
        <w:trPr>
          <w:trHeight w:val="210"/>
        </w:trPr>
        <w:tc>
          <w:tcPr>
            <w:tcW w:w="78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44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721,603</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673,250</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82,472</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(38,200)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3,192</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1,319</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(7,151)</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(9,975)</w:t>
            </w:r>
          </w:p>
        </w:tc>
        <w:tc>
          <w:tcPr>
            <w:tcW w:w="40" w:type="dxa"/>
            <w:vAlign w:val="bottom"/>
          </w:tcPr>
          <w:p>
            <w:pPr>
              <w:spacing w:after="0"/>
              <w:rPr>
                <w:sz w:val="18"/>
                <w:szCs w:val="18"/>
                <w:color w:val="auto"/>
              </w:rPr>
            </w:pPr>
          </w:p>
        </w:tc>
      </w:tr>
      <w:tr>
        <w:trPr>
          <w:trHeight w:val="210"/>
        </w:trPr>
        <w:tc>
          <w:tcPr>
            <w:tcW w:w="786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440" w:type="dxa"/>
            <w:vAlign w:val="bottom"/>
          </w:tcPr>
          <w:p>
            <w:pPr>
              <w:spacing w:after="0"/>
              <w:rPr>
                <w:sz w:val="18"/>
                <w:szCs w:val="18"/>
                <w:color w:val="auto"/>
              </w:rPr>
            </w:pPr>
          </w:p>
        </w:tc>
        <w:tc>
          <w:tcPr>
            <w:tcW w:w="280" w:type="dxa"/>
            <w:vAlign w:val="bottom"/>
            <w:tcBorders>
              <w:top w:val="single" w:sz="8" w:color="auto"/>
            </w:tcBorders>
          </w:tcPr>
          <w:p>
            <w:pPr>
              <w:spacing w:after="0"/>
              <w:rPr>
                <w:sz w:val="18"/>
                <w:szCs w:val="18"/>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78,513</w:t>
            </w:r>
          </w:p>
        </w:tc>
        <w:tc>
          <w:tcPr>
            <w:tcW w:w="28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(46,856)</w:t>
            </w: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8,574</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5,972</w:t>
            </w:r>
          </w:p>
        </w:tc>
        <w:tc>
          <w:tcPr>
            <w:tcW w:w="40" w:type="dxa"/>
            <w:vAlign w:val="bottom"/>
          </w:tcPr>
          <w:p>
            <w:pPr>
              <w:spacing w:after="0"/>
              <w:rPr>
                <w:sz w:val="18"/>
                <w:szCs w:val="18"/>
                <w:color w:val="auto"/>
              </w:rPr>
            </w:pPr>
          </w:p>
        </w:tc>
      </w:tr>
      <w:tr>
        <w:trPr>
          <w:trHeight w:val="217"/>
        </w:trPr>
        <w:tc>
          <w:tcPr>
            <w:tcW w:w="786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Net income (loss)</w:t>
            </w:r>
          </w:p>
        </w:tc>
        <w:tc>
          <w:tcPr>
            <w:tcW w:w="44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69,939</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(52,828)</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03"/>
        </w:trPr>
        <w:tc>
          <w:tcPr>
            <w:tcW w:w="78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 (loss) per share:</w:t>
            </w:r>
          </w:p>
        </w:tc>
        <w:tc>
          <w:tcPr>
            <w:tcW w:w="4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23"/>
        </w:trPr>
        <w:tc>
          <w:tcPr>
            <w:tcW w:w="7860" w:type="dxa"/>
            <w:vAlign w:val="bottom"/>
          </w:tcPr>
          <w:p>
            <w:pPr>
              <w:ind w:left="180"/>
              <w:spacing w:after="0"/>
              <w:rPr>
                <w:sz w:val="20"/>
                <w:szCs w:val="20"/>
                <w:color w:val="auto"/>
              </w:rPr>
            </w:pPr>
            <w:r>
              <w:rPr>
                <w:rFonts w:ascii="Arial" w:cs="Arial" w:eastAsia="Arial" w:hAnsi="Arial"/>
                <w:sz w:val="18"/>
                <w:szCs w:val="18"/>
                <w:color w:val="auto"/>
              </w:rPr>
              <w:t>Basic</w:t>
            </w:r>
          </w:p>
        </w:tc>
        <w:tc>
          <w:tcPr>
            <w:tcW w:w="72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0.12</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(0.09)</w:t>
            </w:r>
          </w:p>
        </w:tc>
        <w:tc>
          <w:tcPr>
            <w:tcW w:w="40" w:type="dxa"/>
            <w:vAlign w:val="bottom"/>
          </w:tcPr>
          <w:p>
            <w:pPr>
              <w:spacing w:after="0"/>
              <w:rPr>
                <w:sz w:val="19"/>
                <w:szCs w:val="19"/>
                <w:color w:val="auto"/>
              </w:rPr>
            </w:pPr>
          </w:p>
        </w:tc>
      </w:tr>
      <w:tr>
        <w:trPr>
          <w:trHeight w:val="236"/>
        </w:trPr>
        <w:tc>
          <w:tcPr>
            <w:tcW w:w="786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440" w:type="dxa"/>
            <w:vAlign w:val="bottom"/>
            <w:tcBorders>
              <w:top w:val="single" w:sz="8" w:color="CCEEFF"/>
              <w:bottom w:val="single" w:sz="8" w:color="CCEEFF"/>
            </w:tcBorders>
            <w:shd w:val="clear" w:color="auto" w:fill="CCEEFF"/>
          </w:tcPr>
          <w:p>
            <w:pPr>
              <w:spacing w:after="0"/>
              <w:rPr>
                <w:sz w:val="20"/>
                <w:szCs w:val="20"/>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280" w:type="dxa"/>
            <w:vAlign w:val="bottom"/>
            <w:tcBorders>
              <w:top w:val="single" w:sz="8" w:color="CCEEFF"/>
              <w:bottom w:val="single" w:sz="8" w:color="CCEEFF"/>
            </w:tcBorders>
            <w:shd w:val="clear" w:color="auto" w:fill="CCEEFF"/>
          </w:tcPr>
          <w:p>
            <w:pPr>
              <w:spacing w:after="0"/>
              <w:rPr>
                <w:sz w:val="20"/>
                <w:szCs w:val="20"/>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Borders>
              <w:top w:val="single" w:sz="8" w:color="CCEEFF"/>
              <w:bottom w:val="single" w:sz="8" w:color="CCEEFF"/>
            </w:tcBorders>
            <w:shd w:val="clear" w:color="auto" w:fill="CCEEFF"/>
          </w:tcPr>
          <w:p>
            <w:pPr>
              <w:spacing w:after="0"/>
              <w:rPr>
                <w:sz w:val="20"/>
                <w:szCs w:val="20"/>
                <w:color w:val="auto"/>
              </w:rPr>
            </w:pPr>
          </w:p>
        </w:tc>
        <w:tc>
          <w:tcPr>
            <w:tcW w:w="40" w:type="dxa"/>
            <w:vAlign w:val="bottom"/>
          </w:tcPr>
          <w:p>
            <w:pPr>
              <w:spacing w:after="0"/>
              <w:rPr>
                <w:sz w:val="20"/>
                <w:szCs w:val="20"/>
                <w:color w:val="auto"/>
              </w:rPr>
            </w:pPr>
          </w:p>
        </w:tc>
      </w:tr>
      <w:tr>
        <w:trPr>
          <w:trHeight w:val="190"/>
        </w:trPr>
        <w:tc>
          <w:tcPr>
            <w:tcW w:w="7860" w:type="dxa"/>
            <w:vAlign w:val="bottom"/>
          </w:tcPr>
          <w:p>
            <w:pPr>
              <w:spacing w:after="0" w:line="189" w:lineRule="exact"/>
              <w:rPr>
                <w:sz w:val="20"/>
                <w:szCs w:val="20"/>
                <w:color w:val="auto"/>
              </w:rPr>
            </w:pPr>
            <w:r>
              <w:rPr>
                <w:rFonts w:ascii="Arial" w:cs="Arial" w:eastAsia="Arial" w:hAnsi="Arial"/>
                <w:sz w:val="18"/>
                <w:szCs w:val="18"/>
                <w:color w:val="auto"/>
              </w:rPr>
              <w:t>Weighted average shares:</w:t>
            </w:r>
          </w:p>
        </w:tc>
        <w:tc>
          <w:tcPr>
            <w:tcW w:w="4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r>
      <w:tr>
        <w:trPr>
          <w:trHeight w:val="23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44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601,222</w:t>
            </w:r>
          </w:p>
        </w:tc>
        <w:tc>
          <w:tcPr>
            <w:tcW w:w="240" w:type="dxa"/>
            <w:vAlign w:val="bottom"/>
            <w:shd w:val="clear" w:color="auto" w:fill="CCEEFF"/>
          </w:tcPr>
          <w:p>
            <w:pPr>
              <w:spacing w:after="0"/>
              <w:rPr>
                <w:sz w:val="20"/>
                <w:szCs w:val="20"/>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587,426</w:t>
            </w:r>
          </w:p>
        </w:tc>
        <w:tc>
          <w:tcPr>
            <w:tcW w:w="40" w:type="dxa"/>
            <w:vAlign w:val="bottom"/>
          </w:tcPr>
          <w:p>
            <w:pPr>
              <w:spacing w:after="0"/>
              <w:rPr>
                <w:sz w:val="20"/>
                <w:szCs w:val="20"/>
                <w:color w:val="auto"/>
              </w:rPr>
            </w:pPr>
          </w:p>
        </w:tc>
      </w:tr>
      <w:tr>
        <w:trPr>
          <w:trHeight w:val="210"/>
        </w:trPr>
        <w:tc>
          <w:tcPr>
            <w:tcW w:w="7860" w:type="dxa"/>
            <w:vAlign w:val="bottom"/>
            <w:tcBorders>
              <w:top w:val="single" w:sz="8" w:color="CCEEFF"/>
            </w:tcBorders>
          </w:tcPr>
          <w:p>
            <w:pPr>
              <w:ind w:left="180"/>
              <w:spacing w:after="0" w:line="203" w:lineRule="exact"/>
              <w:rPr>
                <w:sz w:val="20"/>
                <w:szCs w:val="20"/>
                <w:color w:val="auto"/>
              </w:rPr>
            </w:pPr>
            <w:r>
              <w:rPr>
                <w:rFonts w:ascii="Arial" w:cs="Arial" w:eastAsia="Arial" w:hAnsi="Arial"/>
                <w:sz w:val="18"/>
                <w:szCs w:val="18"/>
                <w:color w:val="auto"/>
              </w:rPr>
              <w:t>Diluted</w:t>
            </w:r>
          </w:p>
        </w:tc>
        <w:tc>
          <w:tcPr>
            <w:tcW w:w="440" w:type="dxa"/>
            <w:vAlign w:val="bottom"/>
            <w:tcBorders>
              <w:top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624,351</w:t>
            </w:r>
          </w:p>
        </w:tc>
        <w:tc>
          <w:tcPr>
            <w:tcW w:w="280" w:type="dxa"/>
            <w:vAlign w:val="bottom"/>
            <w:tcBorders>
              <w:top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587,426</w:t>
            </w:r>
          </w:p>
        </w:tc>
        <w:tc>
          <w:tcPr>
            <w:tcW w:w="100" w:type="dxa"/>
            <w:vAlign w:val="bottom"/>
            <w:tcBorders>
              <w:top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432"/>
        </w:trPr>
        <w:tc>
          <w:tcPr>
            <w:tcW w:w="9960" w:type="dxa"/>
            <w:vAlign w:val="bottom"/>
            <w:gridSpan w:val="5"/>
          </w:tcPr>
          <w:p>
            <w:pPr>
              <w:jc w:val="center"/>
              <w:ind w:left="1390"/>
              <w:spacing w:after="0"/>
              <w:rPr>
                <w:sz w:val="20"/>
                <w:szCs w:val="20"/>
                <w:color w:val="auto"/>
              </w:rPr>
            </w:pPr>
            <w:r>
              <w:rPr>
                <w:rFonts w:ascii="Arial" w:cs="Arial" w:eastAsia="Arial" w:hAnsi="Arial"/>
                <w:sz w:val="18"/>
                <w:szCs w:val="18"/>
                <w:b w:val="1"/>
                <w:bCs w:val="1"/>
                <w:color w:val="auto"/>
                <w:w w:val="87"/>
              </w:rPr>
              <w:t>See accompanying notes to unaudited condensed consolidated financial statements.</w:t>
            </w: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7860" w:type="dxa"/>
            <w:vAlign w:val="bottom"/>
          </w:tcPr>
          <w:p>
            <w:pPr>
              <w:jc w:val="center"/>
              <w:ind w:left="3470"/>
              <w:spacing w:after="0"/>
              <w:rPr>
                <w:sz w:val="20"/>
                <w:szCs w:val="20"/>
                <w:color w:val="auto"/>
              </w:rPr>
            </w:pPr>
            <w:r>
              <w:rPr>
                <w:rFonts w:ascii="Arial" w:cs="Arial" w:eastAsia="Arial" w:hAnsi="Arial"/>
                <w:sz w:val="18"/>
                <w:szCs w:val="18"/>
                <w:color w:val="auto"/>
                <w:w w:val="99"/>
              </w:rPr>
              <w:t>4</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7860" w:type="dxa"/>
            <w:vAlign w:val="bottom"/>
            <w:tcBorders>
              <w:bottom w:val="single" w:sz="8" w:color="010101"/>
            </w:tcBorders>
          </w:tcPr>
          <w:p>
            <w:pPr>
              <w:spacing w:after="0"/>
              <w:rPr>
                <w:sz w:val="11"/>
                <w:szCs w:val="11"/>
                <w:color w:val="auto"/>
              </w:rPr>
            </w:pPr>
          </w:p>
        </w:tc>
        <w:tc>
          <w:tcPr>
            <w:tcW w:w="44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10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12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62"/>
        </w:trPr>
        <w:tc>
          <w:tcPr>
            <w:tcW w:w="7860" w:type="dxa"/>
            <w:vAlign w:val="bottom"/>
          </w:tcPr>
          <w:p>
            <w:pPr>
              <w:jc w:val="center"/>
              <w:ind w:left="3490"/>
              <w:spacing w:after="0"/>
              <w:rPr>
                <w:sz w:val="20"/>
                <w:szCs w:val="20"/>
                <w:color w:val="auto"/>
              </w:rPr>
            </w:pPr>
            <w:r>
              <w:rPr>
                <w:rFonts w:ascii="Arial" w:cs="Arial" w:eastAsia="Arial" w:hAnsi="Arial"/>
                <w:sz w:val="18"/>
                <w:szCs w:val="18"/>
                <w:b w:val="1"/>
                <w:bCs w:val="1"/>
                <w:color w:val="auto"/>
              </w:rPr>
              <w:t>MARVELL TECHNOLOGY GROUP LTD.</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9960" w:type="dxa"/>
            <w:vAlign w:val="bottom"/>
            <w:gridSpan w:val="5"/>
          </w:tcPr>
          <w:p>
            <w:pPr>
              <w:jc w:val="center"/>
              <w:ind w:left="1370"/>
              <w:spacing w:after="0"/>
              <w:rPr>
                <w:sz w:val="20"/>
                <w:szCs w:val="20"/>
                <w:color w:val="auto"/>
              </w:rPr>
            </w:pPr>
            <w:r>
              <w:rPr>
                <w:rFonts w:ascii="Arial" w:cs="Arial" w:eastAsia="Arial" w:hAnsi="Arial"/>
                <w:sz w:val="18"/>
                <w:szCs w:val="18"/>
                <w:b w:val="1"/>
                <w:bCs w:val="1"/>
                <w:color w:val="auto"/>
                <w:w w:val="99"/>
              </w:rPr>
              <w:t>UNAUDITED CONDENSED CONSOLIDATED STATEMENTS OF CASH FLOWS</w:t>
            </w: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34"/>
        </w:trPr>
        <w:tc>
          <w:tcPr>
            <w:tcW w:w="7860" w:type="dxa"/>
            <w:vAlign w:val="bottom"/>
          </w:tcPr>
          <w:p>
            <w:pPr>
              <w:jc w:val="center"/>
              <w:ind w:left="3490"/>
              <w:spacing w:after="0"/>
              <w:rPr>
                <w:sz w:val="20"/>
                <w:szCs w:val="20"/>
                <w:color w:val="auto"/>
              </w:rPr>
            </w:pPr>
            <w:r>
              <w:rPr>
                <w:rFonts w:ascii="Arial" w:cs="Arial" w:eastAsia="Arial" w:hAnsi="Arial"/>
                <w:sz w:val="18"/>
                <w:szCs w:val="18"/>
                <w:b w:val="1"/>
                <w:bCs w:val="1"/>
                <w:color w:val="auto"/>
                <w:w w:val="90"/>
              </w:rPr>
              <w:t>(In thousands)</w:t>
            </w:r>
          </w:p>
        </w:tc>
        <w:tc>
          <w:tcPr>
            <w:tcW w:w="4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65"/>
        </w:trPr>
        <w:tc>
          <w:tcPr>
            <w:tcW w:w="78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4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40" w:type="dxa"/>
            <w:vAlign w:val="bottom"/>
          </w:tcPr>
          <w:p>
            <w:pPr>
              <w:spacing w:after="0"/>
              <w:rPr>
                <w:sz w:val="24"/>
                <w:szCs w:val="24"/>
                <w:color w:val="auto"/>
              </w:rPr>
            </w:pPr>
          </w:p>
        </w:tc>
      </w:tr>
      <w:tr>
        <w:trPr>
          <w:trHeight w:val="119"/>
        </w:trPr>
        <w:tc>
          <w:tcPr>
            <w:tcW w:w="78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80" w:type="dxa"/>
            <w:vAlign w:val="bottom"/>
            <w:tcBorders>
              <w:top w:val="single" w:sz="8" w:color="auto"/>
            </w:tcBorders>
          </w:tcPr>
          <w:p>
            <w:pPr>
              <w:spacing w:after="0"/>
              <w:rPr>
                <w:sz w:val="10"/>
                <w:szCs w:val="10"/>
                <w:color w:val="auto"/>
              </w:rPr>
            </w:pPr>
          </w:p>
        </w:tc>
        <w:tc>
          <w:tcPr>
            <w:tcW w:w="1380" w:type="dxa"/>
            <w:vAlign w:val="bottom"/>
            <w:tcBorders>
              <w:top w:val="single" w:sz="8" w:color="auto"/>
            </w:tcBorders>
            <w:gridSpan w:val="2"/>
          </w:tcPr>
          <w:p>
            <w:pPr>
              <w:jc w:val="right"/>
              <w:ind w:right="76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120" w:type="dxa"/>
            <w:vAlign w:val="bottom"/>
            <w:tcBorders>
              <w:top w:val="single" w:sz="8" w:color="auto"/>
            </w:tcBorders>
          </w:tcPr>
          <w:p>
            <w:pPr>
              <w:jc w:val="right"/>
              <w:ind w:right="331"/>
              <w:spacing w:after="0" w:line="119" w:lineRule="exact"/>
              <w:rPr>
                <w:sz w:val="20"/>
                <w:szCs w:val="20"/>
                <w:color w:val="auto"/>
              </w:rPr>
            </w:pPr>
            <w:r>
              <w:rPr>
                <w:rFonts w:ascii="Arial" w:cs="Arial" w:eastAsia="Arial" w:hAnsi="Arial"/>
                <w:sz w:val="13"/>
                <w:szCs w:val="13"/>
                <w:b w:val="1"/>
                <w:bCs w:val="1"/>
                <w:color w:val="auto"/>
              </w:rPr>
              <w:t>April 28,</w:t>
            </w:r>
          </w:p>
        </w:tc>
        <w:tc>
          <w:tcPr>
            <w:tcW w:w="100" w:type="dxa"/>
            <w:vAlign w:val="bottom"/>
          </w:tcPr>
          <w:p>
            <w:pPr>
              <w:spacing w:after="0"/>
              <w:rPr>
                <w:sz w:val="10"/>
                <w:szCs w:val="10"/>
                <w:color w:val="auto"/>
              </w:rPr>
            </w:pPr>
          </w:p>
        </w:tc>
        <w:tc>
          <w:tcPr>
            <w:tcW w:w="40" w:type="dxa"/>
            <w:vAlign w:val="bottom"/>
          </w:tcPr>
          <w:p>
            <w:pPr>
              <w:spacing w:after="0"/>
              <w:rPr>
                <w:sz w:val="10"/>
                <w:szCs w:val="10"/>
                <w:color w:val="auto"/>
              </w:rPr>
            </w:pPr>
          </w:p>
        </w:tc>
      </w:tr>
      <w:tr>
        <w:trPr>
          <w:trHeight w:val="171"/>
        </w:trPr>
        <w:tc>
          <w:tcPr>
            <w:tcW w:w="7860" w:type="dxa"/>
            <w:vAlign w:val="bottom"/>
            <w:tcBorders>
              <w:bottom w:val="single" w:sz="8" w:color="CCEEFF"/>
            </w:tcBorders>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10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c>
          <w:tcPr>
            <w:tcW w:w="40" w:type="dxa"/>
            <w:vAlign w:val="bottom"/>
          </w:tcPr>
          <w:p>
            <w:pPr>
              <w:spacing w:after="0"/>
              <w:rPr>
                <w:sz w:val="14"/>
                <w:szCs w:val="14"/>
                <w:color w:val="auto"/>
              </w:rPr>
            </w:pPr>
          </w:p>
        </w:tc>
      </w:tr>
      <w:tr>
        <w:trPr>
          <w:trHeight w:val="196"/>
        </w:trPr>
        <w:tc>
          <w:tcPr>
            <w:tcW w:w="7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4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Net income (loss)</w:t>
            </w:r>
          </w:p>
        </w:tc>
        <w:tc>
          <w:tcPr>
            <w:tcW w:w="720" w:type="dxa"/>
            <w:vAlign w:val="bottom"/>
            <w:gridSpan w:val="2"/>
          </w:tcPr>
          <w:p>
            <w:pPr>
              <w:jc w:val="right"/>
              <w:ind w:right="9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69,939</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(52,828)</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Depreciation and amortization</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28,618</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26,530</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Stock-based compensation</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45,226</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46,768</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35,247</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37,320</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Fair market value adjustment to Intel inventory sold</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(6,383)</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(33,756)</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Interest expense related to supply contract</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1,560</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(169)</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Changes in assets and liabilities, net of assets acquired and liabilities assumed in acquisitions: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Restricted cash</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(24,500)</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786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(38,152)</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45,418</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55,918</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(28,688)</w:t>
            </w:r>
          </w:p>
        </w:tc>
        <w:tc>
          <w:tcPr>
            <w:tcW w:w="40" w:type="dxa"/>
            <w:vAlign w:val="bottom"/>
          </w:tcPr>
          <w:p>
            <w:pPr>
              <w:spacing w:after="0"/>
              <w:rPr>
                <w:sz w:val="18"/>
                <w:szCs w:val="18"/>
                <w:color w:val="auto"/>
              </w:rPr>
            </w:pPr>
          </w:p>
        </w:tc>
      </w:tr>
      <w:tr>
        <w:trPr>
          <w:trHeight w:val="216"/>
        </w:trPr>
        <w:tc>
          <w:tcPr>
            <w:tcW w:w="7860" w:type="dxa"/>
            <w:vAlign w:val="bottom"/>
          </w:tcPr>
          <w:p>
            <w:pPr>
              <w:ind w:left="360"/>
              <w:spacing w:after="0"/>
              <w:rPr>
                <w:sz w:val="20"/>
                <w:szCs w:val="20"/>
                <w:color w:val="auto"/>
              </w:rPr>
            </w:pPr>
            <w:r>
              <w:rPr>
                <w:rFonts w:ascii="Arial" w:cs="Arial" w:eastAsia="Arial" w:hAnsi="Arial"/>
                <w:sz w:val="18"/>
                <w:szCs w:val="18"/>
                <w:color w:val="auto"/>
              </w:rPr>
              <w:t>Prepaid expenses and other assets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32,466</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11,820</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(63,076)</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16,985</w:t>
            </w:r>
          </w:p>
        </w:tc>
        <w:tc>
          <w:tcPr>
            <w:tcW w:w="40" w:type="dxa"/>
            <w:vAlign w:val="bottom"/>
          </w:tcPr>
          <w:p>
            <w:pPr>
              <w:spacing w:after="0"/>
              <w:rPr>
                <w:sz w:val="18"/>
                <w:szCs w:val="18"/>
                <w:color w:val="auto"/>
              </w:rPr>
            </w:pPr>
          </w:p>
        </w:tc>
      </w:tr>
      <w:tr>
        <w:trPr>
          <w:trHeight w:val="216"/>
        </w:trPr>
        <w:tc>
          <w:tcPr>
            <w:tcW w:w="7860" w:type="dxa"/>
            <w:vAlign w:val="bottom"/>
          </w:tcPr>
          <w:p>
            <w:pPr>
              <w:ind w:left="360"/>
              <w:spacing w:after="0"/>
              <w:rPr>
                <w:sz w:val="20"/>
                <w:szCs w:val="20"/>
                <w:color w:val="auto"/>
              </w:rPr>
            </w:pPr>
            <w:r>
              <w:rPr>
                <w:rFonts w:ascii="Arial" w:cs="Arial" w:eastAsia="Arial" w:hAnsi="Arial"/>
                <w:sz w:val="18"/>
                <w:szCs w:val="18"/>
                <w:color w:val="auto"/>
              </w:rPr>
              <w:t>Accrued liabilities and other</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(18,807)</w:t>
            </w:r>
          </w:p>
        </w:tc>
        <w:tc>
          <w:tcPr>
            <w:tcW w:w="24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(26,447)</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16,963</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1,282</w:t>
            </w:r>
          </w:p>
        </w:tc>
        <w:tc>
          <w:tcPr>
            <w:tcW w:w="40" w:type="dxa"/>
            <w:vAlign w:val="bottom"/>
          </w:tcPr>
          <w:p>
            <w:pPr>
              <w:spacing w:after="0"/>
              <w:rPr>
                <w:sz w:val="18"/>
                <w:szCs w:val="18"/>
                <w:color w:val="auto"/>
              </w:rPr>
            </w:pPr>
          </w:p>
        </w:tc>
      </w:tr>
      <w:tr>
        <w:trPr>
          <w:trHeight w:val="216"/>
        </w:trPr>
        <w:tc>
          <w:tcPr>
            <w:tcW w:w="7860" w:type="dxa"/>
            <w:vAlign w:val="bottom"/>
          </w:tcPr>
          <w:p>
            <w:pPr>
              <w:ind w:left="360"/>
              <w:spacing w:after="0"/>
              <w:rPr>
                <w:sz w:val="20"/>
                <w:szCs w:val="20"/>
                <w:color w:val="auto"/>
              </w:rPr>
            </w:pPr>
            <w:r>
              <w:rPr>
                <w:rFonts w:ascii="Arial" w:cs="Arial" w:eastAsia="Arial" w:hAnsi="Arial"/>
                <w:sz w:val="18"/>
                <w:szCs w:val="18"/>
                <w:color w:val="auto"/>
              </w:rPr>
              <w:t>Income taxes payable</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6,656</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2,608</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(9,753)</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5,602</w:t>
            </w:r>
          </w:p>
        </w:tc>
        <w:tc>
          <w:tcPr>
            <w:tcW w:w="40" w:type="dxa"/>
            <w:vAlign w:val="bottom"/>
          </w:tcPr>
          <w:p>
            <w:pPr>
              <w:spacing w:after="0"/>
              <w:rPr>
                <w:sz w:val="18"/>
                <w:szCs w:val="18"/>
                <w:color w:val="auto"/>
              </w:rPr>
            </w:pPr>
          </w:p>
        </w:tc>
      </w:tr>
      <w:tr>
        <w:trPr>
          <w:trHeight w:val="210"/>
        </w:trPr>
        <w:tc>
          <w:tcPr>
            <w:tcW w:w="786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operating activities</w:t>
            </w:r>
          </w:p>
        </w:tc>
        <w:tc>
          <w:tcPr>
            <w:tcW w:w="44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130,193</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54,174</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196"/>
        </w:trPr>
        <w:tc>
          <w:tcPr>
            <w:tcW w:w="7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investing activities:</w:t>
            </w:r>
          </w:p>
        </w:tc>
        <w:tc>
          <w:tcPr>
            <w:tcW w:w="4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Purchases of investments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(10,126)</w:t>
            </w:r>
          </w:p>
        </w:tc>
        <w:tc>
          <w:tcPr>
            <w:tcW w:w="24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(107,953)</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Sales and maturities of investments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23,793</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8,018</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Acquisition costs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(974)</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Purchases of technology licenses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(15,700)</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Purchases of property and equipment</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(30,522)</w:t>
            </w:r>
          </w:p>
        </w:tc>
        <w:tc>
          <w:tcPr>
            <w:tcW w:w="24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(35,282)</w:t>
            </w:r>
          </w:p>
        </w:tc>
        <w:tc>
          <w:tcPr>
            <w:tcW w:w="40" w:type="dxa"/>
            <w:vAlign w:val="bottom"/>
          </w:tcPr>
          <w:p>
            <w:pPr>
              <w:spacing w:after="0"/>
              <w:rPr>
                <w:sz w:val="18"/>
                <w:szCs w:val="18"/>
                <w:color w:val="auto"/>
              </w:rPr>
            </w:pPr>
          </w:p>
        </w:tc>
      </w:tr>
      <w:tr>
        <w:trPr>
          <w:trHeight w:val="210"/>
        </w:trPr>
        <w:tc>
          <w:tcPr>
            <w:tcW w:w="7860" w:type="dxa"/>
            <w:vAlign w:val="bottom"/>
            <w:tcBorders>
              <w:top w:val="single" w:sz="8" w:color="CCEEFF"/>
            </w:tcBorders>
            <w:shd w:val="clear" w:color="auto" w:fill="CCEEFF"/>
          </w:tcPr>
          <w:p>
            <w:pPr>
              <w:ind w:left="540"/>
              <w:spacing w:after="0"/>
              <w:rPr>
                <w:sz w:val="20"/>
                <w:szCs w:val="20"/>
                <w:color w:val="auto"/>
              </w:rPr>
            </w:pPr>
            <w:r>
              <w:rPr>
                <w:rFonts w:ascii="Arial" w:cs="Arial" w:eastAsia="Arial" w:hAnsi="Arial"/>
                <w:sz w:val="18"/>
                <w:szCs w:val="18"/>
                <w:color w:val="auto"/>
              </w:rPr>
              <w:t>Net cash used in investing activities</w:t>
            </w:r>
          </w:p>
        </w:tc>
        <w:tc>
          <w:tcPr>
            <w:tcW w:w="4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(16,855)</w:t>
            </w:r>
          </w:p>
        </w:tc>
        <w:tc>
          <w:tcPr>
            <w:tcW w:w="28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(151,891)</w:t>
            </w: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196"/>
        </w:trPr>
        <w:tc>
          <w:tcPr>
            <w:tcW w:w="7860" w:type="dxa"/>
            <w:vAlign w:val="bottom"/>
          </w:tcPr>
          <w:p>
            <w:pPr>
              <w:spacing w:after="0" w:line="196" w:lineRule="exact"/>
              <w:rPr>
                <w:sz w:val="20"/>
                <w:szCs w:val="20"/>
                <w:color w:val="auto"/>
              </w:rPr>
            </w:pPr>
            <w:r>
              <w:rPr>
                <w:rFonts w:ascii="Arial" w:cs="Arial" w:eastAsia="Arial" w:hAnsi="Arial"/>
                <w:sz w:val="18"/>
                <w:szCs w:val="18"/>
                <w:b w:val="1"/>
                <w:bCs w:val="1"/>
                <w:color w:val="auto"/>
              </w:rPr>
              <w:t>Cash flows from financing activities:</w:t>
            </w:r>
          </w:p>
        </w:tc>
        <w:tc>
          <w:tcPr>
            <w:tcW w:w="4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0" w:type="dxa"/>
            <w:vAlign w:val="bottom"/>
          </w:tcPr>
          <w:p>
            <w:pPr>
              <w:spacing w:after="0"/>
              <w:rPr>
                <w:sz w:val="17"/>
                <w:szCs w:val="17"/>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Proceeds from the issuance of common shares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17,054</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6"/>
        </w:trPr>
        <w:tc>
          <w:tcPr>
            <w:tcW w:w="7860" w:type="dxa"/>
            <w:vAlign w:val="bottom"/>
          </w:tcPr>
          <w:p>
            <w:pPr>
              <w:ind w:left="180"/>
              <w:spacing w:after="0"/>
              <w:rPr>
                <w:sz w:val="20"/>
                <w:szCs w:val="20"/>
                <w:color w:val="auto"/>
              </w:rPr>
            </w:pPr>
            <w:r>
              <w:rPr>
                <w:rFonts w:ascii="Arial" w:cs="Arial" w:eastAsia="Arial" w:hAnsi="Arial"/>
                <w:sz w:val="18"/>
                <w:szCs w:val="18"/>
                <w:color w:val="auto"/>
              </w:rPr>
              <w:t>Principal payments on capital lease and debt obligations</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20"/>
              <w:spacing w:after="0"/>
              <w:rPr>
                <w:sz w:val="20"/>
                <w:szCs w:val="20"/>
                <w:color w:val="auto"/>
              </w:rPr>
            </w:pPr>
            <w:r>
              <w:rPr>
                <w:rFonts w:ascii="Arial" w:cs="Arial" w:eastAsia="Arial" w:hAnsi="Arial"/>
                <w:sz w:val="18"/>
                <w:szCs w:val="18"/>
                <w:color w:val="auto"/>
              </w:rPr>
              <w:t>(2,125)</w:t>
            </w:r>
          </w:p>
        </w:tc>
        <w:tc>
          <w:tcPr>
            <w:tcW w:w="240" w:type="dxa"/>
            <w:vAlign w:val="bottom"/>
          </w:tcPr>
          <w:p>
            <w:pPr>
              <w:spacing w:after="0"/>
              <w:rPr>
                <w:sz w:val="18"/>
                <w:szCs w:val="18"/>
                <w:color w:val="auto"/>
              </w:rPr>
            </w:pPr>
          </w:p>
        </w:tc>
        <w:tc>
          <w:tcPr>
            <w:tcW w:w="1220" w:type="dxa"/>
            <w:vAlign w:val="bottom"/>
            <w:gridSpan w:val="2"/>
          </w:tcPr>
          <w:p>
            <w:pPr>
              <w:jc w:val="right"/>
              <w:ind w:right="40"/>
              <w:spacing w:after="0"/>
              <w:rPr>
                <w:sz w:val="20"/>
                <w:szCs w:val="20"/>
                <w:color w:val="auto"/>
              </w:rPr>
            </w:pPr>
            <w:r>
              <w:rPr>
                <w:rFonts w:ascii="Arial" w:cs="Arial" w:eastAsia="Arial" w:hAnsi="Arial"/>
                <w:sz w:val="18"/>
                <w:szCs w:val="18"/>
                <w:color w:val="auto"/>
              </w:rPr>
              <w:t>(5,793)</w:t>
            </w:r>
          </w:p>
        </w:tc>
        <w:tc>
          <w:tcPr>
            <w:tcW w:w="40" w:type="dxa"/>
            <w:vAlign w:val="bottom"/>
          </w:tcPr>
          <w:p>
            <w:pPr>
              <w:spacing w:after="0"/>
              <w:rPr>
                <w:sz w:val="18"/>
                <w:szCs w:val="18"/>
                <w:color w:val="auto"/>
              </w:rPr>
            </w:pPr>
          </w:p>
        </w:tc>
      </w:tr>
      <w:tr>
        <w:trPr>
          <w:trHeight w:val="216"/>
        </w:trPr>
        <w:tc>
          <w:tcPr>
            <w:tcW w:w="78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Excess tax benefits from stock-based compensation</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169</w:t>
            </w:r>
          </w:p>
        </w:tc>
        <w:tc>
          <w:tcPr>
            <w:tcW w:w="24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r>
      <w:tr>
        <w:trPr>
          <w:trHeight w:val="210"/>
        </w:trPr>
        <w:tc>
          <w:tcPr>
            <w:tcW w:w="7860" w:type="dxa"/>
            <w:vAlign w:val="bottom"/>
            <w:tcBorders>
              <w:bottom w:val="single" w:sz="8" w:color="CCEEFF"/>
            </w:tcBorders>
          </w:tcPr>
          <w:p>
            <w:pPr>
              <w:ind w:left="540"/>
              <w:spacing w:after="0"/>
              <w:rPr>
                <w:sz w:val="20"/>
                <w:szCs w:val="20"/>
                <w:color w:val="auto"/>
              </w:rPr>
            </w:pPr>
            <w:r>
              <w:rPr>
                <w:rFonts w:ascii="Arial" w:cs="Arial" w:eastAsia="Arial" w:hAnsi="Arial"/>
                <w:sz w:val="18"/>
                <w:szCs w:val="18"/>
                <w:color w:val="auto"/>
              </w:rPr>
              <w:t>Net cash provided by (used in) financing activities</w:t>
            </w:r>
          </w:p>
        </w:tc>
        <w:tc>
          <w:tcPr>
            <w:tcW w:w="440" w:type="dxa"/>
            <w:vAlign w:val="bottom"/>
            <w:tcBorders>
              <w:bottom w:val="single" w:sz="8" w:color="CCEEFF"/>
            </w:tcBorders>
          </w:tcPr>
          <w:p>
            <w:pPr>
              <w:spacing w:after="0"/>
              <w:rPr>
                <w:sz w:val="18"/>
                <w:szCs w:val="18"/>
                <w:color w:val="auto"/>
              </w:rPr>
            </w:pPr>
          </w:p>
        </w:tc>
        <w:tc>
          <w:tcPr>
            <w:tcW w:w="28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15,098</w:t>
            </w:r>
          </w:p>
        </w:tc>
        <w:tc>
          <w:tcPr>
            <w:tcW w:w="280" w:type="dxa"/>
            <w:vAlign w:val="bottom"/>
            <w:tcBorders>
              <w:bottom w:val="single" w:sz="8" w:color="CCEEFF"/>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(5,793)</w:t>
            </w:r>
          </w:p>
        </w:tc>
        <w:tc>
          <w:tcPr>
            <w:tcW w:w="100" w:type="dxa"/>
            <w:vAlign w:val="bottom"/>
            <w:tcBorders>
              <w:bottom w:val="single" w:sz="8" w:color="CCEEFF"/>
            </w:tcBorders>
          </w:tcPr>
          <w:p>
            <w:pPr>
              <w:spacing w:after="0"/>
              <w:rPr>
                <w:sz w:val="18"/>
                <w:szCs w:val="18"/>
                <w:color w:val="auto"/>
              </w:rPr>
            </w:pPr>
          </w:p>
        </w:tc>
        <w:tc>
          <w:tcPr>
            <w:tcW w:w="40" w:type="dxa"/>
            <w:vAlign w:val="bottom"/>
          </w:tcPr>
          <w:p>
            <w:pPr>
              <w:spacing w:after="0"/>
              <w:rPr>
                <w:sz w:val="18"/>
                <w:szCs w:val="18"/>
                <w:color w:val="auto"/>
              </w:rPr>
            </w:pPr>
          </w:p>
        </w:tc>
      </w:tr>
      <w:tr>
        <w:trPr>
          <w:trHeight w:val="210"/>
        </w:trPr>
        <w:tc>
          <w:tcPr>
            <w:tcW w:w="78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4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128,436</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(103,510)</w:t>
            </w:r>
          </w:p>
        </w:tc>
        <w:tc>
          <w:tcPr>
            <w:tcW w:w="100" w:type="dxa"/>
            <w:vAlign w:val="bottom"/>
            <w:shd w:val="clear" w:color="auto" w:fill="CCEEFF"/>
          </w:tcPr>
          <w:p>
            <w:pPr>
              <w:spacing w:after="0"/>
              <w:rPr>
                <w:sz w:val="18"/>
                <w:szCs w:val="18"/>
                <w:color w:val="auto"/>
              </w:rPr>
            </w:pPr>
          </w:p>
        </w:tc>
        <w:tc>
          <w:tcPr>
            <w:tcW w:w="40" w:type="dxa"/>
            <w:vAlign w:val="bottom"/>
          </w:tcPr>
          <w:p>
            <w:pPr>
              <w:spacing w:after="0"/>
              <w:rPr>
                <w:sz w:val="18"/>
                <w:szCs w:val="18"/>
                <w:color w:val="auto"/>
              </w:rPr>
            </w:pPr>
          </w:p>
        </w:tc>
      </w:tr>
      <w:tr>
        <w:trPr>
          <w:trHeight w:val="216"/>
        </w:trPr>
        <w:tc>
          <w:tcPr>
            <w:tcW w:w="786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380" w:type="dxa"/>
            <w:vAlign w:val="bottom"/>
            <w:gridSpan w:val="2"/>
          </w:tcPr>
          <w:p>
            <w:pPr>
              <w:jc w:val="right"/>
              <w:ind w:right="280"/>
              <w:spacing w:after="0"/>
              <w:rPr>
                <w:sz w:val="20"/>
                <w:szCs w:val="20"/>
                <w:color w:val="auto"/>
              </w:rPr>
            </w:pPr>
            <w:r>
              <w:rPr>
                <w:rFonts w:ascii="Arial" w:cs="Arial" w:eastAsia="Arial" w:hAnsi="Arial"/>
                <w:sz w:val="18"/>
                <w:szCs w:val="18"/>
                <w:color w:val="auto"/>
              </w:rPr>
              <w:t>615,648</w:t>
            </w:r>
          </w:p>
        </w:tc>
        <w:tc>
          <w:tcPr>
            <w:tcW w:w="240" w:type="dxa"/>
            <w:vAlign w:val="bottom"/>
          </w:tcPr>
          <w:p>
            <w:pPr>
              <w:spacing w:after="0"/>
              <w:rPr>
                <w:sz w:val="18"/>
                <w:szCs w:val="18"/>
                <w:color w:val="auto"/>
              </w:rPr>
            </w:pPr>
          </w:p>
        </w:tc>
        <w:tc>
          <w:tcPr>
            <w:tcW w:w="1220" w:type="dxa"/>
            <w:vAlign w:val="bottom"/>
            <w:gridSpan w:val="2"/>
          </w:tcPr>
          <w:p>
            <w:pPr>
              <w:jc w:val="right"/>
              <w:ind w:right="100"/>
              <w:spacing w:after="0"/>
              <w:rPr>
                <w:sz w:val="20"/>
                <w:szCs w:val="20"/>
                <w:color w:val="auto"/>
              </w:rPr>
            </w:pPr>
            <w:r>
              <w:rPr>
                <w:rFonts w:ascii="Arial" w:cs="Arial" w:eastAsia="Arial" w:hAnsi="Arial"/>
                <w:sz w:val="18"/>
                <w:szCs w:val="18"/>
                <w:color w:val="auto"/>
              </w:rPr>
              <w:t>568,008</w:t>
            </w:r>
          </w:p>
        </w:tc>
        <w:tc>
          <w:tcPr>
            <w:tcW w:w="40" w:type="dxa"/>
            <w:vAlign w:val="bottom"/>
          </w:tcPr>
          <w:p>
            <w:pPr>
              <w:spacing w:after="0"/>
              <w:rPr>
                <w:sz w:val="18"/>
                <w:szCs w:val="18"/>
                <w:color w:val="auto"/>
              </w:rPr>
            </w:pPr>
          </w:p>
        </w:tc>
      </w:tr>
      <w:tr>
        <w:trPr>
          <w:trHeight w:val="217"/>
        </w:trPr>
        <w:tc>
          <w:tcPr>
            <w:tcW w:w="78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44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744,084</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464,498</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4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-6090285</wp:posOffset>
            </wp:positionV>
            <wp:extent cx="12700"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-6090285</wp:posOffset>
            </wp:positionV>
            <wp:extent cx="12700"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178"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See accompanying notes to unaudited condensed consolidated financial statements.</w:t>
      </w:r>
    </w:p>
    <w:p>
      <w:pPr>
        <w:spacing w:after="0" w:line="229"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40" w:right="19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MARVELL TECHNOLOGY GROUP LTD.</w:t>
      </w:r>
    </w:p>
    <w:p>
      <w:pPr>
        <w:sectPr>
          <w:pgSz w:w="11900" w:h="16838" w:orient="portrait"/>
          <w:cols w:equalWidth="0" w:num="1">
            <w:col w:w="11460"/>
          </w:cols>
          <w:pgMar w:left="240" w:top="140" w:right="199" w:bottom="0" w:gutter="0" w:footer="0" w:header="0"/>
          <w:type w:val="continuous"/>
        </w:sectPr>
      </w:pPr>
    </w:p>
    <w:bookmarkStart w:id="3" w:name="page4"/>
    <w:bookmarkEnd w:id="3"/>
    <w:p>
      <w:pPr>
        <w:ind w:left="2200"/>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its Significant Accounting Policies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right="100" w:firstLine="259"/>
        <w:spacing w:after="0" w:line="259"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transceivers, wireless, PC connectivity, gateways, communications controllers, storage and power management solutions that serve diverse applications used in business enterprise, consumer electronics and emerging markets.</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29" w:lineRule="exact"/>
        <w:rPr>
          <w:sz w:val="20"/>
          <w:szCs w:val="20"/>
          <w:color w:val="auto"/>
        </w:rPr>
      </w:pPr>
    </w:p>
    <w:p>
      <w:pPr>
        <w:jc w:val="both"/>
        <w:ind w:right="60" w:firstLine="259"/>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2009 is comprised of a 52-week period and fiscal year 2008 is comprised of a 53-week period.</w:t>
      </w:r>
    </w:p>
    <w:p>
      <w:pPr>
        <w:spacing w:after="0" w:line="181" w:lineRule="exact"/>
        <w:rPr>
          <w:sz w:val="20"/>
          <w:szCs w:val="20"/>
          <w:color w:val="auto"/>
        </w:rPr>
      </w:pPr>
    </w:p>
    <w:p>
      <w:pPr>
        <w:ind w:right="40" w:firstLine="259"/>
        <w:spacing w:after="0" w:line="291" w:lineRule="auto"/>
        <w:rPr>
          <w:sz w:val="20"/>
          <w:szCs w:val="20"/>
          <w:color w:val="auto"/>
        </w:rPr>
      </w:pPr>
      <w:r>
        <w:rPr>
          <w:rFonts w:ascii="Arial" w:cs="Arial" w:eastAsia="Arial" w:hAnsi="Arial"/>
          <w:sz w:val="16"/>
          <w:szCs w:val="16"/>
          <w:color w:val="auto"/>
        </w:rPr>
        <w:t>The unaudited interim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financial position as of May 3, 2008, the results of its operations for the three months ended May 3, 2008 and April 28, 2007, and its cash flows for the three months ended May 3, 2008 and April 28, 2007. The January 2008 condensed consolidated balance sheet data was derived from audited consolidated financial statements included in the Company’s 2008 Annual Report on Form 10-K but does not include all disclosures required by GAAP.</w:t>
      </w:r>
    </w:p>
    <w:p>
      <w:pPr>
        <w:spacing w:after="0" w:line="167" w:lineRule="exact"/>
        <w:rPr>
          <w:sz w:val="20"/>
          <w:szCs w:val="20"/>
          <w:color w:val="auto"/>
        </w:rPr>
      </w:pPr>
    </w:p>
    <w:p>
      <w:pPr>
        <w:ind w:firstLine="259"/>
        <w:spacing w:after="0" w:line="259"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for the year ended February 2, 2008 included in the Company’s Annual Report on Form 10-K, as filed on March 28, 2008 with the Securities and Exchange Commission (“SEC”). The results of operations for the three months ended May 3, 2008 are not necessarily indicative of the results that may be expected for any other interim period or for the full fiscal year.</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229" w:lineRule="exact"/>
        <w:rPr>
          <w:sz w:val="20"/>
          <w:szCs w:val="20"/>
          <w:color w:val="auto"/>
        </w:rPr>
      </w:pPr>
    </w:p>
    <w:p>
      <w:pPr>
        <w:ind w:right="120" w:firstLine="243"/>
        <w:spacing w:after="0" w:line="291" w:lineRule="auto"/>
        <w:rPr>
          <w:sz w:val="20"/>
          <w:szCs w:val="20"/>
          <w:color w:val="auto"/>
        </w:rPr>
      </w:pPr>
      <w:r>
        <w:rPr>
          <w:rFonts w:ascii="Arial" w:cs="Arial" w:eastAsia="Arial" w:hAnsi="Arial"/>
          <w:sz w:val="16"/>
          <w:szCs w:val="16"/>
          <w:color w:val="auto"/>
        </w:rPr>
        <w:t>The preparation of consolidated financial statements in conformity with GAAP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Principles of consolidation</w:t>
      </w:r>
    </w:p>
    <w:p>
      <w:pPr>
        <w:spacing w:after="0" w:line="229" w:lineRule="exact"/>
        <w:rPr>
          <w:sz w:val="20"/>
          <w:szCs w:val="20"/>
          <w:color w:val="auto"/>
        </w:rPr>
      </w:pPr>
    </w:p>
    <w:p>
      <w:pPr>
        <w:ind w:right="280" w:firstLine="243"/>
        <w:spacing w:after="0" w:line="264" w:lineRule="auto"/>
        <w:rPr>
          <w:sz w:val="20"/>
          <w:szCs w:val="20"/>
          <w:color w:val="auto"/>
        </w:rPr>
      </w:pPr>
      <w:r>
        <w:rPr>
          <w:rFonts w:ascii="Arial" w:cs="Arial" w:eastAsia="Arial" w:hAnsi="Arial"/>
          <w:sz w:val="18"/>
          <w:szCs w:val="18"/>
          <w:color w:val="auto"/>
        </w:rPr>
        <w:t>The unaudited condensed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229" w:lineRule="exact"/>
        <w:rPr>
          <w:sz w:val="20"/>
          <w:szCs w:val="20"/>
          <w:color w:val="auto"/>
        </w:rPr>
      </w:pPr>
    </w:p>
    <w:p>
      <w:pPr>
        <w:ind w:right="220" w:firstLine="243"/>
        <w:spacing w:after="0" w:line="277"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229" w:lineRule="exact"/>
        <w:rPr>
          <w:sz w:val="20"/>
          <w:szCs w:val="20"/>
          <w:color w:val="auto"/>
        </w:rPr>
      </w:pPr>
    </w:p>
    <w:p>
      <w:pPr>
        <w:ind w:right="40" w:firstLine="243"/>
        <w:spacing w:after="0" w:line="264" w:lineRule="auto"/>
        <w:rPr>
          <w:sz w:val="20"/>
          <w:szCs w:val="20"/>
          <w:color w:val="auto"/>
        </w:rPr>
      </w:pPr>
      <w:r>
        <w:rPr>
          <w:rFonts w:ascii="Arial" w:cs="Arial" w:eastAsia="Arial" w:hAnsi="Arial"/>
          <w:sz w:val="18"/>
          <w:szCs w:val="18"/>
          <w:color w:val="auto"/>
        </w:rPr>
        <w:t>The Company’s marketable investments are classified as available-for-sale securities and are reported at fair value. Unrealized gains and losses are reported, net of tax, if any, in accumulated other comprehensive income, a component of shareholders’ equity. Realized gains and losses and declines in value judged to be other than temporary on available-for-sale securities are included in interest and other income, net.</w:t>
      </w:r>
    </w:p>
    <w:p>
      <w:pPr>
        <w:spacing w:after="0" w:line="181"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The Company also has equity investments in privately-held companies. These investments are recorded at cost and are included in other non-current assets. The Company accounts for these investments under the cost method because its ownership is less than 20% and it does not have the ability to exercise significant influence over the operations of these companies. The Company monitors these investments for impairment and makes appropriate reductions in carrying value when impairment is deemed to be other than temporary.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Concentration of credit risk</w:t>
      </w:r>
    </w:p>
    <w:p>
      <w:pPr>
        <w:spacing w:after="0" w:line="229" w:lineRule="exact"/>
        <w:rPr>
          <w:sz w:val="20"/>
          <w:szCs w:val="20"/>
          <w:color w:val="auto"/>
        </w:rPr>
      </w:pPr>
    </w:p>
    <w:p>
      <w:pPr>
        <w:ind w:right="20" w:firstLine="243"/>
        <w:spacing w:after="0" w:line="291" w:lineRule="auto"/>
        <w:rPr>
          <w:sz w:val="20"/>
          <w:szCs w:val="20"/>
          <w:color w:val="auto"/>
        </w:rPr>
      </w:pPr>
      <w:r>
        <w:rPr>
          <w:rFonts w:ascii="Arial" w:cs="Arial" w:eastAsia="Arial" w:hAnsi="Arial"/>
          <w:sz w:val="16"/>
          <w:szCs w:val="16"/>
          <w:color w:val="auto"/>
        </w:rPr>
        <w:t>Financial instruments that potentially subject the Company to significant concentration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 of its customers’ financial condition and limits the amount of credit extended when deemed necessary based upon payment history and the customer’s current credit worthiness, but generally requires no collateral. The</w:t>
      </w:r>
    </w:p>
    <w:p>
      <w:pPr>
        <w:sectPr>
          <w:pgSz w:w="11900" w:h="16838" w:orient="portrait"/>
          <w:cols w:equalWidth="0" w:num="1">
            <w:col w:w="11420"/>
          </w:cols>
          <w:pgMar w:left="240" w:top="121" w:right="239" w:bottom="0" w:gutter="0" w:footer="0" w:header="0"/>
        </w:sectPr>
      </w:pPr>
    </w:p>
    <w:bookmarkStart w:id="4" w:name="page5"/>
    <w:bookmarkEnd w:id="4"/>
    <w:p>
      <w:pPr>
        <w:ind w:right="240"/>
        <w:spacing w:after="0" w:line="277" w:lineRule="auto"/>
        <w:rPr>
          <w:sz w:val="20"/>
          <w:szCs w:val="20"/>
          <w:color w:val="auto"/>
        </w:rPr>
      </w:pPr>
      <w:r>
        <w:rPr>
          <w:rFonts w:ascii="Arial" w:cs="Arial" w:eastAsia="Arial" w:hAnsi="Arial"/>
          <w:sz w:val="18"/>
          <w:szCs w:val="18"/>
          <w:color w:val="auto"/>
        </w:rPr>
        <w:t>Company regularly reviews the allowance for bad debt and doubtful accounts by considering factors such as historical experience, credit quality, age of the account receivable balances and current economic conditions that may affect a customer’s ability to pay.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229" w:lineRule="exact"/>
        <w:rPr>
          <w:sz w:val="20"/>
          <w:szCs w:val="20"/>
          <w:color w:val="auto"/>
        </w:rPr>
      </w:pPr>
    </w:p>
    <w:p>
      <w:pPr>
        <w:ind w:right="500" w:firstLine="259"/>
        <w:spacing w:after="0" w:line="277" w:lineRule="auto"/>
        <w:rPr>
          <w:sz w:val="20"/>
          <w:szCs w:val="20"/>
          <w:color w:val="auto"/>
        </w:rPr>
      </w:pPr>
      <w:r>
        <w:rPr>
          <w:rFonts w:ascii="Arial" w:cs="Arial" w:eastAsia="Arial" w:hAnsi="Arial"/>
          <w:sz w:val="18"/>
          <w:szCs w:val="18"/>
          <w:color w:val="auto"/>
        </w:rPr>
        <w:t>Inventories are stated at the lower of cost or market, cost being determined under the first-in, first-out method. Appropriate consideration is given to obsolescence, excessive levels, deterioration and other factors in evaluating net realizable value.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 net</w:t>
      </w:r>
    </w:p>
    <w:p>
      <w:pPr>
        <w:spacing w:after="0" w:line="229" w:lineRule="exact"/>
        <w:rPr>
          <w:sz w:val="20"/>
          <w:szCs w:val="20"/>
          <w:color w:val="auto"/>
        </w:rPr>
      </w:pPr>
    </w:p>
    <w:p>
      <w:pPr>
        <w:ind w:right="280" w:firstLine="243"/>
        <w:spacing w:after="0" w:line="302" w:lineRule="auto"/>
        <w:rPr>
          <w:sz w:val="20"/>
          <w:szCs w:val="20"/>
          <w:color w:val="auto"/>
        </w:rPr>
      </w:pPr>
      <w:r>
        <w:rPr>
          <w:rFonts w:ascii="Arial" w:cs="Arial" w:eastAsia="Arial" w:hAnsi="Arial"/>
          <w:sz w:val="16"/>
          <w:szCs w:val="16"/>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lease or their estimated useful lives.</w:t>
      </w:r>
    </w:p>
    <w:p>
      <w:pPr>
        <w:spacing w:after="0" w:line="1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acquired intangible assets</w:t>
      </w:r>
    </w:p>
    <w:p>
      <w:pPr>
        <w:spacing w:after="0" w:line="229" w:lineRule="exact"/>
        <w:rPr>
          <w:sz w:val="20"/>
          <w:szCs w:val="20"/>
          <w:color w:val="auto"/>
        </w:rPr>
      </w:pPr>
    </w:p>
    <w:p>
      <w:pPr>
        <w:ind w:right="780" w:firstLine="243"/>
        <w:spacing w:after="0" w:line="277"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Acquisition-related identified intangible assets are amortized on a straight-line basis over their estimated economic</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color w:val="auto"/>
        </w:rPr>
        <w:t>lives of one to seven years for purchased technology, one to eight years for core technology and four to seven years for customer contracts.</w:t>
      </w:r>
    </w:p>
    <w:p>
      <w:pPr>
        <w:spacing w:after="0" w:line="225"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color w:val="auto"/>
        </w:rPr>
        <w:t>Goodwill is measured and tested for impairment on an annual basis or more frequently if the Company believes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Statement of Financial Accounting Standards (“SFAS”) No. 142, “Goodwill and Other Intangible Assets” because the fair value of the reporting unit has exceeded its net book value at every measurement date.</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w:t>
      </w:r>
    </w:p>
    <w:p>
      <w:pPr>
        <w:spacing w:after="0" w:line="229" w:lineRule="exact"/>
        <w:rPr>
          <w:sz w:val="20"/>
          <w:szCs w:val="20"/>
          <w:color w:val="auto"/>
        </w:rPr>
      </w:pPr>
    </w:p>
    <w:p>
      <w:pPr>
        <w:ind w:right="120" w:firstLine="243"/>
        <w:spacing w:after="0" w:line="257" w:lineRule="auto"/>
        <w:rPr>
          <w:sz w:val="20"/>
          <w:szCs w:val="20"/>
          <w:color w:val="auto"/>
        </w:rPr>
      </w:pPr>
      <w:r>
        <w:rPr>
          <w:rFonts w:ascii="Arial" w:cs="Arial" w:eastAsia="Arial" w:hAnsi="Arial"/>
          <w:sz w:val="18"/>
          <w:szCs w:val="18"/>
          <w:color w:val="auto"/>
        </w:rPr>
        <w:t>Long-lived assets include equipment, furniture and fixtures, privately held equity investments and intangible assets. Whenever events or changes in circumstances indicate that the carrying amount of long-lived assets may not be recoverable, the Company estimates the future cash flows, undiscounted and without interest charges, expected to result from the use of those assets and their eventual cash position. If the sum of the expected future cash flows is less than the carrying amount of those assets, the Company recognizes an impairment loss based on the excess of the carrying amount over the fair value of the assets.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Reclassifications</w:t>
      </w:r>
    </w:p>
    <w:p>
      <w:pPr>
        <w:spacing w:after="0" w:line="229" w:lineRule="exact"/>
        <w:rPr>
          <w:sz w:val="20"/>
          <w:szCs w:val="20"/>
          <w:color w:val="auto"/>
        </w:rPr>
      </w:pPr>
    </w:p>
    <w:p>
      <w:pPr>
        <w:ind w:right="760" w:firstLine="243"/>
        <w:spacing w:after="0" w:line="277" w:lineRule="auto"/>
        <w:rPr>
          <w:sz w:val="20"/>
          <w:szCs w:val="20"/>
          <w:color w:val="auto"/>
        </w:rPr>
      </w:pPr>
      <w:r>
        <w:rPr>
          <w:rFonts w:ascii="Arial" w:cs="Arial" w:eastAsia="Arial" w:hAnsi="Arial"/>
          <w:sz w:val="18"/>
          <w:szCs w:val="18"/>
          <w:color w:val="auto"/>
        </w:rPr>
        <w:t>Certain reclassifications have been made to the prior period balances in the Statements of Cash Flows in order to conform to the current period’s presentation.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29" w:lineRule="exact"/>
        <w:rPr>
          <w:sz w:val="20"/>
          <w:szCs w:val="20"/>
          <w:color w:val="auto"/>
        </w:rPr>
      </w:pPr>
    </w:p>
    <w:p>
      <w:pPr>
        <w:ind w:right="100" w:firstLine="243"/>
        <w:spacing w:after="0" w:line="264"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these provisions, the Company recognizes revenues when there is persuasive evidence of an arrangement, delivery has occurred, the fee is fixed or determinable, and collection is reasonably assured.</w:t>
      </w:r>
    </w:p>
    <w:p>
      <w:pPr>
        <w:spacing w:after="0" w:line="181" w:lineRule="exact"/>
        <w:rPr>
          <w:sz w:val="20"/>
          <w:szCs w:val="20"/>
          <w:color w:val="auto"/>
        </w:rPr>
      </w:pPr>
    </w:p>
    <w:p>
      <w:pPr>
        <w:ind w:right="20" w:firstLine="243"/>
        <w:spacing w:after="0" w:line="288"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its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or fixed and determinable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69" w:lineRule="exact"/>
        <w:rPr>
          <w:sz w:val="20"/>
          <w:szCs w:val="20"/>
          <w:color w:val="auto"/>
        </w:rPr>
      </w:pPr>
    </w:p>
    <w:p>
      <w:pPr>
        <w:ind w:firstLine="243"/>
        <w:spacing w:after="0" w:line="308" w:lineRule="auto"/>
        <w:rPr>
          <w:sz w:val="20"/>
          <w:szCs w:val="20"/>
          <w:color w:val="auto"/>
        </w:rPr>
      </w:pPr>
      <w:r>
        <w:rPr>
          <w:rFonts w:ascii="Arial" w:cs="Arial" w:eastAsia="Arial" w:hAnsi="Arial"/>
          <w:sz w:val="17"/>
          <w:szCs w:val="17"/>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47" w:lineRule="exact"/>
        <w:rPr>
          <w:sz w:val="20"/>
          <w:szCs w:val="20"/>
          <w:color w:val="auto"/>
        </w:rPr>
      </w:pPr>
    </w:p>
    <w:p>
      <w:pPr>
        <w:ind w:right="140" w:firstLine="243"/>
        <w:spacing w:after="0" w:line="264"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ectPr>
          <w:pgSz w:w="11900" w:h="16838" w:orient="portrait"/>
          <w:cols w:equalWidth="0" w:num="1">
            <w:col w:w="11420"/>
          </w:cols>
          <w:pgMar w:left="240" w:top="125" w:right="239" w:bottom="0" w:gutter="0" w:footer="0" w:header="0"/>
        </w:sectPr>
      </w:pP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88900</wp:posOffset>
            </wp:positionV>
            <wp:extent cx="7267575" cy="298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0" w:gutter="0" w:footer="0" w:header="0"/>
          <w:type w:val="continuous"/>
        </w:sectPr>
      </w:pPr>
    </w:p>
    <w:bookmarkStart w:id="5" w:name="page6"/>
    <w:bookmarkEnd w:id="5"/>
    <w:p>
      <w:pPr>
        <w:spacing w:after="0" w:line="53" w:lineRule="exact"/>
        <w:rPr>
          <w:sz w:val="20"/>
          <w:szCs w:val="20"/>
          <w:color w:val="auto"/>
        </w:rPr>
      </w:pPr>
    </w:p>
    <w:p>
      <w:pPr>
        <w:ind w:right="200" w:firstLine="243"/>
        <w:spacing w:after="0" w:line="255" w:lineRule="auto"/>
        <w:rPr>
          <w:sz w:val="20"/>
          <w:szCs w:val="20"/>
          <w:color w:val="auto"/>
        </w:rPr>
      </w:pPr>
      <w:r>
        <w:rPr>
          <w:rFonts w:ascii="Arial" w:cs="Arial" w:eastAsia="Arial" w:hAnsi="Arial"/>
          <w:sz w:val="18"/>
          <w:szCs w:val="18"/>
          <w:color w:val="auto"/>
        </w:rPr>
        <w:t>The provisions of the Emerging Issues Task Force (“EITF”) Issue No. 00-21, “Revenue Arrangements with Multiple Deliverables,”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93"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88" w:lineRule="exact"/>
        <w:rPr>
          <w:sz w:val="20"/>
          <w:szCs w:val="20"/>
          <w:color w:val="auto"/>
        </w:rPr>
      </w:pPr>
    </w:p>
    <w:p>
      <w:pPr>
        <w:jc w:val="both"/>
        <w:ind w:right="40" w:firstLine="243"/>
        <w:spacing w:after="0" w:line="264"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81" w:lineRule="exact"/>
        <w:rPr>
          <w:sz w:val="20"/>
          <w:szCs w:val="20"/>
          <w:color w:val="auto"/>
        </w:rPr>
      </w:pPr>
    </w:p>
    <w:p>
      <w:pPr>
        <w:ind w:right="20" w:firstLine="243"/>
        <w:spacing w:after="0" w:line="286" w:lineRule="auto"/>
        <w:rPr>
          <w:sz w:val="20"/>
          <w:szCs w:val="20"/>
          <w:color w:val="auto"/>
        </w:rPr>
      </w:pPr>
      <w:r>
        <w:rPr>
          <w:rFonts w:ascii="Arial" w:cs="Arial" w:eastAsia="Arial" w:hAnsi="Arial"/>
          <w:sz w:val="17"/>
          <w:szCs w:val="17"/>
          <w:color w:val="auto"/>
        </w:rPr>
        <w:t>The Company accounts for rebates in accordance with EITF Issue No. 01-9, “Accounting for Consideration Given by a Vendor to a Customer (Including a Reseller of the Vendor’s Products</w:t>
      </w:r>
      <w:r>
        <w:rPr>
          <w:rFonts w:ascii="Arial" w:cs="Arial" w:eastAsia="Arial" w:hAnsi="Arial"/>
          <w:sz w:val="17"/>
          <w:szCs w:val="17"/>
          <w:i w:val="1"/>
          <w:iCs w:val="1"/>
          <w:color w:val="auto"/>
        </w:rPr>
        <w:t>)</w:t>
      </w:r>
      <w:r>
        <w:rPr>
          <w:rFonts w:ascii="Arial" w:cs="Arial" w:eastAsia="Arial" w:hAnsi="Arial"/>
          <w:sz w:val="17"/>
          <w:szCs w:val="17"/>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and other</w:t>
      </w:r>
    </w:p>
    <w:p>
      <w:pPr>
        <w:spacing w:after="0" w:line="229" w:lineRule="exact"/>
        <w:rPr>
          <w:sz w:val="20"/>
          <w:szCs w:val="20"/>
          <w:color w:val="auto"/>
        </w:rPr>
      </w:pPr>
    </w:p>
    <w:p>
      <w:pPr>
        <w:jc w:val="both"/>
        <w:ind w:firstLine="243"/>
        <w:spacing w:after="0" w:line="286" w:lineRule="auto"/>
        <w:rPr>
          <w:sz w:val="20"/>
          <w:szCs w:val="20"/>
          <w:color w:val="auto"/>
        </w:rPr>
      </w:pPr>
      <w:r>
        <w:rPr>
          <w:rFonts w:ascii="Arial" w:cs="Arial" w:eastAsia="Arial" w:hAnsi="Arial"/>
          <w:sz w:val="17"/>
          <w:szCs w:val="17"/>
          <w:color w:val="auto"/>
        </w:rPr>
        <w:t>Research and development and other costs consist primarily of $233.4 million and $231.0 million of research and development costs for the three months May 3, 2008 and April 28, 2007, respectively, as well as costs related to patent investigation and filings for the three months ended May 3, 2008 and April 28, 2007 which were $5.1 million and $3.1 million, respectively. Research and development costs are expensed as incurred.</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Stock-based compensation</w:t>
      </w:r>
    </w:p>
    <w:p>
      <w:pPr>
        <w:spacing w:after="0" w:line="229" w:lineRule="exact"/>
        <w:rPr>
          <w:sz w:val="20"/>
          <w:szCs w:val="20"/>
          <w:color w:val="auto"/>
        </w:rPr>
      </w:pPr>
    </w:p>
    <w:p>
      <w:pPr>
        <w:ind w:right="80" w:firstLine="243"/>
        <w:spacing w:after="0" w:line="277" w:lineRule="auto"/>
        <w:rPr>
          <w:sz w:val="20"/>
          <w:szCs w:val="20"/>
          <w:color w:val="auto"/>
        </w:rPr>
      </w:pPr>
      <w:r>
        <w:rPr>
          <w:rFonts w:ascii="Arial" w:cs="Arial" w:eastAsia="Arial" w:hAnsi="Arial"/>
          <w:sz w:val="18"/>
          <w:szCs w:val="18"/>
          <w:color w:val="auto"/>
        </w:rPr>
        <w:t>The Company makes share-based payment awards to its employees and directors that are fully described in Notes 8 and 9. The stock-based compensation expenses are recorded in accordance with SFAS No. 123 (revised 2004), “Share Based Payment” (“SFAS 123R”).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Accounting for income taxes</w:t>
      </w:r>
    </w:p>
    <w:p>
      <w:pPr>
        <w:spacing w:after="0" w:line="229"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color w:val="auto"/>
        </w:rPr>
        <w:t>The Company accounts for income taxes in accordance with SFAS No. 109, “Accounting for Income Taxes.” Under this method, the Company determines deferred tax assets and liabilities based upon the difference between the income tax bases of assets and liabilities and their respective financial reporting amounts at enacted tax rates in effect for the periods in which the differences are expected to reverse. The tax consequences of most events recognized in the current year’s financial statements are included in determining income taxes currently payable. However, because tax laws and financial accounting standards differ in their recognition and measurement of assets, liabilities, equity, revenues, expenses, gains and losses, differences arise between the amount of taxable income and pretax financial income for a year and between the tax bases of assets or liabilities and their reported amounts in the financial statements. Because it is assumed that the reported amounts of assets and liabilities will be recovered or settled, a difference between the tax basis of an asset or liability and its reported amount on the balance sheet will result in a taxable or a deductible amount in some future years when the related liabilities are settled or assets are recovered, hence giving rise to a deferred tax liability or asset, respectively. The Company then assesses the likelihood that its deferred tax assets will be recovered from future taxable income and to the extent the Company believes that recovery is not likely, the Company establishes a valuation allowance. The Company accounts for uncertain tax positions in accordance with FASB Interpretation No. 48 “Accounting for Uncertainty in Tax Positions” (“FIN 48”). The Company classifies accrued interest and penalties as part of the accrued FIN 48 liability and records the expense within the provision for income taxes.</w:t>
      </w:r>
    </w:p>
    <w:p>
      <w:pPr>
        <w:spacing w:after="0" w:line="1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243"/>
        <w:spacing w:after="0" w:line="257" w:lineRule="auto"/>
        <w:rPr>
          <w:sz w:val="20"/>
          <w:szCs w:val="20"/>
          <w:color w:val="auto"/>
        </w:rPr>
      </w:pPr>
      <w:r>
        <w:rPr>
          <w:rFonts w:ascii="Arial" w:cs="Arial" w:eastAsia="Arial" w:hAnsi="Arial"/>
          <w:sz w:val="18"/>
          <w:szCs w:val="18"/>
          <w:color w:val="auto"/>
        </w:rPr>
        <w:t>The application of income tax law is inherently complex. Laws and regulations in this area are voluminous and are often ambiguous. As such, the Company is required to make many subjective assumptions and judgments regarding its income tax exposures. Interpretations of and guidance surrounding income tax laws and regulations are subject to change over time. As such, changes in its subjective assumptions and judgments can materially affect amounts recognized in the consolidated balance sheets and statements of income. See Note 10 - Income Taxes of the notes to unaudited condensed consolidated financial statements for additional detail on the Company’s uncertain tax positions.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Warranty</w:t>
      </w:r>
    </w:p>
    <w:p>
      <w:pPr>
        <w:spacing w:after="0" w:line="229" w:lineRule="exact"/>
        <w:rPr>
          <w:sz w:val="20"/>
          <w:szCs w:val="20"/>
          <w:color w:val="auto"/>
        </w:rPr>
      </w:pPr>
    </w:p>
    <w:p>
      <w:pPr>
        <w:ind w:right="80" w:firstLine="259"/>
        <w:spacing w:after="0" w:line="257"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In December 2007, the Financial Accounting Standards Board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or contingent consideration measured at their fair value at the acquisition date. It further requires that research and development assets acquired in a business combination that have no alternative future use be measured at their acquisition-date fair value and then immediately charged to expense, and that acquisition-related costs be recognized separately from the acquisition and expensed as incurred. Among other changes, this statement also requires that any “negative goodwill” be recognized in earnings as a gain attributable to the acquisition, and any deferred tax</w:t>
      </w:r>
    </w:p>
    <w:p>
      <w:pPr>
        <w:sectPr>
          <w:pgSz w:w="11900" w:h="16892" w:orient="portrait"/>
          <w:cols w:equalWidth="0" w:num="1">
            <w:col w:w="11400"/>
          </w:cols>
          <w:pgMar w:left="240" w:top="584" w:right="259" w:bottom="0" w:gutter="0" w:footer="0" w:header="0"/>
        </w:sectPr>
      </w:pPr>
    </w:p>
    <w:bookmarkStart w:id="6" w:name="page7"/>
    <w:bookmarkEnd w:id="6"/>
    <w:p>
      <w:pPr>
        <w:ind w:right="80"/>
        <w:spacing w:after="0" w:line="279" w:lineRule="auto"/>
        <w:rPr>
          <w:sz w:val="20"/>
          <w:szCs w:val="20"/>
          <w:color w:val="auto"/>
        </w:rPr>
      </w:pPr>
      <w:r>
        <w:rPr>
          <w:rFonts w:ascii="Arial" w:cs="Arial" w:eastAsia="Arial" w:hAnsi="Arial"/>
          <w:sz w:val="17"/>
          <w:szCs w:val="17"/>
          <w:color w:val="auto"/>
        </w:rPr>
        <w:t>benefits resulting from a business combination be recognized in income from continuing operations in the period of the combination. SFAS 141R is effective for business combinations for which the acquisition date is on or after the beginning of the first annual reporting period beginning on or after December 15, 2008. The Company expects that SFAS 141R will have an impact on its financial position and results of operations, but the nature and magnitude of the impact will depend on the nature, terms and size of any future business combinations or adjustments to prior business combinations.</w:t>
      </w:r>
    </w:p>
    <w:p>
      <w:pPr>
        <w:spacing w:after="0" w:line="171" w:lineRule="exact"/>
        <w:rPr>
          <w:sz w:val="20"/>
          <w:szCs w:val="20"/>
          <w:color w:val="auto"/>
        </w:rPr>
      </w:pPr>
    </w:p>
    <w:p>
      <w:pPr>
        <w:ind w:right="40" w:firstLine="360"/>
        <w:spacing w:after="0" w:line="270" w:lineRule="auto"/>
        <w:rPr>
          <w:sz w:val="20"/>
          <w:szCs w:val="20"/>
          <w:color w:val="auto"/>
        </w:rPr>
      </w:pPr>
      <w:r>
        <w:rPr>
          <w:rFonts w:ascii="Arial" w:cs="Arial" w:eastAsia="Arial" w:hAnsi="Arial"/>
          <w:sz w:val="17"/>
          <w:szCs w:val="17"/>
          <w:color w:val="auto"/>
        </w:rPr>
        <w:t>In December 2007, the FASB issued SFAS No. 160, “Noncontrolling Interests in Consolidated Financial Statements—an amendment of ARB No. 51” (“SFAS 160”). The objective of this Statement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The Company does not expect SFAS 160 will have a significant impact on its financial position and results of operations.</w:t>
      </w:r>
    </w:p>
    <w:p>
      <w:pPr>
        <w:spacing w:after="0" w:line="182"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In March 2008, the FASB issued SFAS No. 161 (“SFAS 161”), “Disclosures about Derivative Instruments and Hedging Activities.” SFAS 161 amends and expands the disclosure requirements of Statement of Financial Accounting Standards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The Company will adopt SFAS 161 in the first quarter of fiscal 2010 and does not anticipate that SFAS 161 will have a significant impact on its financial position and results of operations.</w:t>
      </w:r>
    </w:p>
    <w:p>
      <w:pPr>
        <w:spacing w:after="0" w:line="1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Supplemental Financial Information</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Available-for-sale investments (in thousands)</w:t>
      </w:r>
    </w:p>
    <w:p>
      <w:pPr>
        <w:spacing w:after="0" w:line="221" w:lineRule="exact"/>
        <w:rPr>
          <w:sz w:val="20"/>
          <w:szCs w:val="20"/>
          <w:color w:val="auto"/>
        </w:rPr>
      </w:pPr>
    </w:p>
    <w:tbl>
      <w:tblPr>
        <w:tblLayout w:type="fixed"/>
        <w:tblInd w:w="580" w:type="dxa"/>
        <w:tblCellMar>
          <w:top w:w="0" w:type="dxa"/>
          <w:left w:w="0" w:type="dxa"/>
          <w:bottom w:w="0" w:type="dxa"/>
          <w:right w:w="0" w:type="dxa"/>
        </w:tblCellMar>
      </w:tblPr>
      <w:tr>
        <w:trPr>
          <w:trHeight w:val="171"/>
        </w:trPr>
        <w:tc>
          <w:tcPr>
            <w:tcW w:w="4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2300" w:type="dxa"/>
            <w:vAlign w:val="bottom"/>
            <w:tcBorders>
              <w:bottom w:val="single" w:sz="8" w:color="auto"/>
            </w:tcBorders>
            <w:gridSpan w:val="5"/>
          </w:tcPr>
          <w:p>
            <w:pPr>
              <w:jc w:val="right"/>
              <w:ind w:right="680"/>
              <w:spacing w:after="0"/>
              <w:rPr>
                <w:sz w:val="20"/>
                <w:szCs w:val="20"/>
                <w:color w:val="auto"/>
              </w:rPr>
            </w:pPr>
            <w:r>
              <w:rPr>
                <w:rFonts w:ascii="Arial" w:cs="Arial" w:eastAsia="Arial" w:hAnsi="Arial"/>
                <w:sz w:val="14"/>
                <w:szCs w:val="14"/>
                <w:b w:val="1"/>
                <w:bCs w:val="1"/>
                <w:color w:val="auto"/>
              </w:rPr>
              <w:t>As of May 3, 2008</w:t>
            </w: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47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00" w:type="dxa"/>
            <w:vAlign w:val="bottom"/>
            <w:vMerge w:val="restart"/>
          </w:tcPr>
          <w:p>
            <w:pPr>
              <w:jc w:val="center"/>
              <w:ind w:right="75"/>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80" w:type="dxa"/>
            <w:vAlign w:val="bottom"/>
          </w:tcPr>
          <w:p>
            <w:pPr>
              <w:jc w:val="center"/>
              <w:ind w:right="79"/>
              <w:spacing w:after="0" w:line="119" w:lineRule="exact"/>
              <w:rPr>
                <w:sz w:val="20"/>
                <w:szCs w:val="20"/>
                <w:color w:val="auto"/>
              </w:rPr>
            </w:pPr>
            <w:r>
              <w:rPr>
                <w:rFonts w:ascii="Arial" w:cs="Arial" w:eastAsia="Arial" w:hAnsi="Arial"/>
                <w:sz w:val="13"/>
                <w:szCs w:val="13"/>
                <w:b w:val="1"/>
                <w:bCs w:val="1"/>
                <w:color w:val="auto"/>
                <w:w w:val="95"/>
              </w:rPr>
              <w:t>Gross</w:t>
            </w:r>
          </w:p>
        </w:tc>
        <w:tc>
          <w:tcPr>
            <w:tcW w:w="2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w w:val="95"/>
              </w:rPr>
              <w:t>Gross</w:t>
            </w:r>
          </w:p>
        </w:tc>
        <w:tc>
          <w:tcPr>
            <w:tcW w:w="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8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4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9"/>
              <w:spacing w:after="0" w:line="149" w:lineRule="exact"/>
              <w:rPr>
                <w:sz w:val="20"/>
                <w:szCs w:val="20"/>
                <w:color w:val="auto"/>
              </w:rPr>
            </w:pPr>
            <w:r>
              <w:rPr>
                <w:rFonts w:ascii="Arial" w:cs="Arial" w:eastAsia="Arial" w:hAnsi="Arial"/>
                <w:sz w:val="14"/>
                <w:szCs w:val="14"/>
                <w:b w:val="1"/>
                <w:bCs w:val="1"/>
                <w:color w:val="auto"/>
                <w:w w:val="93"/>
              </w:rPr>
              <w:t>Unrealized</w:t>
            </w: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jc w:val="center"/>
              <w:ind w:right="95"/>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80" w:type="dxa"/>
            <w:vAlign w:val="bottom"/>
          </w:tcPr>
          <w:p>
            <w:pPr>
              <w:jc w:val="center"/>
              <w:ind w:right="79"/>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Short-term investments:</w:t>
            </w:r>
          </w:p>
        </w:tc>
        <w:tc>
          <w:tcPr>
            <w:tcW w:w="6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5,042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16</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5,058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6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5,042</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5,058</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4700" w:type="dxa"/>
            <w:vAlign w:val="bottom"/>
          </w:tcPr>
          <w:p>
            <w:pPr>
              <w:spacing w:after="0" w:line="189" w:lineRule="exact"/>
              <w:rPr>
                <w:sz w:val="20"/>
                <w:szCs w:val="20"/>
                <w:color w:val="auto"/>
              </w:rPr>
            </w:pPr>
            <w:r>
              <w:rPr>
                <w:rFonts w:ascii="Arial" w:cs="Arial" w:eastAsia="Arial" w:hAnsi="Arial"/>
                <w:sz w:val="18"/>
                <w:szCs w:val="18"/>
                <w:color w:val="auto"/>
              </w:rPr>
              <w:t>Long-term investments:</w:t>
            </w:r>
          </w:p>
        </w:tc>
        <w:tc>
          <w:tcPr>
            <w:tcW w:w="6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42,150</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(1,691)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7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Total long-term investments</w:t>
            </w:r>
          </w:p>
        </w:tc>
        <w:tc>
          <w:tcPr>
            <w:tcW w:w="62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42,150</w:t>
            </w:r>
          </w:p>
        </w:tc>
        <w:tc>
          <w:tcPr>
            <w:tcW w:w="26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(1,691)</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40,459</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7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available-for-sale securities</w:t>
            </w:r>
          </w:p>
        </w:tc>
        <w:tc>
          <w:tcPr>
            <w:tcW w:w="62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47,192</w:t>
            </w:r>
          </w:p>
        </w:tc>
        <w:tc>
          <w:tcPr>
            <w:tcW w:w="26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60" w:type="dxa"/>
            <w:vAlign w:val="bottom"/>
            <w:tcBorders>
              <w:bottom w:val="single" w:sz="8" w:color="CCEEFF"/>
            </w:tcBorders>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(1,691</w:t>
            </w:r>
          </w:p>
        </w:tc>
        <w:tc>
          <w:tcPr>
            <w:tcW w:w="160" w:type="dxa"/>
            <w:vAlign w:val="bottom"/>
            <w:tcBorders>
              <w:bottom w:val="single" w:sz="8" w:color="CCEEFF"/>
            </w:tcBorders>
            <w:shd w:val="clear" w:color="auto" w:fill="CCEEFF"/>
          </w:tcPr>
          <w:p>
            <w:pPr>
              <w:jc w:val="right"/>
              <w:ind w:right="20"/>
              <w:spacing w:after="0"/>
              <w:rPr>
                <w:sz w:val="20"/>
                <w:szCs w:val="20"/>
                <w:color w:val="auto"/>
              </w:rPr>
            </w:pPr>
            <w:r>
              <w:rPr>
                <w:rFonts w:ascii="Arial" w:cs="Arial" w:eastAsia="Arial" w:hAnsi="Arial"/>
                <w:sz w:val="16"/>
                <w:szCs w:val="16"/>
                <w:color w:val="auto"/>
                <w:w w:val="74"/>
              </w:rPr>
              <w:t>)</w:t>
            </w:r>
          </w:p>
        </w:tc>
        <w:tc>
          <w:tcPr>
            <w:tcW w:w="10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45,517</w:t>
            </w:r>
          </w:p>
        </w:tc>
        <w:tc>
          <w:tcPr>
            <w:tcW w:w="10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365"/>
        </w:trPr>
        <w:tc>
          <w:tcPr>
            <w:tcW w:w="47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gridSpan w:val="5"/>
          </w:tcPr>
          <w:p>
            <w:pPr>
              <w:jc w:val="right"/>
              <w:ind w:right="540"/>
              <w:spacing w:after="0"/>
              <w:rPr>
                <w:sz w:val="20"/>
                <w:szCs w:val="20"/>
                <w:color w:val="auto"/>
              </w:rPr>
            </w:pPr>
            <w:r>
              <w:rPr>
                <w:rFonts w:ascii="Arial" w:cs="Arial" w:eastAsia="Arial" w:hAnsi="Arial"/>
                <w:sz w:val="14"/>
                <w:szCs w:val="14"/>
                <w:b w:val="1"/>
                <w:bCs w:val="1"/>
                <w:color w:val="auto"/>
              </w:rPr>
              <w:t>As of February 2, 2008</w:t>
            </w:r>
          </w:p>
        </w:tc>
        <w:tc>
          <w:tcPr>
            <w:tcW w:w="1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47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00" w:type="dxa"/>
            <w:vAlign w:val="bottom"/>
            <w:vMerge w:val="restart"/>
          </w:tcPr>
          <w:p>
            <w:pPr>
              <w:jc w:val="center"/>
              <w:ind w:right="75"/>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80" w:type="dxa"/>
            <w:vAlign w:val="bottom"/>
          </w:tcPr>
          <w:p>
            <w:pPr>
              <w:jc w:val="center"/>
              <w:ind w:right="79"/>
              <w:spacing w:after="0" w:line="119" w:lineRule="exact"/>
              <w:rPr>
                <w:sz w:val="20"/>
                <w:szCs w:val="20"/>
                <w:color w:val="auto"/>
              </w:rPr>
            </w:pPr>
            <w:r>
              <w:rPr>
                <w:rFonts w:ascii="Arial" w:cs="Arial" w:eastAsia="Arial" w:hAnsi="Arial"/>
                <w:sz w:val="13"/>
                <w:szCs w:val="13"/>
                <w:b w:val="1"/>
                <w:bCs w:val="1"/>
                <w:color w:val="auto"/>
                <w:w w:val="95"/>
              </w:rPr>
              <w:t>Gross</w:t>
            </w:r>
          </w:p>
        </w:tc>
        <w:tc>
          <w:tcPr>
            <w:tcW w:w="2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40" w:type="dxa"/>
            <w:vAlign w:val="bottom"/>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w w:val="95"/>
              </w:rPr>
              <w:t>Gross</w:t>
            </w:r>
          </w:p>
        </w:tc>
        <w:tc>
          <w:tcPr>
            <w:tcW w:w="1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8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47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0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80" w:type="dxa"/>
            <w:vAlign w:val="bottom"/>
          </w:tcPr>
          <w:p>
            <w:pPr>
              <w:jc w:val="center"/>
              <w:ind w:right="59"/>
              <w:spacing w:after="0" w:line="149" w:lineRule="exact"/>
              <w:rPr>
                <w:sz w:val="20"/>
                <w:szCs w:val="20"/>
                <w:color w:val="auto"/>
              </w:rPr>
            </w:pPr>
            <w:r>
              <w:rPr>
                <w:rFonts w:ascii="Arial" w:cs="Arial" w:eastAsia="Arial" w:hAnsi="Arial"/>
                <w:sz w:val="14"/>
                <w:szCs w:val="14"/>
                <w:b w:val="1"/>
                <w:bCs w:val="1"/>
                <w:color w:val="auto"/>
                <w:w w:val="93"/>
              </w:rPr>
              <w:t>Unrealized</w:t>
            </w:r>
          </w:p>
        </w:tc>
        <w:tc>
          <w:tcPr>
            <w:tcW w:w="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3"/>
              </w:rPr>
              <w:t>Unrealized</w:t>
            </w:r>
          </w:p>
        </w:tc>
        <w:tc>
          <w:tcPr>
            <w:tcW w:w="1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7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tcPr>
          <w:p>
            <w:pPr>
              <w:jc w:val="center"/>
              <w:ind w:right="95"/>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80" w:type="dxa"/>
            <w:vAlign w:val="bottom"/>
          </w:tcPr>
          <w:p>
            <w:pPr>
              <w:jc w:val="center"/>
              <w:ind w:right="79"/>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2"/>
              </w:rPr>
              <w:t>Losses</w:t>
            </w: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8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4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Short-term investments:</w:t>
            </w:r>
          </w:p>
        </w:tc>
        <w:tc>
          <w:tcPr>
            <w:tcW w:w="6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00" w:type="dxa"/>
            <w:vAlign w:val="bottom"/>
          </w:tcPr>
          <w:p>
            <w:pPr>
              <w:spacing w:after="0"/>
              <w:rPr>
                <w:sz w:val="20"/>
                <w:szCs w:val="20"/>
                <w:color w:val="auto"/>
              </w:rPr>
            </w:pPr>
            <w:r>
              <w:rPr>
                <w:rFonts w:ascii="Arial" w:cs="Arial" w:eastAsia="Arial" w:hAnsi="Arial"/>
                <w:sz w:val="18"/>
                <w:szCs w:val="18"/>
                <w:color w:val="auto"/>
              </w:rPr>
              <w:t>U.S. Federal, State, county and municipal debt securities</w:t>
            </w:r>
          </w:p>
        </w:tc>
        <w:tc>
          <w:tcPr>
            <w:tcW w:w="7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15,231</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23</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15,254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6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4700" w:type="dxa"/>
            <w:vAlign w:val="bottom"/>
          </w:tcPr>
          <w:p>
            <w:pPr>
              <w:spacing w:after="0" w:line="189" w:lineRule="exact"/>
              <w:rPr>
                <w:sz w:val="20"/>
                <w:szCs w:val="20"/>
                <w:color w:val="auto"/>
              </w:rPr>
            </w:pPr>
            <w:r>
              <w:rPr>
                <w:rFonts w:ascii="Arial" w:cs="Arial" w:eastAsia="Arial" w:hAnsi="Arial"/>
                <w:sz w:val="18"/>
                <w:szCs w:val="18"/>
                <w:color w:val="auto"/>
              </w:rPr>
              <w:t>Long-term investments:</w:t>
            </w:r>
          </w:p>
        </w:tc>
        <w:tc>
          <w:tcPr>
            <w:tcW w:w="6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70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7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70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Total long-term investments</w:t>
            </w:r>
          </w:p>
        </w:tc>
        <w:tc>
          <w:tcPr>
            <w:tcW w:w="62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45,628</w:t>
            </w:r>
          </w:p>
        </w:tc>
        <w:tc>
          <w:tcPr>
            <w:tcW w:w="26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45,628</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7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available-for-sale securities</w:t>
            </w:r>
          </w:p>
        </w:tc>
        <w:tc>
          <w:tcPr>
            <w:tcW w:w="62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60,859</w:t>
            </w:r>
          </w:p>
        </w:tc>
        <w:tc>
          <w:tcPr>
            <w:tcW w:w="26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260" w:type="dxa"/>
            <w:vAlign w:val="bottom"/>
            <w:tcBorders>
              <w:bottom w:val="single" w:sz="8" w:color="CCEEFF"/>
            </w:tcBorders>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60,882</w:t>
            </w:r>
          </w:p>
        </w:tc>
        <w:tc>
          <w:tcPr>
            <w:tcW w:w="10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80" w:firstLine="259"/>
        <w:spacing w:after="0" w:line="293" w:lineRule="auto"/>
        <w:rPr>
          <w:sz w:val="20"/>
          <w:szCs w:val="20"/>
          <w:color w:val="auto"/>
        </w:rPr>
      </w:pPr>
      <w:r>
        <w:rPr>
          <w:rFonts w:ascii="Arial" w:cs="Arial" w:eastAsia="Arial" w:hAnsi="Arial"/>
          <w:sz w:val="16"/>
          <w:szCs w:val="16"/>
          <w:color w:val="auto"/>
        </w:rPr>
        <w:t>As of May 3, 2008, the Company’s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 30 years and whose interest rates are reset every seven to thirty five days through an auction process. At the end of each reset period, investors can sell or continue to hold the securities at par. The Company’s auction rate securities are all backed by student loans originated under the Federal Family Education Loan Program, or FFELP, and are over-collateralized, insured and guaranteed by the United States Federal Department of Education. All auction rate securities held by the Company are rated by the major independent rating agencies as either AAA or Aaa.</w:t>
      </w:r>
    </w:p>
    <w:p>
      <w:pPr>
        <w:spacing w:after="0" w:line="165" w:lineRule="exact"/>
        <w:rPr>
          <w:sz w:val="20"/>
          <w:szCs w:val="20"/>
          <w:color w:val="auto"/>
        </w:rPr>
      </w:pPr>
    </w:p>
    <w:p>
      <w:pPr>
        <w:ind w:firstLine="259"/>
        <w:spacing w:after="0" w:line="269" w:lineRule="auto"/>
        <w:rPr>
          <w:sz w:val="20"/>
          <w:szCs w:val="20"/>
          <w:color w:val="auto"/>
        </w:rPr>
      </w:pPr>
      <w:r>
        <w:rPr>
          <w:rFonts w:ascii="Arial" w:cs="Arial" w:eastAsia="Arial" w:hAnsi="Arial"/>
          <w:sz w:val="17"/>
          <w:szCs w:val="17"/>
          <w:color w:val="auto"/>
        </w:rPr>
        <w:t>Beginning in February 2008, liquidity issues in the global credit markets resulted in failure of the auctions representing all of the auction rate securities held by the Company, as the amount of securities submitted for sale in those auctions exceed the amount of bids. These failures are not believed to be a credit issue, but rather caused by a lack of liquidity. Observable market prices were not available for the valuation of these investments. Accordingly, the Company used a discounted cash flow model to estimate the fair value of the auction rate securities as of May 3, 2008. The assumptions used in preparing the discounted cash flow model included estimates for the amount and timing of future interest and principal payments, the collateralization of underlying security investments, the credit worthiness of the issuer and the rate of return required by investors to own these securities in the current environment, including call premium and liquidity premium. During the three-month period ended May 3, 2008, the Company recorded a temporary impairment charge of $1.7 million calculated using a discounted cash flow model, in accumulated other comprehensive income, a component of shareholders’ equity. When evaluating whether the impairment of the investments are temporary or other than temporary, the Company reviewed factors such as the length of time and extent to which fair value has been below cost basis and the Company’s ability and intent to hold the investment for a period of time which may be sufficient for anticipated recovery in market value.</w:t>
      </w:r>
    </w:p>
    <w:p>
      <w:pPr>
        <w:sectPr>
          <w:pgSz w:w="11900" w:h="16838" w:orient="portrait"/>
          <w:cols w:equalWidth="0" w:num="1">
            <w:col w:w="11400"/>
          </w:cols>
          <w:pgMar w:left="240" w:top="125" w:right="259" w:bottom="231" w:gutter="0" w:footer="0" w:header="0"/>
        </w:sectPr>
      </w:pP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95885</wp:posOffset>
            </wp:positionV>
            <wp:extent cx="7267575" cy="298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125" w:right="259" w:bottom="231" w:gutter="0" w:footer="0" w:header="0"/>
          <w:type w:val="continuous"/>
        </w:sectPr>
      </w:pPr>
    </w:p>
    <w:bookmarkStart w:id="7" w:name="page8"/>
    <w:bookmarkEnd w:id="7"/>
    <w:p>
      <w:pPr>
        <w:ind w:right="80" w:firstLine="259"/>
        <w:spacing w:after="0" w:line="257" w:lineRule="auto"/>
        <w:rPr>
          <w:sz w:val="20"/>
          <w:szCs w:val="20"/>
          <w:color w:val="auto"/>
        </w:rPr>
      </w:pPr>
      <w:r>
        <w:rPr>
          <w:rFonts w:ascii="Arial" w:cs="Arial" w:eastAsia="Arial" w:hAnsi="Arial"/>
          <w:sz w:val="18"/>
          <w:szCs w:val="18"/>
          <w:color w:val="auto"/>
        </w:rPr>
        <w:t>While the recent auction failures limit the Company’s ability to liquidate these investments, the Company does not believe that the auction failures will materially impact its ability to fund its working capital needs, capital expenditures, or other business requirements. The Company believes that it has the ability to hold these securities for a period longer than 12 months. However, at the reporting date, it is not certain when liquidity will return to the markets, or if any other secondary markets will become available, the Company has continued to classify its auction rate securities in long-term investments as of May 3, 2008.</w:t>
      </w:r>
    </w:p>
    <w:p>
      <w:pPr>
        <w:spacing w:after="0" w:line="188" w:lineRule="exact"/>
        <w:rPr>
          <w:sz w:val="20"/>
          <w:szCs w:val="20"/>
          <w:color w:val="auto"/>
        </w:rPr>
      </w:pPr>
    </w:p>
    <w:p>
      <w:pPr>
        <w:ind w:right="140" w:firstLine="243"/>
        <w:spacing w:after="0" w:line="255" w:lineRule="auto"/>
        <w:rPr>
          <w:sz w:val="20"/>
          <w:szCs w:val="20"/>
          <w:color w:val="auto"/>
        </w:rPr>
      </w:pPr>
      <w:r>
        <w:rPr>
          <w:rFonts w:ascii="Arial" w:cs="Arial" w:eastAsia="Arial" w:hAnsi="Arial"/>
          <w:sz w:val="18"/>
          <w:szCs w:val="18"/>
          <w:color w:val="auto"/>
        </w:rPr>
        <w:t>The Company will continue to evaluate the impact of these failed auctions on the fair value of its securities. If the issuer of the auction rate securities is unable to successfully close future auctions or does not redeem the auction rate securities, or the United States government fails to support its guaranty of the obligations, the Company may be required to adjust the carrying value of the auction rate securities and record additional other-than-temporary impairment charges in future periods, which could materially affect its results of operations and financial condition. Further, if the fair value of these securities is determined to be other than temporarily impaired, the Company may be required to record a loss which could materially affect its results of operations and financial condition.</w:t>
      </w:r>
    </w:p>
    <w:p>
      <w:pPr>
        <w:spacing w:after="0" w:line="193"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The contractual maturities of available-for-sale debt securities at May 3, 2008 and February 2, 2008 are presented in the following table (in thousands):</w:t>
      </w:r>
    </w:p>
    <w:p>
      <w:pPr>
        <w:spacing w:after="0" w:line="228" w:lineRule="exact"/>
        <w:rPr>
          <w:sz w:val="20"/>
          <w:szCs w:val="20"/>
          <w:color w:val="auto"/>
        </w:rPr>
      </w:pPr>
    </w:p>
    <w:tbl>
      <w:tblPr>
        <w:tblLayout w:type="fixed"/>
        <w:tblInd w:w="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40" w:type="dxa"/>
            <w:vAlign w:val="bottom"/>
            <w:gridSpan w:val="4"/>
          </w:tcPr>
          <w:p>
            <w:pPr>
              <w:jc w:val="right"/>
              <w:ind w:right="617"/>
              <w:spacing w:after="0"/>
              <w:rPr>
                <w:sz w:val="20"/>
                <w:szCs w:val="20"/>
                <w:color w:val="auto"/>
              </w:rPr>
            </w:pPr>
            <w:r>
              <w:rPr>
                <w:rFonts w:ascii="Arial" w:cs="Arial" w:eastAsia="Arial" w:hAnsi="Arial"/>
                <w:sz w:val="14"/>
                <w:szCs w:val="14"/>
                <w:b w:val="1"/>
                <w:bCs w:val="1"/>
                <w:color w:val="auto"/>
              </w:rPr>
              <w:t>May 3, 2008</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160" w:type="dxa"/>
            <w:vAlign w:val="bottom"/>
            <w:gridSpan w:val="6"/>
          </w:tcPr>
          <w:p>
            <w:pPr>
              <w:ind w:left="440"/>
              <w:spacing w:after="0"/>
              <w:rPr>
                <w:sz w:val="20"/>
                <w:szCs w:val="20"/>
                <w:color w:val="auto"/>
              </w:rPr>
            </w:pPr>
            <w:r>
              <w:rPr>
                <w:rFonts w:ascii="Arial" w:cs="Arial" w:eastAsia="Arial" w:hAnsi="Arial"/>
                <w:sz w:val="14"/>
                <w:szCs w:val="14"/>
                <w:b w:val="1"/>
                <w:bCs w:val="1"/>
                <w:color w:val="auto"/>
              </w:rPr>
              <w:t>February 2, 2008</w:t>
            </w:r>
          </w:p>
        </w:tc>
      </w:tr>
      <w:tr>
        <w:trPr>
          <w:trHeight w:val="119"/>
        </w:trPr>
        <w:tc>
          <w:tcPr>
            <w:tcW w:w="20" w:type="dxa"/>
            <w:vAlign w:val="bottom"/>
          </w:tcPr>
          <w:p>
            <w:pPr>
              <w:spacing w:after="0"/>
              <w:rPr>
                <w:sz w:val="10"/>
                <w:szCs w:val="10"/>
                <w:color w:val="auto"/>
              </w:rPr>
            </w:pPr>
          </w:p>
        </w:tc>
        <w:tc>
          <w:tcPr>
            <w:tcW w:w="3640" w:type="dxa"/>
            <w:vAlign w:val="bottom"/>
          </w:tcPr>
          <w:p>
            <w:pPr>
              <w:spacing w:after="0"/>
              <w:rPr>
                <w:sz w:val="10"/>
                <w:szCs w:val="10"/>
                <w:color w:val="auto"/>
              </w:rPr>
            </w:pPr>
          </w:p>
        </w:tc>
        <w:tc>
          <w:tcPr>
            <w:tcW w:w="136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78"/>
              <w:spacing w:after="0" w:line="119" w:lineRule="exact"/>
              <w:rPr>
                <w:sz w:val="20"/>
                <w:szCs w:val="20"/>
                <w:color w:val="auto"/>
              </w:rPr>
            </w:pPr>
            <w:r>
              <w:rPr>
                <w:rFonts w:ascii="Arial" w:cs="Arial" w:eastAsia="Arial" w:hAnsi="Arial"/>
                <w:sz w:val="13"/>
                <w:szCs w:val="13"/>
                <w:b w:val="1"/>
                <w:bCs w:val="1"/>
                <w:color w:val="auto"/>
              </w:rPr>
              <w:t>Amortized</w:t>
            </w:r>
          </w:p>
        </w:tc>
        <w:tc>
          <w:tcPr>
            <w:tcW w:w="2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97"/>
              <w:spacing w:after="0" w:line="119" w:lineRule="exact"/>
              <w:rPr>
                <w:sz w:val="20"/>
                <w:szCs w:val="20"/>
                <w:color w:val="auto"/>
              </w:rPr>
            </w:pPr>
            <w:r>
              <w:rPr>
                <w:rFonts w:ascii="Arial" w:cs="Arial" w:eastAsia="Arial" w:hAnsi="Arial"/>
                <w:sz w:val="13"/>
                <w:szCs w:val="13"/>
                <w:b w:val="1"/>
                <w:bCs w:val="1"/>
                <w:color w:val="auto"/>
              </w:rPr>
              <w:t>Estimated</w:t>
            </w:r>
          </w:p>
        </w:tc>
        <w:tc>
          <w:tcPr>
            <w:tcW w:w="24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2"/>
          </w:tcPr>
          <w:p>
            <w:pPr>
              <w:jc w:val="center"/>
              <w:ind w:right="360"/>
              <w:spacing w:after="0" w:line="119" w:lineRule="exact"/>
              <w:rPr>
                <w:sz w:val="20"/>
                <w:szCs w:val="20"/>
                <w:color w:val="auto"/>
              </w:rPr>
            </w:pPr>
            <w:r>
              <w:rPr>
                <w:rFonts w:ascii="Arial" w:cs="Arial" w:eastAsia="Arial" w:hAnsi="Arial"/>
                <w:sz w:val="13"/>
                <w:szCs w:val="13"/>
                <w:b w:val="1"/>
                <w:bCs w:val="1"/>
                <w:color w:val="auto"/>
              </w:rPr>
              <w:t>Amortized</w:t>
            </w:r>
          </w:p>
        </w:tc>
        <w:tc>
          <w:tcPr>
            <w:tcW w:w="2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ind w:left="40"/>
              <w:spacing w:after="0" w:line="119" w:lineRule="exact"/>
              <w:rPr>
                <w:sz w:val="20"/>
                <w:szCs w:val="20"/>
                <w:color w:val="auto"/>
              </w:rPr>
            </w:pPr>
            <w:r>
              <w:rPr>
                <w:rFonts w:ascii="Arial" w:cs="Arial" w:eastAsia="Arial" w:hAnsi="Arial"/>
                <w:sz w:val="13"/>
                <w:szCs w:val="13"/>
                <w:b w:val="1"/>
                <w:bCs w:val="1"/>
                <w:color w:val="auto"/>
              </w:rPr>
              <w:t>Estimated</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jc w:val="right"/>
              <w:ind w:right="258"/>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tcPr>
          <w:p>
            <w:pPr>
              <w:jc w:val="right"/>
              <w:ind w:right="77"/>
              <w:spacing w:after="0"/>
              <w:rPr>
                <w:sz w:val="20"/>
                <w:szCs w:val="20"/>
                <w:color w:val="auto"/>
              </w:rPr>
            </w:pPr>
            <w:r>
              <w:rPr>
                <w:rFonts w:ascii="Arial" w:cs="Arial" w:eastAsia="Arial" w:hAnsi="Arial"/>
                <w:sz w:val="14"/>
                <w:szCs w:val="14"/>
                <w:b w:val="1"/>
                <w:bCs w:val="1"/>
                <w:color w:val="auto"/>
                <w:w w:val="98"/>
              </w:rPr>
              <w:t>Fair Value</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9"/>
              </w:rPr>
              <w:t>Cost</w:t>
            </w: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60" w:type="dxa"/>
            <w:vAlign w:val="bottom"/>
            <w:gridSpan w:val="2"/>
          </w:tcPr>
          <w:p>
            <w:pPr>
              <w:ind w:left="4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20" w:type="dxa"/>
            <w:vAlign w:val="bottom"/>
          </w:tcPr>
          <w:p>
            <w:pPr>
              <w:spacing w:after="0"/>
              <w:rPr>
                <w:sz w:val="18"/>
                <w:szCs w:val="18"/>
                <w:color w:val="auto"/>
              </w:rPr>
            </w:pPr>
          </w:p>
        </w:tc>
        <w:tc>
          <w:tcPr>
            <w:tcW w:w="36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3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5,042</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5,058</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2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6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3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36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42,150</w:t>
            </w:r>
          </w:p>
        </w:tc>
        <w:tc>
          <w:tcPr>
            <w:tcW w:w="2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24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100" w:type="dxa"/>
            <w:vAlign w:val="bottom"/>
            <w:shd w:val="clear" w:color="auto" w:fill="CCEEFF"/>
          </w:tcPr>
          <w:p>
            <w:pPr>
              <w:spacing w:after="0"/>
              <w:rPr>
                <w:sz w:val="18"/>
                <w:szCs w:val="18"/>
                <w:color w:val="auto"/>
              </w:rPr>
            </w:pPr>
          </w:p>
        </w:tc>
      </w:tr>
      <w:tr>
        <w:trPr>
          <w:trHeight w:val="217"/>
        </w:trPr>
        <w:tc>
          <w:tcPr>
            <w:tcW w:w="20" w:type="dxa"/>
            <w:vAlign w:val="bottom"/>
          </w:tcPr>
          <w:p>
            <w:pPr>
              <w:spacing w:after="0"/>
              <w:rPr>
                <w:sz w:val="18"/>
                <w:szCs w:val="18"/>
                <w:color w:val="auto"/>
              </w:rPr>
            </w:pPr>
          </w:p>
        </w:tc>
        <w:tc>
          <w:tcPr>
            <w:tcW w:w="36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47,192</w:t>
            </w:r>
          </w:p>
        </w:tc>
        <w:tc>
          <w:tcPr>
            <w:tcW w:w="24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45,517</w:t>
            </w:r>
          </w:p>
        </w:tc>
        <w:tc>
          <w:tcPr>
            <w:tcW w:w="240" w:type="dxa"/>
            <w:vAlign w:val="bottom"/>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60,859</w:t>
            </w:r>
          </w:p>
        </w:tc>
        <w:tc>
          <w:tcPr>
            <w:tcW w:w="2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60,882</w:t>
            </w:r>
          </w:p>
        </w:tc>
        <w:tc>
          <w:tcPr>
            <w:tcW w:w="100" w:type="dxa"/>
            <w:vAlign w:val="bottom"/>
          </w:tcPr>
          <w:p>
            <w:pPr>
              <w:spacing w:after="0"/>
              <w:rPr>
                <w:sz w:val="18"/>
                <w:szCs w:val="18"/>
                <w:color w:val="auto"/>
              </w:rPr>
            </w:pPr>
          </w:p>
        </w:tc>
      </w:tr>
    </w:tbl>
    <w:p>
      <w:pPr>
        <w:spacing w:after="0" w:line="202" w:lineRule="exact"/>
        <w:rPr>
          <w:sz w:val="20"/>
          <w:szCs w:val="20"/>
          <w:color w:val="auto"/>
        </w:rPr>
      </w:pPr>
    </w:p>
    <w:p>
      <w:pPr>
        <w:ind w:right="280" w:firstLine="243"/>
        <w:spacing w:after="0" w:line="277" w:lineRule="auto"/>
        <w:rPr>
          <w:sz w:val="20"/>
          <w:szCs w:val="20"/>
          <w:color w:val="auto"/>
        </w:rPr>
      </w:pPr>
      <w:r>
        <w:rPr>
          <w:rFonts w:ascii="Arial" w:cs="Arial" w:eastAsia="Arial" w:hAnsi="Arial"/>
          <w:sz w:val="18"/>
          <w:szCs w:val="18"/>
          <w:color w:val="auto"/>
        </w:rPr>
        <w:t>The following table shows the investments’ gross unrealized losses and fair value, aggregated by investment category and length of time that individual securities have been in a continuous unrealized loss position (in thousands):</w:t>
      </w:r>
    </w:p>
    <w:p>
      <w:pPr>
        <w:spacing w:after="0" w:line="162"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020" w:type="dxa"/>
            <w:vAlign w:val="bottom"/>
            <w:tcBorders>
              <w:bottom w:val="single" w:sz="8" w:color="auto"/>
            </w:tcBorders>
            <w:gridSpan w:val="10"/>
          </w:tcPr>
          <w:p>
            <w:pPr>
              <w:jc w:val="right"/>
              <w:ind w:right="900"/>
              <w:spacing w:after="0"/>
              <w:rPr>
                <w:sz w:val="20"/>
                <w:szCs w:val="20"/>
                <w:color w:val="auto"/>
              </w:rPr>
            </w:pPr>
            <w:r>
              <w:rPr>
                <w:rFonts w:ascii="Arial" w:cs="Arial" w:eastAsia="Arial" w:hAnsi="Arial"/>
                <w:sz w:val="14"/>
                <w:szCs w:val="14"/>
                <w:b w:val="1"/>
                <w:bCs w:val="1"/>
                <w:color w:val="auto"/>
              </w:rPr>
              <w:t>May 3, 2008</w:t>
            </w: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9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20" w:type="dxa"/>
            <w:vAlign w:val="bottom"/>
            <w:gridSpan w:val="3"/>
          </w:tcPr>
          <w:p>
            <w:pPr>
              <w:jc w:val="right"/>
              <w:ind w:right="8"/>
              <w:spacing w:after="0" w:line="119" w:lineRule="exact"/>
              <w:rPr>
                <w:sz w:val="20"/>
                <w:szCs w:val="20"/>
                <w:color w:val="auto"/>
              </w:rPr>
            </w:pPr>
            <w:r>
              <w:rPr>
                <w:rFonts w:ascii="Arial" w:cs="Arial" w:eastAsia="Arial" w:hAnsi="Arial"/>
                <w:sz w:val="13"/>
                <w:szCs w:val="13"/>
                <w:b w:val="1"/>
                <w:bCs w:val="1"/>
                <w:color w:val="auto"/>
              </w:rPr>
              <w:t>Less than</w:t>
            </w:r>
          </w:p>
        </w:tc>
        <w:tc>
          <w:tcPr>
            <w:tcW w:w="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340" w:type="dxa"/>
            <w:vAlign w:val="bottom"/>
            <w:gridSpan w:val="8"/>
            <w:vMerge w:val="restart"/>
          </w:tcPr>
          <w:p>
            <w:pPr>
              <w:ind w:left="760"/>
              <w:spacing w:after="0"/>
              <w:rPr>
                <w:sz w:val="20"/>
                <w:szCs w:val="20"/>
                <w:color w:val="auto"/>
              </w:rPr>
            </w:pPr>
            <w:r>
              <w:rPr>
                <w:rFonts w:ascii="Arial" w:cs="Arial" w:eastAsia="Arial" w:hAnsi="Arial"/>
                <w:sz w:val="14"/>
                <w:szCs w:val="14"/>
                <w:b w:val="1"/>
                <w:bCs w:val="1"/>
                <w:color w:val="auto"/>
              </w:rPr>
              <w:t>Total</w:t>
            </w:r>
          </w:p>
        </w:tc>
        <w:tc>
          <w:tcPr>
            <w:tcW w:w="6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122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12 months</w:t>
            </w:r>
          </w:p>
        </w:tc>
        <w:tc>
          <w:tcPr>
            <w:tcW w:w="54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8"/>
            <w:vMerge w:val="continue"/>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9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40" w:type="dxa"/>
            <w:vAlign w:val="bottom"/>
          </w:tcPr>
          <w:p>
            <w:pPr>
              <w:jc w:val="right"/>
              <w:ind w:right="264"/>
              <w:spacing w:after="0" w:line="119" w:lineRule="exact"/>
              <w:rPr>
                <w:sz w:val="20"/>
                <w:szCs w:val="20"/>
                <w:color w:val="auto"/>
              </w:rPr>
            </w:pPr>
            <w:r>
              <w:rPr>
                <w:rFonts w:ascii="Arial" w:cs="Arial" w:eastAsia="Arial" w:hAnsi="Arial"/>
                <w:sz w:val="13"/>
                <w:szCs w:val="13"/>
                <w:b w:val="1"/>
                <w:bCs w:val="1"/>
                <w:color w:val="auto"/>
              </w:rPr>
              <w:t>Fair</w:t>
            </w:r>
          </w:p>
        </w:tc>
        <w:tc>
          <w:tcPr>
            <w:tcW w:w="240" w:type="dxa"/>
            <w:vAlign w:val="bottom"/>
          </w:tcPr>
          <w:p>
            <w:pPr>
              <w:spacing w:after="0"/>
              <w:rPr>
                <w:sz w:val="10"/>
                <w:szCs w:val="10"/>
                <w:color w:val="auto"/>
              </w:rPr>
            </w:pPr>
          </w:p>
        </w:tc>
        <w:tc>
          <w:tcPr>
            <w:tcW w:w="920" w:type="dxa"/>
            <w:vAlign w:val="bottom"/>
            <w:gridSpan w:val="5"/>
          </w:tcPr>
          <w:p>
            <w:pPr>
              <w:jc w:val="right"/>
              <w:ind w:right="65"/>
              <w:spacing w:after="0" w:line="119" w:lineRule="exact"/>
              <w:rPr>
                <w:sz w:val="20"/>
                <w:szCs w:val="20"/>
                <w:color w:val="auto"/>
              </w:rPr>
            </w:pPr>
            <w:r>
              <w:rPr>
                <w:rFonts w:ascii="Arial" w:cs="Arial" w:eastAsia="Arial" w:hAnsi="Arial"/>
                <w:sz w:val="13"/>
                <w:szCs w:val="13"/>
                <w:b w:val="1"/>
                <w:bCs w:val="1"/>
                <w:color w:val="auto"/>
              </w:rPr>
              <w:t>Unrealized</w:t>
            </w:r>
          </w:p>
        </w:tc>
        <w:tc>
          <w:tcPr>
            <w:tcW w:w="2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40" w:type="dxa"/>
            <w:vAlign w:val="bottom"/>
            <w:gridSpan w:val="4"/>
          </w:tcPr>
          <w:p>
            <w:pPr>
              <w:ind w:left="240"/>
              <w:spacing w:after="0" w:line="119" w:lineRule="exact"/>
              <w:rPr>
                <w:sz w:val="20"/>
                <w:szCs w:val="20"/>
                <w:color w:val="auto"/>
              </w:rPr>
            </w:pPr>
            <w:r>
              <w:rPr>
                <w:rFonts w:ascii="Arial" w:cs="Arial" w:eastAsia="Arial" w:hAnsi="Arial"/>
                <w:sz w:val="13"/>
                <w:szCs w:val="13"/>
                <w:b w:val="1"/>
                <w:bCs w:val="1"/>
                <w:color w:val="auto"/>
              </w:rPr>
              <w:t>Fair</w:t>
            </w:r>
          </w:p>
        </w:tc>
        <w:tc>
          <w:tcPr>
            <w:tcW w:w="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60" w:type="dxa"/>
            <w:vAlign w:val="bottom"/>
            <w:gridSpan w:val="3"/>
          </w:tcPr>
          <w:p>
            <w:pPr>
              <w:ind w:left="80"/>
              <w:spacing w:after="0" w:line="119" w:lineRule="exact"/>
              <w:rPr>
                <w:sz w:val="20"/>
                <w:szCs w:val="20"/>
                <w:color w:val="auto"/>
              </w:rPr>
            </w:pPr>
            <w:r>
              <w:rPr>
                <w:rFonts w:ascii="Arial" w:cs="Arial" w:eastAsia="Arial" w:hAnsi="Arial"/>
                <w:sz w:val="13"/>
                <w:szCs w:val="13"/>
                <w:b w:val="1"/>
                <w:bCs w:val="1"/>
                <w:color w:val="auto"/>
              </w:rPr>
              <w:t>Unrealized</w:t>
            </w:r>
          </w:p>
        </w:tc>
        <w:tc>
          <w:tcPr>
            <w:tcW w:w="280" w:type="dxa"/>
            <w:vAlign w:val="bottom"/>
            <w:gridSpan w:val="2"/>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9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40" w:type="dxa"/>
            <w:vAlign w:val="bottom"/>
          </w:tcPr>
          <w:p>
            <w:pPr>
              <w:jc w:val="right"/>
              <w:ind w:right="224"/>
              <w:spacing w:after="0"/>
              <w:rPr>
                <w:sz w:val="20"/>
                <w:szCs w:val="20"/>
                <w:color w:val="auto"/>
              </w:rPr>
            </w:pPr>
            <w:r>
              <w:rPr>
                <w:rFonts w:ascii="Arial" w:cs="Arial" w:eastAsia="Arial" w:hAnsi="Arial"/>
                <w:sz w:val="14"/>
                <w:szCs w:val="14"/>
                <w:b w:val="1"/>
                <w:bCs w:val="1"/>
                <w:color w:val="auto"/>
              </w:rPr>
              <w:t>Value</w:t>
            </w: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gridSpan w:val="4"/>
          </w:tcPr>
          <w:p>
            <w:pPr>
              <w:jc w:val="right"/>
              <w:ind w:right="245"/>
              <w:spacing w:after="0"/>
              <w:rPr>
                <w:sz w:val="20"/>
                <w:szCs w:val="20"/>
                <w:color w:val="auto"/>
              </w:rPr>
            </w:pPr>
            <w:r>
              <w:rPr>
                <w:rFonts w:ascii="Arial" w:cs="Arial" w:eastAsia="Arial" w:hAnsi="Arial"/>
                <w:sz w:val="14"/>
                <w:szCs w:val="14"/>
                <w:b w:val="1"/>
                <w:bCs w:val="1"/>
                <w:color w:val="auto"/>
              </w:rPr>
              <w:t>Loss</w:t>
            </w:r>
          </w:p>
        </w:tc>
        <w:tc>
          <w:tcPr>
            <w:tcW w:w="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4"/>
          </w:tcPr>
          <w:p>
            <w:pPr>
              <w:ind w:left="200"/>
              <w:spacing w:after="0"/>
              <w:rPr>
                <w:sz w:val="20"/>
                <w:szCs w:val="20"/>
                <w:color w:val="auto"/>
              </w:rPr>
            </w:pPr>
            <w:r>
              <w:rPr>
                <w:rFonts w:ascii="Arial" w:cs="Arial" w:eastAsia="Arial" w:hAnsi="Arial"/>
                <w:sz w:val="14"/>
                <w:szCs w:val="14"/>
                <w:b w:val="1"/>
                <w:bCs w:val="1"/>
                <w:color w:val="auto"/>
              </w:rPr>
              <w:t>Value</w:t>
            </w: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8"/>
          </w:tcPr>
          <w:p>
            <w:pPr>
              <w:spacing w:after="0"/>
              <w:rPr>
                <w:sz w:val="20"/>
                <w:szCs w:val="20"/>
                <w:color w:val="auto"/>
              </w:rPr>
            </w:pPr>
            <w:r>
              <w:rPr>
                <w:rFonts w:ascii="Arial" w:cs="Arial" w:eastAsia="Arial" w:hAnsi="Arial"/>
                <w:sz w:val="14"/>
                <w:szCs w:val="14"/>
                <w:b w:val="1"/>
                <w:bCs w:val="1"/>
                <w:color w:val="auto"/>
              </w:rPr>
              <w:t>Loss</w:t>
            </w: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tcBorders>
              <w:top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6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24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8"/>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1,691</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20" w:type="dxa"/>
            <w:vAlign w:val="bottom"/>
            <w:tcBorders>
              <w:top w:val="single" w:sz="8" w:color="auto"/>
              <w:bottom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gridSpan w:val="3"/>
            <w:shd w:val="clear" w:color="auto" w:fill="CCEEFF"/>
          </w:tcPr>
          <w:p>
            <w:pPr>
              <w:jc w:val="right"/>
              <w:ind w:right="48"/>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00" w:type="dxa"/>
            <w:vAlign w:val="bottom"/>
            <w:tcBorders>
              <w:top w:val="single" w:sz="8" w:color="auto"/>
              <w:bottom w:val="single" w:sz="8" w:color="auto"/>
            </w:tcBorders>
            <w:shd w:val="clear" w:color="auto" w:fill="CCEEFF"/>
          </w:tcPr>
          <w:p>
            <w:pPr>
              <w:ind w:left="200"/>
              <w:spacing w:after="0"/>
              <w:rPr>
                <w:sz w:val="20"/>
                <w:szCs w:val="20"/>
                <w:color w:val="auto"/>
              </w:rPr>
            </w:pPr>
            <w:r>
              <w:rPr>
                <w:rFonts w:ascii="Arial" w:cs="Arial" w:eastAsia="Arial" w:hAnsi="Arial"/>
                <w:sz w:val="18"/>
                <w:szCs w:val="18"/>
                <w:color w:val="auto"/>
                <w:w w:val="84"/>
              </w:rPr>
              <w:t>1,691</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gridSpan w:val="2"/>
          </w:tcPr>
          <w:p>
            <w:pPr>
              <w:spacing w:after="0"/>
              <w:rPr>
                <w:sz w:val="20"/>
                <w:szCs w:val="20"/>
                <w:color w:val="auto"/>
              </w:rPr>
            </w:pPr>
            <w:r>
              <w:rPr>
                <w:rFonts w:ascii="Arial" w:cs="Arial" w:eastAsia="Arial" w:hAnsi="Arial"/>
                <w:sz w:val="18"/>
                <w:szCs w:val="18"/>
                <w:color w:val="auto"/>
              </w:rPr>
              <w:t>Total securities</w:t>
            </w:r>
          </w:p>
        </w:tc>
        <w:tc>
          <w:tcPr>
            <w:tcW w:w="620" w:type="dxa"/>
            <w:vAlign w:val="bottom"/>
          </w:tcPr>
          <w:p>
            <w:pPr>
              <w:spacing w:after="0"/>
              <w:rPr>
                <w:sz w:val="18"/>
                <w:szCs w:val="18"/>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40,459</w:t>
            </w:r>
          </w:p>
        </w:tc>
        <w:tc>
          <w:tcPr>
            <w:tcW w:w="240" w:type="dxa"/>
            <w:vAlign w:val="bottom"/>
          </w:tcPr>
          <w:p>
            <w:pPr>
              <w:spacing w:after="0"/>
              <w:rPr>
                <w:sz w:val="18"/>
                <w:szCs w:val="18"/>
                <w:color w:val="auto"/>
              </w:rPr>
            </w:pPr>
          </w:p>
        </w:tc>
        <w:tc>
          <w:tcPr>
            <w:tcW w:w="240" w:type="dxa"/>
            <w:vAlign w:val="bottom"/>
            <w:tcBorders>
              <w:bottom w:val="single" w:sz="8" w:color="auto"/>
            </w:tcBorders>
          </w:tcPr>
          <w:p>
            <w:pPr>
              <w:jc w:val="right"/>
              <w:ind w:right="88"/>
              <w:spacing w:after="0"/>
              <w:rPr>
                <w:sz w:val="20"/>
                <w:szCs w:val="20"/>
                <w:color w:val="auto"/>
              </w:rPr>
            </w:pPr>
            <w:r>
              <w:rPr>
                <w:rFonts w:ascii="Arial" w:cs="Arial" w:eastAsia="Arial" w:hAnsi="Arial"/>
                <w:sz w:val="15"/>
                <w:szCs w:val="15"/>
                <w:color w:val="auto"/>
                <w:w w:val="71"/>
              </w:rPr>
              <w:t>$</w:t>
            </w:r>
          </w:p>
        </w:tc>
        <w:tc>
          <w:tcPr>
            <w:tcW w:w="68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1,691</w:t>
            </w:r>
          </w:p>
        </w:tc>
        <w:tc>
          <w:tcPr>
            <w:tcW w:w="22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40,459</w:t>
            </w:r>
          </w:p>
        </w:tc>
        <w:tc>
          <w:tcPr>
            <w:tcW w:w="20" w:type="dxa"/>
            <w:vAlign w:val="bottom"/>
            <w:tcBorders>
              <w:bottom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Borders>
              <w:bottom w:val="single" w:sz="8" w:color="auto"/>
            </w:tcBorders>
            <w:gridSpan w:val="3"/>
          </w:tcPr>
          <w:p>
            <w:pPr>
              <w:jc w:val="right"/>
              <w:ind w:right="48"/>
              <w:spacing w:after="0"/>
              <w:rPr>
                <w:sz w:val="20"/>
                <w:szCs w:val="20"/>
                <w:color w:val="auto"/>
              </w:rPr>
            </w:pPr>
            <w:r>
              <w:rPr>
                <w:rFonts w:ascii="Arial" w:cs="Arial" w:eastAsia="Arial" w:hAnsi="Arial"/>
                <w:sz w:val="15"/>
                <w:szCs w:val="15"/>
                <w:color w:val="auto"/>
                <w:w w:val="71"/>
              </w:rPr>
              <w:t>$</w:t>
            </w:r>
          </w:p>
        </w:tc>
        <w:tc>
          <w:tcPr>
            <w:tcW w:w="10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w w:val="84"/>
              </w:rPr>
              <w:t>1,691</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5240" w:type="dxa"/>
            <w:vAlign w:val="bottom"/>
            <w:gridSpan w:val="5"/>
          </w:tcPr>
          <w:p>
            <w:pPr>
              <w:ind w:left="260"/>
              <w:spacing w:after="0"/>
              <w:rPr>
                <w:sz w:val="20"/>
                <w:szCs w:val="20"/>
                <w:color w:val="auto"/>
              </w:rPr>
            </w:pPr>
            <w:r>
              <w:rPr>
                <w:rFonts w:ascii="Arial" w:cs="Arial" w:eastAsia="Arial" w:hAnsi="Arial"/>
                <w:sz w:val="18"/>
                <w:szCs w:val="18"/>
                <w:b w:val="1"/>
                <w:bCs w:val="1"/>
                <w:color w:val="auto"/>
              </w:rPr>
              <w:t>Inventories (in thousands)</w:t>
            </w: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20" w:type="dxa"/>
            <w:vAlign w:val="bottom"/>
            <w:gridSpan w:val="5"/>
          </w:tcPr>
          <w:p>
            <w:pPr>
              <w:jc w:val="right"/>
              <w:ind w:right="640"/>
              <w:spacing w:after="0"/>
              <w:rPr>
                <w:sz w:val="20"/>
                <w:szCs w:val="20"/>
                <w:color w:val="auto"/>
              </w:rPr>
            </w:pPr>
            <w:r>
              <w:rPr>
                <w:rFonts w:ascii="Arial" w:cs="Arial" w:eastAsia="Arial" w:hAnsi="Arial"/>
                <w:sz w:val="14"/>
                <w:szCs w:val="14"/>
                <w:b w:val="1"/>
                <w:bCs w:val="1"/>
                <w:color w:val="auto"/>
              </w:rPr>
              <w:t>May 3,</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960" w:type="dxa"/>
            <w:vAlign w:val="bottom"/>
            <w:gridSpan w:val="9"/>
          </w:tcPr>
          <w:p>
            <w:pPr>
              <w:jc w:val="center"/>
              <w:ind w:right="116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94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7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4580" w:type="dxa"/>
            <w:vAlign w:val="bottom"/>
            <w:gridSpan w:val="4"/>
            <w:shd w:val="clear" w:color="auto" w:fill="CCEEFF"/>
          </w:tcPr>
          <w:p>
            <w:pPr>
              <w:spacing w:after="0"/>
              <w:rPr>
                <w:sz w:val="20"/>
                <w:szCs w:val="20"/>
                <w:color w:val="auto"/>
              </w:rPr>
            </w:pPr>
            <w:r>
              <w:rPr>
                <w:rFonts w:ascii="Arial" w:cs="Arial" w:eastAsia="Arial" w:hAnsi="Arial"/>
                <w:sz w:val="18"/>
                <w:szCs w:val="18"/>
                <w:color w:val="auto"/>
              </w:rPr>
              <w:t>Work-in-process</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260,122</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ind w:right="28"/>
              <w:spacing w:after="0"/>
              <w:rPr>
                <w:sz w:val="20"/>
                <w:szCs w:val="20"/>
                <w:color w:val="auto"/>
              </w:rPr>
            </w:pPr>
            <w:r>
              <w:rPr>
                <w:rFonts w:ascii="Arial" w:cs="Arial" w:eastAsia="Arial" w:hAnsi="Arial"/>
                <w:sz w:val="15"/>
                <w:szCs w:val="15"/>
                <w:color w:val="auto"/>
                <w:w w:val="71"/>
              </w:rPr>
              <w:t>$</w:t>
            </w:r>
          </w:p>
        </w:tc>
        <w:tc>
          <w:tcPr>
            <w:tcW w:w="100" w:type="dxa"/>
            <w:vAlign w:val="bottom"/>
            <w:shd w:val="clear" w:color="auto" w:fill="CCEEFF"/>
          </w:tcPr>
          <w:p>
            <w:pPr>
              <w:spacing w:after="0"/>
              <w:rPr>
                <w:sz w:val="18"/>
                <w:szCs w:val="18"/>
                <w:color w:val="auto"/>
              </w:rPr>
            </w:pPr>
          </w:p>
        </w:tc>
        <w:tc>
          <w:tcPr>
            <w:tcW w:w="88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w w:val="86"/>
              </w:rPr>
              <w:t>270,449</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4580" w:type="dxa"/>
            <w:vAlign w:val="bottom"/>
            <w:gridSpan w:val="4"/>
          </w:tcPr>
          <w:p>
            <w:pPr>
              <w:spacing w:after="0"/>
              <w:rPr>
                <w:sz w:val="20"/>
                <w:szCs w:val="20"/>
                <w:color w:val="auto"/>
              </w:rPr>
            </w:pPr>
            <w:r>
              <w:rPr>
                <w:rFonts w:ascii="Arial" w:cs="Arial" w:eastAsia="Arial" w:hAnsi="Arial"/>
                <w:sz w:val="18"/>
                <w:szCs w:val="18"/>
                <w:color w:val="auto"/>
              </w:rPr>
              <w:t>Finished goods</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109,837</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4"/>
          </w:tcPr>
          <w:p>
            <w:pPr>
              <w:ind w:left="300"/>
              <w:spacing w:after="0"/>
              <w:rPr>
                <w:sz w:val="20"/>
                <w:szCs w:val="20"/>
                <w:color w:val="auto"/>
              </w:rPr>
            </w:pPr>
            <w:r>
              <w:rPr>
                <w:rFonts w:ascii="Arial" w:cs="Arial" w:eastAsia="Arial" w:hAnsi="Arial"/>
                <w:sz w:val="18"/>
                <w:szCs w:val="18"/>
                <w:color w:val="auto"/>
                <w:w w:val="89"/>
              </w:rPr>
              <w:t>149,045</w:t>
            </w: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60" w:type="dxa"/>
            <w:vAlign w:val="bottom"/>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360" w:type="dxa"/>
            <w:vAlign w:val="bottom"/>
            <w:tcBorders>
              <w:top w:val="single" w:sz="8" w:color="CCEEFF"/>
              <w:bottom w:val="single" w:sz="8" w:color="CCEEFF"/>
              <w:right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3940" w:type="dxa"/>
            <w:vAlign w:val="bottom"/>
            <w:tcBorders>
              <w:top w:val="single" w:sz="8" w:color="CCEEFF"/>
              <w:bottom w:val="single" w:sz="8" w:color="CCEEFF"/>
            </w:tcBorders>
            <w:shd w:val="clear" w:color="auto" w:fill="CCEEFF"/>
          </w:tcPr>
          <w:p>
            <w:pPr>
              <w:spacing w:after="0"/>
              <w:rPr>
                <w:sz w:val="19"/>
                <w:szCs w:val="19"/>
                <w:color w:val="auto"/>
              </w:rPr>
            </w:pPr>
          </w:p>
        </w:tc>
        <w:tc>
          <w:tcPr>
            <w:tcW w:w="620" w:type="dxa"/>
            <w:vAlign w:val="bottom"/>
            <w:tcBorders>
              <w:top w:val="single" w:sz="8" w:color="CCEEFF"/>
              <w:bottom w:val="single" w:sz="8" w:color="CCEEFF"/>
            </w:tcBorders>
            <w:shd w:val="clear" w:color="auto" w:fill="CCEEFF"/>
          </w:tcPr>
          <w:p>
            <w:pPr>
              <w:spacing w:after="0"/>
              <w:rPr>
                <w:sz w:val="19"/>
                <w:szCs w:val="19"/>
                <w:color w:val="auto"/>
              </w:rPr>
            </w:pPr>
          </w:p>
        </w:tc>
        <w:tc>
          <w:tcPr>
            <w:tcW w:w="200" w:type="dxa"/>
            <w:vAlign w:val="bottom"/>
            <w:tcBorders>
              <w:top w:val="single" w:sz="8" w:color="CCEEFF"/>
              <w:bottom w:val="single" w:sz="8" w:color="CCEEFF"/>
            </w:tcBorders>
            <w:shd w:val="clear" w:color="auto" w:fill="CCEEFF"/>
          </w:tcPr>
          <w:p>
            <w:pPr>
              <w:spacing w:after="0"/>
              <w:rPr>
                <w:sz w:val="19"/>
                <w:szCs w:val="19"/>
                <w:color w:val="auto"/>
              </w:rPr>
            </w:pPr>
          </w:p>
        </w:tc>
        <w:tc>
          <w:tcPr>
            <w:tcW w:w="74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CCEEFF"/>
              <w:bottom w:val="single" w:sz="8" w:color="CCEEFF"/>
            </w:tcBorders>
            <w:shd w:val="clear" w:color="auto" w:fill="CCEEFF"/>
          </w:tcPr>
          <w:p>
            <w:pPr>
              <w:spacing w:after="0"/>
              <w:rPr>
                <w:sz w:val="19"/>
                <w:szCs w:val="19"/>
                <w:color w:val="auto"/>
              </w:rPr>
            </w:pPr>
          </w:p>
        </w:tc>
        <w:tc>
          <w:tcPr>
            <w:tcW w:w="54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auto"/>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20" w:type="dxa"/>
            <w:vAlign w:val="bottom"/>
            <w:tcBorders>
              <w:top w:val="single" w:sz="8" w:color="auto"/>
              <w:bottom w:val="single" w:sz="8" w:color="auto"/>
            </w:tcBorders>
            <w:shd w:val="clear" w:color="auto" w:fill="CCEEFF"/>
          </w:tcPr>
          <w:p>
            <w:pPr>
              <w:spacing w:after="0"/>
              <w:rPr>
                <w:sz w:val="19"/>
                <w:szCs w:val="19"/>
                <w:color w:val="auto"/>
              </w:rPr>
            </w:pPr>
          </w:p>
        </w:tc>
        <w:tc>
          <w:tcPr>
            <w:tcW w:w="80" w:type="dxa"/>
            <w:vAlign w:val="bottom"/>
            <w:tcBorders>
              <w:top w:val="single" w:sz="8" w:color="auto"/>
              <w:bottom w:val="single" w:sz="8" w:color="auto"/>
            </w:tcBorders>
            <w:shd w:val="clear" w:color="auto" w:fill="CCEEFF"/>
          </w:tcPr>
          <w:p>
            <w:pPr>
              <w:spacing w:after="0"/>
              <w:rPr>
                <w:sz w:val="19"/>
                <w:szCs w:val="19"/>
                <w:color w:val="auto"/>
              </w:rPr>
            </w:pPr>
          </w:p>
        </w:tc>
        <w:tc>
          <w:tcPr>
            <w:tcW w:w="8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369,959</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gridSpan w:val="2"/>
            <w:shd w:val="clear" w:color="auto" w:fill="CCEEFF"/>
          </w:tcPr>
          <w:p>
            <w:pPr>
              <w:jc w:val="right"/>
              <w:ind w:right="28"/>
              <w:spacing w:after="0"/>
              <w:rPr>
                <w:sz w:val="20"/>
                <w:szCs w:val="20"/>
                <w:color w:val="auto"/>
              </w:rPr>
            </w:pPr>
            <w:r>
              <w:rPr>
                <w:rFonts w:ascii="Arial" w:cs="Arial" w:eastAsia="Arial" w:hAnsi="Arial"/>
                <w:sz w:val="15"/>
                <w:szCs w:val="15"/>
                <w:color w:val="auto"/>
                <w:w w:val="71"/>
              </w:rPr>
              <w:t>$</w:t>
            </w:r>
          </w:p>
        </w:tc>
        <w:tc>
          <w:tcPr>
            <w:tcW w:w="100" w:type="dxa"/>
            <w:vAlign w:val="bottom"/>
            <w:tcBorders>
              <w:top w:val="single" w:sz="8" w:color="auto"/>
              <w:bottom w:val="single" w:sz="8" w:color="auto"/>
            </w:tcBorders>
            <w:shd w:val="clear" w:color="auto" w:fill="CCEEFF"/>
          </w:tcPr>
          <w:p>
            <w:pPr>
              <w:spacing w:after="0"/>
              <w:rPr>
                <w:sz w:val="19"/>
                <w:szCs w:val="19"/>
                <w:color w:val="auto"/>
              </w:rPr>
            </w:pPr>
          </w:p>
        </w:tc>
        <w:tc>
          <w:tcPr>
            <w:tcW w:w="880" w:type="dxa"/>
            <w:vAlign w:val="bottom"/>
            <w:tcBorders>
              <w:top w:val="single" w:sz="8" w:color="auto"/>
              <w:bottom w:val="single" w:sz="8" w:color="auto"/>
            </w:tcBorders>
            <w:gridSpan w:val="3"/>
            <w:shd w:val="clear" w:color="auto" w:fill="CCEEFF"/>
          </w:tcPr>
          <w:p>
            <w:pPr>
              <w:ind w:left="300"/>
              <w:spacing w:after="0"/>
              <w:rPr>
                <w:sz w:val="20"/>
                <w:szCs w:val="20"/>
                <w:color w:val="auto"/>
              </w:rPr>
            </w:pPr>
            <w:r>
              <w:rPr>
                <w:rFonts w:ascii="Arial" w:cs="Arial" w:eastAsia="Arial" w:hAnsi="Arial"/>
                <w:sz w:val="18"/>
                <w:szCs w:val="18"/>
                <w:color w:val="auto"/>
                <w:w w:val="86"/>
              </w:rPr>
              <w:t>419,494</w:t>
            </w:r>
          </w:p>
        </w:tc>
        <w:tc>
          <w:tcPr>
            <w:tcW w:w="20" w:type="dxa"/>
            <w:vAlign w:val="bottom"/>
            <w:tcBorders>
              <w:top w:val="single" w:sz="8" w:color="CCEEFF"/>
              <w:bottom w:val="single" w:sz="8" w:color="CCEEFF"/>
            </w:tcBorders>
            <w:shd w:val="clear" w:color="auto" w:fill="CCEEFF"/>
          </w:tcPr>
          <w:p>
            <w:pPr>
              <w:spacing w:after="0"/>
              <w:rPr>
                <w:sz w:val="19"/>
                <w:szCs w:val="19"/>
                <w:color w:val="auto"/>
              </w:rPr>
            </w:pPr>
          </w:p>
        </w:tc>
        <w:tc>
          <w:tcPr>
            <w:tcW w:w="80" w:type="dxa"/>
            <w:vAlign w:val="bottom"/>
            <w:tcBorders>
              <w:top w:val="single" w:sz="8" w:color="CCEEFF"/>
              <w:bottom w:val="single" w:sz="8" w:color="CCEEFF"/>
            </w:tcBorders>
            <w:shd w:val="clear" w:color="auto" w:fill="CCEEFF"/>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5240" w:type="dxa"/>
            <w:vAlign w:val="bottom"/>
            <w:gridSpan w:val="5"/>
          </w:tcPr>
          <w:p>
            <w:pPr>
              <w:ind w:left="260"/>
              <w:spacing w:after="0"/>
              <w:rPr>
                <w:sz w:val="20"/>
                <w:szCs w:val="20"/>
                <w:color w:val="auto"/>
              </w:rPr>
            </w:pPr>
            <w:r>
              <w:rPr>
                <w:rFonts w:ascii="Arial" w:cs="Arial" w:eastAsia="Arial" w:hAnsi="Arial"/>
                <w:sz w:val="18"/>
                <w:szCs w:val="18"/>
                <w:b w:val="1"/>
                <w:bCs w:val="1"/>
                <w:color w:val="auto"/>
                <w:w w:val="99"/>
              </w:rPr>
              <w:t>Prepaid expenses and other current assets (in thousands)</w:t>
            </w: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4"/>
          </w:tcPr>
          <w:p>
            <w:pPr>
              <w:spacing w:after="0"/>
              <w:rPr>
                <w:sz w:val="20"/>
                <w:szCs w:val="20"/>
                <w:color w:val="auto"/>
              </w:rPr>
            </w:pPr>
            <w:r>
              <w:rPr>
                <w:rFonts w:ascii="Arial" w:cs="Arial" w:eastAsia="Arial" w:hAnsi="Arial"/>
                <w:sz w:val="14"/>
                <w:szCs w:val="14"/>
                <w:b w:val="1"/>
                <w:bCs w:val="1"/>
                <w:color w:val="auto"/>
              </w:rPr>
              <w:t>May 3,</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960" w:type="dxa"/>
            <w:vAlign w:val="bottom"/>
            <w:gridSpan w:val="9"/>
          </w:tcPr>
          <w:p>
            <w:pPr>
              <w:jc w:val="center"/>
              <w:ind w:right="1120"/>
              <w:spacing w:after="0"/>
              <w:rPr>
                <w:sz w:val="20"/>
                <w:szCs w:val="20"/>
                <w:color w:val="auto"/>
              </w:rPr>
            </w:pPr>
            <w:r>
              <w:rPr>
                <w:rFonts w:ascii="Arial" w:cs="Arial" w:eastAsia="Arial" w:hAnsi="Arial"/>
                <w:sz w:val="14"/>
                <w:szCs w:val="14"/>
                <w:b w:val="1"/>
                <w:bCs w:val="1"/>
                <w:color w:val="auto"/>
                <w:w w:val="95"/>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94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7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2008</w:t>
            </w:r>
          </w:p>
        </w:tc>
        <w:tc>
          <w:tcPr>
            <w:tcW w:w="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Prepayments for foundry capacity</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20,800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gridSpan w:val="2"/>
            <w:shd w:val="clear" w:color="auto" w:fill="CCEEFF"/>
          </w:tcPr>
          <w:p>
            <w:pPr>
              <w:spacing w:after="0"/>
              <w:rPr>
                <w:sz w:val="18"/>
                <w:szCs w:val="18"/>
                <w:color w:val="auto"/>
              </w:rPr>
            </w:pPr>
          </w:p>
        </w:tc>
        <w:tc>
          <w:tcPr>
            <w:tcW w:w="160" w:type="dxa"/>
            <w:vAlign w:val="bottom"/>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0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23,200</w:t>
            </w:r>
          </w:p>
        </w:tc>
        <w:tc>
          <w:tcPr>
            <w:tcW w:w="80" w:type="dxa"/>
            <w:vAlign w:val="bottom"/>
            <w:shd w:val="clear" w:color="auto" w:fill="CCEEFF"/>
          </w:tcPr>
          <w:p>
            <w:pPr>
              <w:spacing w:after="0"/>
              <w:rPr>
                <w:sz w:val="18"/>
                <w:szCs w:val="18"/>
                <w:color w:val="auto"/>
              </w:rPr>
            </w:pPr>
          </w:p>
        </w:tc>
        <w:tc>
          <w:tcPr>
            <w:tcW w:w="28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40" w:type="dxa"/>
            <w:vAlign w:val="bottom"/>
            <w:gridSpan w:val="3"/>
          </w:tcPr>
          <w:p>
            <w:pPr>
              <w:spacing w:after="0"/>
              <w:rPr>
                <w:sz w:val="20"/>
                <w:szCs w:val="20"/>
                <w:color w:val="auto"/>
              </w:rPr>
            </w:pPr>
            <w:r>
              <w:rPr>
                <w:rFonts w:ascii="Arial" w:cs="Arial" w:eastAsia="Arial" w:hAnsi="Arial"/>
                <w:sz w:val="18"/>
                <w:szCs w:val="18"/>
                <w:color w:val="auto"/>
              </w:rPr>
              <w:t>Prepayments for wafers (see Note 7)</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4"/>
          </w:tcPr>
          <w:p>
            <w:pPr>
              <w:jc w:val="right"/>
              <w:ind w:right="20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4"/>
          </w:tcPr>
          <w:p>
            <w:pPr>
              <w:jc w:val="right"/>
              <w:spacing w:after="0"/>
              <w:rPr>
                <w:sz w:val="20"/>
                <w:szCs w:val="20"/>
                <w:color w:val="auto"/>
              </w:rPr>
            </w:pPr>
            <w:r>
              <w:rPr>
                <w:rFonts w:ascii="Arial" w:cs="Arial" w:eastAsia="Arial" w:hAnsi="Arial"/>
                <w:sz w:val="18"/>
                <w:szCs w:val="18"/>
                <w:color w:val="auto"/>
              </w:rPr>
              <w:t>13,938</w:t>
            </w: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4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8,502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10,240</w:t>
            </w:r>
          </w:p>
        </w:tc>
        <w:tc>
          <w:tcPr>
            <w:tcW w:w="80" w:type="dxa"/>
            <w:vAlign w:val="bottom"/>
            <w:shd w:val="clear" w:color="auto" w:fill="CCEEFF"/>
          </w:tcPr>
          <w:p>
            <w:pPr>
              <w:spacing w:after="0"/>
              <w:rPr>
                <w:sz w:val="18"/>
                <w:szCs w:val="18"/>
                <w:color w:val="auto"/>
              </w:rPr>
            </w:pPr>
          </w:p>
        </w:tc>
        <w:tc>
          <w:tcPr>
            <w:tcW w:w="280" w:type="dxa"/>
            <w:vAlign w:val="bottom"/>
            <w:tcBorders>
              <w:left w:val="single" w:sz="8" w:color="CCEEFF"/>
            </w:tcBorders>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40" w:type="dxa"/>
            <w:vAlign w:val="bottom"/>
            <w:tcBorders>
              <w:bottom w:val="single" w:sz="8" w:color="CCEEFF"/>
            </w:tcBorders>
            <w:gridSpan w:val="3"/>
          </w:tcPr>
          <w:p>
            <w:pPr>
              <w:spacing w:after="0"/>
              <w:rPr>
                <w:sz w:val="20"/>
                <w:szCs w:val="20"/>
                <w:color w:val="auto"/>
              </w:rPr>
            </w:pPr>
            <w:r>
              <w:rPr>
                <w:rFonts w:ascii="Arial" w:cs="Arial" w:eastAsia="Arial" w:hAnsi="Arial"/>
                <w:sz w:val="18"/>
                <w:szCs w:val="18"/>
                <w:color w:val="auto"/>
              </w:rPr>
              <w:t>Other</w:t>
            </w:r>
          </w:p>
        </w:tc>
        <w:tc>
          <w:tcPr>
            <w:tcW w:w="620" w:type="dxa"/>
            <w:vAlign w:val="bottom"/>
            <w:tcBorders>
              <w:bottom w:val="single" w:sz="8" w:color="CCEEFF"/>
            </w:tcBorders>
          </w:tcPr>
          <w:p>
            <w:pPr>
              <w:spacing w:after="0"/>
              <w:rPr>
                <w:sz w:val="18"/>
                <w:szCs w:val="18"/>
                <w:color w:val="auto"/>
              </w:rPr>
            </w:pPr>
          </w:p>
        </w:tc>
        <w:tc>
          <w:tcPr>
            <w:tcW w:w="200" w:type="dxa"/>
            <w:vAlign w:val="bottom"/>
            <w:tcBorders>
              <w:bottom w:val="single" w:sz="8" w:color="CCEEFF"/>
            </w:tcBorders>
          </w:tcPr>
          <w:p>
            <w:pPr>
              <w:spacing w:after="0"/>
              <w:rPr>
                <w:sz w:val="18"/>
                <w:szCs w:val="18"/>
                <w:color w:val="auto"/>
              </w:rPr>
            </w:pPr>
          </w:p>
        </w:tc>
        <w:tc>
          <w:tcPr>
            <w:tcW w:w="74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240" w:type="dxa"/>
            <w:vAlign w:val="bottom"/>
            <w:tcBorders>
              <w:bottom w:val="single" w:sz="8" w:color="CCEEFF"/>
            </w:tcBorders>
          </w:tcPr>
          <w:p>
            <w:pPr>
              <w:spacing w:after="0"/>
              <w:rPr>
                <w:sz w:val="18"/>
                <w:szCs w:val="18"/>
                <w:color w:val="auto"/>
              </w:rPr>
            </w:pPr>
          </w:p>
        </w:tc>
        <w:tc>
          <w:tcPr>
            <w:tcW w:w="540" w:type="dxa"/>
            <w:vAlign w:val="bottom"/>
            <w:tcBorders>
              <w:bottom w:val="single" w:sz="8" w:color="CCEEFF"/>
            </w:tcBorders>
          </w:tcPr>
          <w:p>
            <w:pPr>
              <w:spacing w:after="0"/>
              <w:rPr>
                <w:sz w:val="18"/>
                <w:szCs w:val="18"/>
                <w:color w:val="auto"/>
              </w:rPr>
            </w:pPr>
          </w:p>
        </w:tc>
        <w:tc>
          <w:tcPr>
            <w:tcW w:w="4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84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51,948</w:t>
            </w:r>
          </w:p>
        </w:tc>
        <w:tc>
          <w:tcPr>
            <w:tcW w:w="120" w:type="dxa"/>
            <w:vAlign w:val="bottom"/>
            <w:tcBorders>
              <w:bottom w:val="single" w:sz="8" w:color="CCEEFF"/>
            </w:tcBorders>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gridSpan w:val="4"/>
          </w:tcPr>
          <w:p>
            <w:pPr>
              <w:jc w:val="right"/>
              <w:spacing w:after="0"/>
              <w:rPr>
                <w:sz w:val="20"/>
                <w:szCs w:val="20"/>
                <w:color w:val="auto"/>
              </w:rPr>
            </w:pPr>
            <w:r>
              <w:rPr>
                <w:rFonts w:ascii="Arial" w:cs="Arial" w:eastAsia="Arial" w:hAnsi="Arial"/>
                <w:sz w:val="18"/>
                <w:szCs w:val="18"/>
                <w:color w:val="auto"/>
              </w:rPr>
              <w:t>58,431</w:t>
            </w:r>
          </w:p>
        </w:tc>
        <w:tc>
          <w:tcPr>
            <w:tcW w:w="80" w:type="dxa"/>
            <w:vAlign w:val="bottom"/>
            <w:tcBorders>
              <w:bottom w:val="single" w:sz="8" w:color="CCEEFF"/>
            </w:tcBorders>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60" w:type="dxa"/>
            <w:vAlign w:val="bottom"/>
            <w:tcBorders>
              <w:bottom w:val="single" w:sz="8" w:color="CCEEFF"/>
              <w:right w:val="single" w:sz="8" w:color="CCEEFF"/>
            </w:tcBorders>
            <w:shd w:val="clear" w:color="auto" w:fill="CCEEFF"/>
          </w:tcPr>
          <w:p>
            <w:pPr>
              <w:spacing w:after="0"/>
              <w:rPr>
                <w:sz w:val="19"/>
                <w:szCs w:val="19"/>
                <w:color w:val="auto"/>
              </w:rPr>
            </w:pPr>
          </w:p>
        </w:tc>
        <w:tc>
          <w:tcPr>
            <w:tcW w:w="140" w:type="dxa"/>
            <w:vAlign w:val="bottom"/>
            <w:tcBorders>
              <w:bottom w:val="single" w:sz="8" w:color="CCEEFF"/>
            </w:tcBorders>
            <w:shd w:val="clear" w:color="auto" w:fill="CCEEFF"/>
          </w:tcPr>
          <w:p>
            <w:pPr>
              <w:spacing w:after="0"/>
              <w:rPr>
                <w:sz w:val="19"/>
                <w:szCs w:val="19"/>
                <w:color w:val="auto"/>
              </w:rPr>
            </w:pPr>
          </w:p>
        </w:tc>
        <w:tc>
          <w:tcPr>
            <w:tcW w:w="3940" w:type="dxa"/>
            <w:vAlign w:val="bottom"/>
            <w:tcBorders>
              <w:bottom w:val="single" w:sz="8" w:color="CCEEFF"/>
            </w:tcBorders>
            <w:shd w:val="clear" w:color="auto" w:fill="CCEEFF"/>
          </w:tcPr>
          <w:p>
            <w:pPr>
              <w:spacing w:after="0"/>
              <w:rPr>
                <w:sz w:val="19"/>
                <w:szCs w:val="19"/>
                <w:color w:val="auto"/>
              </w:rPr>
            </w:pPr>
          </w:p>
        </w:tc>
        <w:tc>
          <w:tcPr>
            <w:tcW w:w="620" w:type="dxa"/>
            <w:vAlign w:val="bottom"/>
            <w:tcBorders>
              <w:bottom w:val="single" w:sz="8" w:color="CCEEFF"/>
            </w:tcBorders>
            <w:shd w:val="clear" w:color="auto" w:fill="CCEEFF"/>
          </w:tcPr>
          <w:p>
            <w:pPr>
              <w:spacing w:after="0"/>
              <w:rPr>
                <w:sz w:val="19"/>
                <w:szCs w:val="19"/>
                <w:color w:val="auto"/>
              </w:rPr>
            </w:pPr>
          </w:p>
        </w:tc>
        <w:tc>
          <w:tcPr>
            <w:tcW w:w="200" w:type="dxa"/>
            <w:vAlign w:val="bottom"/>
            <w:tcBorders>
              <w:bottom w:val="single" w:sz="8" w:color="CCEEFF"/>
            </w:tcBorders>
            <w:shd w:val="clear" w:color="auto" w:fill="CCEEFF"/>
          </w:tcPr>
          <w:p>
            <w:pPr>
              <w:spacing w:after="0"/>
              <w:rPr>
                <w:sz w:val="19"/>
                <w:szCs w:val="19"/>
                <w:color w:val="auto"/>
              </w:rPr>
            </w:pPr>
          </w:p>
        </w:tc>
        <w:tc>
          <w:tcPr>
            <w:tcW w:w="74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240" w:type="dxa"/>
            <w:vAlign w:val="bottom"/>
            <w:tcBorders>
              <w:bottom w:val="single" w:sz="8" w:color="CCEEFF"/>
            </w:tcBorders>
            <w:shd w:val="clear" w:color="auto" w:fill="CCEEFF"/>
          </w:tcPr>
          <w:p>
            <w:pPr>
              <w:spacing w:after="0"/>
              <w:rPr>
                <w:sz w:val="19"/>
                <w:szCs w:val="19"/>
                <w:color w:val="auto"/>
              </w:rPr>
            </w:pPr>
          </w:p>
        </w:tc>
        <w:tc>
          <w:tcPr>
            <w:tcW w:w="580" w:type="dxa"/>
            <w:vAlign w:val="bottom"/>
            <w:tcBorders>
              <w:bottom w:val="single" w:sz="8" w:color="CCEEFF"/>
            </w:tcBorders>
            <w:gridSpan w:val="2"/>
            <w:shd w:val="clear" w:color="auto" w:fill="CCEEFF"/>
          </w:tcPr>
          <w:p>
            <w:pPr>
              <w:spacing w:after="0"/>
              <w:rPr>
                <w:sz w:val="19"/>
                <w:szCs w:val="19"/>
                <w:color w:val="auto"/>
              </w:rPr>
            </w:pPr>
          </w:p>
        </w:tc>
        <w:tc>
          <w:tcPr>
            <w:tcW w:w="20" w:type="dxa"/>
            <w:vAlign w:val="bottom"/>
            <w:tcBorders>
              <w:bottom w:val="single" w:sz="8" w:color="CCEEFF"/>
            </w:tcBorders>
            <w:shd w:val="clear" w:color="auto" w:fill="CCEEFF"/>
          </w:tcPr>
          <w:p>
            <w:pPr>
              <w:spacing w:after="0"/>
              <w:rPr>
                <w:sz w:val="19"/>
                <w:szCs w:val="19"/>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20" w:type="dxa"/>
            <w:vAlign w:val="bottom"/>
            <w:tcBorders>
              <w:bottom w:val="single" w:sz="8" w:color="auto"/>
            </w:tcBorders>
            <w:shd w:val="clear" w:color="auto" w:fill="CCEEFF"/>
          </w:tcPr>
          <w:p>
            <w:pPr>
              <w:spacing w:after="0"/>
              <w:rPr>
                <w:sz w:val="19"/>
                <w:szCs w:val="19"/>
                <w:color w:val="auto"/>
              </w:rPr>
            </w:pPr>
          </w:p>
        </w:tc>
        <w:tc>
          <w:tcPr>
            <w:tcW w:w="80" w:type="dxa"/>
            <w:vAlign w:val="bottom"/>
            <w:tcBorders>
              <w:bottom w:val="single" w:sz="8" w:color="auto"/>
            </w:tcBorders>
            <w:shd w:val="clear" w:color="auto" w:fill="CCEEFF"/>
          </w:tcPr>
          <w:p>
            <w:pPr>
              <w:spacing w:after="0"/>
              <w:rPr>
                <w:sz w:val="19"/>
                <w:szCs w:val="19"/>
                <w:color w:val="auto"/>
              </w:rPr>
            </w:pPr>
          </w:p>
        </w:tc>
        <w:tc>
          <w:tcPr>
            <w:tcW w:w="84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81,250</w:t>
            </w:r>
          </w:p>
        </w:tc>
        <w:tc>
          <w:tcPr>
            <w:tcW w:w="120" w:type="dxa"/>
            <w:vAlign w:val="bottom"/>
            <w:tcBorders>
              <w:bottom w:val="single" w:sz="8" w:color="CCEEFF"/>
            </w:tcBorders>
            <w:shd w:val="clear" w:color="auto" w:fill="CCEEFF"/>
          </w:tcPr>
          <w:p>
            <w:pPr>
              <w:spacing w:after="0"/>
              <w:rPr>
                <w:sz w:val="19"/>
                <w:szCs w:val="19"/>
                <w:color w:val="auto"/>
              </w:rPr>
            </w:pPr>
          </w:p>
        </w:tc>
        <w:tc>
          <w:tcPr>
            <w:tcW w:w="80" w:type="dxa"/>
            <w:vAlign w:val="bottom"/>
            <w:tcBorders>
              <w:bottom w:val="single" w:sz="8" w:color="CCEEFF"/>
            </w:tcBorders>
            <w:shd w:val="clear" w:color="auto" w:fill="CCEEFF"/>
          </w:tcPr>
          <w:p>
            <w:pPr>
              <w:spacing w:after="0"/>
              <w:rPr>
                <w:sz w:val="19"/>
                <w:szCs w:val="19"/>
                <w:color w:val="auto"/>
              </w:rPr>
            </w:pPr>
          </w:p>
        </w:tc>
        <w:tc>
          <w:tcPr>
            <w:tcW w:w="40" w:type="dxa"/>
            <w:vAlign w:val="bottom"/>
            <w:tcBorders>
              <w:bottom w:val="single" w:sz="8" w:color="CCEEFF"/>
            </w:tcBorders>
            <w:gridSpan w:val="2"/>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jc w:val="right"/>
              <w:ind w:right="8"/>
              <w:spacing w:after="0"/>
              <w:rPr>
                <w:sz w:val="20"/>
                <w:szCs w:val="20"/>
                <w:color w:val="auto"/>
              </w:rPr>
            </w:pPr>
            <w:r>
              <w:rPr>
                <w:rFonts w:ascii="Arial" w:cs="Arial" w:eastAsia="Arial" w:hAnsi="Arial"/>
                <w:sz w:val="15"/>
                <w:szCs w:val="15"/>
                <w:color w:val="auto"/>
                <w:w w:val="71"/>
              </w:rPr>
              <w:t>$</w:t>
            </w:r>
          </w:p>
        </w:tc>
        <w:tc>
          <w:tcPr>
            <w:tcW w:w="10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105,809</w:t>
            </w:r>
          </w:p>
        </w:tc>
        <w:tc>
          <w:tcPr>
            <w:tcW w:w="80" w:type="dxa"/>
            <w:vAlign w:val="bottom"/>
            <w:tcBorders>
              <w:bottom w:val="single" w:sz="8" w:color="CCEEFF"/>
            </w:tcBorders>
            <w:shd w:val="clear" w:color="auto" w:fill="CCEEFF"/>
          </w:tcPr>
          <w:p>
            <w:pPr>
              <w:spacing w:after="0"/>
              <w:rPr>
                <w:sz w:val="19"/>
                <w:szCs w:val="19"/>
                <w:color w:val="auto"/>
              </w:rPr>
            </w:pPr>
          </w:p>
        </w:tc>
        <w:tc>
          <w:tcPr>
            <w:tcW w:w="280" w:type="dxa"/>
            <w:vAlign w:val="bottom"/>
            <w:tcBorders>
              <w:left w:val="single" w:sz="8" w:color="CCEEFF"/>
            </w:tcBorders>
          </w:tcPr>
          <w:p>
            <w:pPr>
              <w:spacing w:after="0"/>
              <w:rPr>
                <w:sz w:val="19"/>
                <w:szCs w:val="19"/>
                <w:color w:val="auto"/>
              </w:rPr>
            </w:pP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12</w:t>
            </w: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160" w:type="dxa"/>
            <w:vAlign w:val="bottom"/>
            <w:tcBorders>
              <w:bottom w:val="single" w:sz="8" w:color="010101"/>
            </w:tcBorders>
            <w:gridSpan w:val="3"/>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3940" w:type="dxa"/>
            <w:vAlign w:val="bottom"/>
            <w:tcBorders>
              <w:bottom w:val="single" w:sz="8" w:color="010101"/>
            </w:tcBorders>
          </w:tcPr>
          <w:p>
            <w:pPr>
              <w:spacing w:after="0"/>
              <w:rPr>
                <w:sz w:val="11"/>
                <w:szCs w:val="11"/>
                <w:color w:val="auto"/>
              </w:rPr>
            </w:pPr>
          </w:p>
        </w:tc>
        <w:tc>
          <w:tcPr>
            <w:tcW w:w="62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7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5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8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0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80" w:type="dxa"/>
            <w:vAlign w:val="bottom"/>
            <w:tcBorders>
              <w:bottom w:val="single" w:sz="8" w:color="010101"/>
            </w:tcBorders>
          </w:tcPr>
          <w:p>
            <w:pPr>
              <w:spacing w:after="0"/>
              <w:rPr>
                <w:sz w:val="11"/>
                <w:szCs w:val="11"/>
                <w:color w:val="auto"/>
              </w:rPr>
            </w:pPr>
          </w:p>
        </w:tc>
        <w:tc>
          <w:tcPr>
            <w:tcW w:w="28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4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780"/>
        </w:trPr>
        <w:tc>
          <w:tcPr>
            <w:tcW w:w="5240" w:type="dxa"/>
            <w:vAlign w:val="bottom"/>
            <w:gridSpan w:val="5"/>
          </w:tcPr>
          <w:p>
            <w:pPr>
              <w:ind w:left="260"/>
              <w:spacing w:after="0"/>
              <w:rPr>
                <w:sz w:val="20"/>
                <w:szCs w:val="20"/>
                <w:color w:val="auto"/>
              </w:rPr>
            </w:pPr>
            <w:r>
              <w:rPr>
                <w:rFonts w:ascii="Arial" w:cs="Arial" w:eastAsia="Arial" w:hAnsi="Arial"/>
                <w:sz w:val="18"/>
                <w:szCs w:val="18"/>
                <w:b w:val="1"/>
                <w:bCs w:val="1"/>
                <w:color w:val="auto"/>
              </w:rPr>
              <w:t>Property and equipment, net (in thousands)</w:t>
            </w: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4"/>
          </w:tcPr>
          <w:p>
            <w:pPr>
              <w:ind w:left="60"/>
              <w:spacing w:after="0"/>
              <w:rPr>
                <w:sz w:val="20"/>
                <w:szCs w:val="20"/>
                <w:color w:val="auto"/>
              </w:rPr>
            </w:pPr>
            <w:r>
              <w:rPr>
                <w:rFonts w:ascii="Arial" w:cs="Arial" w:eastAsia="Arial" w:hAnsi="Arial"/>
                <w:sz w:val="14"/>
                <w:szCs w:val="14"/>
                <w:b w:val="1"/>
                <w:bCs w:val="1"/>
                <w:color w:val="auto"/>
              </w:rPr>
              <w:t>May 3,</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60" w:type="dxa"/>
            <w:vAlign w:val="bottom"/>
            <w:gridSpan w:val="8"/>
          </w:tcPr>
          <w:p>
            <w:pPr>
              <w:ind w:left="2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394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7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3"/>
          </w:tcPr>
          <w:p>
            <w:pPr>
              <w:ind w:left="440"/>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60" w:type="dxa"/>
            <w:vAlign w:val="bottom"/>
            <w:tcBorders>
              <w:right w:val="single" w:sz="8" w:color="CCEEFF"/>
            </w:tcBorders>
          </w:tcPr>
          <w:p>
            <w:pPr>
              <w:spacing w:after="0"/>
              <w:rPr>
                <w:sz w:val="17"/>
                <w:szCs w:val="17"/>
                <w:color w:val="auto"/>
              </w:rPr>
            </w:pPr>
          </w:p>
        </w:tc>
        <w:tc>
          <w:tcPr>
            <w:tcW w:w="408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w:t>
            </w:r>
          </w:p>
        </w:tc>
        <w:tc>
          <w:tcPr>
            <w:tcW w:w="6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80" w:type="dxa"/>
            <w:vAlign w:val="bottom"/>
            <w:tcBorders>
              <w:left w:val="single" w:sz="8" w:color="CCEEFF"/>
            </w:tcBorders>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gridSpan w:val="2"/>
          </w:tcPr>
          <w:p>
            <w:pPr>
              <w:ind w:left="120"/>
              <w:spacing w:after="0"/>
              <w:rPr>
                <w:sz w:val="20"/>
                <w:szCs w:val="20"/>
                <w:color w:val="auto"/>
              </w:rPr>
            </w:pPr>
            <w:r>
              <w:rPr>
                <w:rFonts w:ascii="Arial" w:cs="Arial" w:eastAsia="Arial" w:hAnsi="Arial"/>
                <w:sz w:val="18"/>
                <w:szCs w:val="18"/>
                <w:color w:val="auto"/>
              </w:rPr>
              <w:t>Machinery and equipment</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$322,939</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$315,797</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Borders>
              <w:right w:val="single" w:sz="8" w:color="CCEEFF"/>
            </w:tcBorders>
          </w:tcPr>
          <w:p>
            <w:pPr>
              <w:spacing w:after="0"/>
              <w:rPr>
                <w:sz w:val="18"/>
                <w:szCs w:val="18"/>
                <w:color w:val="auto"/>
              </w:rPr>
            </w:pPr>
          </w:p>
        </w:tc>
        <w:tc>
          <w:tcPr>
            <w:tcW w:w="40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Computer software</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73,601</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72,736</w:t>
            </w:r>
          </w:p>
        </w:tc>
        <w:tc>
          <w:tcPr>
            <w:tcW w:w="12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gridSpan w:val="2"/>
          </w:tcPr>
          <w:p>
            <w:pPr>
              <w:ind w:left="120"/>
              <w:spacing w:after="0"/>
              <w:rPr>
                <w:sz w:val="20"/>
                <w:szCs w:val="20"/>
                <w:color w:val="auto"/>
              </w:rPr>
            </w:pPr>
            <w:r>
              <w:rPr>
                <w:rFonts w:ascii="Arial" w:cs="Arial" w:eastAsia="Arial" w:hAnsi="Arial"/>
                <w:sz w:val="18"/>
                <w:szCs w:val="18"/>
                <w:color w:val="auto"/>
              </w:rPr>
              <w:t>Furniture and fixtures</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22,591</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22,303</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Borders>
              <w:right w:val="single" w:sz="8" w:color="CCEEFF"/>
            </w:tcBorders>
          </w:tcPr>
          <w:p>
            <w:pPr>
              <w:spacing w:after="0"/>
              <w:rPr>
                <w:sz w:val="18"/>
                <w:szCs w:val="18"/>
                <w:color w:val="auto"/>
              </w:rPr>
            </w:pPr>
          </w:p>
        </w:tc>
        <w:tc>
          <w:tcPr>
            <w:tcW w:w="40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Leasehold improvements</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33,546</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33,659</w:t>
            </w:r>
          </w:p>
        </w:tc>
        <w:tc>
          <w:tcPr>
            <w:tcW w:w="12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gridSpan w:val="2"/>
          </w:tcPr>
          <w:p>
            <w:pPr>
              <w:ind w:left="120"/>
              <w:spacing w:after="0"/>
              <w:rPr>
                <w:sz w:val="20"/>
                <w:szCs w:val="20"/>
                <w:color w:val="auto"/>
              </w:rPr>
            </w:pPr>
            <w:r>
              <w:rPr>
                <w:rFonts w:ascii="Arial" w:cs="Arial" w:eastAsia="Arial" w:hAnsi="Arial"/>
                <w:sz w:val="18"/>
                <w:szCs w:val="18"/>
                <w:color w:val="auto"/>
              </w:rPr>
              <w:t>Buildings</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108,811</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105,091</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Borders>
              <w:right w:val="single" w:sz="8" w:color="CCEEFF"/>
            </w:tcBorders>
          </w:tcPr>
          <w:p>
            <w:pPr>
              <w:spacing w:after="0"/>
              <w:rPr>
                <w:sz w:val="18"/>
                <w:szCs w:val="18"/>
                <w:color w:val="auto"/>
              </w:rPr>
            </w:pPr>
          </w:p>
        </w:tc>
        <w:tc>
          <w:tcPr>
            <w:tcW w:w="40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Building improvements</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44,626</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44,340</w:t>
            </w:r>
          </w:p>
        </w:tc>
        <w:tc>
          <w:tcPr>
            <w:tcW w:w="12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4080" w:type="dxa"/>
            <w:vAlign w:val="bottom"/>
            <w:gridSpan w:val="2"/>
          </w:tcPr>
          <w:p>
            <w:pPr>
              <w:ind w:left="120"/>
              <w:spacing w:after="0"/>
              <w:rPr>
                <w:sz w:val="20"/>
                <w:szCs w:val="20"/>
                <w:color w:val="auto"/>
              </w:rPr>
            </w:pPr>
            <w:r>
              <w:rPr>
                <w:rFonts w:ascii="Arial" w:cs="Arial" w:eastAsia="Arial" w:hAnsi="Arial"/>
                <w:sz w:val="18"/>
                <w:szCs w:val="18"/>
                <w:color w:val="auto"/>
              </w:rPr>
              <w:t>Land</w:t>
            </w: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68,922</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61,096</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Borders>
              <w:right w:val="single" w:sz="8" w:color="CCEEFF"/>
            </w:tcBorders>
          </w:tcPr>
          <w:p>
            <w:pPr>
              <w:spacing w:after="0"/>
              <w:rPr>
                <w:sz w:val="18"/>
                <w:szCs w:val="18"/>
                <w:color w:val="auto"/>
              </w:rPr>
            </w:pPr>
          </w:p>
        </w:tc>
        <w:tc>
          <w:tcPr>
            <w:tcW w:w="40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Construction in progress</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96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36,382</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260" w:type="dxa"/>
            <w:vAlign w:val="bottom"/>
            <w:tcBorders>
              <w:bottom w:val="single" w:sz="8" w:color="auto"/>
            </w:tcBorders>
            <w:gridSpan w:val="6"/>
            <w:shd w:val="clear" w:color="auto" w:fill="CCEEFF"/>
          </w:tcPr>
          <w:p>
            <w:pPr>
              <w:jc w:val="right"/>
              <w:spacing w:after="0"/>
              <w:rPr>
                <w:sz w:val="20"/>
                <w:szCs w:val="20"/>
                <w:color w:val="auto"/>
              </w:rPr>
            </w:pPr>
            <w:r>
              <w:rPr>
                <w:rFonts w:ascii="Arial" w:cs="Arial" w:eastAsia="Arial" w:hAnsi="Arial"/>
                <w:sz w:val="18"/>
                <w:szCs w:val="18"/>
                <w:color w:val="auto"/>
              </w:rPr>
              <w:t>32,287</w:t>
            </w:r>
          </w:p>
        </w:tc>
        <w:tc>
          <w:tcPr>
            <w:tcW w:w="12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9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60" w:type="dxa"/>
            <w:vAlign w:val="bottom"/>
            <w:gridSpan w:val="3"/>
          </w:tcPr>
          <w:p>
            <w:pPr>
              <w:jc w:val="right"/>
              <w:spacing w:after="0"/>
              <w:rPr>
                <w:sz w:val="20"/>
                <w:szCs w:val="20"/>
                <w:color w:val="auto"/>
              </w:rPr>
            </w:pPr>
            <w:r>
              <w:rPr>
                <w:rFonts w:ascii="Arial" w:cs="Arial" w:eastAsia="Arial" w:hAnsi="Arial"/>
                <w:sz w:val="18"/>
                <w:szCs w:val="18"/>
                <w:color w:val="auto"/>
              </w:rPr>
              <w:t>711,418</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6"/>
          </w:tcPr>
          <w:p>
            <w:pPr>
              <w:jc w:val="right"/>
              <w:spacing w:after="0"/>
              <w:rPr>
                <w:sz w:val="20"/>
                <w:szCs w:val="20"/>
                <w:color w:val="auto"/>
              </w:rPr>
            </w:pPr>
            <w:r>
              <w:rPr>
                <w:rFonts w:ascii="Arial" w:cs="Arial" w:eastAsia="Arial" w:hAnsi="Arial"/>
                <w:sz w:val="18"/>
                <w:szCs w:val="18"/>
                <w:color w:val="auto"/>
              </w:rPr>
              <w:t>687,309</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Borders>
              <w:right w:val="single" w:sz="8" w:color="CCEEFF"/>
            </w:tcBorders>
          </w:tcPr>
          <w:p>
            <w:pPr>
              <w:spacing w:after="0"/>
              <w:rPr>
                <w:sz w:val="18"/>
                <w:szCs w:val="18"/>
                <w:color w:val="auto"/>
              </w:rPr>
            </w:pPr>
          </w:p>
        </w:tc>
        <w:tc>
          <w:tcPr>
            <w:tcW w:w="40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Less: Accumulated depreciation and amortization</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(290,154)</w:t>
            </w: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7"/>
            <w:shd w:val="clear" w:color="auto" w:fill="CCEEFF"/>
          </w:tcPr>
          <w:p>
            <w:pPr>
              <w:jc w:val="right"/>
              <w:ind w:right="60"/>
              <w:spacing w:after="0"/>
              <w:rPr>
                <w:sz w:val="20"/>
                <w:szCs w:val="20"/>
                <w:color w:val="auto"/>
              </w:rPr>
            </w:pPr>
            <w:r>
              <w:rPr>
                <w:rFonts w:ascii="Arial" w:cs="Arial" w:eastAsia="Arial" w:hAnsi="Arial"/>
                <w:sz w:val="18"/>
                <w:szCs w:val="18"/>
                <w:color w:val="auto"/>
              </w:rPr>
              <w:t>(271,068)</w:t>
            </w: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9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 w:type="dxa"/>
            <w:vAlign w:val="bottom"/>
            <w:tcBorders>
              <w:top w:val="single" w:sz="8" w:color="auto"/>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spacing w:after="0"/>
              <w:rPr>
                <w:sz w:val="18"/>
                <w:szCs w:val="18"/>
                <w:color w:val="auto"/>
              </w:rPr>
            </w:pPr>
          </w:p>
        </w:tc>
        <w:tc>
          <w:tcPr>
            <w:tcW w:w="9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$421,264</w:t>
            </w: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18"/>
                <w:szCs w:val="18"/>
                <w:color w:val="auto"/>
              </w:rPr>
            </w:pPr>
          </w:p>
        </w:tc>
        <w:tc>
          <w:tcPr>
            <w:tcW w:w="1260" w:type="dxa"/>
            <w:vAlign w:val="bottom"/>
            <w:tcBorders>
              <w:top w:val="single" w:sz="8" w:color="auto"/>
              <w:bottom w:val="single" w:sz="8" w:color="auto"/>
            </w:tcBorders>
            <w:gridSpan w:val="6"/>
          </w:tcPr>
          <w:p>
            <w:pPr>
              <w:jc w:val="right"/>
              <w:spacing w:after="0"/>
              <w:rPr>
                <w:sz w:val="20"/>
                <w:szCs w:val="20"/>
                <w:color w:val="auto"/>
              </w:rPr>
            </w:pPr>
            <w:r>
              <w:rPr>
                <w:rFonts w:ascii="Arial" w:cs="Arial" w:eastAsia="Arial" w:hAnsi="Arial"/>
                <w:sz w:val="18"/>
                <w:szCs w:val="18"/>
                <w:color w:val="auto"/>
              </w:rPr>
              <w:t>$416,241</w:t>
            </w:r>
          </w:p>
        </w:tc>
        <w:tc>
          <w:tcPr>
            <w:tcW w:w="1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9"/>
        </w:trPr>
        <w:tc>
          <w:tcPr>
            <w:tcW w:w="5240" w:type="dxa"/>
            <w:vAlign w:val="bottom"/>
            <w:gridSpan w:val="5"/>
          </w:tcPr>
          <w:p>
            <w:pPr>
              <w:ind w:left="260"/>
              <w:spacing w:after="0"/>
              <w:rPr>
                <w:sz w:val="20"/>
                <w:szCs w:val="20"/>
                <w:color w:val="auto"/>
              </w:rPr>
            </w:pPr>
            <w:r>
              <w:rPr>
                <w:rFonts w:ascii="Arial" w:cs="Arial" w:eastAsia="Arial" w:hAnsi="Arial"/>
                <w:sz w:val="18"/>
                <w:szCs w:val="18"/>
                <w:b w:val="1"/>
                <w:bCs w:val="1"/>
                <w:color w:val="auto"/>
              </w:rPr>
              <w:t>Other non-current assets (in thousands)</w:t>
            </w: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6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9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40" w:type="dxa"/>
            <w:vAlign w:val="bottom"/>
            <w:gridSpan w:val="4"/>
          </w:tcPr>
          <w:p>
            <w:pPr>
              <w:ind w:left="60"/>
              <w:spacing w:after="0"/>
              <w:rPr>
                <w:sz w:val="20"/>
                <w:szCs w:val="20"/>
                <w:color w:val="auto"/>
              </w:rPr>
            </w:pPr>
            <w:r>
              <w:rPr>
                <w:rFonts w:ascii="Arial" w:cs="Arial" w:eastAsia="Arial" w:hAnsi="Arial"/>
                <w:sz w:val="14"/>
                <w:szCs w:val="14"/>
                <w:b w:val="1"/>
                <w:bCs w:val="1"/>
                <w:color w:val="auto"/>
              </w:rPr>
              <w:t>May 3,</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60" w:type="dxa"/>
            <w:vAlign w:val="bottom"/>
            <w:gridSpan w:val="8"/>
          </w:tcPr>
          <w:p>
            <w:pPr>
              <w:ind w:left="22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1"/>
        </w:trPr>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94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7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316"/>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gridSpan w:val="3"/>
          </w:tcPr>
          <w:p>
            <w:pPr>
              <w:ind w:left="440"/>
              <w:spacing w:after="0"/>
              <w:rPr>
                <w:sz w:val="20"/>
                <w:szCs w:val="20"/>
                <w:color w:val="auto"/>
              </w:rPr>
            </w:pPr>
            <w:r>
              <w:rPr>
                <w:rFonts w:ascii="Arial" w:cs="Arial" w:eastAsia="Arial" w:hAnsi="Arial"/>
                <w:sz w:val="14"/>
                <w:szCs w:val="14"/>
                <w:b w:val="1"/>
                <w:bCs w:val="1"/>
                <w:color w:val="auto"/>
              </w:rPr>
              <w:t>2008</w:t>
            </w:r>
          </w:p>
        </w:tc>
        <w:tc>
          <w:tcPr>
            <w:tcW w:w="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4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940" w:type="dxa"/>
            <w:vAlign w:val="bottom"/>
            <w:shd w:val="clear" w:color="auto" w:fill="CCEEFF"/>
          </w:tcPr>
          <w:p>
            <w:pPr>
              <w:spacing w:after="0"/>
              <w:rPr>
                <w:sz w:val="20"/>
                <w:szCs w:val="20"/>
                <w:color w:val="auto"/>
              </w:rPr>
            </w:pPr>
            <w:r>
              <w:rPr>
                <w:rFonts w:ascii="Arial" w:cs="Arial" w:eastAsia="Arial" w:hAnsi="Arial"/>
                <w:sz w:val="18"/>
                <w:szCs w:val="18"/>
                <w:color w:val="auto"/>
              </w:rPr>
              <w:t>Long term prepayments for foundry capacity</w:t>
            </w:r>
          </w:p>
        </w:tc>
        <w:tc>
          <w:tcPr>
            <w:tcW w:w="6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spacing w:after="0"/>
              <w:rPr>
                <w:sz w:val="18"/>
                <w:szCs w:val="18"/>
                <w:color w:val="auto"/>
              </w:rPr>
            </w:pP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2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19,200</w:t>
            </w:r>
          </w:p>
        </w:tc>
        <w:tc>
          <w:tcPr>
            <w:tcW w:w="80" w:type="dxa"/>
            <w:vAlign w:val="bottom"/>
            <w:shd w:val="clear" w:color="auto" w:fill="CCEEFF"/>
          </w:tcPr>
          <w:p>
            <w:pPr>
              <w:spacing w:after="0"/>
              <w:rPr>
                <w:sz w:val="18"/>
                <w:szCs w:val="18"/>
                <w:color w:val="auto"/>
              </w:rPr>
            </w:pPr>
          </w:p>
        </w:tc>
        <w:tc>
          <w:tcPr>
            <w:tcW w:w="200" w:type="dxa"/>
            <w:vAlign w:val="bottom"/>
            <w:gridSpan w:val="3"/>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6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22,800</w:t>
            </w:r>
          </w:p>
        </w:tc>
        <w:tc>
          <w:tcPr>
            <w:tcW w:w="120" w:type="dxa"/>
            <w:vAlign w:val="bottom"/>
            <w:shd w:val="clear" w:color="auto" w:fill="CCEEFF"/>
          </w:tcPr>
          <w:p>
            <w:pPr>
              <w:spacing w:after="0"/>
              <w:rPr>
                <w:sz w:val="18"/>
                <w:szCs w:val="18"/>
                <w:color w:val="auto"/>
              </w:rPr>
            </w:pPr>
          </w:p>
        </w:tc>
        <w:tc>
          <w:tcPr>
            <w:tcW w:w="4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-3311525</wp:posOffset>
            </wp:positionV>
            <wp:extent cx="12700"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-3311525</wp:posOffset>
            </wp:positionV>
            <wp:extent cx="12700"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41" w:right="199" w:bottom="0" w:gutter="0" w:footer="0" w:header="0"/>
        </w:sectPr>
      </w:pPr>
    </w:p>
    <w:bookmarkStart w:id="8" w:name="page9"/>
    <w:bookmarkEnd w:id="8"/>
    <w:p>
      <w:pPr>
        <w:spacing w:after="0" w:line="87" w:lineRule="exact"/>
        <w:rPr>
          <w:sz w:val="20"/>
          <w:szCs w:val="20"/>
          <w:color w:val="auto"/>
        </w:rPr>
      </w:pPr>
    </w:p>
    <w:tbl>
      <w:tblPr>
        <w:tblLayout w:type="fixed"/>
        <w:tblInd w:w="1300" w:type="dxa"/>
        <w:tblCellMar>
          <w:top w:w="0" w:type="dxa"/>
          <w:left w:w="0" w:type="dxa"/>
          <w:bottom w:w="0" w:type="dxa"/>
          <w:right w:w="0" w:type="dxa"/>
        </w:tblCellMar>
      </w:tblPr>
      <w:tr>
        <w:trPr>
          <w:trHeight w:val="230"/>
        </w:trPr>
        <w:tc>
          <w:tcPr>
            <w:tcW w:w="6980" w:type="dxa"/>
            <w:vAlign w:val="bottom"/>
            <w:gridSpan w:val="2"/>
          </w:tcPr>
          <w:p>
            <w:pPr>
              <w:spacing w:after="0"/>
              <w:rPr>
                <w:sz w:val="20"/>
                <w:szCs w:val="20"/>
                <w:color w:val="auto"/>
              </w:rPr>
            </w:pPr>
            <w:r>
              <w:rPr>
                <w:rFonts w:ascii="Arial" w:cs="Arial" w:eastAsia="Arial" w:hAnsi="Arial"/>
                <w:sz w:val="18"/>
                <w:szCs w:val="18"/>
                <w:color w:val="auto"/>
              </w:rPr>
              <w:t>Equity investments in private companies</w:t>
            </w:r>
          </w:p>
        </w:tc>
        <w:tc>
          <w:tcPr>
            <w:tcW w:w="940" w:type="dxa"/>
            <w:vAlign w:val="bottom"/>
          </w:tcPr>
          <w:p>
            <w:pPr>
              <w:jc w:val="right"/>
              <w:spacing w:after="0"/>
              <w:rPr>
                <w:sz w:val="20"/>
                <w:szCs w:val="20"/>
                <w:color w:val="auto"/>
              </w:rPr>
            </w:pPr>
            <w:r>
              <w:rPr>
                <w:rFonts w:ascii="Arial" w:cs="Arial" w:eastAsia="Arial" w:hAnsi="Arial"/>
                <w:sz w:val="18"/>
                <w:szCs w:val="18"/>
                <w:color w:val="auto"/>
              </w:rPr>
              <w:t>7,058</w:t>
            </w:r>
          </w:p>
        </w:tc>
        <w:tc>
          <w:tcPr>
            <w:tcW w:w="2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7,058</w:t>
            </w:r>
          </w:p>
        </w:tc>
        <w:tc>
          <w:tcPr>
            <w:tcW w:w="120" w:type="dxa"/>
            <w:vAlign w:val="bottom"/>
          </w:tcPr>
          <w:p>
            <w:pPr>
              <w:spacing w:after="0"/>
              <w:rPr>
                <w:sz w:val="20"/>
                <w:szCs w:val="20"/>
                <w:color w:val="auto"/>
              </w:rPr>
            </w:pPr>
          </w:p>
        </w:tc>
      </w:tr>
      <w:tr>
        <w:trPr>
          <w:trHeight w:val="216"/>
        </w:trPr>
        <w:tc>
          <w:tcPr>
            <w:tcW w:w="6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49,413</w:t>
            </w:r>
          </w:p>
        </w:tc>
        <w:tc>
          <w:tcPr>
            <w:tcW w:w="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50,235</w:t>
            </w:r>
          </w:p>
        </w:tc>
        <w:tc>
          <w:tcPr>
            <w:tcW w:w="120" w:type="dxa"/>
            <w:vAlign w:val="bottom"/>
            <w:shd w:val="clear" w:color="auto" w:fill="CCEEFF"/>
          </w:tcPr>
          <w:p>
            <w:pPr>
              <w:spacing w:after="0"/>
              <w:rPr>
                <w:sz w:val="18"/>
                <w:szCs w:val="18"/>
                <w:color w:val="auto"/>
              </w:rPr>
            </w:pPr>
          </w:p>
        </w:tc>
      </w:tr>
      <w:tr>
        <w:trPr>
          <w:trHeight w:val="216"/>
        </w:trPr>
        <w:tc>
          <w:tcPr>
            <w:tcW w:w="6980" w:type="dxa"/>
            <w:vAlign w:val="bottom"/>
            <w:gridSpan w:val="2"/>
          </w:tcPr>
          <w:p>
            <w:pPr>
              <w:spacing w:after="0"/>
              <w:rPr>
                <w:sz w:val="20"/>
                <w:szCs w:val="20"/>
                <w:color w:val="auto"/>
              </w:rPr>
            </w:pPr>
            <w:r>
              <w:rPr>
                <w:rFonts w:ascii="Arial" w:cs="Arial" w:eastAsia="Arial" w:hAnsi="Arial"/>
                <w:sz w:val="18"/>
                <w:szCs w:val="18"/>
                <w:color w:val="auto"/>
              </w:rPr>
              <w:t>Technology licenses</w:t>
            </w:r>
          </w:p>
        </w:tc>
        <w:tc>
          <w:tcPr>
            <w:tcW w:w="940" w:type="dxa"/>
            <w:vAlign w:val="bottom"/>
          </w:tcPr>
          <w:p>
            <w:pPr>
              <w:jc w:val="right"/>
              <w:spacing w:after="0"/>
              <w:rPr>
                <w:sz w:val="20"/>
                <w:szCs w:val="20"/>
                <w:color w:val="auto"/>
              </w:rPr>
            </w:pPr>
            <w:r>
              <w:rPr>
                <w:rFonts w:ascii="Arial" w:cs="Arial" w:eastAsia="Arial" w:hAnsi="Arial"/>
                <w:sz w:val="18"/>
                <w:szCs w:val="18"/>
                <w:color w:val="auto"/>
              </w:rPr>
              <w:t>22,599</w:t>
            </w: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25,209</w:t>
            </w:r>
          </w:p>
        </w:tc>
        <w:tc>
          <w:tcPr>
            <w:tcW w:w="120" w:type="dxa"/>
            <w:vAlign w:val="bottom"/>
          </w:tcPr>
          <w:p>
            <w:pPr>
              <w:spacing w:after="0"/>
              <w:rPr>
                <w:sz w:val="18"/>
                <w:szCs w:val="18"/>
                <w:color w:val="auto"/>
              </w:rPr>
            </w:pPr>
          </w:p>
        </w:tc>
      </w:tr>
      <w:tr>
        <w:trPr>
          <w:trHeight w:val="216"/>
        </w:trPr>
        <w:tc>
          <w:tcPr>
            <w:tcW w:w="6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22,975</w:t>
            </w:r>
          </w:p>
        </w:tc>
        <w:tc>
          <w:tcPr>
            <w:tcW w:w="2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22,975</w:t>
            </w:r>
          </w:p>
        </w:tc>
        <w:tc>
          <w:tcPr>
            <w:tcW w:w="120" w:type="dxa"/>
            <w:vAlign w:val="bottom"/>
            <w:shd w:val="clear" w:color="auto" w:fill="CCEEFF"/>
          </w:tcPr>
          <w:p>
            <w:pPr>
              <w:spacing w:after="0"/>
              <w:rPr>
                <w:sz w:val="18"/>
                <w:szCs w:val="18"/>
                <w:color w:val="auto"/>
              </w:rPr>
            </w:pPr>
          </w:p>
        </w:tc>
      </w:tr>
      <w:tr>
        <w:trPr>
          <w:trHeight w:val="216"/>
        </w:trPr>
        <w:tc>
          <w:tcPr>
            <w:tcW w:w="6980" w:type="dxa"/>
            <w:vAlign w:val="bottom"/>
            <w:gridSpan w:val="2"/>
          </w:tcPr>
          <w:p>
            <w:pPr>
              <w:spacing w:after="0"/>
              <w:rPr>
                <w:sz w:val="20"/>
                <w:szCs w:val="20"/>
                <w:color w:val="auto"/>
              </w:rPr>
            </w:pPr>
            <w:r>
              <w:rPr>
                <w:rFonts w:ascii="Arial" w:cs="Arial" w:eastAsia="Arial" w:hAnsi="Arial"/>
                <w:sz w:val="18"/>
                <w:szCs w:val="18"/>
                <w:color w:val="auto"/>
              </w:rPr>
              <w:t>Other</w:t>
            </w:r>
          </w:p>
        </w:tc>
        <w:tc>
          <w:tcPr>
            <w:tcW w:w="940" w:type="dxa"/>
            <w:vAlign w:val="bottom"/>
          </w:tcPr>
          <w:p>
            <w:pPr>
              <w:jc w:val="right"/>
              <w:spacing w:after="0"/>
              <w:rPr>
                <w:sz w:val="20"/>
                <w:szCs w:val="20"/>
                <w:color w:val="auto"/>
              </w:rPr>
            </w:pPr>
            <w:r>
              <w:rPr>
                <w:rFonts w:ascii="Arial" w:cs="Arial" w:eastAsia="Arial" w:hAnsi="Arial"/>
                <w:sz w:val="18"/>
                <w:szCs w:val="18"/>
                <w:color w:val="auto"/>
              </w:rPr>
              <w:t>23,486</w:t>
            </w:r>
          </w:p>
        </w:tc>
        <w:tc>
          <w:tcPr>
            <w:tcW w:w="2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28,830</w:t>
            </w:r>
          </w:p>
        </w:tc>
        <w:tc>
          <w:tcPr>
            <w:tcW w:w="120" w:type="dxa"/>
            <w:vAlign w:val="bottom"/>
          </w:tcPr>
          <w:p>
            <w:pPr>
              <w:spacing w:after="0"/>
              <w:rPr>
                <w:sz w:val="18"/>
                <w:szCs w:val="18"/>
                <w:color w:val="auto"/>
              </w:rPr>
            </w:pPr>
          </w:p>
        </w:tc>
      </w:tr>
      <w:tr>
        <w:trPr>
          <w:trHeight w:val="217"/>
        </w:trPr>
        <w:tc>
          <w:tcPr>
            <w:tcW w:w="6560" w:type="dxa"/>
            <w:vAlign w:val="bottom"/>
            <w:tcBorders>
              <w:top w:val="single" w:sz="8" w:color="CCEEFF"/>
              <w:bottom w:val="single" w:sz="8" w:color="CCEEFF"/>
            </w:tcBorders>
            <w:shd w:val="clear" w:color="auto" w:fill="CCEEFF"/>
          </w:tcPr>
          <w:p>
            <w:pPr>
              <w:spacing w:after="0"/>
              <w:rPr>
                <w:sz w:val="18"/>
                <w:szCs w:val="18"/>
                <w:color w:val="auto"/>
              </w:rPr>
            </w:pPr>
          </w:p>
        </w:tc>
        <w:tc>
          <w:tcPr>
            <w:tcW w:w="420" w:type="dxa"/>
            <w:vAlign w:val="bottom"/>
            <w:tcBorders>
              <w:top w:val="single" w:sz="8" w:color="auto"/>
              <w:bottom w:val="single" w:sz="8" w:color="auto"/>
            </w:tcBorders>
            <w:shd w:val="clear" w:color="auto" w:fill="CCEEFF"/>
          </w:tcPr>
          <w:p>
            <w:pPr>
              <w:jc w:val="right"/>
              <w:ind w:right="26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144,731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440" w:type="dxa"/>
            <w:vAlign w:val="bottom"/>
            <w:tcBorders>
              <w:top w:val="single" w:sz="8" w:color="auto"/>
              <w:bottom w:val="single" w:sz="8" w:color="auto"/>
            </w:tcBorders>
            <w:shd w:val="clear" w:color="auto" w:fill="CCEEFF"/>
          </w:tcPr>
          <w:p>
            <w:pPr>
              <w:jc w:val="right"/>
              <w:ind w:right="285"/>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Accrued liabilities (in thousands)</w:t>
      </w: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0" w:type="dxa"/>
            <w:vAlign w:val="bottom"/>
          </w:tcPr>
          <w:p>
            <w:pPr>
              <w:jc w:val="center"/>
              <w:ind w:right="134"/>
              <w:spacing w:after="0"/>
              <w:rPr>
                <w:sz w:val="20"/>
                <w:szCs w:val="20"/>
                <w:color w:val="auto"/>
              </w:rPr>
            </w:pPr>
            <w:r>
              <w:rPr>
                <w:rFonts w:ascii="Arial" w:cs="Arial" w:eastAsia="Arial" w:hAnsi="Arial"/>
                <w:sz w:val="14"/>
                <w:szCs w:val="14"/>
                <w:b w:val="1"/>
                <w:bCs w:val="1"/>
                <w:color w:val="auto"/>
                <w:w w:val="98"/>
              </w:rPr>
              <w:t>May 3,</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7"/>
              </w:rPr>
              <w:t>February 2,</w:t>
            </w:r>
          </w:p>
        </w:tc>
        <w:tc>
          <w:tcPr>
            <w:tcW w:w="3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10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6"/>
              </w:rPr>
              <w:t>2008</w:t>
            </w:r>
          </w:p>
        </w:tc>
        <w:tc>
          <w:tcPr>
            <w:tcW w:w="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96"/>
              </w:rPr>
              <w:t>2008</w:t>
            </w:r>
          </w:p>
        </w:tc>
        <w:tc>
          <w:tcPr>
            <w:tcW w:w="16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040" w:type="dxa"/>
            <w:vAlign w:val="bottom"/>
            <w:vMerge w:val="restart"/>
          </w:tcPr>
          <w:p>
            <w:pPr>
              <w:spacing w:after="0"/>
              <w:rPr>
                <w:sz w:val="18"/>
                <w:szCs w:val="18"/>
                <w:color w:val="auto"/>
              </w:rPr>
            </w:pPr>
          </w:p>
        </w:tc>
        <w:tc>
          <w:tcPr>
            <w:tcW w:w="3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Term loan obligations, current portion</w:t>
            </w:r>
          </w:p>
        </w:tc>
        <w:tc>
          <w:tcPr>
            <w:tcW w:w="84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w:t>
            </w:r>
          </w:p>
        </w:tc>
        <w:tc>
          <w:tcPr>
            <w:tcW w:w="160" w:type="dxa"/>
            <w:vAlign w:val="bottom"/>
            <w:shd w:val="clear" w:color="auto" w:fill="CCEEFF"/>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Accrued royalties</w:t>
            </w: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10,312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8,859</w:t>
            </w: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Accrued rebates</w:t>
            </w: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12,170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22,756</w:t>
            </w:r>
          </w:p>
        </w:tc>
        <w:tc>
          <w:tcPr>
            <w:tcW w:w="160" w:type="dxa"/>
            <w:vAlign w:val="bottom"/>
            <w:shd w:val="clear" w:color="auto" w:fill="CCEEFF"/>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Accrued legal and professional services</w:t>
            </w: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21,929</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25,562</w:t>
            </w: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Accrued contingent consideration</w:t>
            </w:r>
          </w:p>
        </w:tc>
        <w:tc>
          <w:tcPr>
            <w:tcW w:w="6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27,000</w:t>
            </w:r>
          </w:p>
        </w:tc>
        <w:tc>
          <w:tcPr>
            <w:tcW w:w="160" w:type="dxa"/>
            <w:vAlign w:val="bottom"/>
            <w:shd w:val="clear" w:color="auto" w:fill="CCEEFF"/>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Other</w:t>
            </w:r>
          </w:p>
        </w:tc>
        <w:tc>
          <w:tcPr>
            <w:tcW w:w="6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27,919</w:t>
            </w:r>
          </w:p>
        </w:tc>
        <w:tc>
          <w:tcPr>
            <w:tcW w:w="240" w:type="dxa"/>
            <w:vAlign w:val="bottom"/>
            <w:tcBorders>
              <w:bottom w:val="single" w:sz="8" w:color="CCEEFF"/>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34,784</w:t>
            </w:r>
          </w:p>
        </w:tc>
        <w:tc>
          <w:tcPr>
            <w:tcW w:w="160" w:type="dxa"/>
            <w:vAlign w:val="bottom"/>
            <w:tcBorders>
              <w:bottom w:val="single" w:sz="8" w:color="CCEEFF"/>
            </w:tcBorders>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1040" w:type="dxa"/>
            <w:vAlign w:val="bottom"/>
          </w:tcPr>
          <w:p>
            <w:pPr>
              <w:spacing w:after="0"/>
              <w:rPr>
                <w:sz w:val="19"/>
                <w:szCs w:val="19"/>
                <w:color w:val="auto"/>
              </w:rPr>
            </w:pPr>
          </w:p>
        </w:tc>
        <w:tc>
          <w:tcPr>
            <w:tcW w:w="3620" w:type="dxa"/>
            <w:vAlign w:val="bottom"/>
            <w:tcBorders>
              <w:bottom w:val="single" w:sz="8" w:color="CCEEFF"/>
            </w:tcBorders>
            <w:shd w:val="clear" w:color="auto" w:fill="CCEEFF"/>
          </w:tcPr>
          <w:p>
            <w:pPr>
              <w:spacing w:after="0"/>
              <w:rPr>
                <w:sz w:val="19"/>
                <w:szCs w:val="19"/>
                <w:color w:val="auto"/>
              </w:rPr>
            </w:pPr>
          </w:p>
        </w:tc>
        <w:tc>
          <w:tcPr>
            <w:tcW w:w="6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101,330</w:t>
            </w:r>
          </w:p>
        </w:tc>
        <w:tc>
          <w:tcPr>
            <w:tcW w:w="24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122,961</w:t>
            </w:r>
          </w:p>
        </w:tc>
        <w:tc>
          <w:tcPr>
            <w:tcW w:w="160" w:type="dxa"/>
            <w:vAlign w:val="bottom"/>
            <w:tcBorders>
              <w:bottom w:val="single" w:sz="8" w:color="CCEEFF"/>
            </w:tcBorders>
            <w:shd w:val="clear" w:color="auto" w:fill="CCEEFF"/>
          </w:tcPr>
          <w:p>
            <w:pPr>
              <w:spacing w:after="0"/>
              <w:rPr>
                <w:sz w:val="19"/>
                <w:szCs w:val="19"/>
                <w:color w:val="auto"/>
              </w:rPr>
            </w:pPr>
          </w:p>
        </w:tc>
        <w:tc>
          <w:tcPr>
            <w:tcW w:w="3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4660" w:type="dxa"/>
            <w:vAlign w:val="bottom"/>
            <w:gridSpan w:val="2"/>
          </w:tcPr>
          <w:p>
            <w:pPr>
              <w:ind w:left="260"/>
              <w:spacing w:after="0"/>
              <w:rPr>
                <w:sz w:val="20"/>
                <w:szCs w:val="20"/>
                <w:color w:val="auto"/>
              </w:rPr>
            </w:pPr>
            <w:r>
              <w:rPr>
                <w:rFonts w:ascii="Arial" w:cs="Arial" w:eastAsia="Arial" w:hAnsi="Arial"/>
                <w:sz w:val="18"/>
                <w:szCs w:val="18"/>
                <w:b w:val="1"/>
                <w:bCs w:val="1"/>
                <w:color w:val="auto"/>
              </w:rPr>
              <w:t>Other long-term liabilities (in thousands)</w:t>
            </w: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104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0" w:type="dxa"/>
            <w:vAlign w:val="bottom"/>
          </w:tcPr>
          <w:p>
            <w:pPr>
              <w:jc w:val="center"/>
              <w:ind w:right="134"/>
              <w:spacing w:after="0"/>
              <w:rPr>
                <w:sz w:val="20"/>
                <w:szCs w:val="20"/>
                <w:color w:val="auto"/>
              </w:rPr>
            </w:pPr>
            <w:r>
              <w:rPr>
                <w:rFonts w:ascii="Arial" w:cs="Arial" w:eastAsia="Arial" w:hAnsi="Arial"/>
                <w:sz w:val="14"/>
                <w:szCs w:val="14"/>
                <w:b w:val="1"/>
                <w:bCs w:val="1"/>
                <w:color w:val="auto"/>
                <w:w w:val="98"/>
              </w:rPr>
              <w:t>May 3,</w:t>
            </w: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7"/>
              </w:rPr>
              <w:t>February 2,</w:t>
            </w:r>
          </w:p>
        </w:tc>
        <w:tc>
          <w:tcPr>
            <w:tcW w:w="3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104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6"/>
              </w:rPr>
              <w:t>2008</w:t>
            </w:r>
          </w:p>
        </w:tc>
        <w:tc>
          <w:tcPr>
            <w:tcW w:w="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jc w:val="center"/>
              <w:ind w:right="35"/>
              <w:spacing w:after="0"/>
              <w:rPr>
                <w:sz w:val="20"/>
                <w:szCs w:val="20"/>
                <w:color w:val="auto"/>
              </w:rPr>
            </w:pPr>
            <w:r>
              <w:rPr>
                <w:rFonts w:ascii="Arial" w:cs="Arial" w:eastAsia="Arial" w:hAnsi="Arial"/>
                <w:sz w:val="14"/>
                <w:szCs w:val="14"/>
                <w:b w:val="1"/>
                <w:bCs w:val="1"/>
                <w:color w:val="auto"/>
                <w:w w:val="96"/>
              </w:rPr>
              <w:t>2008</w:t>
            </w:r>
          </w:p>
        </w:tc>
        <w:tc>
          <w:tcPr>
            <w:tcW w:w="16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040" w:type="dxa"/>
            <w:vAlign w:val="bottom"/>
            <w:vMerge w:val="restart"/>
          </w:tcPr>
          <w:p>
            <w:pPr>
              <w:spacing w:after="0"/>
              <w:rPr>
                <w:sz w:val="18"/>
                <w:szCs w:val="18"/>
                <w:color w:val="auto"/>
              </w:rPr>
            </w:pPr>
          </w:p>
        </w:tc>
        <w:tc>
          <w:tcPr>
            <w:tcW w:w="3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vMerge w:val="continue"/>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840" w:type="dxa"/>
            <w:vAlign w:val="bottom"/>
            <w:gridSpan w:val="2"/>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51,537</w:t>
            </w:r>
          </w:p>
        </w:tc>
        <w:tc>
          <w:tcPr>
            <w:tcW w:w="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49,819</w:t>
            </w:r>
          </w:p>
        </w:tc>
        <w:tc>
          <w:tcPr>
            <w:tcW w:w="160" w:type="dxa"/>
            <w:vAlign w:val="bottom"/>
            <w:shd w:val="clear" w:color="auto" w:fill="CCEEFF"/>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1,097</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1,326</w:t>
            </w: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040" w:type="dxa"/>
            <w:vAlign w:val="bottom"/>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6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1,141</w:t>
            </w:r>
          </w:p>
        </w:tc>
        <w:tc>
          <w:tcPr>
            <w:tcW w:w="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1,187</w:t>
            </w:r>
          </w:p>
        </w:tc>
        <w:tc>
          <w:tcPr>
            <w:tcW w:w="160" w:type="dxa"/>
            <w:vAlign w:val="bottom"/>
            <w:shd w:val="clear" w:color="auto" w:fill="CCEEFF"/>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1040" w:type="dxa"/>
            <w:vAlign w:val="bottom"/>
          </w:tcPr>
          <w:p>
            <w:pPr>
              <w:spacing w:after="0"/>
              <w:rPr>
                <w:sz w:val="18"/>
                <w:szCs w:val="18"/>
                <w:color w:val="auto"/>
              </w:rPr>
            </w:pPr>
          </w:p>
        </w:tc>
        <w:tc>
          <w:tcPr>
            <w:tcW w:w="3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53,775</w:t>
            </w:r>
          </w:p>
        </w:tc>
        <w:tc>
          <w:tcPr>
            <w:tcW w:w="2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52,332</w:t>
            </w:r>
          </w:p>
        </w:tc>
        <w:tc>
          <w:tcPr>
            <w:tcW w:w="160" w:type="dxa"/>
            <w:vAlign w:val="bottom"/>
          </w:tcPr>
          <w:p>
            <w:pPr>
              <w:spacing w:after="0"/>
              <w:rPr>
                <w:sz w:val="18"/>
                <w:szCs w:val="18"/>
                <w:color w:val="auto"/>
              </w:rPr>
            </w:pPr>
          </w:p>
        </w:tc>
        <w:tc>
          <w:tcPr>
            <w:tcW w:w="3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1040" w:type="dxa"/>
            <w:vAlign w:val="bottom"/>
          </w:tcPr>
          <w:p>
            <w:pPr>
              <w:spacing w:after="0"/>
              <w:rPr>
                <w:sz w:val="24"/>
                <w:szCs w:val="24"/>
                <w:color w:val="auto"/>
              </w:rPr>
            </w:pPr>
          </w:p>
        </w:tc>
        <w:tc>
          <w:tcPr>
            <w:tcW w:w="36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0" w:type="dxa"/>
            <w:vAlign w:val="bottom"/>
          </w:tcPr>
          <w:p>
            <w:pPr>
              <w:jc w:val="right"/>
              <w:ind w:right="614"/>
              <w:spacing w:after="0"/>
              <w:rPr>
                <w:sz w:val="20"/>
                <w:szCs w:val="20"/>
                <w:color w:val="auto"/>
              </w:rPr>
            </w:pPr>
            <w:r>
              <w:rPr>
                <w:rFonts w:ascii="Arial" w:cs="Arial" w:eastAsia="Arial" w:hAnsi="Arial"/>
                <w:sz w:val="18"/>
                <w:szCs w:val="18"/>
                <w:color w:val="auto"/>
              </w:rPr>
              <w:t>13</w:t>
            </w: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1040" w:type="dxa"/>
            <w:vAlign w:val="bottom"/>
            <w:tcBorders>
              <w:bottom w:val="single" w:sz="8" w:color="010101"/>
            </w:tcBorders>
          </w:tcPr>
          <w:p>
            <w:pPr>
              <w:spacing w:after="0"/>
              <w:rPr>
                <w:sz w:val="11"/>
                <w:szCs w:val="11"/>
                <w:color w:val="auto"/>
              </w:rPr>
            </w:pPr>
          </w:p>
        </w:tc>
        <w:tc>
          <w:tcPr>
            <w:tcW w:w="3620" w:type="dxa"/>
            <w:vAlign w:val="bottom"/>
            <w:tcBorders>
              <w:bottom w:val="single" w:sz="8" w:color="010101"/>
            </w:tcBorders>
          </w:tcPr>
          <w:p>
            <w:pPr>
              <w:spacing w:after="0"/>
              <w:rPr>
                <w:sz w:val="11"/>
                <w:szCs w:val="11"/>
                <w:color w:val="auto"/>
              </w:rPr>
            </w:pPr>
          </w:p>
        </w:tc>
        <w:tc>
          <w:tcPr>
            <w:tcW w:w="62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100" w:type="dxa"/>
            <w:vAlign w:val="bottom"/>
            <w:tcBorders>
              <w:bottom w:val="single" w:sz="8" w:color="010101"/>
            </w:tcBorders>
          </w:tcPr>
          <w:p>
            <w:pPr>
              <w:spacing w:after="0"/>
              <w:rPr>
                <w:sz w:val="11"/>
                <w:szCs w:val="11"/>
                <w:color w:val="auto"/>
              </w:rPr>
            </w:pPr>
          </w:p>
        </w:tc>
        <w:tc>
          <w:tcPr>
            <w:tcW w:w="90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356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Net income (loss) per share</w:t>
      </w:r>
    </w:p>
    <w:p>
      <w:pPr>
        <w:spacing w:after="0" w:line="229" w:lineRule="exact"/>
        <w:rPr>
          <w:sz w:val="20"/>
          <w:szCs w:val="20"/>
          <w:color w:val="auto"/>
        </w:rPr>
      </w:pPr>
    </w:p>
    <w:p>
      <w:pPr>
        <w:ind w:right="140" w:firstLine="259"/>
        <w:spacing w:after="0" w:line="302" w:lineRule="auto"/>
        <w:rPr>
          <w:sz w:val="20"/>
          <w:szCs w:val="20"/>
          <w:color w:val="auto"/>
        </w:rPr>
      </w:pPr>
      <w:r>
        <w:rPr>
          <w:rFonts w:ascii="Arial" w:cs="Arial" w:eastAsia="Arial" w:hAnsi="Arial"/>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The computations of basic and diluted net income (loss) per share before change in accounting principle and basic and diluted net income (loss) per share are presented in the following table (in thousands, except per share amounts):</w:t>
      </w:r>
    </w:p>
    <w:p>
      <w:pPr>
        <w:spacing w:after="0" w:line="146"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51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180" w:type="dxa"/>
            <w:vAlign w:val="bottom"/>
            <w:gridSpan w:val="6"/>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51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gridSpan w:val="2"/>
          </w:tcPr>
          <w:p>
            <w:pPr>
              <w:ind w:left="100"/>
              <w:spacing w:after="0" w:line="119" w:lineRule="exact"/>
              <w:rPr>
                <w:sz w:val="20"/>
                <w:szCs w:val="20"/>
                <w:color w:val="auto"/>
              </w:rPr>
            </w:pPr>
            <w:r>
              <w:rPr>
                <w:rFonts w:ascii="Arial" w:cs="Arial" w:eastAsia="Arial" w:hAnsi="Arial"/>
                <w:sz w:val="13"/>
                <w:szCs w:val="13"/>
                <w:b w:val="1"/>
                <w:bCs w:val="1"/>
                <w:color w:val="auto"/>
              </w:rPr>
              <w:t>May 3,</w:t>
            </w:r>
          </w:p>
        </w:tc>
        <w:tc>
          <w:tcPr>
            <w:tcW w:w="12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tcPr>
          <w:p>
            <w:pPr>
              <w:jc w:val="right"/>
              <w:ind w:right="154"/>
              <w:spacing w:after="0" w:line="119" w:lineRule="exact"/>
              <w:rPr>
                <w:sz w:val="20"/>
                <w:szCs w:val="20"/>
                <w:color w:val="auto"/>
              </w:rPr>
            </w:pPr>
            <w:r>
              <w:rPr>
                <w:rFonts w:ascii="Arial" w:cs="Arial" w:eastAsia="Arial" w:hAnsi="Arial"/>
                <w:sz w:val="13"/>
                <w:szCs w:val="13"/>
                <w:b w:val="1"/>
                <w:bCs w:val="1"/>
                <w:color w:val="auto"/>
              </w:rPr>
              <w:t>April 28,</w:t>
            </w:r>
          </w:p>
        </w:tc>
        <w:tc>
          <w:tcPr>
            <w:tcW w:w="120" w:type="dxa"/>
            <w:vAlign w:val="bottom"/>
          </w:tcPr>
          <w:p>
            <w:pPr>
              <w:spacing w:after="0"/>
              <w:rPr>
                <w:sz w:val="10"/>
                <w:szCs w:val="10"/>
                <w:color w:val="auto"/>
              </w:rPr>
            </w:pPr>
          </w:p>
        </w:tc>
      </w:tr>
      <w:tr>
        <w:trPr>
          <w:trHeight w:val="171"/>
        </w:trPr>
        <w:tc>
          <w:tcPr>
            <w:tcW w:w="5100" w:type="dxa"/>
            <w:vAlign w:val="bottom"/>
            <w:tcBorders>
              <w:bottom w:val="single" w:sz="8" w:color="CCEEFF"/>
            </w:tcBorders>
          </w:tcPr>
          <w:p>
            <w:pPr>
              <w:spacing w:after="0"/>
              <w:rPr>
                <w:sz w:val="14"/>
                <w:szCs w:val="14"/>
                <w:color w:val="auto"/>
              </w:rPr>
            </w:pPr>
          </w:p>
        </w:tc>
        <w:tc>
          <w:tcPr>
            <w:tcW w:w="106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95"/>
              <w:spacing w:after="0"/>
              <w:rPr>
                <w:sz w:val="20"/>
                <w:szCs w:val="20"/>
                <w:color w:val="auto"/>
              </w:rPr>
            </w:pPr>
            <w:r>
              <w:rPr>
                <w:rFonts w:ascii="Arial" w:cs="Arial" w:eastAsia="Arial" w:hAnsi="Arial"/>
                <w:sz w:val="14"/>
                <w:szCs w:val="14"/>
                <w:b w:val="1"/>
                <w:bCs w:val="1"/>
                <w:color w:val="auto"/>
              </w:rPr>
              <w:t>2008</w:t>
            </w:r>
          </w:p>
        </w:tc>
        <w:tc>
          <w:tcPr>
            <w:tcW w:w="1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2007</w:t>
            </w:r>
          </w:p>
        </w:tc>
        <w:tc>
          <w:tcPr>
            <w:tcW w:w="120" w:type="dxa"/>
            <w:vAlign w:val="bottom"/>
            <w:tcBorders>
              <w:bottom w:val="single" w:sz="8" w:color="CCEEFF"/>
            </w:tcBorders>
          </w:tcPr>
          <w:p>
            <w:pPr>
              <w:spacing w:after="0"/>
              <w:rPr>
                <w:sz w:val="14"/>
                <w:szCs w:val="14"/>
                <w:color w:val="auto"/>
              </w:rPr>
            </w:pPr>
          </w:p>
        </w:tc>
      </w:tr>
      <w:tr>
        <w:trPr>
          <w:trHeight w:val="196"/>
        </w:trPr>
        <w:tc>
          <w:tcPr>
            <w:tcW w:w="51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0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23"/>
        </w:trPr>
        <w:tc>
          <w:tcPr>
            <w:tcW w:w="5100" w:type="dxa"/>
            <w:vAlign w:val="bottom"/>
          </w:tcPr>
          <w:p>
            <w:pPr>
              <w:spacing w:after="0"/>
              <w:rPr>
                <w:sz w:val="20"/>
                <w:szCs w:val="20"/>
                <w:color w:val="auto"/>
              </w:rPr>
            </w:pPr>
            <w:r>
              <w:rPr>
                <w:rFonts w:ascii="Arial" w:cs="Arial" w:eastAsia="Arial" w:hAnsi="Arial"/>
                <w:sz w:val="18"/>
                <w:szCs w:val="18"/>
                <w:color w:val="auto"/>
              </w:rPr>
              <w:t>Net income (loss)</w:t>
            </w: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69,939</w:t>
            </w:r>
          </w:p>
        </w:tc>
        <w:tc>
          <w:tcPr>
            <w:tcW w:w="28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(52,828)</w:t>
            </w:r>
          </w:p>
        </w:tc>
      </w:tr>
      <w:tr>
        <w:trPr>
          <w:trHeight w:val="203"/>
        </w:trPr>
        <w:tc>
          <w:tcPr>
            <w:tcW w:w="51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Denominator:</w:t>
            </w:r>
          </w:p>
        </w:tc>
        <w:tc>
          <w:tcPr>
            <w:tcW w:w="10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8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Weighted average shares of common shares outstanding</w:t>
            </w:r>
          </w:p>
        </w:tc>
        <w:tc>
          <w:tcPr>
            <w:tcW w:w="10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601,222</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587,426</w:t>
            </w:r>
          </w:p>
        </w:tc>
      </w:tr>
      <w:tr>
        <w:trPr>
          <w:trHeight w:val="210"/>
        </w:trPr>
        <w:tc>
          <w:tcPr>
            <w:tcW w:w="510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Weighted average shares — basic</w:t>
            </w:r>
          </w:p>
        </w:tc>
        <w:tc>
          <w:tcPr>
            <w:tcW w:w="10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601,222</w:t>
            </w:r>
          </w:p>
        </w:tc>
        <w:tc>
          <w:tcPr>
            <w:tcW w:w="1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587,426</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5100" w:type="dxa"/>
            <w:vAlign w:val="bottom"/>
          </w:tcPr>
          <w:p>
            <w:pPr>
              <w:spacing w:after="0"/>
              <w:rPr>
                <w:sz w:val="20"/>
                <w:szCs w:val="20"/>
                <w:color w:val="auto"/>
              </w:rPr>
            </w:pPr>
            <w:r>
              <w:rPr>
                <w:rFonts w:ascii="Arial" w:cs="Arial" w:eastAsia="Arial" w:hAnsi="Arial"/>
                <w:sz w:val="18"/>
                <w:szCs w:val="18"/>
                <w:color w:val="auto"/>
              </w:rPr>
              <w:t>Effect of dilutive securities- Warrants</w:t>
            </w:r>
          </w:p>
        </w:tc>
        <w:tc>
          <w:tcPr>
            <w:tcW w:w="10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1,262</w:t>
            </w: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100" w:type="dxa"/>
            <w:vAlign w:val="bottom"/>
            <w:shd w:val="clear" w:color="auto" w:fill="CCEEFF"/>
          </w:tcPr>
          <w:p>
            <w:pPr>
              <w:spacing w:after="0"/>
              <w:rPr>
                <w:sz w:val="20"/>
                <w:szCs w:val="20"/>
                <w:color w:val="auto"/>
              </w:rPr>
            </w:pPr>
            <w:r>
              <w:rPr>
                <w:rFonts w:ascii="Arial" w:cs="Arial" w:eastAsia="Arial" w:hAnsi="Arial"/>
                <w:sz w:val="18"/>
                <w:szCs w:val="18"/>
                <w:color w:val="auto"/>
              </w:rPr>
              <w:t>Common share options and other</w:t>
            </w:r>
          </w:p>
        </w:tc>
        <w:tc>
          <w:tcPr>
            <w:tcW w:w="10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21,867</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7"/>
        </w:trPr>
        <w:tc>
          <w:tcPr>
            <w:tcW w:w="5100" w:type="dxa"/>
            <w:vAlign w:val="bottom"/>
            <w:tcBorders>
              <w:bottom w:val="single" w:sz="8" w:color="CCEEFF"/>
            </w:tcBorders>
          </w:tcPr>
          <w:p>
            <w:pPr>
              <w:ind w:left="180"/>
              <w:spacing w:after="0"/>
              <w:rPr>
                <w:sz w:val="20"/>
                <w:szCs w:val="20"/>
                <w:color w:val="auto"/>
              </w:rPr>
            </w:pPr>
            <w:r>
              <w:rPr>
                <w:rFonts w:ascii="Arial" w:cs="Arial" w:eastAsia="Arial" w:hAnsi="Arial"/>
                <w:sz w:val="18"/>
                <w:szCs w:val="18"/>
                <w:color w:val="auto"/>
              </w:rPr>
              <w:t>Weighted average shares — diluted</w:t>
            </w:r>
          </w:p>
        </w:tc>
        <w:tc>
          <w:tcPr>
            <w:tcW w:w="1060" w:type="dxa"/>
            <w:vAlign w:val="bottom"/>
            <w:tcBorders>
              <w:bottom w:val="single" w:sz="8" w:color="CCEEFF"/>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624,351</w:t>
            </w:r>
          </w:p>
        </w:tc>
        <w:tc>
          <w:tcPr>
            <w:tcW w:w="100" w:type="dxa"/>
            <w:vAlign w:val="bottom"/>
            <w:tcBorders>
              <w:bottom w:val="single" w:sz="8" w:color="CCEEFF"/>
            </w:tcBorders>
          </w:tcPr>
          <w:p>
            <w:pPr>
              <w:spacing w:after="0"/>
              <w:rPr>
                <w:sz w:val="18"/>
                <w:szCs w:val="18"/>
                <w:color w:val="auto"/>
              </w:rPr>
            </w:pPr>
          </w:p>
        </w:tc>
        <w:tc>
          <w:tcPr>
            <w:tcW w:w="12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587,426</w:t>
            </w:r>
          </w:p>
        </w:tc>
        <w:tc>
          <w:tcPr>
            <w:tcW w:w="120" w:type="dxa"/>
            <w:vAlign w:val="bottom"/>
            <w:tcBorders>
              <w:bottom w:val="single" w:sz="8" w:color="CCEEFF"/>
            </w:tcBorders>
          </w:tcPr>
          <w:p>
            <w:pPr>
              <w:spacing w:after="0"/>
              <w:rPr>
                <w:sz w:val="18"/>
                <w:szCs w:val="18"/>
                <w:color w:val="auto"/>
              </w:rPr>
            </w:pPr>
          </w:p>
        </w:tc>
      </w:tr>
      <w:tr>
        <w:trPr>
          <w:trHeight w:val="203"/>
        </w:trPr>
        <w:tc>
          <w:tcPr>
            <w:tcW w:w="51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 (loss) per share</w:t>
            </w:r>
          </w:p>
        </w:tc>
        <w:tc>
          <w:tcPr>
            <w:tcW w:w="10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5100" w:type="dxa"/>
            <w:vAlign w:val="bottom"/>
          </w:tcPr>
          <w:p>
            <w:pPr>
              <w:ind w:left="180"/>
              <w:spacing w:after="0"/>
              <w:rPr>
                <w:sz w:val="20"/>
                <w:szCs w:val="20"/>
                <w:color w:val="auto"/>
              </w:rPr>
            </w:pPr>
            <w:r>
              <w:rPr>
                <w:rFonts w:ascii="Arial" w:cs="Arial" w:eastAsia="Arial" w:hAnsi="Arial"/>
                <w:sz w:val="18"/>
                <w:szCs w:val="18"/>
                <w:color w:val="auto"/>
              </w:rPr>
              <w:t>Basic</w:t>
            </w:r>
          </w:p>
        </w:tc>
        <w:tc>
          <w:tcPr>
            <w:tcW w:w="12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100"/>
              <w:spacing w:after="0"/>
              <w:rPr>
                <w:sz w:val="20"/>
                <w:szCs w:val="20"/>
                <w:color w:val="auto"/>
              </w:rPr>
            </w:pPr>
            <w:r>
              <w:rPr>
                <w:rFonts w:ascii="Arial" w:cs="Arial" w:eastAsia="Arial" w:hAnsi="Arial"/>
                <w:sz w:val="18"/>
                <w:szCs w:val="18"/>
                <w:color w:val="auto"/>
              </w:rPr>
              <w:t>0.12</w:t>
            </w:r>
          </w:p>
        </w:tc>
        <w:tc>
          <w:tcPr>
            <w:tcW w:w="28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(0.09)</w:t>
            </w:r>
          </w:p>
        </w:tc>
      </w:tr>
      <w:tr>
        <w:trPr>
          <w:trHeight w:val="216"/>
        </w:trPr>
        <w:tc>
          <w:tcPr>
            <w:tcW w:w="51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12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0.11</w:t>
            </w:r>
          </w:p>
        </w:tc>
        <w:tc>
          <w:tcPr>
            <w:tcW w:w="2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(0.09)</w:t>
            </w:r>
          </w:p>
        </w:tc>
      </w:tr>
    </w:tbl>
    <w:p>
      <w:pPr>
        <w:spacing w:after="0" w:line="202" w:lineRule="exact"/>
        <w:rPr>
          <w:sz w:val="20"/>
          <w:szCs w:val="20"/>
          <w:color w:val="auto"/>
        </w:rPr>
      </w:pPr>
    </w:p>
    <w:p>
      <w:pPr>
        <w:ind w:right="100" w:firstLine="243"/>
        <w:spacing w:after="0" w:line="310" w:lineRule="auto"/>
        <w:rPr>
          <w:sz w:val="20"/>
          <w:szCs w:val="20"/>
          <w:color w:val="auto"/>
        </w:rPr>
      </w:pPr>
      <w:r>
        <w:rPr>
          <w:rFonts w:ascii="Arial" w:cs="Arial" w:eastAsia="Arial" w:hAnsi="Arial"/>
          <w:sz w:val="16"/>
          <w:szCs w:val="16"/>
          <w:color w:val="auto"/>
        </w:rPr>
        <w:t xml:space="preserve">Options to purchase 62,738,324 common shares at a weighted average exercise price of $20.13 have been excluded from the computation of diluted net income per share for the three months ended May 3, 2008 based on the treasury stock method calculation. </w:t>
      </w:r>
      <w:r>
        <w:rPr>
          <w:rFonts w:ascii="Arial" w:cs="Arial" w:eastAsia="Arial" w:hAnsi="Arial"/>
          <w:sz w:val="15"/>
          <w:szCs w:val="15"/>
          <w:color w:val="auto"/>
        </w:rPr>
        <w:t>The anti-dilutive effects of warrants, common share</w:t>
      </w:r>
      <w:r>
        <w:rPr>
          <w:rFonts w:ascii="Arial" w:cs="Arial" w:eastAsia="Arial" w:hAnsi="Arial"/>
          <w:sz w:val="16"/>
          <w:szCs w:val="16"/>
          <w:color w:val="auto"/>
        </w:rPr>
        <w:t xml:space="preserve"> </w:t>
      </w:r>
      <w:r>
        <w:rPr>
          <w:rFonts w:ascii="Arial" w:cs="Arial" w:eastAsia="Arial" w:hAnsi="Arial"/>
          <w:sz w:val="15"/>
          <w:szCs w:val="15"/>
          <w:color w:val="auto"/>
        </w:rPr>
        <w:t>options, restricted stock and other securities totaling 43,930,082 shares were excluded from diluted net loss per share for the three months ended April 28, 2007.</w:t>
      </w:r>
    </w:p>
    <w:p>
      <w:pPr>
        <w:spacing w:after="0" w:line="147"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Comprehensive income (loss) (in thousands)</w:t>
      </w:r>
    </w:p>
    <w:p>
      <w:pPr>
        <w:spacing w:after="0" w:line="221"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6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16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618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2"/>
          </w:tcPr>
          <w:p>
            <w:pPr>
              <w:jc w:val="right"/>
              <w:ind w:right="500"/>
              <w:spacing w:after="0" w:line="119" w:lineRule="exact"/>
              <w:rPr>
                <w:sz w:val="20"/>
                <w:szCs w:val="20"/>
                <w:color w:val="auto"/>
              </w:rPr>
            </w:pPr>
            <w:r>
              <w:rPr>
                <w:rFonts w:ascii="Arial" w:cs="Arial" w:eastAsia="Arial" w:hAnsi="Arial"/>
                <w:sz w:val="13"/>
                <w:szCs w:val="13"/>
                <w:b w:val="1"/>
                <w:bCs w:val="1"/>
                <w:color w:val="auto"/>
              </w:rPr>
              <w:t>May 3,</w:t>
            </w:r>
          </w:p>
        </w:tc>
        <w:tc>
          <w:tcPr>
            <w:tcW w:w="160" w:type="dxa"/>
            <w:vAlign w:val="bottom"/>
            <w:tcBorders>
              <w:top w:val="single" w:sz="8" w:color="auto"/>
            </w:tcBorders>
          </w:tcPr>
          <w:p>
            <w:pPr>
              <w:spacing w:after="0"/>
              <w:rPr>
                <w:sz w:val="10"/>
                <w:szCs w:val="10"/>
                <w:color w:val="auto"/>
              </w:rPr>
            </w:pPr>
          </w:p>
        </w:tc>
        <w:tc>
          <w:tcPr>
            <w:tcW w:w="880" w:type="dxa"/>
            <w:vAlign w:val="bottom"/>
            <w:tcBorders>
              <w:top w:val="single" w:sz="8" w:color="auto"/>
            </w:tcBorders>
          </w:tcPr>
          <w:p>
            <w:pPr>
              <w:jc w:val="right"/>
              <w:ind w:right="178"/>
              <w:spacing w:after="0" w:line="119" w:lineRule="exact"/>
              <w:rPr>
                <w:sz w:val="20"/>
                <w:szCs w:val="20"/>
                <w:color w:val="auto"/>
              </w:rPr>
            </w:pPr>
            <w:r>
              <w:rPr>
                <w:rFonts w:ascii="Arial" w:cs="Arial" w:eastAsia="Arial" w:hAnsi="Arial"/>
                <w:sz w:val="13"/>
                <w:szCs w:val="13"/>
                <w:b w:val="1"/>
                <w:bCs w:val="1"/>
                <w:color w:val="auto"/>
              </w:rPr>
              <w:t>April 28,</w:t>
            </w:r>
          </w:p>
        </w:tc>
        <w:tc>
          <w:tcPr>
            <w:tcW w:w="100" w:type="dxa"/>
            <w:vAlign w:val="bottom"/>
          </w:tcPr>
          <w:p>
            <w:pPr>
              <w:spacing w:after="0"/>
              <w:rPr>
                <w:sz w:val="10"/>
                <w:szCs w:val="10"/>
                <w:color w:val="auto"/>
              </w:rPr>
            </w:pPr>
          </w:p>
        </w:tc>
      </w:tr>
      <w:tr>
        <w:trPr>
          <w:trHeight w:val="171"/>
        </w:trPr>
        <w:tc>
          <w:tcPr>
            <w:tcW w:w="6180" w:type="dxa"/>
            <w:vAlign w:val="bottom"/>
            <w:tcBorders>
              <w:bottom w:val="single" w:sz="8" w:color="CCEEFF"/>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jc w:val="right"/>
              <w:ind w:right="280"/>
              <w:spacing w:after="0"/>
              <w:rPr>
                <w:sz w:val="20"/>
                <w:szCs w:val="20"/>
                <w:color w:val="auto"/>
              </w:rPr>
            </w:pPr>
            <w:r>
              <w:rPr>
                <w:rFonts w:ascii="Arial" w:cs="Arial" w:eastAsia="Arial" w:hAnsi="Arial"/>
                <w:sz w:val="14"/>
                <w:szCs w:val="14"/>
                <w:b w:val="1"/>
                <w:bCs w:val="1"/>
                <w:color w:val="auto"/>
              </w:rPr>
              <w:t>2008</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298"/>
              <w:spacing w:after="0"/>
              <w:rPr>
                <w:sz w:val="20"/>
                <w:szCs w:val="20"/>
                <w:color w:val="auto"/>
              </w:rPr>
            </w:pPr>
            <w:r>
              <w:rPr>
                <w:rFonts w:ascii="Arial" w:cs="Arial" w:eastAsia="Arial" w:hAnsi="Arial"/>
                <w:sz w:val="14"/>
                <w:szCs w:val="14"/>
                <w:b w:val="1"/>
                <w:bCs w:val="1"/>
                <w:color w:val="auto"/>
              </w:rPr>
              <w:t>2007</w:t>
            </w:r>
          </w:p>
        </w:tc>
        <w:tc>
          <w:tcPr>
            <w:tcW w:w="100" w:type="dxa"/>
            <w:vAlign w:val="bottom"/>
            <w:tcBorders>
              <w:bottom w:val="single" w:sz="8" w:color="CCEEFF"/>
            </w:tcBorders>
          </w:tcPr>
          <w:p>
            <w:pPr>
              <w:spacing w:after="0"/>
              <w:rPr>
                <w:sz w:val="14"/>
                <w:szCs w:val="14"/>
                <w:color w:val="auto"/>
              </w:rPr>
            </w:pPr>
          </w:p>
        </w:tc>
      </w:tr>
      <w:tr>
        <w:trPr>
          <w:trHeight w:val="210"/>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69,939</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(52,828)</w:t>
            </w:r>
          </w:p>
        </w:tc>
        <w:tc>
          <w:tcPr>
            <w:tcW w:w="100" w:type="dxa"/>
            <w:vAlign w:val="bottom"/>
            <w:shd w:val="clear" w:color="auto" w:fill="CCEEFF"/>
          </w:tcPr>
          <w:p>
            <w:pPr>
              <w:spacing w:after="0"/>
              <w:rPr>
                <w:sz w:val="18"/>
                <w:szCs w:val="18"/>
                <w:color w:val="auto"/>
              </w:rPr>
            </w:pPr>
          </w:p>
        </w:tc>
      </w:tr>
      <w:tr>
        <w:trPr>
          <w:trHeight w:val="216"/>
        </w:trPr>
        <w:tc>
          <w:tcPr>
            <w:tcW w:w="618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2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Unrealized (loss) gain on available-for-sale investments and other, net of tax</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(1,698)</w:t>
            </w:r>
          </w:p>
        </w:tc>
        <w:tc>
          <w:tcPr>
            <w:tcW w:w="160" w:type="dxa"/>
            <w:vAlign w:val="bottom"/>
            <w:shd w:val="clear" w:color="auto" w:fill="CCEEFF"/>
          </w:tcPr>
          <w:p>
            <w:pPr>
              <w:spacing w:after="0"/>
              <w:rPr>
                <w:sz w:val="18"/>
                <w:szCs w:val="18"/>
                <w:color w:val="auto"/>
              </w:rPr>
            </w:pPr>
          </w:p>
        </w:tc>
        <w:tc>
          <w:tcPr>
            <w:tcW w:w="8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100" w:type="dxa"/>
            <w:vAlign w:val="bottom"/>
            <w:shd w:val="clear" w:color="auto" w:fill="CCEEFF"/>
          </w:tcPr>
          <w:p>
            <w:pPr>
              <w:spacing w:after="0"/>
              <w:rPr>
                <w:sz w:val="18"/>
                <w:szCs w:val="18"/>
                <w:color w:val="auto"/>
              </w:rPr>
            </w:pPr>
          </w:p>
        </w:tc>
      </w:tr>
      <w:tr>
        <w:trPr>
          <w:trHeight w:val="210"/>
        </w:trPr>
        <w:tc>
          <w:tcPr>
            <w:tcW w:w="6180" w:type="dxa"/>
            <w:vAlign w:val="bottom"/>
          </w:tcPr>
          <w:p>
            <w:pPr>
              <w:spacing w:after="0"/>
              <w:rPr>
                <w:sz w:val="20"/>
                <w:szCs w:val="20"/>
                <w:color w:val="auto"/>
              </w:rPr>
            </w:pPr>
            <w:r>
              <w:rPr>
                <w:rFonts w:ascii="Arial" w:cs="Arial" w:eastAsia="Arial" w:hAnsi="Arial"/>
                <w:sz w:val="18"/>
                <w:szCs w:val="18"/>
                <w:color w:val="auto"/>
              </w:rPr>
              <w:t>Total comprehensive income (loss)</w:t>
            </w:r>
          </w:p>
        </w:tc>
        <w:tc>
          <w:tcPr>
            <w:tcW w:w="20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8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68,241</w:t>
            </w:r>
          </w:p>
        </w:tc>
        <w:tc>
          <w:tcPr>
            <w:tcW w:w="200" w:type="dxa"/>
            <w:vAlign w:val="bottom"/>
          </w:tcPr>
          <w:p>
            <w:pPr>
              <w:spacing w:after="0"/>
              <w:rPr>
                <w:sz w:val="18"/>
                <w:szCs w:val="18"/>
                <w:color w:val="auto"/>
              </w:rPr>
            </w:pPr>
          </w:p>
        </w:tc>
        <w:tc>
          <w:tcPr>
            <w:tcW w:w="160" w:type="dxa"/>
            <w:vAlign w:val="bottom"/>
            <w:tcBorders>
              <w:top w:val="single" w:sz="8" w:color="auto"/>
            </w:tcBorders>
          </w:tcPr>
          <w:p>
            <w:pPr>
              <w:jc w:val="right"/>
              <w:ind w:right="5"/>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(52,633</w:t>
            </w:r>
          </w:p>
        </w:tc>
        <w:tc>
          <w:tcPr>
            <w:tcW w:w="100" w:type="dxa"/>
            <w:vAlign w:val="bottom"/>
          </w:tcPr>
          <w:p>
            <w:pPr>
              <w:jc w:val="right"/>
              <w:ind w:right="20"/>
              <w:spacing w:after="0"/>
              <w:rPr>
                <w:sz w:val="20"/>
                <w:szCs w:val="20"/>
                <w:color w:val="auto"/>
              </w:rPr>
            </w:pPr>
            <w:r>
              <w:rPr>
                <w:rFonts w:ascii="Arial" w:cs="Arial" w:eastAsia="Arial" w:hAnsi="Arial"/>
                <w:sz w:val="8"/>
                <w:szCs w:val="8"/>
                <w:color w:val="auto"/>
                <w:w w:val="73"/>
              </w:rPr>
              <w:t>)</w:t>
            </w:r>
          </w:p>
        </w:tc>
      </w:tr>
      <w:tr>
        <w:trPr>
          <w:trHeight w:val="27"/>
        </w:trPr>
        <w:tc>
          <w:tcPr>
            <w:tcW w:w="61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880" w:type="dxa"/>
            <w:vAlign w:val="bottom"/>
            <w:tcBorders>
              <w:right w:val="single" w:sz="8" w:color="auto"/>
            </w:tcBorders>
            <w:shd w:val="clear" w:color="auto" w:fill="000000"/>
          </w:tcPr>
          <w:p>
            <w:pPr>
              <w:spacing w:after="0"/>
              <w:rPr>
                <w:sz w:val="2"/>
                <w:szCs w:val="2"/>
                <w:color w:val="auto"/>
              </w:rPr>
            </w:pPr>
          </w:p>
        </w:tc>
        <w:tc>
          <w:tcPr>
            <w:tcW w:w="100" w:type="dxa"/>
            <w:vAlign w:val="bottom"/>
          </w:tcPr>
          <w:p>
            <w:pPr>
              <w:spacing w:after="0"/>
              <w:rPr>
                <w:sz w:val="2"/>
                <w:szCs w:val="2"/>
                <w:color w:val="auto"/>
              </w:rPr>
            </w:pPr>
          </w:p>
        </w:tc>
      </w:tr>
    </w:tbl>
    <w:p>
      <w:pPr>
        <w:spacing w:after="0" w:line="202" w:lineRule="exact"/>
        <w:rPr>
          <w:sz w:val="20"/>
          <w:szCs w:val="20"/>
          <w:color w:val="auto"/>
        </w:rPr>
      </w:pPr>
    </w:p>
    <w:p>
      <w:pPr>
        <w:ind w:right="100" w:firstLine="259"/>
        <w:spacing w:after="0" w:line="277" w:lineRule="auto"/>
        <w:rPr>
          <w:sz w:val="20"/>
          <w:szCs w:val="20"/>
          <w:color w:val="auto"/>
        </w:rPr>
      </w:pPr>
      <w:r>
        <w:rPr>
          <w:rFonts w:ascii="Arial" w:cs="Arial" w:eastAsia="Arial" w:hAnsi="Arial"/>
          <w:sz w:val="18"/>
          <w:szCs w:val="18"/>
          <w:color w:val="auto"/>
        </w:rPr>
        <w:t>Accumulated other comprehensive income, as presented in the accompanying condensed consolidated balance sheets, consists of the unrealized gains and losses on available-for-sale investments and other, net of tax.</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Fair Value Measurements</w:t>
      </w:r>
    </w:p>
    <w:p>
      <w:pPr>
        <w:spacing w:after="0" w:line="229" w:lineRule="exact"/>
        <w:rPr>
          <w:sz w:val="20"/>
          <w:szCs w:val="20"/>
          <w:color w:val="auto"/>
        </w:rPr>
      </w:pPr>
    </w:p>
    <w:p>
      <w:pPr>
        <w:ind w:right="60" w:firstLine="243"/>
        <w:spacing w:after="0" w:line="312" w:lineRule="auto"/>
        <w:rPr>
          <w:sz w:val="20"/>
          <w:szCs w:val="20"/>
          <w:color w:val="auto"/>
        </w:rPr>
      </w:pPr>
      <w:r>
        <w:rPr>
          <w:rFonts w:ascii="Arial" w:cs="Arial" w:eastAsia="Arial" w:hAnsi="Arial"/>
          <w:sz w:val="16"/>
          <w:szCs w:val="16"/>
          <w:color w:val="auto"/>
        </w:rPr>
        <w:t>Effective February 3, 2008, the Company adopted SFAS No. 157, “Fair Value Measurements” (“SFAS 157”), except as it applies to the nonfinancial assets and nonfinancial liabilities subject to Financial Staff Position SFAS 157-2. SFAS 157 clarifies that fair value is an exit price, representing the amount that would be received to sell an asset or paid to transfer a liability in an orderly transaction between market participants. As such, fair value is a market-based</w:t>
      </w:r>
    </w:p>
    <w:p>
      <w:pPr>
        <w:sectPr>
          <w:pgSz w:w="11900" w:h="16925" w:orient="portrait"/>
          <w:cols w:equalWidth="0" w:num="1">
            <w:col w:w="11460"/>
          </w:cols>
          <w:pgMar w:left="240" w:top="125" w:right="199" w:bottom="0" w:gutter="0" w:footer="0" w:header="0"/>
        </w:sectPr>
      </w:pPr>
    </w:p>
    <w:bookmarkStart w:id="9" w:name="page10"/>
    <w:bookmarkEnd w:id="9"/>
    <w:p>
      <w:pPr>
        <w:spacing w:after="0" w:line="62"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measurement that should be determined based on assumptions that market participants would use in pricing an asset or a liability. As a basis for considering such assumptions, SFAS 157 establishes a three-tier value hierarchy, which prioritizes the inputs used in the valuation methodologies in measuring fair value:</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1 - - Observable inputs that reflect quoted prices (unadjusted) for identical assets or liabilities in active markets.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2 - Include other inputs that are directly or indirectly observable in the marketplace.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Level 3 - Unobservable inputs which are supported by little or no market activity.</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firstLine="243"/>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70" w:lineRule="exact"/>
        <w:rPr>
          <w:sz w:val="20"/>
          <w:szCs w:val="20"/>
          <w:color w:val="auto"/>
        </w:rPr>
      </w:pPr>
    </w:p>
    <w:p>
      <w:pPr>
        <w:ind w:right="80" w:firstLine="243"/>
        <w:spacing w:after="0" w:line="255" w:lineRule="auto"/>
        <w:rPr>
          <w:sz w:val="20"/>
          <w:szCs w:val="20"/>
          <w:color w:val="auto"/>
        </w:rPr>
      </w:pPr>
      <w:r>
        <w:rPr>
          <w:rFonts w:ascii="Arial" w:cs="Arial" w:eastAsia="Arial" w:hAnsi="Arial"/>
          <w:sz w:val="18"/>
          <w:szCs w:val="18"/>
          <w:color w:val="auto"/>
        </w:rPr>
        <w:t>In accordance with SFAS 157, we measure our cash equivalents and marketable securities at fair value. Our cash equivalents and marketable securities are primarily classified within Level 1 with the exception of our investments in auction rate securities, which are classified within Level 3. Cash equivalents and marketable securities are valued primarily using quoted market prices utilizing market observable inputs. The Company’s investments in auction rate securities are classified within Level 3 because there are no active markets for the auction rate securities and therefore the Company is unable to obtain independent valuations from market sources. Therefore, the auction rate securities were valued using a discounted cash flow model (see Note 3). Some of the inputs to the cash flow model are unobservable in the market. The total amount of assets measured using Level 3 valuation methodologies represented 1% of total assets as of May 3, 2008.</w:t>
      </w:r>
    </w:p>
    <w:p>
      <w:pPr>
        <w:spacing w:after="0" w:line="189" w:lineRule="exact"/>
        <w:rPr>
          <w:sz w:val="20"/>
          <w:szCs w:val="20"/>
          <w:color w:val="auto"/>
        </w:rPr>
      </w:pPr>
    </w:p>
    <w:p>
      <w:pPr>
        <w:ind w:right="400" w:firstLine="243"/>
        <w:spacing w:after="0" w:line="277" w:lineRule="auto"/>
        <w:rPr>
          <w:sz w:val="20"/>
          <w:szCs w:val="20"/>
          <w:color w:val="auto"/>
        </w:rPr>
      </w:pPr>
      <w:r>
        <w:rPr>
          <w:rFonts w:ascii="Arial" w:cs="Arial" w:eastAsia="Arial" w:hAnsi="Arial"/>
          <w:sz w:val="18"/>
          <w:szCs w:val="18"/>
          <w:color w:val="auto"/>
        </w:rPr>
        <w:t>The table below sets forth, by level, our financial assets that were accounted for at fair value as of May 3, 2008. The table does not include assets and liabilities which are measured at historical cost or any basis other than fair value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Portion of</w:t>
            </w: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Carrying</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Value</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Measured at</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5"/>
              </w:rPr>
              <w:t>Fair Value</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8"/>
              </w:rPr>
              <w:t>May 3,</w:t>
            </w:r>
          </w:p>
        </w:tc>
        <w:tc>
          <w:tcPr>
            <w:tcW w:w="1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2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Level 1</w:t>
            </w: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60" w:type="dxa"/>
            <w:vAlign w:val="bottom"/>
            <w:gridSpan w:val="2"/>
            <w:vMerge w:val="restart"/>
          </w:tcPr>
          <w:p>
            <w:pPr>
              <w:jc w:val="right"/>
              <w:ind w:right="500"/>
              <w:spacing w:after="0"/>
              <w:rPr>
                <w:sz w:val="20"/>
                <w:szCs w:val="20"/>
                <w:color w:val="auto"/>
              </w:rPr>
            </w:pPr>
            <w:r>
              <w:rPr>
                <w:rFonts w:ascii="Arial" w:cs="Arial" w:eastAsia="Arial" w:hAnsi="Arial"/>
                <w:sz w:val="14"/>
                <w:szCs w:val="14"/>
                <w:b w:val="1"/>
                <w:bCs w:val="1"/>
                <w:color w:val="auto"/>
              </w:rPr>
              <w:t>Level 3</w:t>
            </w:r>
          </w:p>
        </w:tc>
        <w:tc>
          <w:tcPr>
            <w:tcW w:w="11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0" w:type="dxa"/>
            <w:vAlign w:val="bottom"/>
          </w:tcPr>
          <w:p>
            <w:pPr>
              <w:jc w:val="center"/>
              <w:ind w:right="41"/>
              <w:spacing w:after="0"/>
              <w:rPr>
                <w:sz w:val="20"/>
                <w:szCs w:val="20"/>
                <w:color w:val="auto"/>
              </w:rPr>
            </w:pPr>
            <w:r>
              <w:rPr>
                <w:rFonts w:ascii="Arial" w:cs="Arial" w:eastAsia="Arial" w:hAnsi="Arial"/>
                <w:sz w:val="14"/>
                <w:szCs w:val="14"/>
                <w:b w:val="1"/>
                <w:bCs w:val="1"/>
                <w:color w:val="auto"/>
                <w:w w:val="89"/>
              </w:rPr>
              <w:t>2008</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1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Items measured at fair value on a recurring basis:</w:t>
            </w:r>
          </w:p>
        </w:tc>
        <w:tc>
          <w:tcPr>
            <w:tcW w:w="7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ind w:left="160"/>
              <w:spacing w:after="0"/>
              <w:rPr>
                <w:sz w:val="20"/>
                <w:szCs w:val="20"/>
                <w:color w:val="auto"/>
              </w:rPr>
            </w:pPr>
            <w:r>
              <w:rPr>
                <w:rFonts w:ascii="Arial" w:cs="Arial" w:eastAsia="Arial" w:hAnsi="Arial"/>
                <w:sz w:val="18"/>
                <w:szCs w:val="18"/>
                <w:color w:val="auto"/>
              </w:rPr>
              <w:t>U.S. Treasury bills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20"/>
              <w:spacing w:after="0"/>
              <w:rPr>
                <w:sz w:val="20"/>
                <w:szCs w:val="20"/>
                <w:color w:val="auto"/>
              </w:rPr>
            </w:pPr>
            <w:r>
              <w:rPr>
                <w:rFonts w:ascii="Arial" w:cs="Arial" w:eastAsia="Arial" w:hAnsi="Arial"/>
                <w:sz w:val="18"/>
                <w:szCs w:val="18"/>
                <w:color w:val="auto"/>
              </w:rPr>
              <w:t>191,666</w:t>
            </w:r>
          </w:p>
        </w:tc>
        <w:tc>
          <w:tcPr>
            <w:tcW w:w="460" w:type="dxa"/>
            <w:vAlign w:val="bottom"/>
            <w:gridSpan w:val="2"/>
          </w:tcPr>
          <w:p>
            <w:pPr>
              <w:jc w:val="right"/>
              <w:ind w:right="165"/>
              <w:spacing w:after="0"/>
              <w:rPr>
                <w:sz w:val="20"/>
                <w:szCs w:val="20"/>
                <w:color w:val="auto"/>
              </w:rPr>
            </w:pPr>
            <w:r>
              <w:rPr>
                <w:rFonts w:ascii="Arial" w:cs="Arial" w:eastAsia="Arial" w:hAnsi="Arial"/>
                <w:sz w:val="18"/>
                <w:szCs w:val="18"/>
                <w:color w:val="auto"/>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191,666</w:t>
            </w:r>
          </w:p>
        </w:tc>
        <w:tc>
          <w:tcPr>
            <w:tcW w:w="120" w:type="dxa"/>
            <w:vAlign w:val="bottom"/>
          </w:tcPr>
          <w:p>
            <w:pPr>
              <w:spacing w:after="0"/>
              <w:rPr>
                <w:sz w:val="18"/>
                <w:szCs w:val="18"/>
                <w:color w:val="auto"/>
              </w:rPr>
            </w:pPr>
          </w:p>
        </w:tc>
        <w:tc>
          <w:tcPr>
            <w:tcW w:w="360" w:type="dxa"/>
            <w:vAlign w:val="bottom"/>
            <w:gridSpan w:val="3"/>
          </w:tcPr>
          <w:p>
            <w:pPr>
              <w:jc w:val="right"/>
              <w:ind w:right="5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Money market funds</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19,001</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19,001</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Short-term investments:</w:t>
            </w: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U.S. Federal, State, county and municipal debt securities</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5,058</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5,058</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Long-term investments:</w:t>
            </w: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Auction rate securities</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40,459</w:t>
            </w: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40,459</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Total</w:t>
            </w:r>
          </w:p>
        </w:tc>
        <w:tc>
          <w:tcPr>
            <w:tcW w:w="780" w:type="dxa"/>
            <w:vAlign w:val="bottom"/>
          </w:tcPr>
          <w:p>
            <w:pPr>
              <w:spacing w:after="0"/>
              <w:rPr>
                <w:sz w:val="18"/>
                <w:szCs w:val="18"/>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10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256,184</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Borders>
              <w:top w:val="single" w:sz="8" w:color="auto"/>
              <w:bottom w:val="single" w:sz="8" w:color="auto"/>
            </w:tcBorders>
          </w:tcPr>
          <w:p>
            <w:pPr>
              <w:jc w:val="right"/>
              <w:ind w:right="16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215,725</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Borders>
              <w:top w:val="single" w:sz="8" w:color="auto"/>
              <w:bottom w:val="single" w:sz="8" w:color="auto"/>
            </w:tcBorders>
            <w:gridSpan w:val="2"/>
          </w:tcPr>
          <w:p>
            <w:pPr>
              <w:jc w:val="right"/>
              <w:ind w:right="5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40,459</w:t>
            </w:r>
          </w:p>
        </w:tc>
        <w:tc>
          <w:tcPr>
            <w:tcW w:w="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32"/>
        </w:trPr>
        <w:tc>
          <w:tcPr>
            <w:tcW w:w="7940" w:type="dxa"/>
            <w:vAlign w:val="bottom"/>
            <w:gridSpan w:val="8"/>
          </w:tcPr>
          <w:p>
            <w:pPr>
              <w:spacing w:after="0"/>
              <w:rPr>
                <w:sz w:val="20"/>
                <w:szCs w:val="20"/>
                <w:color w:val="auto"/>
              </w:rPr>
            </w:pPr>
            <w:r>
              <w:rPr>
                <w:rFonts w:ascii="Arial" w:cs="Arial" w:eastAsia="Arial" w:hAnsi="Arial"/>
                <w:sz w:val="18"/>
                <w:szCs w:val="18"/>
                <w:color w:val="auto"/>
                <w:w w:val="91"/>
              </w:rPr>
              <w:t>The following table summarizes the change in fair values for Level 3 items for the quarter ended May 3, 2008</w:t>
            </w: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6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Level 3</w:t>
            </w: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4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w w:val="93"/>
              </w:rPr>
              <w:t>Changes in fair value during the period ended May 3, 2008 (pre-tax):</w:t>
            </w:r>
          </w:p>
        </w:tc>
        <w:tc>
          <w:tcPr>
            <w:tcW w:w="7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54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gridSpan w:val="2"/>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gridSpan w:val="2"/>
          </w:tcPr>
          <w:p>
            <w:pPr>
              <w:spacing w:after="0"/>
              <w:rPr>
                <w:sz w:val="18"/>
                <w:szCs w:val="18"/>
                <w:color w:val="auto"/>
              </w:rPr>
            </w:pP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 at February 3, 2008</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gridSpan w:val="3"/>
            <w:shd w:val="clear" w:color="auto" w:fill="CCEEFF"/>
          </w:tcPr>
          <w:p>
            <w:pPr>
              <w:jc w:val="right"/>
              <w:ind w:right="3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45,628</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Purchases</w:t>
            </w: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gridSpan w:val="2"/>
          </w:tcPr>
          <w:p>
            <w:pPr>
              <w:jc w:val="right"/>
              <w:ind w:right="160"/>
              <w:spacing w:after="0"/>
              <w:rPr>
                <w:sz w:val="20"/>
                <w:szCs w:val="20"/>
                <w:color w:val="auto"/>
              </w:rPr>
            </w:pPr>
            <w:r>
              <w:rPr>
                <w:rFonts w:ascii="Arial" w:cs="Arial" w:eastAsia="Arial" w:hAnsi="Arial"/>
                <w:sz w:val="18"/>
                <w:szCs w:val="18"/>
                <w:color w:val="auto"/>
              </w:rPr>
              <w:t>10,000</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Sales</w:t>
            </w: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(13,478)</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Unrealized loss included in other comprehensive income</w:t>
            </w:r>
          </w:p>
        </w:tc>
        <w:tc>
          <w:tcPr>
            <w:tcW w:w="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(1,691)</w:t>
            </w:r>
          </w:p>
        </w:tc>
        <w:tc>
          <w:tcPr>
            <w:tcW w:w="1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544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Ending Balance at May 3, 2008</w:t>
            </w:r>
          </w:p>
        </w:tc>
        <w:tc>
          <w:tcPr>
            <w:tcW w:w="78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00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shd w:val="clear" w:color="auto" w:fill="CCEEFF"/>
          </w:tcPr>
          <w:p>
            <w:pPr>
              <w:spacing w:after="0"/>
              <w:rPr>
                <w:sz w:val="19"/>
                <w:szCs w:val="19"/>
                <w:color w:val="auto"/>
              </w:rPr>
            </w:pPr>
          </w:p>
        </w:tc>
        <w:tc>
          <w:tcPr>
            <w:tcW w:w="320" w:type="dxa"/>
            <w:vAlign w:val="bottom"/>
            <w:tcBorders>
              <w:top w:val="single" w:sz="8" w:color="CCEEFF"/>
              <w:bottom w:val="single" w:sz="8" w:color="CCEEFF"/>
            </w:tcBorders>
            <w:shd w:val="clear" w:color="auto" w:fill="CCEEFF"/>
          </w:tcPr>
          <w:p>
            <w:pPr>
              <w:spacing w:after="0"/>
              <w:rPr>
                <w:sz w:val="19"/>
                <w:szCs w:val="19"/>
                <w:color w:val="auto"/>
              </w:rPr>
            </w:pPr>
          </w:p>
        </w:tc>
        <w:tc>
          <w:tcPr>
            <w:tcW w:w="800" w:type="dxa"/>
            <w:vAlign w:val="bottom"/>
            <w:tcBorders>
              <w:top w:val="single" w:sz="8" w:color="CCEEFF"/>
              <w:bottom w:val="single" w:sz="8" w:color="CCEEFF"/>
            </w:tcBorders>
            <w:shd w:val="clear" w:color="auto" w:fill="CCEEFF"/>
          </w:tcPr>
          <w:p>
            <w:pPr>
              <w:spacing w:after="0"/>
              <w:rPr>
                <w:sz w:val="19"/>
                <w:szCs w:val="19"/>
                <w:color w:val="auto"/>
              </w:rPr>
            </w:pP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40" w:type="dxa"/>
            <w:vAlign w:val="bottom"/>
            <w:tcBorders>
              <w:top w:val="single" w:sz="8" w:color="CCEEFF"/>
              <w:bottom w:val="single" w:sz="8" w:color="CCEEFF"/>
            </w:tcBorders>
            <w:gridSpan w:val="2"/>
            <w:shd w:val="clear" w:color="auto" w:fill="CCEEFF"/>
          </w:tcPr>
          <w:p>
            <w:pPr>
              <w:spacing w:after="0"/>
              <w:rPr>
                <w:sz w:val="19"/>
                <w:szCs w:val="19"/>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160" w:type="dxa"/>
            <w:vAlign w:val="bottom"/>
            <w:tcBorders>
              <w:top w:val="single" w:sz="8" w:color="CCEEFF"/>
              <w:bottom w:val="single" w:sz="8" w:color="CCEEFF"/>
            </w:tcBorders>
            <w:shd w:val="clear" w:color="auto" w:fill="CCEEFF"/>
          </w:tcPr>
          <w:p>
            <w:pPr>
              <w:spacing w:after="0"/>
              <w:rPr>
                <w:sz w:val="19"/>
                <w:szCs w:val="19"/>
                <w:color w:val="auto"/>
              </w:rPr>
            </w:pPr>
          </w:p>
        </w:tc>
        <w:tc>
          <w:tcPr>
            <w:tcW w:w="1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9"/>
        </w:trPr>
        <w:tc>
          <w:tcPr>
            <w:tcW w:w="2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780" w:type="dxa"/>
            <w:vAlign w:val="bottom"/>
          </w:tcPr>
          <w:p>
            <w:pPr>
              <w:jc w:val="right"/>
              <w:ind w:right="350"/>
              <w:spacing w:after="0"/>
              <w:rPr>
                <w:sz w:val="20"/>
                <w:szCs w:val="20"/>
                <w:color w:val="auto"/>
              </w:rPr>
            </w:pPr>
            <w:r>
              <w:rPr>
                <w:rFonts w:ascii="Arial" w:cs="Arial" w:eastAsia="Arial" w:hAnsi="Arial"/>
                <w:sz w:val="18"/>
                <w:szCs w:val="18"/>
                <w:color w:val="auto"/>
              </w:rPr>
              <w:t>15</w:t>
            </w:r>
          </w:p>
        </w:tc>
        <w:tc>
          <w:tcPr>
            <w:tcW w:w="1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010101"/>
            </w:tcBorders>
          </w:tcPr>
          <w:p>
            <w:pPr>
              <w:spacing w:after="0"/>
              <w:rPr>
                <w:sz w:val="11"/>
                <w:szCs w:val="11"/>
                <w:color w:val="auto"/>
              </w:rPr>
            </w:pPr>
          </w:p>
        </w:tc>
        <w:tc>
          <w:tcPr>
            <w:tcW w:w="5440" w:type="dxa"/>
            <w:vAlign w:val="bottom"/>
            <w:tcBorders>
              <w:bottom w:val="single" w:sz="8" w:color="010101"/>
            </w:tcBorders>
          </w:tcPr>
          <w:p>
            <w:pPr>
              <w:spacing w:after="0"/>
              <w:rPr>
                <w:sz w:val="11"/>
                <w:szCs w:val="11"/>
                <w:color w:val="auto"/>
              </w:rPr>
            </w:pPr>
          </w:p>
        </w:tc>
        <w:tc>
          <w:tcPr>
            <w:tcW w:w="78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0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40" w:type="dxa"/>
            <w:vAlign w:val="bottom"/>
            <w:tcBorders>
              <w:bottom w:val="single" w:sz="8" w:color="010101"/>
            </w:tcBorders>
          </w:tcPr>
          <w:p>
            <w:pPr>
              <w:spacing w:after="0"/>
              <w:rPr>
                <w:sz w:val="11"/>
                <w:szCs w:val="11"/>
                <w:color w:val="auto"/>
              </w:rPr>
            </w:pPr>
          </w:p>
        </w:tc>
        <w:tc>
          <w:tcPr>
            <w:tcW w:w="320" w:type="dxa"/>
            <w:vAlign w:val="bottom"/>
            <w:tcBorders>
              <w:bottom w:val="single" w:sz="8" w:color="010101"/>
            </w:tcBorders>
          </w:tcPr>
          <w:p>
            <w:pPr>
              <w:spacing w:after="0"/>
              <w:rPr>
                <w:sz w:val="11"/>
                <w:szCs w:val="11"/>
                <w:color w:val="auto"/>
              </w:rPr>
            </w:pPr>
          </w:p>
        </w:tc>
        <w:tc>
          <w:tcPr>
            <w:tcW w:w="80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120" w:type="dxa"/>
            <w:vAlign w:val="bottom"/>
            <w:tcBorders>
              <w:bottom w:val="single" w:sz="8" w:color="010101"/>
            </w:tcBorders>
          </w:tcPr>
          <w:p>
            <w:pPr>
              <w:spacing w:after="0"/>
              <w:rPr>
                <w:sz w:val="11"/>
                <w:szCs w:val="11"/>
                <w:color w:val="auto"/>
              </w:rPr>
            </w:pPr>
          </w:p>
        </w:tc>
        <w:tc>
          <w:tcPr>
            <w:tcW w:w="20" w:type="dxa"/>
            <w:vAlign w:val="bottom"/>
            <w:tcBorders>
              <w:bottom w:val="single" w:sz="8" w:color="010101"/>
            </w:tcBorders>
          </w:tcPr>
          <w:p>
            <w:pPr>
              <w:spacing w:after="0"/>
              <w:rPr>
                <w:sz w:val="11"/>
                <w:szCs w:val="11"/>
                <w:color w:val="auto"/>
              </w:rPr>
            </w:pPr>
          </w:p>
        </w:tc>
        <w:tc>
          <w:tcPr>
            <w:tcW w:w="220" w:type="dxa"/>
            <w:vAlign w:val="bottom"/>
            <w:tcBorders>
              <w:bottom w:val="single" w:sz="8" w:color="010101"/>
            </w:tcBorders>
          </w:tcPr>
          <w:p>
            <w:pPr>
              <w:spacing w:after="0"/>
              <w:rPr>
                <w:sz w:val="11"/>
                <w:szCs w:val="11"/>
                <w:color w:val="auto"/>
              </w:rPr>
            </w:pPr>
          </w:p>
        </w:tc>
        <w:tc>
          <w:tcPr>
            <w:tcW w:w="900" w:type="dxa"/>
            <w:vAlign w:val="bottom"/>
            <w:tcBorders>
              <w:bottom w:val="single" w:sz="8" w:color="010101"/>
            </w:tcBorders>
          </w:tcPr>
          <w:p>
            <w:pPr>
              <w:spacing w:after="0"/>
              <w:rPr>
                <w:sz w:val="11"/>
                <w:szCs w:val="11"/>
                <w:color w:val="auto"/>
              </w:rPr>
            </w:pPr>
          </w:p>
        </w:tc>
        <w:tc>
          <w:tcPr>
            <w:tcW w:w="160" w:type="dxa"/>
            <w:vAlign w:val="bottom"/>
            <w:tcBorders>
              <w:bottom w:val="single" w:sz="8" w:color="010101"/>
            </w:tcBorders>
          </w:tcPr>
          <w:p>
            <w:pPr>
              <w:spacing w:after="0"/>
              <w:rPr>
                <w:sz w:val="11"/>
                <w:szCs w:val="11"/>
                <w:color w:val="auto"/>
              </w:rPr>
            </w:pPr>
          </w:p>
        </w:tc>
        <w:tc>
          <w:tcPr>
            <w:tcW w:w="118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Business Combinations</w:t>
      </w:r>
    </w:p>
    <w:p>
      <w:pPr>
        <w:spacing w:after="0" w:line="229" w:lineRule="exact"/>
        <w:rPr>
          <w:sz w:val="20"/>
          <w:szCs w:val="20"/>
          <w:color w:val="auto"/>
        </w:rPr>
      </w:pPr>
    </w:p>
    <w:p>
      <w:pPr>
        <w:ind w:right="140" w:firstLine="243"/>
        <w:spacing w:after="0" w:line="273" w:lineRule="auto"/>
        <w:rPr>
          <w:sz w:val="20"/>
          <w:szCs w:val="20"/>
          <w:color w:val="auto"/>
        </w:rPr>
      </w:pPr>
      <w:r>
        <w:rPr>
          <w:rFonts w:ascii="Arial" w:cs="Arial" w:eastAsia="Arial" w:hAnsi="Arial"/>
          <w:sz w:val="17"/>
          <w:szCs w:val="17"/>
          <w:color w:val="auto"/>
        </w:rPr>
        <w:t>During fiscal 2008, the Company completed the acquisition of two unrelated private companies. One of the companies was acquired for $9.7 million and designs and develops software for optical storage applications. The second company was acquired for $13.4 million and provides IP Multimedia Subsystem middleware and applications for multi-mode cellular mobile devices. Under the purchase method of accounting, the total purchase price of these acquisitions was allocated to net tangible and intangible assets based on their fair values. In conjunction with these acquisitions, the Company recorded acquired net tangible assets of $4.1 million, deferred tax assets of $0.9 million, deferred tax liabilities of $3.8 million, amortizable intangible assets of $9.2 million and goodwill of $12.7 million. The intangible assets are being amortized over their useful lives ranging from one to seven years.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Acquired Intangible Assets</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4"/>
          </w:tcPr>
          <w:p>
            <w:pPr>
              <w:jc w:val="right"/>
              <w:ind w:right="100"/>
              <w:spacing w:after="0"/>
              <w:rPr>
                <w:sz w:val="20"/>
                <w:szCs w:val="20"/>
                <w:color w:val="auto"/>
              </w:rPr>
            </w:pPr>
            <w:r>
              <w:rPr>
                <w:rFonts w:ascii="Arial" w:cs="Arial" w:eastAsia="Arial" w:hAnsi="Arial"/>
                <w:sz w:val="14"/>
                <w:szCs w:val="14"/>
                <w:b w:val="1"/>
                <w:bCs w:val="1"/>
                <w:color w:val="auto"/>
              </w:rPr>
              <w:t>As of May 3, 2008</w:t>
            </w:r>
          </w:p>
        </w:tc>
        <w:tc>
          <w:tcPr>
            <w:tcW w:w="10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gridSpan w:val="3"/>
          </w:tcPr>
          <w:p>
            <w:pPr>
              <w:jc w:val="right"/>
              <w:ind w:right="40"/>
              <w:spacing w:after="0"/>
              <w:rPr>
                <w:sz w:val="20"/>
                <w:szCs w:val="20"/>
                <w:color w:val="auto"/>
              </w:rPr>
            </w:pPr>
            <w:r>
              <w:rPr>
                <w:rFonts w:ascii="Arial" w:cs="Arial" w:eastAsia="Arial" w:hAnsi="Arial"/>
                <w:sz w:val="14"/>
                <w:szCs w:val="14"/>
                <w:b w:val="1"/>
                <w:bCs w:val="1"/>
                <w:color w:val="auto"/>
                <w:w w:val="93"/>
              </w:rPr>
              <w:t>As of February 2, 2008</w:t>
            </w:r>
          </w:p>
        </w:tc>
        <w:tc>
          <w:tcPr>
            <w:tcW w:w="140" w:type="dxa"/>
            <w:vAlign w:val="bottom"/>
            <w:tcBorders>
              <w:bottom w:val="single" w:sz="8" w:color="auto"/>
            </w:tcBorders>
          </w:tcPr>
          <w:p>
            <w:pPr>
              <w:spacing w:after="0"/>
              <w:rPr>
                <w:sz w:val="14"/>
                <w:szCs w:val="14"/>
                <w:color w:val="auto"/>
              </w:rPr>
            </w:pPr>
          </w:p>
        </w:tc>
        <w:tc>
          <w:tcPr>
            <w:tcW w:w="84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244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60" w:type="dxa"/>
            <w:vAlign w:val="bottom"/>
          </w:tcPr>
          <w:p>
            <w:pPr>
              <w:jc w:val="center"/>
              <w:ind w:right="78"/>
              <w:spacing w:after="0" w:line="119" w:lineRule="exact"/>
              <w:rPr>
                <w:sz w:val="20"/>
                <w:szCs w:val="20"/>
                <w:color w:val="auto"/>
              </w:rPr>
            </w:pPr>
            <w:r>
              <w:rPr>
                <w:rFonts w:ascii="Arial" w:cs="Arial" w:eastAsia="Arial" w:hAnsi="Arial"/>
                <w:sz w:val="13"/>
                <w:szCs w:val="13"/>
                <w:b w:val="1"/>
                <w:bCs w:val="1"/>
                <w:color w:val="auto"/>
                <w:w w:val="90"/>
              </w:rPr>
              <w:t>Gross</w:t>
            </w:r>
          </w:p>
        </w:tc>
        <w:tc>
          <w:tcPr>
            <w:tcW w:w="2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6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w w:val="90"/>
              </w:rPr>
              <w:t>Accumulated</w:t>
            </w: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40" w:type="dxa"/>
            <w:vAlign w:val="bottom"/>
          </w:tcPr>
          <w:p>
            <w:pPr>
              <w:jc w:val="center"/>
              <w:ind w:right="78"/>
              <w:spacing w:after="0" w:line="119" w:lineRule="exact"/>
              <w:rPr>
                <w:sz w:val="20"/>
                <w:szCs w:val="20"/>
                <w:color w:val="auto"/>
              </w:rPr>
            </w:pPr>
            <w:r>
              <w:rPr>
                <w:rFonts w:ascii="Arial" w:cs="Arial" w:eastAsia="Arial" w:hAnsi="Arial"/>
                <w:sz w:val="13"/>
                <w:szCs w:val="13"/>
                <w:b w:val="1"/>
                <w:bCs w:val="1"/>
                <w:color w:val="auto"/>
                <w:w w:val="95"/>
              </w:rPr>
              <w:t>Net</w:t>
            </w:r>
          </w:p>
        </w:tc>
        <w:tc>
          <w:tcPr>
            <w:tcW w:w="2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820" w:type="dxa"/>
            <w:vAlign w:val="bottom"/>
          </w:tcPr>
          <w:p>
            <w:pPr>
              <w:jc w:val="center"/>
              <w:ind w:right="78"/>
              <w:spacing w:after="0" w:line="119" w:lineRule="exact"/>
              <w:rPr>
                <w:sz w:val="20"/>
                <w:szCs w:val="20"/>
                <w:color w:val="auto"/>
              </w:rPr>
            </w:pPr>
            <w:r>
              <w:rPr>
                <w:rFonts w:ascii="Arial" w:cs="Arial" w:eastAsia="Arial" w:hAnsi="Arial"/>
                <w:sz w:val="13"/>
                <w:szCs w:val="13"/>
                <w:b w:val="1"/>
                <w:bCs w:val="1"/>
                <w:color w:val="auto"/>
                <w:w w:val="90"/>
              </w:rPr>
              <w:t>Gross</w:t>
            </w:r>
          </w:p>
        </w:tc>
        <w:tc>
          <w:tcPr>
            <w:tcW w:w="240" w:type="dxa"/>
            <w:vAlign w:val="bottom"/>
          </w:tcPr>
          <w:p>
            <w:pPr>
              <w:spacing w:after="0"/>
              <w:rPr>
                <w:sz w:val="10"/>
                <w:szCs w:val="10"/>
                <w:color w:val="auto"/>
              </w:rPr>
            </w:pPr>
          </w:p>
        </w:tc>
        <w:tc>
          <w:tcPr>
            <w:tcW w:w="1220" w:type="dxa"/>
            <w:vAlign w:val="bottom"/>
            <w:gridSpan w:val="2"/>
            <w:vMerge w:val="restart"/>
          </w:tcPr>
          <w:p>
            <w:pPr>
              <w:jc w:val="right"/>
              <w:ind w:right="320"/>
              <w:spacing w:after="0"/>
              <w:rPr>
                <w:sz w:val="20"/>
                <w:szCs w:val="20"/>
                <w:color w:val="auto"/>
              </w:rPr>
            </w:pPr>
            <w:r>
              <w:rPr>
                <w:rFonts w:ascii="Arial" w:cs="Arial" w:eastAsia="Arial" w:hAnsi="Arial"/>
                <w:sz w:val="14"/>
                <w:szCs w:val="14"/>
                <w:b w:val="1"/>
                <w:bCs w:val="1"/>
                <w:color w:val="auto"/>
              </w:rPr>
              <w:t>Accumulated</w:t>
            </w:r>
          </w:p>
        </w:tc>
        <w:tc>
          <w:tcPr>
            <w:tcW w:w="140" w:type="dxa"/>
            <w:vAlign w:val="bottom"/>
          </w:tcPr>
          <w:p>
            <w:pPr>
              <w:spacing w:after="0"/>
              <w:rPr>
                <w:sz w:val="10"/>
                <w:szCs w:val="10"/>
                <w:color w:val="auto"/>
              </w:rPr>
            </w:pPr>
          </w:p>
        </w:tc>
        <w:tc>
          <w:tcPr>
            <w:tcW w:w="840" w:type="dxa"/>
            <w:vAlign w:val="bottom"/>
          </w:tcPr>
          <w:p>
            <w:pPr>
              <w:jc w:val="center"/>
              <w:ind w:right="78"/>
              <w:spacing w:after="0" w:line="119" w:lineRule="exact"/>
              <w:rPr>
                <w:sz w:val="20"/>
                <w:szCs w:val="20"/>
                <w:color w:val="auto"/>
              </w:rPr>
            </w:pPr>
            <w:r>
              <w:rPr>
                <w:rFonts w:ascii="Arial" w:cs="Arial" w:eastAsia="Arial" w:hAnsi="Arial"/>
                <w:sz w:val="13"/>
                <w:szCs w:val="13"/>
                <w:b w:val="1"/>
                <w:bCs w:val="1"/>
                <w:color w:val="auto"/>
                <w:w w:val="95"/>
              </w:rPr>
              <w:t>Net</w:t>
            </w: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60" w:type="dxa"/>
            <w:vAlign w:val="bottom"/>
          </w:tcPr>
          <w:p>
            <w:pPr>
              <w:jc w:val="center"/>
              <w:ind w:right="78"/>
              <w:spacing w:after="0" w:line="149" w:lineRule="exact"/>
              <w:rPr>
                <w:sz w:val="20"/>
                <w:szCs w:val="20"/>
                <w:color w:val="auto"/>
              </w:rPr>
            </w:pPr>
            <w:r>
              <w:rPr>
                <w:rFonts w:ascii="Arial" w:cs="Arial" w:eastAsia="Arial" w:hAnsi="Arial"/>
                <w:sz w:val="14"/>
                <w:szCs w:val="14"/>
                <w:b w:val="1"/>
                <w:bCs w:val="1"/>
                <w:color w:val="auto"/>
              </w:rPr>
              <w:t>Carrying</w:t>
            </w:r>
          </w:p>
        </w:tc>
        <w:tc>
          <w:tcPr>
            <w:tcW w:w="2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40" w:type="dxa"/>
            <w:vAlign w:val="bottom"/>
          </w:tcPr>
          <w:p>
            <w:pPr>
              <w:jc w:val="center"/>
              <w:ind w:right="78"/>
              <w:spacing w:after="0" w:line="149" w:lineRule="exact"/>
              <w:rPr>
                <w:sz w:val="20"/>
                <w:szCs w:val="20"/>
                <w:color w:val="auto"/>
              </w:rPr>
            </w:pPr>
            <w:r>
              <w:rPr>
                <w:rFonts w:ascii="Arial" w:cs="Arial" w:eastAsia="Arial" w:hAnsi="Arial"/>
                <w:sz w:val="14"/>
                <w:szCs w:val="14"/>
                <w:b w:val="1"/>
                <w:bCs w:val="1"/>
                <w:color w:val="auto"/>
                <w:w w:val="97"/>
              </w:rPr>
              <w:t>Carrying</w:t>
            </w: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20" w:type="dxa"/>
            <w:vAlign w:val="bottom"/>
          </w:tcPr>
          <w:p>
            <w:pPr>
              <w:jc w:val="center"/>
              <w:ind w:right="78"/>
              <w:spacing w:after="0" w:line="149" w:lineRule="exact"/>
              <w:rPr>
                <w:sz w:val="20"/>
                <w:szCs w:val="20"/>
                <w:color w:val="auto"/>
              </w:rPr>
            </w:pPr>
            <w:r>
              <w:rPr>
                <w:rFonts w:ascii="Arial" w:cs="Arial" w:eastAsia="Arial" w:hAnsi="Arial"/>
                <w:sz w:val="14"/>
                <w:szCs w:val="14"/>
                <w:b w:val="1"/>
                <w:bCs w:val="1"/>
                <w:color w:val="auto"/>
              </w:rPr>
              <w:t>Carrying</w:t>
            </w:r>
          </w:p>
        </w:tc>
        <w:tc>
          <w:tcPr>
            <w:tcW w:w="24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7"/>
              </w:rPr>
              <w:t>Carrying</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60" w:type="dxa"/>
            <w:vAlign w:val="bottom"/>
          </w:tcPr>
          <w:p>
            <w:pPr>
              <w:jc w:val="center"/>
              <w:ind w:right="78"/>
              <w:spacing w:after="0"/>
              <w:rPr>
                <w:sz w:val="20"/>
                <w:szCs w:val="20"/>
                <w:color w:val="auto"/>
              </w:rPr>
            </w:pPr>
            <w:r>
              <w:rPr>
                <w:rFonts w:ascii="Arial" w:cs="Arial" w:eastAsia="Arial" w:hAnsi="Arial"/>
                <w:sz w:val="14"/>
                <w:szCs w:val="14"/>
                <w:b w:val="1"/>
                <w:bCs w:val="1"/>
                <w:color w:val="auto"/>
                <w:w w:val="94"/>
              </w:rPr>
              <w:t>Amount</w:t>
            </w:r>
          </w:p>
        </w:tc>
        <w:tc>
          <w:tcPr>
            <w:tcW w:w="2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93"/>
              </w:rPr>
              <w:t>Amortization</w:t>
            </w: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jc w:val="center"/>
              <w:ind w:right="78"/>
              <w:spacing w:after="0"/>
              <w:rPr>
                <w:sz w:val="20"/>
                <w:szCs w:val="20"/>
                <w:color w:val="auto"/>
              </w:rPr>
            </w:pPr>
            <w:r>
              <w:rPr>
                <w:rFonts w:ascii="Arial" w:cs="Arial" w:eastAsia="Arial" w:hAnsi="Arial"/>
                <w:sz w:val="14"/>
                <w:szCs w:val="14"/>
                <w:b w:val="1"/>
                <w:bCs w:val="1"/>
                <w:color w:val="auto"/>
                <w:w w:val="98"/>
              </w:rPr>
              <w:t>Amount</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tcPr>
          <w:p>
            <w:pPr>
              <w:jc w:val="center"/>
              <w:ind w:right="78"/>
              <w:spacing w:after="0"/>
              <w:rPr>
                <w:sz w:val="20"/>
                <w:szCs w:val="20"/>
                <w:color w:val="auto"/>
              </w:rPr>
            </w:pPr>
            <w:r>
              <w:rPr>
                <w:rFonts w:ascii="Arial" w:cs="Arial" w:eastAsia="Arial" w:hAnsi="Arial"/>
                <w:sz w:val="14"/>
                <w:szCs w:val="14"/>
                <w:b w:val="1"/>
                <w:bCs w:val="1"/>
                <w:color w:val="auto"/>
                <w:w w:val="94"/>
              </w:rPr>
              <w:t>Amount</w:t>
            </w:r>
          </w:p>
        </w:tc>
        <w:tc>
          <w:tcPr>
            <w:tcW w:w="240" w:type="dxa"/>
            <w:vAlign w:val="bottom"/>
          </w:tcPr>
          <w:p>
            <w:pPr>
              <w:spacing w:after="0"/>
              <w:rPr>
                <w:sz w:val="14"/>
                <w:szCs w:val="14"/>
                <w:color w:val="auto"/>
              </w:rPr>
            </w:pPr>
          </w:p>
        </w:tc>
        <w:tc>
          <w:tcPr>
            <w:tcW w:w="12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Amortization</w:t>
            </w:r>
          </w:p>
        </w:tc>
        <w:tc>
          <w:tcPr>
            <w:tcW w:w="14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8"/>
              </w:rPr>
              <w:t>Amount</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24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2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(555,627)</w:t>
            </w:r>
          </w:p>
        </w:tc>
        <w:tc>
          <w:tcPr>
            <w:tcW w:w="1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152,771</w:t>
            </w:r>
          </w:p>
        </w:tc>
        <w:tc>
          <w:tcPr>
            <w:tcW w:w="2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24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   (538,765)</w:t>
            </w:r>
          </w:p>
        </w:tc>
        <w:tc>
          <w:tcPr>
            <w:tcW w:w="2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169,633</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40" w:type="dxa"/>
            <w:vAlign w:val="bottom"/>
          </w:tcPr>
          <w:p>
            <w:pPr>
              <w:spacing w:after="0"/>
              <w:rPr>
                <w:sz w:val="20"/>
                <w:szCs w:val="20"/>
                <w:color w:val="auto"/>
              </w:rPr>
            </w:pPr>
            <w:r>
              <w:rPr>
                <w:rFonts w:ascii="Arial" w:cs="Arial" w:eastAsia="Arial" w:hAnsi="Arial"/>
                <w:sz w:val="18"/>
                <w:szCs w:val="18"/>
                <w:color w:val="auto"/>
              </w:rPr>
              <w:t>Core technology</w:t>
            </w:r>
          </w:p>
        </w:tc>
        <w:tc>
          <w:tcPr>
            <w:tcW w:w="1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212,650</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100"/>
              <w:spacing w:after="0"/>
              <w:rPr>
                <w:sz w:val="20"/>
                <w:szCs w:val="20"/>
                <w:color w:val="auto"/>
              </w:rPr>
            </w:pPr>
            <w:r>
              <w:rPr>
                <w:rFonts w:ascii="Arial" w:cs="Arial" w:eastAsia="Arial" w:hAnsi="Arial"/>
                <w:sz w:val="18"/>
                <w:szCs w:val="18"/>
                <w:color w:val="auto"/>
              </w:rPr>
              <w:t>(72,296)</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140,354</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212,650</w:t>
            </w:r>
          </w:p>
        </w:tc>
        <w:tc>
          <w:tcPr>
            <w:tcW w:w="1460" w:type="dxa"/>
            <w:vAlign w:val="bottom"/>
            <w:gridSpan w:val="3"/>
          </w:tcPr>
          <w:p>
            <w:pPr>
              <w:jc w:val="right"/>
              <w:ind w:right="180"/>
              <w:spacing w:after="0"/>
              <w:rPr>
                <w:sz w:val="20"/>
                <w:szCs w:val="20"/>
                <w:color w:val="auto"/>
              </w:rPr>
            </w:pPr>
            <w:r>
              <w:rPr>
                <w:rFonts w:ascii="Arial" w:cs="Arial" w:eastAsia="Arial" w:hAnsi="Arial"/>
                <w:sz w:val="18"/>
                <w:szCs w:val="18"/>
                <w:color w:val="auto"/>
              </w:rPr>
              <w:t>(62,758)</w:t>
            </w:r>
          </w:p>
        </w:tc>
        <w:tc>
          <w:tcPr>
            <w:tcW w:w="14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149,892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1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(153)</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197</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146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(130)</w:t>
            </w:r>
          </w:p>
        </w:tc>
        <w:tc>
          <w:tcPr>
            <w:tcW w:w="14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53"/>
        </w:trPr>
        <w:tc>
          <w:tcPr>
            <w:tcW w:w="20" w:type="dxa"/>
            <w:vAlign w:val="bottom"/>
            <w:tcBorders>
              <w:bottom w:val="single" w:sz="8" w:color="CCEEFF"/>
            </w:tcBorders>
          </w:tcPr>
          <w:p>
            <w:pPr>
              <w:spacing w:after="0"/>
              <w:rPr>
                <w:sz w:val="21"/>
                <w:szCs w:val="21"/>
                <w:color w:val="auto"/>
              </w:rPr>
            </w:pPr>
          </w:p>
        </w:tc>
        <w:tc>
          <w:tcPr>
            <w:tcW w:w="2440" w:type="dxa"/>
            <w:vAlign w:val="bottom"/>
            <w:tcBorders>
              <w:bottom w:val="single" w:sz="8" w:color="CCEEFF"/>
            </w:tcBorders>
          </w:tcPr>
          <w:p>
            <w:pPr>
              <w:spacing w:after="0"/>
              <w:rPr>
                <w:sz w:val="20"/>
                <w:szCs w:val="20"/>
                <w:color w:val="auto"/>
              </w:rPr>
            </w:pPr>
            <w:r>
              <w:rPr>
                <w:rFonts w:ascii="Arial" w:cs="Arial" w:eastAsia="Arial" w:hAnsi="Arial"/>
                <w:sz w:val="18"/>
                <w:szCs w:val="18"/>
                <w:color w:val="auto"/>
              </w:rPr>
              <w:t>Customer contracts</w:t>
            </w:r>
          </w:p>
        </w:tc>
        <w:tc>
          <w:tcPr>
            <w:tcW w:w="140" w:type="dxa"/>
            <w:vAlign w:val="bottom"/>
            <w:tcBorders>
              <w:bottom w:val="single" w:sz="8" w:color="CCEEFF"/>
            </w:tcBorders>
          </w:tcPr>
          <w:p>
            <w:pPr>
              <w:spacing w:after="0"/>
              <w:rPr>
                <w:sz w:val="21"/>
                <w:szCs w:val="21"/>
                <w:color w:val="auto"/>
              </w:rPr>
            </w:pPr>
          </w:p>
        </w:tc>
        <w:tc>
          <w:tcPr>
            <w:tcW w:w="86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183,300</w:t>
            </w:r>
          </w:p>
        </w:tc>
        <w:tc>
          <w:tcPr>
            <w:tcW w:w="260" w:type="dxa"/>
            <w:vAlign w:val="bottom"/>
            <w:tcBorders>
              <w:bottom w:val="single" w:sz="8" w:color="CCEEFF"/>
            </w:tcBorders>
          </w:tcPr>
          <w:p>
            <w:pPr>
              <w:spacing w:after="0"/>
              <w:rPr>
                <w:sz w:val="21"/>
                <w:szCs w:val="21"/>
                <w:color w:val="auto"/>
              </w:rPr>
            </w:pPr>
          </w:p>
        </w:tc>
        <w:tc>
          <w:tcPr>
            <w:tcW w:w="80" w:type="dxa"/>
            <w:vAlign w:val="bottom"/>
            <w:tcBorders>
              <w:bottom w:val="single" w:sz="8" w:color="CCEEFF"/>
            </w:tcBorders>
          </w:tcPr>
          <w:p>
            <w:pPr>
              <w:spacing w:after="0"/>
              <w:rPr>
                <w:sz w:val="21"/>
                <w:szCs w:val="21"/>
                <w:color w:val="auto"/>
              </w:rPr>
            </w:pPr>
          </w:p>
        </w:tc>
        <w:tc>
          <w:tcPr>
            <w:tcW w:w="1060" w:type="dxa"/>
            <w:vAlign w:val="bottom"/>
            <w:tcBorders>
              <w:bottom w:val="single" w:sz="8" w:color="CCEEFF"/>
            </w:tcBorders>
            <w:gridSpan w:val="2"/>
          </w:tcPr>
          <w:p>
            <w:pPr>
              <w:jc w:val="right"/>
              <w:ind w:right="100"/>
              <w:spacing w:after="0"/>
              <w:rPr>
                <w:sz w:val="20"/>
                <w:szCs w:val="20"/>
                <w:color w:val="auto"/>
              </w:rPr>
            </w:pPr>
            <w:r>
              <w:rPr>
                <w:rFonts w:ascii="Arial" w:cs="Arial" w:eastAsia="Arial" w:hAnsi="Arial"/>
                <w:sz w:val="18"/>
                <w:szCs w:val="18"/>
                <w:color w:val="auto"/>
              </w:rPr>
              <w:t>(78,781)</w:t>
            </w:r>
          </w:p>
        </w:tc>
        <w:tc>
          <w:tcPr>
            <w:tcW w:w="100" w:type="dxa"/>
            <w:vAlign w:val="bottom"/>
            <w:tcBorders>
              <w:bottom w:val="single" w:sz="8" w:color="CCEEFF"/>
            </w:tcBorders>
          </w:tcPr>
          <w:p>
            <w:pPr>
              <w:spacing w:after="0"/>
              <w:rPr>
                <w:sz w:val="21"/>
                <w:szCs w:val="21"/>
                <w:color w:val="auto"/>
              </w:rPr>
            </w:pPr>
          </w:p>
        </w:tc>
        <w:tc>
          <w:tcPr>
            <w:tcW w:w="160" w:type="dxa"/>
            <w:vAlign w:val="bottom"/>
            <w:tcBorders>
              <w:bottom w:val="single" w:sz="8" w:color="CCEEFF"/>
            </w:tcBorders>
          </w:tcPr>
          <w:p>
            <w:pPr>
              <w:spacing w:after="0"/>
              <w:rPr>
                <w:sz w:val="21"/>
                <w:szCs w:val="21"/>
                <w:color w:val="auto"/>
              </w:rPr>
            </w:pPr>
          </w:p>
        </w:tc>
        <w:tc>
          <w:tcPr>
            <w:tcW w:w="8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104,519</w:t>
            </w:r>
          </w:p>
        </w:tc>
        <w:tc>
          <w:tcPr>
            <w:tcW w:w="260" w:type="dxa"/>
            <w:vAlign w:val="bottom"/>
            <w:tcBorders>
              <w:bottom w:val="single" w:sz="8" w:color="CCEEFF"/>
            </w:tcBorders>
          </w:tcPr>
          <w:p>
            <w:pPr>
              <w:spacing w:after="0"/>
              <w:rPr>
                <w:sz w:val="21"/>
                <w:szCs w:val="21"/>
                <w:color w:val="auto"/>
              </w:rPr>
            </w:pPr>
          </w:p>
        </w:tc>
        <w:tc>
          <w:tcPr>
            <w:tcW w:w="140" w:type="dxa"/>
            <w:vAlign w:val="bottom"/>
            <w:tcBorders>
              <w:bottom w:val="single" w:sz="8" w:color="CCEEFF"/>
            </w:tcBorders>
          </w:tcPr>
          <w:p>
            <w:pPr>
              <w:spacing w:after="0"/>
              <w:rPr>
                <w:sz w:val="21"/>
                <w:szCs w:val="21"/>
                <w:color w:val="auto"/>
              </w:rPr>
            </w:pPr>
          </w:p>
        </w:tc>
        <w:tc>
          <w:tcPr>
            <w:tcW w:w="82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183,300</w:t>
            </w:r>
          </w:p>
        </w:tc>
        <w:tc>
          <w:tcPr>
            <w:tcW w:w="1460" w:type="dxa"/>
            <w:vAlign w:val="bottom"/>
            <w:tcBorders>
              <w:bottom w:val="single" w:sz="8" w:color="CCEEFF"/>
            </w:tcBorders>
            <w:gridSpan w:val="3"/>
          </w:tcPr>
          <w:p>
            <w:pPr>
              <w:jc w:val="right"/>
              <w:ind w:right="180"/>
              <w:spacing w:after="0"/>
              <w:rPr>
                <w:sz w:val="20"/>
                <w:szCs w:val="20"/>
                <w:color w:val="auto"/>
              </w:rPr>
            </w:pPr>
            <w:r>
              <w:rPr>
                <w:rFonts w:ascii="Arial" w:cs="Arial" w:eastAsia="Arial" w:hAnsi="Arial"/>
                <w:sz w:val="18"/>
                <w:szCs w:val="18"/>
                <w:color w:val="auto"/>
              </w:rPr>
              <w:t>(70,029)</w:t>
            </w:r>
          </w:p>
        </w:tc>
        <w:tc>
          <w:tcPr>
            <w:tcW w:w="140" w:type="dxa"/>
            <w:vAlign w:val="bottom"/>
            <w:tcBorders>
              <w:bottom w:val="single" w:sz="8" w:color="CCEEFF"/>
            </w:tcBorders>
          </w:tcPr>
          <w:p>
            <w:pPr>
              <w:spacing w:after="0"/>
              <w:rPr>
                <w:sz w:val="21"/>
                <w:szCs w:val="21"/>
                <w:color w:val="auto"/>
              </w:rPr>
            </w:pPr>
          </w:p>
        </w:tc>
        <w:tc>
          <w:tcPr>
            <w:tcW w:w="8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113,271</w:t>
            </w:r>
          </w:p>
        </w:tc>
        <w:tc>
          <w:tcPr>
            <w:tcW w:w="80" w:type="dxa"/>
            <w:vAlign w:val="bottom"/>
            <w:tcBorders>
              <w:bottom w:val="single" w:sz="8" w:color="CCEEFF"/>
            </w:tcBorders>
          </w:tcPr>
          <w:p>
            <w:pPr>
              <w:spacing w:after="0"/>
              <w:rPr>
                <w:sz w:val="21"/>
                <w:szCs w:val="21"/>
                <w:color w:val="auto"/>
              </w:rPr>
            </w:pPr>
          </w:p>
        </w:tc>
        <w:tc>
          <w:tcPr>
            <w:tcW w:w="0" w:type="dxa"/>
            <w:vAlign w:val="bottom"/>
          </w:tcPr>
          <w:p>
            <w:pPr>
              <w:spacing w:after="0"/>
              <w:rPr>
                <w:sz w:val="1"/>
                <w:szCs w:val="1"/>
                <w:color w:val="auto"/>
              </w:rPr>
            </w:pPr>
          </w:p>
        </w:tc>
      </w:tr>
    </w:tbl>
    <w:p>
      <w:pPr>
        <w:sectPr>
          <w:pgSz w:w="11900" w:h="16900" w:orient="portrait"/>
          <w:cols w:equalWidth="0" w:num="1">
            <w:col w:w="11460"/>
          </w:cols>
          <w:pgMar w:left="240" w:top="125" w:right="199" w:bottom="0" w:gutter="0" w:footer="0" w:header="0"/>
        </w:sectPr>
      </w:pPr>
    </w:p>
    <w:bookmarkStart w:id="10" w:name="page11"/>
    <w:bookmarkEnd w:id="10"/>
    <w:p>
      <w:pPr>
        <w:spacing w:after="0" w:line="1" w:lineRule="exact"/>
        <w:rPr>
          <w:sz w:val="20"/>
          <w:szCs w:val="20"/>
          <w:color w:val="auto"/>
        </w:rPr>
      </w:pPr>
    </w:p>
    <w:tbl>
      <w:tblPr>
        <w:tblLayout w:type="fixed"/>
        <w:tblInd w:w="8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210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13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(673)</w:t>
            </w:r>
          </w:p>
        </w:tc>
        <w:tc>
          <w:tcPr>
            <w:tcW w:w="26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w:t>
            </w:r>
          </w:p>
        </w:tc>
        <w:tc>
          <w:tcPr>
            <w:tcW w:w="1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4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(642)</w:t>
            </w:r>
          </w:p>
        </w:tc>
        <w:tc>
          <w:tcPr>
            <w:tcW w:w="2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8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2100" w:type="dxa"/>
            <w:vAlign w:val="bottom"/>
          </w:tcPr>
          <w:p>
            <w:pPr>
              <w:spacing w:after="0"/>
              <w:rPr>
                <w:sz w:val="20"/>
                <w:szCs w:val="20"/>
                <w:color w:val="auto"/>
              </w:rPr>
            </w:pPr>
            <w:r>
              <w:rPr>
                <w:rFonts w:ascii="Arial" w:cs="Arial" w:eastAsia="Arial" w:hAnsi="Arial"/>
                <w:sz w:val="18"/>
                <w:szCs w:val="18"/>
                <w:color w:val="auto"/>
              </w:rPr>
              <w:t>Non competition</w:t>
            </w:r>
          </w:p>
        </w:tc>
        <w:tc>
          <w:tcPr>
            <w:tcW w:w="1340" w:type="dxa"/>
            <w:vAlign w:val="bottom"/>
            <w:gridSpan w:val="2"/>
          </w:tcPr>
          <w:p>
            <w:pPr>
              <w:jc w:val="right"/>
              <w:spacing w:after="0"/>
              <w:rPr>
                <w:sz w:val="20"/>
                <w:szCs w:val="20"/>
                <w:color w:val="auto"/>
              </w:rPr>
            </w:pPr>
            <w:r>
              <w:rPr>
                <w:rFonts w:ascii="Arial" w:cs="Arial" w:eastAsia="Arial" w:hAnsi="Arial"/>
                <w:sz w:val="18"/>
                <w:szCs w:val="18"/>
                <w:color w:val="auto"/>
              </w:rPr>
              <w:t>700</w:t>
            </w: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gridSpan w:val="2"/>
          </w:tcPr>
          <w:p>
            <w:pPr>
              <w:jc w:val="right"/>
              <w:ind w:right="160"/>
              <w:spacing w:after="0"/>
              <w:rPr>
                <w:sz w:val="20"/>
                <w:szCs w:val="20"/>
                <w:color w:val="auto"/>
              </w:rPr>
            </w:pPr>
            <w:r>
              <w:rPr>
                <w:rFonts w:ascii="Arial" w:cs="Arial" w:eastAsia="Arial" w:hAnsi="Arial"/>
                <w:sz w:val="18"/>
                <w:szCs w:val="18"/>
                <w:color w:val="auto"/>
              </w:rPr>
              <w:t>(223)</w:t>
            </w:r>
          </w:p>
        </w:tc>
        <w:tc>
          <w:tcPr>
            <w:tcW w:w="26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477</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700</w:t>
            </w:r>
          </w:p>
        </w:tc>
        <w:tc>
          <w:tcPr>
            <w:tcW w:w="1460" w:type="dxa"/>
            <w:vAlign w:val="bottom"/>
            <w:gridSpan w:val="3"/>
          </w:tcPr>
          <w:p>
            <w:pPr>
              <w:jc w:val="right"/>
              <w:ind w:right="100"/>
              <w:spacing w:after="0"/>
              <w:rPr>
                <w:sz w:val="20"/>
                <w:szCs w:val="20"/>
                <w:color w:val="auto"/>
              </w:rPr>
            </w:pPr>
            <w:r>
              <w:rPr>
                <w:rFonts w:ascii="Arial" w:cs="Arial" w:eastAsia="Arial" w:hAnsi="Arial"/>
                <w:sz w:val="18"/>
                <w:szCs w:val="18"/>
                <w:color w:val="auto"/>
              </w:rPr>
              <w:t>(165)</w:t>
            </w:r>
          </w:p>
        </w:tc>
        <w:tc>
          <w:tcPr>
            <w:tcW w:w="2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535</w:t>
            </w:r>
          </w:p>
        </w:tc>
        <w:tc>
          <w:tcPr>
            <w:tcW w:w="80" w:type="dxa"/>
            <w:vAlign w:val="bottom"/>
          </w:tcPr>
          <w:p>
            <w:pPr>
              <w:spacing w:after="0"/>
              <w:rPr>
                <w:sz w:val="18"/>
                <w:szCs w:val="18"/>
                <w:color w:val="auto"/>
              </w:rPr>
            </w:pPr>
          </w:p>
        </w:tc>
      </w:tr>
      <w:tr>
        <w:trPr>
          <w:trHeight w:val="217"/>
        </w:trPr>
        <w:tc>
          <w:tcPr>
            <w:tcW w:w="20" w:type="dxa"/>
            <w:vAlign w:val="bottom"/>
          </w:tcPr>
          <w:p>
            <w:pPr>
              <w:spacing w:after="0"/>
              <w:rPr>
                <w:sz w:val="18"/>
                <w:szCs w:val="18"/>
                <w:color w:val="auto"/>
              </w:rPr>
            </w:pPr>
          </w:p>
        </w:tc>
        <w:tc>
          <w:tcPr>
            <w:tcW w:w="2100" w:type="dxa"/>
            <w:vAlign w:val="bottom"/>
            <w:tcBorders>
              <w:top w:val="single" w:sz="8" w:color="CCEEFF"/>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Total intangible assets</w:t>
            </w:r>
          </w:p>
        </w:tc>
        <w:tc>
          <w:tcPr>
            <w:tcW w:w="340" w:type="dxa"/>
            <w:vAlign w:val="bottom"/>
            <w:tcBorders>
              <w:top w:val="single" w:sz="8" w:color="CCEEFF"/>
              <w:bottom w:val="single" w:sz="8" w:color="CCEEFF"/>
            </w:tcBorders>
            <w:shd w:val="clear" w:color="auto" w:fill="CCEEFF"/>
          </w:tcPr>
          <w:p>
            <w:pPr>
              <w:spacing w:after="0"/>
              <w:rPr>
                <w:sz w:val="18"/>
                <w:szCs w:val="18"/>
                <w:color w:val="auto"/>
              </w:rPr>
            </w:pPr>
          </w:p>
        </w:tc>
        <w:tc>
          <w:tcPr>
            <w:tcW w:w="10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  1,106,298</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8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(707,753</w:t>
            </w:r>
          </w:p>
        </w:tc>
        <w:tc>
          <w:tcPr>
            <w:tcW w:w="240" w:type="dxa"/>
            <w:vAlign w:val="bottom"/>
            <w:tcBorders>
              <w:top w:val="single" w:sz="8" w:color="CCEEFF"/>
              <w:bottom w:val="single" w:sz="8" w:color="CCEEFF"/>
            </w:tcBorders>
            <w:shd w:val="clear" w:color="auto" w:fill="CCEEFF"/>
          </w:tcPr>
          <w:p>
            <w:pPr>
              <w:jc w:val="right"/>
              <w:ind w:right="160"/>
              <w:spacing w:after="0"/>
              <w:rPr>
                <w:sz w:val="20"/>
                <w:szCs w:val="20"/>
                <w:color w:val="auto"/>
              </w:rPr>
            </w:pPr>
            <w:r>
              <w:rPr>
                <w:rFonts w:ascii="Arial" w:cs="Arial" w:eastAsia="Arial" w:hAnsi="Arial"/>
                <w:sz w:val="8"/>
                <w:szCs w:val="8"/>
                <w:color w:val="auto"/>
                <w:w w:val="73"/>
              </w:rPr>
              <w:t>)</w:t>
            </w:r>
          </w:p>
        </w:tc>
        <w:tc>
          <w:tcPr>
            <w:tcW w:w="26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398,545</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  1,106,298</w:t>
            </w:r>
          </w:p>
        </w:tc>
        <w:tc>
          <w:tcPr>
            <w:tcW w:w="240" w:type="dxa"/>
            <w:vAlign w:val="bottom"/>
            <w:tcBorders>
              <w:top w:val="single" w:sz="8" w:color="CCEEFF"/>
              <w:bottom w:val="single" w:sz="8" w:color="CCEEFF"/>
            </w:tcBorders>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   (672,489</w:t>
            </w:r>
          </w:p>
        </w:tc>
        <w:tc>
          <w:tcPr>
            <w:tcW w:w="240" w:type="dxa"/>
            <w:vAlign w:val="bottom"/>
            <w:tcBorders>
              <w:top w:val="single" w:sz="8" w:color="CCEEFF"/>
              <w:bottom w:val="single" w:sz="8" w:color="CCEEFF"/>
            </w:tcBorders>
            <w:shd w:val="clear" w:color="auto" w:fill="CCEEFF"/>
          </w:tcPr>
          <w:p>
            <w:pPr>
              <w:jc w:val="right"/>
              <w:ind w:right="100"/>
              <w:spacing w:after="0"/>
              <w:rPr>
                <w:sz w:val="20"/>
                <w:szCs w:val="20"/>
                <w:color w:val="auto"/>
              </w:rPr>
            </w:pPr>
            <w:r>
              <w:rPr>
                <w:rFonts w:ascii="Arial" w:cs="Arial" w:eastAsia="Arial" w:hAnsi="Arial"/>
                <w:sz w:val="16"/>
                <w:szCs w:val="16"/>
                <w:color w:val="auto"/>
                <w:w w:val="74"/>
              </w:rPr>
              <w:t>)</w:t>
            </w: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433,809</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color w:val="auto"/>
        </w:rPr>
        <w:t>Purchased technologies are amortized on a straight-line basis over their estimated useful lives of one to six years. Core technologies are amortized on a straight-line basis over their estimated useful lives of one to eight years. Trade names are amortized on a straight-line basis over their estimate useful lives of one to five years. Customer contracts and related relationships are amortized on a straight-line basis over their estimated useful lives of four to seven years. The supply contract is amortized on a straight-line basis over its estimated useful life of four years. Non-competition is amortized on a straight-line basis over three years. The aggregate amortization expense of identified intangible assets was $35.2 million in the first quarter of fiscal 2009 and $37.3 million in the first quarter of fiscal 2008. Amortization expense is expected to be $102.6 million for the remaining nine months of fiscal 2009, $113.5 million in fiscal 2010, $83.3 million in fiscal 2011, $41.7 million in fiscal 2012, $35.0 million in fiscal 2013, $21.9 million in fiscal 2014 and $0.6million in fiscal 2015.</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Commitments and Contingencies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Warranty Obligations</w:t>
      </w:r>
    </w:p>
    <w:p>
      <w:pPr>
        <w:spacing w:after="0" w:line="229" w:lineRule="exact"/>
        <w:rPr>
          <w:sz w:val="20"/>
          <w:szCs w:val="20"/>
          <w:color w:val="auto"/>
        </w:rPr>
      </w:pPr>
    </w:p>
    <w:p>
      <w:pPr>
        <w:ind w:firstLine="259"/>
        <w:spacing w:after="0" w:line="277" w:lineRule="auto"/>
        <w:rPr>
          <w:sz w:val="20"/>
          <w:szCs w:val="20"/>
          <w:color w:val="auto"/>
        </w:rPr>
      </w:pPr>
      <w:r>
        <w:rPr>
          <w:rFonts w:ascii="Arial" w:cs="Arial" w:eastAsia="Arial" w:hAnsi="Arial"/>
          <w:sz w:val="18"/>
          <w:szCs w:val="18"/>
          <w:color w:val="auto"/>
        </w:rPr>
        <w:t>The following table presents changes in the warranty accrual included in accrued liabilities during the three months ended May 3, 2008 and April 28, 2007 (in thousands):</w:t>
      </w:r>
    </w:p>
    <w:p>
      <w:pPr>
        <w:spacing w:after="0" w:line="162" w:lineRule="exact"/>
        <w:rPr>
          <w:sz w:val="20"/>
          <w:szCs w:val="20"/>
          <w:color w:val="auto"/>
        </w:rPr>
      </w:pPr>
    </w:p>
    <w:tbl>
      <w:tblPr>
        <w:tblLayout w:type="fixed"/>
        <w:tblInd w:w="720" w:type="dxa"/>
        <w:tblCellMar>
          <w:top w:w="0" w:type="dxa"/>
          <w:left w:w="0" w:type="dxa"/>
          <w:bottom w:w="0" w:type="dxa"/>
          <w:right w:w="0" w:type="dxa"/>
        </w:tblCellMar>
      </w:tblPr>
      <w:tr>
        <w:trPr>
          <w:trHeight w:val="171"/>
        </w:trPr>
        <w:tc>
          <w:tcPr>
            <w:tcW w:w="50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6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5000" w:type="dxa"/>
            <w:vAlign w:val="bottom"/>
          </w:tcPr>
          <w:p>
            <w:pPr>
              <w:spacing w:after="0"/>
              <w:rPr>
                <w:sz w:val="10"/>
                <w:szCs w:val="10"/>
                <w:color w:val="auto"/>
              </w:rPr>
            </w:pPr>
          </w:p>
        </w:tc>
        <w:tc>
          <w:tcPr>
            <w:tcW w:w="144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right"/>
              <w:ind w:right="440"/>
              <w:spacing w:after="0" w:line="119" w:lineRule="exact"/>
              <w:rPr>
                <w:sz w:val="20"/>
                <w:szCs w:val="20"/>
                <w:color w:val="auto"/>
              </w:rPr>
            </w:pPr>
            <w:r>
              <w:rPr>
                <w:rFonts w:ascii="Arial" w:cs="Arial" w:eastAsia="Arial" w:hAnsi="Arial"/>
                <w:sz w:val="13"/>
                <w:szCs w:val="13"/>
                <w:b w:val="1"/>
                <w:bCs w:val="1"/>
                <w:color w:val="auto"/>
              </w:rPr>
              <w:t>May 3,</w:t>
            </w:r>
          </w:p>
        </w:tc>
        <w:tc>
          <w:tcPr>
            <w:tcW w:w="80" w:type="dxa"/>
            <w:vAlign w:val="bottom"/>
            <w:tcBorders>
              <w:top w:val="single" w:sz="8" w:color="auto"/>
            </w:tcBorders>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157"/>
              <w:spacing w:after="0" w:line="119" w:lineRule="exact"/>
              <w:rPr>
                <w:sz w:val="20"/>
                <w:szCs w:val="20"/>
                <w:color w:val="auto"/>
              </w:rPr>
            </w:pPr>
            <w:r>
              <w:rPr>
                <w:rFonts w:ascii="Arial" w:cs="Arial" w:eastAsia="Arial" w:hAnsi="Arial"/>
                <w:sz w:val="13"/>
                <w:szCs w:val="13"/>
                <w:b w:val="1"/>
                <w:bCs w:val="1"/>
                <w:color w:val="auto"/>
              </w:rPr>
              <w:t>April 28,</w:t>
            </w:r>
          </w:p>
        </w:tc>
        <w:tc>
          <w:tcPr>
            <w:tcW w:w="80" w:type="dxa"/>
            <w:vAlign w:val="bottom"/>
          </w:tcPr>
          <w:p>
            <w:pPr>
              <w:spacing w:after="0"/>
              <w:rPr>
                <w:sz w:val="10"/>
                <w:szCs w:val="10"/>
                <w:color w:val="auto"/>
              </w:rPr>
            </w:pPr>
          </w:p>
        </w:tc>
      </w:tr>
      <w:tr>
        <w:trPr>
          <w:trHeight w:val="171"/>
        </w:trPr>
        <w:tc>
          <w:tcPr>
            <w:tcW w:w="5000" w:type="dxa"/>
            <w:vAlign w:val="bottom"/>
            <w:tcBorders>
              <w:bottom w:val="single" w:sz="8" w:color="CCEEFF"/>
            </w:tcBorders>
          </w:tcPr>
          <w:p>
            <w:pPr>
              <w:spacing w:after="0"/>
              <w:rPr>
                <w:sz w:val="14"/>
                <w:szCs w:val="14"/>
                <w:color w:val="auto"/>
              </w:rPr>
            </w:pPr>
          </w:p>
        </w:tc>
        <w:tc>
          <w:tcPr>
            <w:tcW w:w="14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98"/>
              <w:spacing w:after="0"/>
              <w:rPr>
                <w:sz w:val="20"/>
                <w:szCs w:val="20"/>
                <w:color w:val="auto"/>
              </w:rPr>
            </w:pPr>
            <w:r>
              <w:rPr>
                <w:rFonts w:ascii="Arial" w:cs="Arial" w:eastAsia="Arial" w:hAnsi="Arial"/>
                <w:sz w:val="14"/>
                <w:szCs w:val="14"/>
                <w:b w:val="1"/>
                <w:bCs w:val="1"/>
                <w:color w:val="auto"/>
              </w:rPr>
              <w:t>2008</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77"/>
              <w:spacing w:after="0"/>
              <w:rPr>
                <w:sz w:val="20"/>
                <w:szCs w:val="20"/>
                <w:color w:val="auto"/>
              </w:rPr>
            </w:pPr>
            <w:r>
              <w:rPr>
                <w:rFonts w:ascii="Arial" w:cs="Arial" w:eastAsia="Arial" w:hAnsi="Arial"/>
                <w:sz w:val="14"/>
                <w:szCs w:val="14"/>
                <w:b w:val="1"/>
                <w:bCs w:val="1"/>
                <w:color w:val="auto"/>
              </w:rPr>
              <w:t>2007</w:t>
            </w:r>
          </w:p>
        </w:tc>
        <w:tc>
          <w:tcPr>
            <w:tcW w:w="80" w:type="dxa"/>
            <w:vAlign w:val="bottom"/>
            <w:tcBorders>
              <w:bottom w:val="single" w:sz="8" w:color="CCEEFF"/>
            </w:tcBorders>
          </w:tcPr>
          <w:p>
            <w:pPr>
              <w:spacing w:after="0"/>
              <w:rPr>
                <w:sz w:val="14"/>
                <w:szCs w:val="14"/>
                <w:color w:val="auto"/>
              </w:rPr>
            </w:pPr>
          </w:p>
        </w:tc>
      </w:tr>
      <w:tr>
        <w:trPr>
          <w:trHeight w:val="196"/>
        </w:trPr>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Warranty accrual (included in accrued liabilities):</w:t>
            </w:r>
          </w:p>
        </w:tc>
        <w:tc>
          <w:tcPr>
            <w:tcW w:w="14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r>
      <w:tr>
        <w:trPr>
          <w:trHeight w:val="216"/>
        </w:trPr>
        <w:tc>
          <w:tcPr>
            <w:tcW w:w="5000" w:type="dxa"/>
            <w:vAlign w:val="bottom"/>
          </w:tcPr>
          <w:p>
            <w:pPr>
              <w:ind w:left="180"/>
              <w:spacing w:after="0"/>
              <w:rPr>
                <w:sz w:val="20"/>
                <w:szCs w:val="20"/>
                <w:color w:val="auto"/>
              </w:rPr>
            </w:pPr>
            <w:r>
              <w:rPr>
                <w:rFonts w:ascii="Arial" w:cs="Arial" w:eastAsia="Arial" w:hAnsi="Arial"/>
                <w:sz w:val="18"/>
                <w:szCs w:val="18"/>
                <w:color w:val="auto"/>
              </w:rPr>
              <w:t>Beginning balance</w:t>
            </w:r>
          </w:p>
        </w:tc>
        <w:tc>
          <w:tcPr>
            <w:tcW w:w="1620" w:type="dxa"/>
            <w:vAlign w:val="bottom"/>
            <w:gridSpan w:val="2"/>
          </w:tcPr>
          <w:p>
            <w:pPr>
              <w:jc w:val="right"/>
              <w:ind w:right="25"/>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2,532</w:t>
            </w:r>
          </w:p>
        </w:tc>
        <w:tc>
          <w:tcPr>
            <w:tcW w:w="12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tcPr>
          <w:p>
            <w:pPr>
              <w:jc w:val="right"/>
              <w:spacing w:after="0"/>
              <w:rPr>
                <w:sz w:val="20"/>
                <w:szCs w:val="20"/>
                <w:color w:val="auto"/>
              </w:rPr>
            </w:pPr>
            <w:r>
              <w:rPr>
                <w:rFonts w:ascii="Arial" w:cs="Arial" w:eastAsia="Arial" w:hAnsi="Arial"/>
                <w:sz w:val="18"/>
                <w:szCs w:val="18"/>
                <w:color w:val="auto"/>
              </w:rPr>
              <w:t>2,567</w:t>
            </w:r>
          </w:p>
        </w:tc>
        <w:tc>
          <w:tcPr>
            <w:tcW w:w="80" w:type="dxa"/>
            <w:vAlign w:val="bottom"/>
          </w:tcPr>
          <w:p>
            <w:pPr>
              <w:spacing w:after="0"/>
              <w:rPr>
                <w:sz w:val="18"/>
                <w:szCs w:val="18"/>
                <w:color w:val="auto"/>
              </w:rPr>
            </w:pPr>
          </w:p>
        </w:tc>
      </w:tr>
      <w:tr>
        <w:trPr>
          <w:trHeight w:val="216"/>
        </w:trPr>
        <w:tc>
          <w:tcPr>
            <w:tcW w:w="50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Warranties issued</w:t>
            </w:r>
          </w:p>
        </w:tc>
        <w:tc>
          <w:tcPr>
            <w:tcW w:w="14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w:t>
            </w:r>
          </w:p>
        </w:tc>
        <w:tc>
          <w:tcPr>
            <w:tcW w:w="80" w:type="dxa"/>
            <w:vAlign w:val="bottom"/>
            <w:shd w:val="clear" w:color="auto" w:fill="CCEEFF"/>
          </w:tcPr>
          <w:p>
            <w:pPr>
              <w:spacing w:after="0"/>
              <w:rPr>
                <w:sz w:val="18"/>
                <w:szCs w:val="18"/>
                <w:color w:val="auto"/>
              </w:rPr>
            </w:pPr>
          </w:p>
        </w:tc>
      </w:tr>
      <w:tr>
        <w:trPr>
          <w:trHeight w:val="216"/>
        </w:trPr>
        <w:tc>
          <w:tcPr>
            <w:tcW w:w="5000" w:type="dxa"/>
            <w:vAlign w:val="bottom"/>
          </w:tcPr>
          <w:p>
            <w:pPr>
              <w:ind w:left="260"/>
              <w:spacing w:after="0"/>
              <w:rPr>
                <w:sz w:val="20"/>
                <w:szCs w:val="20"/>
                <w:color w:val="auto"/>
              </w:rPr>
            </w:pPr>
            <w:r>
              <w:rPr>
                <w:rFonts w:ascii="Arial" w:cs="Arial" w:eastAsia="Arial" w:hAnsi="Arial"/>
                <w:sz w:val="18"/>
                <w:szCs w:val="18"/>
                <w:color w:val="auto"/>
              </w:rPr>
              <w:t>Settlements</w:t>
            </w:r>
          </w:p>
        </w:tc>
        <w:tc>
          <w:tcPr>
            <w:tcW w:w="14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80" w:type="dxa"/>
            <w:vAlign w:val="bottom"/>
            <w:gridSpan w:val="2"/>
          </w:tcPr>
          <w:p>
            <w:pPr>
              <w:jc w:val="right"/>
              <w:ind w:right="80"/>
              <w:spacing w:after="0"/>
              <w:rPr>
                <w:sz w:val="20"/>
                <w:szCs w:val="20"/>
                <w:color w:val="auto"/>
              </w:rPr>
            </w:pPr>
            <w:r>
              <w:rPr>
                <w:rFonts w:ascii="Arial" w:cs="Arial" w:eastAsia="Arial" w:hAnsi="Arial"/>
                <w:sz w:val="18"/>
                <w:szCs w:val="18"/>
                <w:color w:val="auto"/>
              </w:rPr>
              <w:t>(503)</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gridSpan w:val="2"/>
          </w:tcPr>
          <w:p>
            <w:pPr>
              <w:jc w:val="right"/>
              <w:ind w:right="20"/>
              <w:spacing w:after="0"/>
              <w:rPr>
                <w:sz w:val="20"/>
                <w:szCs w:val="20"/>
                <w:color w:val="auto"/>
              </w:rPr>
            </w:pPr>
            <w:r>
              <w:rPr>
                <w:rFonts w:ascii="Arial" w:cs="Arial" w:eastAsia="Arial" w:hAnsi="Arial"/>
                <w:sz w:val="18"/>
                <w:szCs w:val="18"/>
                <w:color w:val="auto"/>
              </w:rPr>
              <w:t>(241)</w:t>
            </w:r>
          </w:p>
        </w:tc>
      </w:tr>
      <w:tr>
        <w:trPr>
          <w:trHeight w:val="217"/>
        </w:trPr>
        <w:tc>
          <w:tcPr>
            <w:tcW w:w="500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Ending balance</w:t>
            </w:r>
          </w:p>
        </w:tc>
        <w:tc>
          <w:tcPr>
            <w:tcW w:w="144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2,534</w:t>
            </w:r>
          </w:p>
        </w:tc>
        <w:tc>
          <w:tcPr>
            <w:tcW w:w="8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80" w:firstLine="247"/>
        <w:spacing w:after="0" w:line="276" w:lineRule="auto"/>
        <w:rPr>
          <w:sz w:val="20"/>
          <w:szCs w:val="20"/>
          <w:color w:val="auto"/>
        </w:rPr>
      </w:pPr>
      <w:r>
        <w:rPr>
          <w:rFonts w:ascii="Arial" w:cs="Arial" w:eastAsia="Arial" w:hAnsi="Arial"/>
          <w:sz w:val="17"/>
          <w:szCs w:val="17"/>
          <w:color w:val="auto"/>
        </w:rPr>
        <w:t>In connection with the acquisition of the communication and application processor business of Intel, the Company entered into a product supply agreement with Intel. Although the Company has met the contractual obligations under the original supply agreement and has transitioned certain products to its fabrication partners, the Company anticipates that it will continue to source certain legacy application processor cellular and handset inventory from Intel. Under terms of an amended agreement with Intel, the Company has committed to purchase a minimum number of wafers through December 2008. As of May 3, 2008, the Company had non-cancellable purchase orders outstanding of $20.6 million under this arrangement.</w:t>
      </w:r>
    </w:p>
    <w:p>
      <w:pPr>
        <w:spacing w:after="0" w:line="17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firstLine="243"/>
        <w:spacing w:after="0" w:line="264" w:lineRule="auto"/>
        <w:rPr>
          <w:sz w:val="20"/>
          <w:szCs w:val="20"/>
          <w:color w:val="auto"/>
        </w:rPr>
      </w:pPr>
      <w:r>
        <w:rPr>
          <w:rFonts w:ascii="Arial" w:cs="Arial" w:eastAsia="Arial" w:hAnsi="Arial"/>
          <w:sz w:val="18"/>
          <w:szCs w:val="18"/>
          <w:color w:val="auto"/>
        </w:rPr>
        <w:t>Under the Company’s manufacturing relationships with its other foundries, cancellation of outstanding purchase orders is allowed but requires repayment of all expenses incurred through the date of cancellation. As of May 3, 2008, these foundries had incurred approximately $173.3 million of manufacturing expenses on the Company’s outstanding purchase orders.</w:t>
      </w:r>
    </w:p>
    <w:p>
      <w:pPr>
        <w:spacing w:after="0" w:line="181"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18 months. The amendment extends the term of the agreement and the agreed upon pricing terms until December 31, 2015. As of May 3, 2008, payments totaling $174.2 million, which is included in prepaid expenses and other current assets and other non-current assets have been made and approximately $134.2 million of the prepayment has been utilized as of May 3, 2008. At May 3, 2008, there are no outstanding commitments under the agreement.</w:t>
      </w:r>
    </w:p>
    <w:p>
      <w:pPr>
        <w:spacing w:after="0" w:line="193" w:lineRule="exact"/>
        <w:rPr>
          <w:sz w:val="20"/>
          <w:szCs w:val="20"/>
          <w:color w:val="auto"/>
        </w:rPr>
      </w:pPr>
    </w:p>
    <w:p>
      <w:pPr>
        <w:ind w:left="260"/>
        <w:spacing w:after="0"/>
        <w:rPr>
          <w:sz w:val="20"/>
          <w:szCs w:val="20"/>
          <w:color w:val="auto"/>
        </w:rPr>
      </w:pPr>
      <w:r>
        <w:rPr>
          <w:rFonts w:ascii="Arial" w:cs="Arial" w:eastAsia="Arial" w:hAnsi="Arial"/>
          <w:sz w:val="16"/>
          <w:szCs w:val="16"/>
          <w:color w:val="auto"/>
        </w:rPr>
        <w:t>As of May 3, 2008, the Company had approximately $51.5 million of other outstanding non-cancellable purchase orders for capital purchase obligations.</w:t>
      </w:r>
    </w:p>
    <w:p>
      <w:pPr>
        <w:spacing w:after="0" w:line="248"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ind w:right="40" w:firstLine="243"/>
        <w:spacing w:after="0" w:line="285"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initial public offering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as amended (the “Exchange Act”).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as amended,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Marvell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Defendants’ motions to dismiss those new complaints were denied in part and granted in part. Plaintiffs have also moved for class certification in the six focus cases, which the defendants in those cases have opposed.</w:t>
      </w:r>
    </w:p>
    <w:p>
      <w:pPr>
        <w:sectPr>
          <w:pgSz w:w="11900" w:h="16838" w:orient="portrait"/>
          <w:cols w:equalWidth="0" w:num="1">
            <w:col w:w="11420"/>
          </w:cols>
          <w:pgMar w:left="240" w:top="140" w:right="239" w:bottom="153" w:gutter="0" w:footer="0" w:header="0"/>
        </w:sectPr>
      </w:pPr>
    </w:p>
    <w:bookmarkStart w:id="11" w:name="page12"/>
    <w:bookmarkEnd w:id="11"/>
    <w:p>
      <w:pPr>
        <w:ind w:firstLine="243"/>
        <w:spacing w:after="0" w:line="255"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shareholder of the Company filed a complaint for violation of Section 16(b) of the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Act, which prohibits short-swing trading, against the Company’s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The Company is named as a nominal defendant. No recovery is sought from the Company. At a status conference on April 28, 2008, the District Court ruled that the defendants’ motion to dismiss opening briefs are due on July 25, 2008; the plaintiff’s opposition brief will be due on September 8, 2008; the defendants’ reply briefs are due on October 23, 2008 when the District Court will consider setting a hearing date for the motions; and all discovery is stayed pending resolution of the defendants’ motions to dismiss.</w:t>
      </w:r>
    </w:p>
    <w:p>
      <w:pPr>
        <w:spacing w:after="0" w:line="189"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the Company for improperly obtaining and using information and technologies during the course of the negotiations with its personnel regarding the potential acquisition of certain Jasmine assets by the Company. The lawsuit claims that the Company’s officers improperly obtained and used such information and technologies after</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the Company signed a non-disclosure agreement with Jasmine. The Company believes the claims asserted against its officers and the Company are without merit and the Company intends to defend all claims vigorously.</w:t>
      </w:r>
    </w:p>
    <w:p>
      <w:pPr>
        <w:spacing w:after="0" w:line="170" w:lineRule="exact"/>
        <w:rPr>
          <w:sz w:val="20"/>
          <w:szCs w:val="20"/>
          <w:color w:val="auto"/>
        </w:rPr>
      </w:pPr>
    </w:p>
    <w:p>
      <w:pPr>
        <w:ind w:firstLine="243"/>
        <w:spacing w:after="0" w:line="286"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Company’s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cross-complaint. The demurrer was heard on July 19, 2007 and denied. On August 3, 2007, Jasmine filed its answer to the second amended cross complaint. The Company thereafter filed its motion for summary adjudication on its fifth and sixth causes of action for declaratory relief seeking, among other things, a determination that Jasmine held no propriety interest in the “JSLIP” algorithm, which was one of the core technologies Jasmine asserts was misappropriated by the Company.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69" w:lineRule="exact"/>
        <w:rPr>
          <w:sz w:val="20"/>
          <w:szCs w:val="20"/>
          <w:color w:val="auto"/>
        </w:rPr>
      </w:pPr>
    </w:p>
    <w:p>
      <w:pPr>
        <w:ind w:right="20" w:firstLine="243"/>
        <w:spacing w:after="0" w:line="284"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w:t>
      </w:r>
    </w:p>
    <w:p>
      <w:pPr>
        <w:spacing w:after="0" w:line="3" w:lineRule="exact"/>
        <w:rPr>
          <w:sz w:val="20"/>
          <w:szCs w:val="20"/>
          <w:color w:val="auto"/>
        </w:rPr>
      </w:pPr>
    </w:p>
    <w:p>
      <w:pPr>
        <w:ind w:right="60"/>
        <w:spacing w:after="0" w:line="224" w:lineRule="auto"/>
        <w:rPr>
          <w:sz w:val="20"/>
          <w:szCs w:val="20"/>
          <w:color w:val="auto"/>
        </w:rPr>
      </w:pPr>
      <w:r>
        <w:rPr>
          <w:rFonts w:ascii="Arial" w:cs="Arial" w:eastAsia="Arial" w:hAnsi="Arial"/>
          <w:sz w:val="18"/>
          <w:szCs w:val="18"/>
          <w:color w:val="auto"/>
        </w:rPr>
        <w:t xml:space="preserve">not read such document more 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 Mitsubishi</w:t>
      </w:r>
      <w:r>
        <w:rPr>
          <w:rFonts w:ascii="Arial" w:cs="Arial" w:eastAsia="Arial" w:hAnsi="Arial"/>
          <w:sz w:val="18"/>
          <w:szCs w:val="18"/>
          <w:color w:val="auto"/>
        </w:rPr>
        <w:t>, on April 23, 2008, the California Supreme Court issued an order dismissing the Company’s petition for review. As a result the decision of the Court of Appeal, which remains unpublished, became final. The case will now proceed in the trial court, where the Company intends to vigorously assert its cross-claims and defenses.</w:t>
      </w:r>
    </w:p>
    <w:p>
      <w:pPr>
        <w:spacing w:after="0" w:line="205" w:lineRule="exact"/>
        <w:rPr>
          <w:sz w:val="20"/>
          <w:szCs w:val="20"/>
          <w:color w:val="auto"/>
        </w:rPr>
      </w:pPr>
    </w:p>
    <w:p>
      <w:pPr>
        <w:ind w:right="60" w:firstLine="243"/>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As of January 2007, Australia’s Commonwealth Scientific and Industrial Research Organisation (“CSIRO”) is involved in three patent</w:t>
      </w:r>
      <w:r>
        <w:rPr>
          <w:rFonts w:ascii="Arial" w:cs="Arial" w:eastAsia="Arial" w:hAnsi="Arial"/>
          <w:sz w:val="16"/>
          <w:szCs w:val="16"/>
          <w:i w:val="1"/>
          <w:iCs w:val="1"/>
          <w:color w:val="auto"/>
        </w:rPr>
        <w:t xml:space="preserve"> </w:t>
      </w:r>
      <w:r>
        <w:rPr>
          <w:rFonts w:ascii="Arial" w:cs="Arial" w:eastAsia="Arial" w:hAnsi="Arial"/>
          <w:sz w:val="16"/>
          <w:szCs w:val="16"/>
          <w:color w:val="auto"/>
        </w:rPr>
        <w:t>litigations in the Eastern District of Texas in which it has accused a number of wireless LAN system manufacturers, including some of the Company’s customers, of infringing CSIRO’s patent, U.S. Patent No. 5,487,069 (the “‘069 Patent”). CSIRO’s claims of infringement relate to IEEE 802.11a, 802.11g and 802.11n wireless standards. As a result of CSIRO’s claims for patent infringement, a number of the Company’s customers have sought indemnification from the Company. In response to these demands for indemnification, the Company has acknowledged the demands and incurred costs in response to them.</w:t>
      </w:r>
    </w:p>
    <w:p>
      <w:pPr>
        <w:spacing w:after="0" w:line="158" w:lineRule="exact"/>
        <w:rPr>
          <w:sz w:val="20"/>
          <w:szCs w:val="20"/>
          <w:color w:val="auto"/>
        </w:rPr>
      </w:pPr>
    </w:p>
    <w:p>
      <w:pPr>
        <w:ind w:right="140" w:firstLine="243"/>
        <w:spacing w:after="0" w:line="259" w:lineRule="auto"/>
        <w:rPr>
          <w:sz w:val="20"/>
          <w:szCs w:val="20"/>
          <w:color w:val="auto"/>
        </w:rPr>
      </w:pPr>
      <w:r>
        <w:rPr>
          <w:rFonts w:ascii="Arial" w:cs="Arial" w:eastAsia="Arial" w:hAnsi="Arial"/>
          <w:sz w:val="18"/>
          <w:szCs w:val="18"/>
          <w:color w:val="auto"/>
        </w:rPr>
        <w:t>On May 4, 2007, the Company filed an action in the United States District Court for the Eastern District of Texas seeking a declaratory judgment against CSIRO that the ‘069 Patent is invalid and unenforceable and that the Company and its customers do not infringe the ‘069 Patent. The complaint also seeks damages and a license for the Company and its customers on reasonable and non-discriminatory terms in the event the Company’s 802.11a/g wireless LAN products are found to infringe and the ‘069 Patent is found to be valid and enforceable.</w:t>
      </w:r>
    </w:p>
    <w:p>
      <w:pPr>
        <w:spacing w:after="0" w:line="187"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On July 3, 2007, the Company moved to intervene in the two actions described in the first paragraph above pending in the Eastern District of Texas, for the purposes of staying the actions as to products incorporating Marvell parts in favor of the separate action that the Company filed as described in the second paragraph above. Alternatively the Company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firstLine="243"/>
        <w:spacing w:after="0" w:line="276" w:lineRule="auto"/>
        <w:rPr>
          <w:sz w:val="20"/>
          <w:szCs w:val="20"/>
          <w:color w:val="auto"/>
        </w:rPr>
      </w:pPr>
      <w:r>
        <w:rPr>
          <w:rFonts w:ascii="Arial" w:cs="Arial" w:eastAsia="Arial" w:hAnsi="Arial"/>
          <w:sz w:val="17"/>
          <w:szCs w:val="17"/>
          <w:color w:val="auto"/>
        </w:rPr>
        <w:t>On August 3, 2007, CSIRO moved to dismiss the Company’s complaint for lack of case or controversy and failure to state a claim upon which relief can be granted, or, in the alternative, to stay the case pending the resolution of the pending lawsuits described in the first paragraph above. On October 24, 2007, the Court issued an order denying CSIRO’s motion to dismiss. The Court also denied the Company’s motions to stay/intervene/disqualify. The Company appealed the Court’s denial of the motions to stay/intervene/disqualify to the United States Court of Appeals for the Federal Circuit. The hearing on the Company’s appeal is expected to be heard in the summer/fall of 2008.</w:t>
      </w:r>
    </w:p>
    <w:p>
      <w:pPr>
        <w:sectPr>
          <w:pgSz w:w="11900" w:h="16838" w:orient="portrait"/>
          <w:cols w:equalWidth="0" w:num="1">
            <w:col w:w="11400"/>
          </w:cols>
          <w:pgMar w:left="240" w:top="125" w:right="259" w:bottom="155" w:gutter="0" w:footer="0" w:header="0"/>
        </w:sectPr>
      </w:pPr>
    </w:p>
    <w:bookmarkStart w:id="12" w:name="page13"/>
    <w:bookmarkEnd w:id="12"/>
    <w:p>
      <w:pPr>
        <w:spacing w:after="0" w:line="39" w:lineRule="exact"/>
        <w:rPr>
          <w:sz w:val="20"/>
          <w:szCs w:val="20"/>
          <w:color w:val="auto"/>
        </w:rPr>
      </w:pPr>
    </w:p>
    <w:p>
      <w:pPr>
        <w:ind w:right="220" w:firstLine="243"/>
        <w:spacing w:after="0" w:line="276" w:lineRule="auto"/>
        <w:rPr>
          <w:sz w:val="20"/>
          <w:szCs w:val="20"/>
          <w:color w:val="auto"/>
        </w:rPr>
      </w:pPr>
      <w:r>
        <w:rPr>
          <w:rFonts w:ascii="Arial" w:cs="Arial" w:eastAsia="Arial" w:hAnsi="Arial"/>
          <w:sz w:val="17"/>
          <w:szCs w:val="17"/>
          <w:color w:val="auto"/>
        </w:rPr>
        <w:t>On December 5, 2007, CSIRO filed its answer to the Company’s complaint, as well as counterclaims against the Company for willful and deliberate infringement of the ‘069 Patent. CSIRO’s counterclaims included a claim for monetary damages, including triple damages based on its allegation of willful and deliberate infringement, attorneys’ fees and injunctive relief. On April 10, 2008, the Company filed a First Amended Complaint and First Amended Reply to CSIRO’s Answer and Counterclaims. On April 23, 2008, CSIRO filed its Answer and Counterclaims to the First Amended Complaint. On May 12, 2008, the Company filed a Reply and Affirmative Defenses to CSIRO’s amended counterclaims.</w:t>
      </w:r>
    </w:p>
    <w:p>
      <w:pPr>
        <w:spacing w:after="0" w:line="173" w:lineRule="exact"/>
        <w:rPr>
          <w:sz w:val="20"/>
          <w:szCs w:val="20"/>
          <w:color w:val="auto"/>
        </w:rPr>
      </w:pPr>
    </w:p>
    <w:p>
      <w:pPr>
        <w:ind w:right="100" w:firstLine="243"/>
        <w:spacing w:after="0" w:line="277" w:lineRule="auto"/>
        <w:rPr>
          <w:sz w:val="20"/>
          <w:szCs w:val="20"/>
          <w:color w:val="auto"/>
        </w:rPr>
      </w:pPr>
      <w:r>
        <w:rPr>
          <w:rFonts w:ascii="Arial" w:cs="Arial" w:eastAsia="Arial" w:hAnsi="Arial"/>
          <w:sz w:val="18"/>
          <w:szCs w:val="18"/>
          <w:color w:val="auto"/>
        </w:rPr>
        <w:t>On May 22, 2008, the Company filed a motion for summary judgment seeking to invalidate the ‘069 Patent on indefiniteness grounds. The Court has not yet rendered a decision on the Company’s motion.</w:t>
      </w:r>
    </w:p>
    <w:p>
      <w:pPr>
        <w:spacing w:after="0" w:line="170" w:lineRule="exact"/>
        <w:rPr>
          <w:sz w:val="20"/>
          <w:szCs w:val="20"/>
          <w:color w:val="auto"/>
        </w:rPr>
      </w:pPr>
    </w:p>
    <w:p>
      <w:pPr>
        <w:ind w:firstLine="243"/>
        <w:spacing w:after="0" w:line="277" w:lineRule="auto"/>
        <w:rPr>
          <w:sz w:val="20"/>
          <w:szCs w:val="20"/>
          <w:color w:val="auto"/>
        </w:rPr>
      </w:pPr>
      <w:r>
        <w:rPr>
          <w:rFonts w:ascii="Arial" w:cs="Arial" w:eastAsia="Arial" w:hAnsi="Arial"/>
          <w:sz w:val="18"/>
          <w:szCs w:val="18"/>
          <w:color w:val="auto"/>
        </w:rPr>
        <w:t>The Claim Construction hearing is set for June 26, 2008. Trial for the Company’s declaratory judgment action is set to begin on May 10, 2010. CSIRO and the Company are currently engaging in discovery and motion practice.</w:t>
      </w:r>
    </w:p>
    <w:p>
      <w:pPr>
        <w:spacing w:after="0" w:line="170" w:lineRule="exact"/>
        <w:rPr>
          <w:sz w:val="20"/>
          <w:szCs w:val="20"/>
          <w:color w:val="auto"/>
        </w:rPr>
      </w:pPr>
    </w:p>
    <w:p>
      <w:pPr>
        <w:ind w:right="220" w:firstLine="243"/>
        <w:spacing w:after="0" w:line="272"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June 22,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The plaintiffs filed an amended and consolidated complaint on November 1, 2006. On January 16, 2007, the Company filed a motion to dismiss the consolidated complaint for lack of standing or, in the alternative, stay proceedings.</w:t>
      </w:r>
    </w:p>
    <w:p>
      <w:pPr>
        <w:spacing w:after="0" w:line="178" w:lineRule="exact"/>
        <w:rPr>
          <w:sz w:val="20"/>
          <w:szCs w:val="20"/>
          <w:color w:val="auto"/>
        </w:rPr>
      </w:pPr>
    </w:p>
    <w:p>
      <w:pPr>
        <w:ind w:right="80" w:firstLine="243"/>
        <w:spacing w:after="0" w:line="257"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As in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the Company’s current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former 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w:t>
      </w:r>
      <w:r>
        <w:rPr>
          <w:rFonts w:ascii="Arial" w:cs="Arial" w:eastAsia="Arial" w:hAnsi="Arial"/>
          <w:sz w:val="18"/>
          <w:szCs w:val="18"/>
          <w:color w:val="auto"/>
        </w:rPr>
        <w:t xml:space="preserve"> </w:t>
      </w:r>
      <w:r>
        <w:rPr>
          <w:rFonts w:ascii="Arial" w:cs="Arial" w:eastAsia="Arial" w:hAnsi="Arial"/>
          <w:sz w:val="18"/>
          <w:szCs w:val="18"/>
          <w:i w:val="1"/>
          <w:iCs w:val="1"/>
          <w:color w:val="auto"/>
        </w:rPr>
        <w:t>re Marvell Technology Group Ltd. Derivative Litigation</w:t>
      </w:r>
      <w:r>
        <w:rPr>
          <w:rFonts w:ascii="Arial" w:cs="Arial" w:eastAsia="Arial" w:hAnsi="Arial"/>
          <w:sz w:val="18"/>
          <w:szCs w:val="18"/>
          <w:color w:val="auto"/>
        </w:rPr>
        <w:t>.</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right="60" w:firstLine="243"/>
        <w:spacing w:after="0" w:line="293" w:lineRule="auto"/>
        <w:rPr>
          <w:sz w:val="20"/>
          <w:szCs w:val="20"/>
          <w:color w:val="auto"/>
        </w:rPr>
      </w:pPr>
      <w:r>
        <w:rPr>
          <w:rFonts w:ascii="Arial" w:cs="Arial" w:eastAsia="Arial" w:hAnsi="Arial"/>
          <w:sz w:val="16"/>
          <w:szCs w:val="16"/>
          <w:color w:val="auto"/>
        </w:rPr>
        <w:t>On January 25, 2008, the Court entered a stipulated order staying proceedings so that the parties could finalize a settlement that would resolve the actions. On or about March 5, 2008, the parties entered into a memorandum of understanding that tentatively settles and resolves the actions. The terms of the memorandum of understanding include certain corporate governance enhancements and an agreement by the Company to pay up to $16 million in plaintiffs’ attorneys’ fees, an amount less than the $24.5 million that the Company received from a recent settlement with its directors’ and officers’ liability insurers. This tentative settlement of the consolidated derivative actions requires court approval before it becomes final. The Company anticipates that the parties will finalize and submit formal settlement documentation to the court in the next few months for both preliminary and final approval.</w:t>
      </w:r>
    </w:p>
    <w:p>
      <w:pPr>
        <w:spacing w:after="0" w:line="165" w:lineRule="exact"/>
        <w:rPr>
          <w:sz w:val="20"/>
          <w:szCs w:val="20"/>
          <w:color w:val="auto"/>
        </w:rPr>
      </w:pPr>
    </w:p>
    <w:p>
      <w:pPr>
        <w:ind w:firstLine="243"/>
        <w:spacing w:after="0" w:line="291"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the Company’s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the Company filed a motion to dismiss</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the consolidated class action complaint. The motion is fully briefed and was argued on February 15, 2008. The Company awaits the court’s order on this motion.</w:t>
      </w:r>
    </w:p>
    <w:p>
      <w:pPr>
        <w:spacing w:after="0" w:line="170" w:lineRule="exact"/>
        <w:rPr>
          <w:sz w:val="20"/>
          <w:szCs w:val="20"/>
          <w:color w:val="auto"/>
        </w:rPr>
      </w:pPr>
    </w:p>
    <w:p>
      <w:pPr>
        <w:ind w:right="120" w:firstLine="243"/>
        <w:spacing w:after="0" w:line="289"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 requesting certain documents</w:t>
      </w:r>
      <w:r>
        <w:rPr>
          <w:rFonts w:ascii="Arial" w:cs="Arial" w:eastAsia="Arial" w:hAnsi="Arial"/>
          <w:sz w:val="16"/>
          <w:szCs w:val="16"/>
          <w:i w:val="1"/>
          <w:iCs w:val="1"/>
          <w:color w:val="auto"/>
        </w:rPr>
        <w:t xml:space="preserve"> </w:t>
      </w:r>
      <w:r>
        <w:rPr>
          <w:rFonts w:ascii="Arial" w:cs="Arial" w:eastAsia="Arial" w:hAnsi="Arial"/>
          <w:sz w:val="16"/>
          <w:szCs w:val="16"/>
          <w:color w:val="auto"/>
        </w:rPr>
        <w:t>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was conducting a formal investigation into this matter. On June 8, 2007 and July 3, 2007, the Company received document subpoenas from the SEC. On October 11, 2007, the Company received a “Wells Notice” from the staff of the SEC. Weili Dai, Vice President of Sales for Communications and Consumer Business of MSI, who is not an officer or director of Marvell, also received a “Wells” notice. The SEC staff also advised the Company that it is not at this time recommending enforcement action against any of the Company’s current officers or directors. The “Wells” notices indicated that the staff intended to recommend to the staff of the SEC that it bring civil actions against the recipients for injunctive relief and civil monetary penalties. The Company responded in writing to the “Wells Notice” and sought to reach a resolution of this matter before any action was filed.</w:t>
      </w:r>
    </w:p>
    <w:p>
      <w:pPr>
        <w:spacing w:after="0" w:line="167"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 xml:space="preserve">On May 8, 2008, the Company announced that it had reached an agreement with the SEC to settle this matter. Without admitting or denying the allegations in the SEC’s complaint, the Company agreed to settle the charges by consenting to a permanent injunction against any future violations of various provisions of the federal securities laws. The Company also will pay a civil penalty of $10 million in connection with the settlement. On May 8, 2008, the SEC filed a complaint captioned </w:t>
      </w:r>
      <w:r>
        <w:rPr>
          <w:rFonts w:ascii="Arial" w:cs="Arial" w:eastAsia="Arial" w:hAnsi="Arial"/>
          <w:sz w:val="17"/>
          <w:szCs w:val="17"/>
          <w:i w:val="1"/>
          <w:iCs w:val="1"/>
          <w:color w:val="auto"/>
        </w:rPr>
        <w:t>SEC v. Marvell Technology Group, Ltd., et al</w:t>
      </w:r>
      <w:r>
        <w:rPr>
          <w:rFonts w:ascii="Arial" w:cs="Arial" w:eastAsia="Arial" w:hAnsi="Arial"/>
          <w:sz w:val="17"/>
          <w:szCs w:val="17"/>
          <w:color w:val="auto"/>
        </w:rPr>
        <w:t xml:space="preserve">., </w:t>
      </w:r>
      <w:r>
        <w:rPr>
          <w:rFonts w:ascii="Arial" w:cs="Arial" w:eastAsia="Arial" w:hAnsi="Arial"/>
          <w:sz w:val="16"/>
          <w:szCs w:val="16"/>
          <w:color w:val="auto"/>
        </w:rPr>
        <w:t>Case No. CV-08-2367-HRL, in the United States District Court for the Northern</w:t>
      </w:r>
      <w:r>
        <w:rPr>
          <w:rFonts w:ascii="Arial" w:cs="Arial" w:eastAsia="Arial" w:hAnsi="Arial"/>
          <w:sz w:val="17"/>
          <w:szCs w:val="17"/>
          <w:color w:val="auto"/>
        </w:rPr>
        <w:t xml:space="preserve"> </w:t>
      </w:r>
      <w:r>
        <w:rPr>
          <w:rFonts w:ascii="Arial" w:cs="Arial" w:eastAsia="Arial" w:hAnsi="Arial"/>
          <w:sz w:val="16"/>
          <w:szCs w:val="16"/>
          <w:color w:val="auto"/>
        </w:rPr>
        <w:t xml:space="preserve">District of California. The Company’s consent to entry of final judgment was also filed on May 8, 2008. </w:t>
      </w:r>
      <w:r>
        <w:rPr>
          <w:rFonts w:ascii="Arial" w:cs="Arial" w:eastAsia="Arial" w:hAnsi="Arial"/>
          <w:sz w:val="17"/>
          <w:szCs w:val="17"/>
          <w:color w:val="auto"/>
        </w:rPr>
        <w:t>In a related agreement, Ms. Dai also entered into a</w:t>
      </w:r>
      <w:r>
        <w:rPr>
          <w:rFonts w:ascii="Arial" w:cs="Arial" w:eastAsia="Arial" w:hAnsi="Arial"/>
          <w:sz w:val="16"/>
          <w:szCs w:val="16"/>
          <w:color w:val="auto"/>
        </w:rPr>
        <w:t xml:space="preserve"> </w:t>
      </w:r>
      <w:r>
        <w:rPr>
          <w:rFonts w:ascii="Arial" w:cs="Arial" w:eastAsia="Arial" w:hAnsi="Arial"/>
          <w:sz w:val="17"/>
          <w:szCs w:val="17"/>
          <w:color w:val="auto"/>
        </w:rPr>
        <w:t>settlement with the SEC. Without admitting or denying the allegations in the SEC’s complaint, Ms. Dai consented to a permanent injunction against any future violations of various provisions of the federal securities laws, agreed not to serve as a director or officer of a public company for a period of five years, and will pay a civil penalty of $500,000. The parties await the court’s entry of these final judgments.</w:t>
      </w:r>
    </w:p>
    <w:p>
      <w:pPr>
        <w:spacing w:after="0" w:line="179" w:lineRule="exact"/>
        <w:rPr>
          <w:sz w:val="20"/>
          <w:szCs w:val="20"/>
          <w:color w:val="auto"/>
        </w:rPr>
      </w:pPr>
    </w:p>
    <w:p>
      <w:pPr>
        <w:ind w:right="160" w:firstLine="243"/>
        <w:spacing w:after="0" w:line="277" w:lineRule="auto"/>
        <w:rPr>
          <w:sz w:val="20"/>
          <w:szCs w:val="20"/>
          <w:color w:val="auto"/>
        </w:rPr>
      </w:pPr>
      <w:r>
        <w:rPr>
          <w:rFonts w:ascii="Arial" w:cs="Arial" w:eastAsia="Arial" w:hAnsi="Arial"/>
          <w:sz w:val="18"/>
          <w:szCs w:val="18"/>
          <w:color w:val="auto"/>
        </w:rPr>
        <w:t>This settlement concludes the SEC’s formal investigation of the Company with respect to the Company’s historical stock option granting practices and is pending final court approval.</w:t>
      </w:r>
    </w:p>
    <w:p>
      <w:pPr>
        <w:spacing w:after="0" w:line="170" w:lineRule="exact"/>
        <w:rPr>
          <w:sz w:val="20"/>
          <w:szCs w:val="20"/>
          <w:color w:val="auto"/>
        </w:rPr>
      </w:pPr>
    </w:p>
    <w:p>
      <w:pPr>
        <w:ind w:right="220" w:firstLine="243"/>
        <w:spacing w:after="0" w:line="302"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Marvell Semiconductor, Inc. (“MSI”) received a letter from Wi-Lan, Inc. (“Wi-Lan”) accusing MSI of</w:t>
      </w:r>
      <w:r>
        <w:rPr>
          <w:rFonts w:ascii="Arial" w:cs="Arial" w:eastAsia="Arial" w:hAnsi="Arial"/>
          <w:sz w:val="16"/>
          <w:szCs w:val="16"/>
          <w:i w:val="1"/>
          <w:iCs w:val="1"/>
          <w:color w:val="auto"/>
        </w:rPr>
        <w:t xml:space="preserve"> </w:t>
      </w:r>
      <w:r>
        <w:rPr>
          <w:rFonts w:ascii="Arial" w:cs="Arial" w:eastAsia="Arial" w:hAnsi="Arial"/>
          <w:sz w:val="16"/>
          <w:szCs w:val="16"/>
          <w:color w:val="auto"/>
        </w:rPr>
        <w:t>infringing four United States patents allegedly owned by Wi-Lan, and one Canadian patent also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w:t>
      </w:r>
    </w:p>
    <w:p>
      <w:pPr>
        <w:sectPr>
          <w:pgSz w:w="11900" w:h="16877" w:orient="portrait"/>
          <w:cols w:equalWidth="0" w:num="1">
            <w:col w:w="11420"/>
          </w:cols>
          <w:pgMar w:left="240" w:top="125" w:right="239" w:bottom="0" w:gutter="0" w:footer="0" w:header="0"/>
        </w:sectPr>
      </w:pPr>
    </w:p>
    <w:bookmarkStart w:id="13" w:name="page14"/>
    <w:bookmarkEnd w:id="13"/>
    <w:p>
      <w:pPr>
        <w:ind w:right="100"/>
        <w:spacing w:after="0" w:line="259" w:lineRule="auto"/>
        <w:rPr>
          <w:sz w:val="20"/>
          <w:szCs w:val="20"/>
          <w:color w:val="auto"/>
        </w:rPr>
      </w:pPr>
      <w:r>
        <w:rPr>
          <w:rFonts w:ascii="Arial" w:cs="Arial" w:eastAsia="Arial" w:hAnsi="Arial"/>
          <w:sz w:val="18"/>
          <w:szCs w:val="18"/>
          <w:color w:val="auto"/>
        </w:rPr>
        <w:t>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 MSI believes it does not infringe the asserted Wi-Lan patents and will vigorously defend itself in these matters.</w:t>
      </w:r>
    </w:p>
    <w:p>
      <w:pPr>
        <w:spacing w:after="0" w:line="187" w:lineRule="exact"/>
        <w:rPr>
          <w:sz w:val="20"/>
          <w:szCs w:val="20"/>
          <w:color w:val="auto"/>
        </w:rPr>
      </w:pPr>
    </w:p>
    <w:p>
      <w:pPr>
        <w:ind w:right="40" w:firstLine="243"/>
        <w:spacing w:after="0" w:line="297" w:lineRule="auto"/>
        <w:rPr>
          <w:sz w:val="20"/>
          <w:szCs w:val="20"/>
          <w:color w:val="auto"/>
        </w:rPr>
      </w:pPr>
      <w:r>
        <w:rPr>
          <w:rFonts w:ascii="Arial" w:cs="Arial" w:eastAsia="Arial" w:hAnsi="Arial"/>
          <w:sz w:val="16"/>
          <w:szCs w:val="16"/>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Also, MSI asks in the alternative that the Court find the patents invalid. Wi-Lan has filed a motion to dismiss, and Marvell filed its opposition to that motion on May 30, 2008. The Company expects a ruling on that motion during the summer of 2008. Wi-Lan has not filed its answer in this action. MSI will vigorously pursue this matter.</w:t>
      </w:r>
    </w:p>
    <w:p>
      <w:pPr>
        <w:spacing w:after="0" w:line="158" w:lineRule="exact"/>
        <w:rPr>
          <w:sz w:val="20"/>
          <w:szCs w:val="20"/>
          <w:color w:val="auto"/>
        </w:rPr>
      </w:pPr>
    </w:p>
    <w:p>
      <w:pPr>
        <w:ind w:firstLine="243"/>
        <w:spacing w:after="0" w:line="253" w:lineRule="auto"/>
        <w:rPr>
          <w:sz w:val="20"/>
          <w:szCs w:val="20"/>
          <w:color w:val="auto"/>
        </w:rPr>
      </w:pPr>
      <w:r>
        <w:rPr>
          <w:rFonts w:ascii="Arial" w:cs="Arial" w:eastAsia="Arial" w:hAnsi="Arial"/>
          <w:sz w:val="18"/>
          <w:szCs w:val="18"/>
          <w:i w:val="1"/>
          <w:iCs w:val="1"/>
          <w:color w:val="auto"/>
        </w:rPr>
        <w:t xml:space="preserve">Fujitsu et al. Litigation. </w:t>
      </w:r>
      <w:r>
        <w:rPr>
          <w:rFonts w:ascii="Arial" w:cs="Arial" w:eastAsia="Arial" w:hAnsi="Arial"/>
          <w:sz w:val="18"/>
          <w:szCs w:val="18"/>
          <w:color w:val="auto"/>
        </w:rPr>
        <w:t>On December 17, 2007, Fujitsu, Ltd., LG Electronics., Ltd., and U.S. Philips Corp., sued NETGEAR, Inc. in the United States</w:t>
      </w:r>
      <w:r>
        <w:rPr>
          <w:rFonts w:ascii="Arial" w:cs="Arial" w:eastAsia="Arial" w:hAnsi="Arial"/>
          <w:sz w:val="18"/>
          <w:szCs w:val="18"/>
          <w:i w:val="1"/>
          <w:iCs w:val="1"/>
          <w:color w:val="auto"/>
        </w:rPr>
        <w:t xml:space="preserve"> </w:t>
      </w:r>
      <w:r>
        <w:rPr>
          <w:rFonts w:ascii="Arial" w:cs="Arial" w:eastAsia="Arial" w:hAnsi="Arial"/>
          <w:sz w:val="18"/>
          <w:szCs w:val="18"/>
          <w:color w:val="auto"/>
        </w:rPr>
        <w:t>District Court for the Western District of Wisconsin, alleging that NETGEAR’s 802.11 equipment infringed three United States patents allegedly owned individually by the plaintiffs. On March 17, 2008, NETGEAR filed a third-party complaint against three companies, including Marvell Semiconductor, Inc., who allegedly supply 802.11 chips to NETGEAR. In the third-party action, NETGEAR alleges that whatever damages and compensation it is required to pay as a result of the underlying patent infringement litigation, the alleged suppliers owe to NETGEAR. The Company filed an answer and a motion to amend the schedule in the case on April 8, 2008. The Court, on its own, adjusted the schedule to account for the new parties added to the litigation and moved the trial date to April 27, 2009. The Company believes that it does not owe NETGEAR any payment resulting from NETGEAR’s use of Marvell 802.11 parts in NETGEAR products, and the Company also believes that none of the patents in suit is infringed by NETGEAR. The Company intends to defend this litigation vigorously.</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The Company is also party to other legal proceedings and claims arising in the normal course of business. The legal proceedings and claims</w:t>
      </w:r>
      <w:r>
        <w:rPr>
          <w:rFonts w:ascii="Arial" w:cs="Arial" w:eastAsia="Arial" w:hAnsi="Arial"/>
          <w:sz w:val="16"/>
          <w:szCs w:val="16"/>
          <w:i w:val="1"/>
          <w:iCs w:val="1"/>
          <w:color w:val="auto"/>
        </w:rPr>
        <w:t xml:space="preserve"> </w:t>
      </w:r>
      <w:r>
        <w:rPr>
          <w:rFonts w:ascii="Arial" w:cs="Arial" w:eastAsia="Arial" w:hAnsi="Arial"/>
          <w:sz w:val="16"/>
          <w:szCs w:val="16"/>
          <w:color w:val="auto"/>
        </w:rPr>
        <w:t>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including potential impacts to certain covenants under its existing credit agreement.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Stock-Based Compensation</w:t>
      </w:r>
    </w:p>
    <w:p>
      <w:pPr>
        <w:spacing w:after="0" w:line="229" w:lineRule="exact"/>
        <w:rPr>
          <w:sz w:val="20"/>
          <w:szCs w:val="20"/>
          <w:color w:val="auto"/>
        </w:rPr>
      </w:pPr>
    </w:p>
    <w:p>
      <w:pPr>
        <w:ind w:right="320" w:firstLine="360"/>
        <w:spacing w:after="0" w:line="264" w:lineRule="auto"/>
        <w:rPr>
          <w:sz w:val="20"/>
          <w:szCs w:val="20"/>
          <w:color w:val="auto"/>
        </w:rPr>
      </w:pPr>
      <w:r>
        <w:rPr>
          <w:rFonts w:ascii="Arial" w:cs="Arial" w:eastAsia="Arial" w:hAnsi="Arial"/>
          <w:sz w:val="18"/>
          <w:szCs w:val="18"/>
          <w:color w:val="auto"/>
        </w:rPr>
        <w:t>The Company adopted SFAS 123R in its fiscal year beginning January 29, 2006. SFAS 123R requires the measurement and recognition of compensation expense for all share-based awards to employees and directors, including employee stock options, restricted stock units and employee stock purchase rights based on estimated fair values.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color w:val="auto"/>
        </w:rPr>
        <w:t>The following table presents details of stock-based compensation expenses by functional line item (in thousands):</w:t>
      </w:r>
    </w:p>
    <w:p>
      <w:pPr>
        <w:spacing w:after="0" w:line="217"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39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0" w:type="dxa"/>
            <w:vAlign w:val="bottom"/>
            <w:gridSpan w:val="5"/>
          </w:tcPr>
          <w:p>
            <w:pPr>
              <w:jc w:val="right"/>
              <w:ind w:right="76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3920" w:type="dxa"/>
            <w:vAlign w:val="bottom"/>
          </w:tcPr>
          <w:p>
            <w:pPr>
              <w:spacing w:after="0"/>
              <w:rPr>
                <w:sz w:val="10"/>
                <w:szCs w:val="10"/>
                <w:color w:val="auto"/>
              </w:rPr>
            </w:pPr>
          </w:p>
        </w:tc>
        <w:tc>
          <w:tcPr>
            <w:tcW w:w="1980" w:type="dxa"/>
            <w:vAlign w:val="bottom"/>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1200" w:type="dxa"/>
            <w:vAlign w:val="bottom"/>
            <w:tcBorders>
              <w:top w:val="single" w:sz="8" w:color="auto"/>
            </w:tcBorders>
            <w:gridSpan w:val="2"/>
          </w:tcPr>
          <w:p>
            <w:pPr>
              <w:ind w:left="140"/>
              <w:spacing w:after="0" w:line="119" w:lineRule="exact"/>
              <w:rPr>
                <w:sz w:val="20"/>
                <w:szCs w:val="20"/>
                <w:color w:val="auto"/>
              </w:rPr>
            </w:pPr>
            <w:r>
              <w:rPr>
                <w:rFonts w:ascii="Arial" w:cs="Arial" w:eastAsia="Arial" w:hAnsi="Arial"/>
                <w:sz w:val="13"/>
                <w:szCs w:val="13"/>
                <w:b w:val="1"/>
                <w:bCs w:val="1"/>
                <w:color w:val="auto"/>
              </w:rPr>
              <w:t>May 3,</w:t>
            </w:r>
          </w:p>
        </w:tc>
        <w:tc>
          <w:tcPr>
            <w:tcW w:w="160" w:type="dxa"/>
            <w:vAlign w:val="bottom"/>
            <w:tcBorders>
              <w:top w:val="single" w:sz="8" w:color="auto"/>
            </w:tcBorders>
          </w:tcPr>
          <w:p>
            <w:pPr>
              <w:spacing w:after="0"/>
              <w:rPr>
                <w:sz w:val="10"/>
                <w:szCs w:val="10"/>
                <w:color w:val="auto"/>
              </w:rPr>
            </w:pPr>
          </w:p>
        </w:tc>
        <w:tc>
          <w:tcPr>
            <w:tcW w:w="860" w:type="dxa"/>
            <w:vAlign w:val="bottom"/>
            <w:tcBorders>
              <w:top w:val="single" w:sz="8" w:color="auto"/>
            </w:tcBorders>
          </w:tcPr>
          <w:p>
            <w:pPr>
              <w:jc w:val="right"/>
              <w:ind w:right="156"/>
              <w:spacing w:after="0" w:line="119" w:lineRule="exact"/>
              <w:rPr>
                <w:sz w:val="20"/>
                <w:szCs w:val="20"/>
                <w:color w:val="auto"/>
              </w:rPr>
            </w:pPr>
            <w:r>
              <w:rPr>
                <w:rFonts w:ascii="Arial" w:cs="Arial" w:eastAsia="Arial" w:hAnsi="Arial"/>
                <w:sz w:val="13"/>
                <w:szCs w:val="13"/>
                <w:b w:val="1"/>
                <w:bCs w:val="1"/>
                <w:color w:val="auto"/>
              </w:rPr>
              <w:t>April 28,</w:t>
            </w:r>
          </w:p>
        </w:tc>
        <w:tc>
          <w:tcPr>
            <w:tcW w:w="180" w:type="dxa"/>
            <w:vAlign w:val="bottom"/>
          </w:tcPr>
          <w:p>
            <w:pPr>
              <w:spacing w:after="0"/>
              <w:rPr>
                <w:sz w:val="10"/>
                <w:szCs w:val="10"/>
                <w:color w:val="auto"/>
              </w:rPr>
            </w:pPr>
          </w:p>
        </w:tc>
      </w:tr>
      <w:tr>
        <w:trPr>
          <w:trHeight w:val="171"/>
        </w:trPr>
        <w:tc>
          <w:tcPr>
            <w:tcW w:w="3920" w:type="dxa"/>
            <w:vAlign w:val="bottom"/>
            <w:tcBorders>
              <w:bottom w:val="single" w:sz="8" w:color="CCEEFF"/>
            </w:tcBorders>
          </w:tcPr>
          <w:p>
            <w:pPr>
              <w:spacing w:after="0"/>
              <w:rPr>
                <w:sz w:val="14"/>
                <w:szCs w:val="14"/>
                <w:color w:val="auto"/>
              </w:rPr>
            </w:pPr>
          </w:p>
        </w:tc>
        <w:tc>
          <w:tcPr>
            <w:tcW w:w="198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940" w:type="dxa"/>
            <w:vAlign w:val="bottom"/>
            <w:tcBorders>
              <w:bottom w:val="single" w:sz="8" w:color="auto"/>
            </w:tcBorders>
          </w:tcPr>
          <w:p>
            <w:pPr>
              <w:jc w:val="right"/>
              <w:ind w:right="377"/>
              <w:spacing w:after="0"/>
              <w:rPr>
                <w:sz w:val="20"/>
                <w:szCs w:val="20"/>
                <w:color w:val="auto"/>
              </w:rPr>
            </w:pPr>
            <w:r>
              <w:rPr>
                <w:rFonts w:ascii="Arial" w:cs="Arial" w:eastAsia="Arial" w:hAnsi="Arial"/>
                <w:sz w:val="14"/>
                <w:szCs w:val="14"/>
                <w:b w:val="1"/>
                <w:bCs w:val="1"/>
                <w:color w:val="auto"/>
              </w:rPr>
              <w:t>2008</w:t>
            </w:r>
          </w:p>
        </w:tc>
        <w:tc>
          <w:tcPr>
            <w:tcW w:w="2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2007</w:t>
            </w:r>
          </w:p>
        </w:tc>
        <w:tc>
          <w:tcPr>
            <w:tcW w:w="180" w:type="dxa"/>
            <w:vAlign w:val="bottom"/>
            <w:tcBorders>
              <w:bottom w:val="single" w:sz="8" w:color="CCEEFF"/>
            </w:tcBorders>
          </w:tcPr>
          <w:p>
            <w:pPr>
              <w:spacing w:after="0"/>
              <w:rPr>
                <w:sz w:val="14"/>
                <w:szCs w:val="14"/>
                <w:color w:val="auto"/>
              </w:rPr>
            </w:pPr>
          </w:p>
        </w:tc>
      </w:tr>
      <w:tr>
        <w:trPr>
          <w:trHeight w:val="210"/>
        </w:trPr>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9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3,073</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3,018</w:t>
            </w:r>
          </w:p>
        </w:tc>
        <w:tc>
          <w:tcPr>
            <w:tcW w:w="180" w:type="dxa"/>
            <w:vAlign w:val="bottom"/>
            <w:shd w:val="clear" w:color="auto" w:fill="CCEEFF"/>
          </w:tcPr>
          <w:p>
            <w:pPr>
              <w:spacing w:after="0"/>
              <w:rPr>
                <w:sz w:val="18"/>
                <w:szCs w:val="18"/>
                <w:color w:val="auto"/>
              </w:rPr>
            </w:pPr>
          </w:p>
        </w:tc>
      </w:tr>
      <w:tr>
        <w:trPr>
          <w:trHeight w:val="216"/>
        </w:trPr>
        <w:tc>
          <w:tcPr>
            <w:tcW w:w="39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9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gridSpan w:val="2"/>
          </w:tcPr>
          <w:p>
            <w:pPr>
              <w:jc w:val="right"/>
              <w:ind w:right="260"/>
              <w:spacing w:after="0"/>
              <w:rPr>
                <w:sz w:val="20"/>
                <w:szCs w:val="20"/>
                <w:color w:val="auto"/>
              </w:rPr>
            </w:pPr>
            <w:r>
              <w:rPr>
                <w:rFonts w:ascii="Arial" w:cs="Arial" w:eastAsia="Arial" w:hAnsi="Arial"/>
                <w:sz w:val="18"/>
                <w:szCs w:val="18"/>
                <w:color w:val="auto"/>
              </w:rPr>
              <w:t>29,932</w:t>
            </w:r>
          </w:p>
        </w:tc>
        <w:tc>
          <w:tcPr>
            <w:tcW w:w="16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32,042</w:t>
            </w:r>
          </w:p>
        </w:tc>
      </w:tr>
      <w:tr>
        <w:trPr>
          <w:trHeight w:val="216"/>
        </w:trPr>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9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7,348</w:t>
            </w:r>
          </w:p>
        </w:tc>
        <w:tc>
          <w:tcPr>
            <w:tcW w:w="2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7,151</w:t>
            </w:r>
          </w:p>
        </w:tc>
      </w:tr>
      <w:tr>
        <w:trPr>
          <w:trHeight w:val="216"/>
        </w:trPr>
        <w:tc>
          <w:tcPr>
            <w:tcW w:w="39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9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4,873</w:t>
            </w:r>
          </w:p>
        </w:tc>
        <w:tc>
          <w:tcPr>
            <w:tcW w:w="2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8"/>
                <w:szCs w:val="18"/>
                <w:color w:val="auto"/>
              </w:rPr>
              <w:t>4,557</w:t>
            </w:r>
          </w:p>
        </w:tc>
      </w:tr>
      <w:tr>
        <w:trPr>
          <w:trHeight w:val="217"/>
        </w:trPr>
        <w:tc>
          <w:tcPr>
            <w:tcW w:w="3920" w:type="dxa"/>
            <w:vAlign w:val="bottom"/>
            <w:tcBorders>
              <w:top w:val="single" w:sz="8" w:color="CCEEFF"/>
              <w:bottom w:val="single" w:sz="8" w:color="CCEEFF"/>
            </w:tcBorders>
            <w:shd w:val="clear" w:color="auto" w:fill="CCEEFF"/>
          </w:tcPr>
          <w:p>
            <w:pPr>
              <w:spacing w:after="0"/>
              <w:rPr>
                <w:sz w:val="18"/>
                <w:szCs w:val="18"/>
                <w:color w:val="auto"/>
              </w:rPr>
            </w:pPr>
          </w:p>
        </w:tc>
        <w:tc>
          <w:tcPr>
            <w:tcW w:w="1980" w:type="dxa"/>
            <w:vAlign w:val="bottom"/>
            <w:tcBorders>
              <w:top w:val="single" w:sz="8" w:color="CCEEFF"/>
              <w:bottom w:val="single" w:sz="8" w:color="CCEEFF"/>
            </w:tcBorders>
            <w:shd w:val="clear" w:color="auto" w:fill="CCEEFF"/>
          </w:tcPr>
          <w:p>
            <w:pPr>
              <w:spacing w:after="0"/>
              <w:rPr>
                <w:sz w:val="18"/>
                <w:szCs w:val="18"/>
                <w:color w:val="auto"/>
              </w:rPr>
            </w:pPr>
          </w:p>
        </w:tc>
        <w:tc>
          <w:tcPr>
            <w:tcW w:w="240" w:type="dxa"/>
            <w:vAlign w:val="bottom"/>
            <w:tcBorders>
              <w:top w:val="single" w:sz="8" w:color="auto"/>
              <w:bottom w:val="single" w:sz="8" w:color="auto"/>
            </w:tcBorders>
            <w:shd w:val="clear" w:color="auto" w:fill="CCEEFF"/>
          </w:tcPr>
          <w:p>
            <w:pPr>
              <w:jc w:val="right"/>
              <w:ind w:right="85"/>
              <w:spacing w:after="0"/>
              <w:rPr>
                <w:sz w:val="20"/>
                <w:szCs w:val="20"/>
                <w:color w:val="auto"/>
              </w:rPr>
            </w:pPr>
            <w:r>
              <w:rPr>
                <w:rFonts w:ascii="Arial" w:cs="Arial" w:eastAsia="Arial" w:hAnsi="Arial"/>
                <w:sz w:val="15"/>
                <w:szCs w:val="15"/>
                <w:color w:val="auto"/>
                <w:w w:val="71"/>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45,226</w:t>
            </w:r>
          </w:p>
        </w:tc>
        <w:tc>
          <w:tcPr>
            <w:tcW w:w="260" w:type="dxa"/>
            <w:vAlign w:val="bottom"/>
            <w:tcBorders>
              <w:top w:val="single" w:sz="8" w:color="CCEEFF"/>
              <w:bottom w:val="single" w:sz="8" w:color="CCEEFF"/>
            </w:tcBorders>
            <w:shd w:val="clear" w:color="auto" w:fill="CCEEFF"/>
          </w:tcPr>
          <w:p>
            <w:pPr>
              <w:spacing w:after="0"/>
              <w:rPr>
                <w:sz w:val="18"/>
                <w:szCs w:val="18"/>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46,768</w:t>
            </w:r>
          </w:p>
        </w:tc>
        <w:tc>
          <w:tcPr>
            <w:tcW w:w="18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right="360" w:firstLine="243"/>
        <w:spacing w:after="0" w:line="277" w:lineRule="auto"/>
        <w:rPr>
          <w:sz w:val="20"/>
          <w:szCs w:val="20"/>
          <w:color w:val="auto"/>
        </w:rPr>
      </w:pPr>
      <w:r>
        <w:rPr>
          <w:rFonts w:ascii="Arial" w:cs="Arial" w:eastAsia="Arial" w:hAnsi="Arial"/>
          <w:sz w:val="18"/>
          <w:szCs w:val="18"/>
          <w:color w:val="auto"/>
        </w:rPr>
        <w:t>The following assumptions were used for each respective period to calculate the weighted average fair value of each option award on the date of grant using the Black-Scholes option pricing model:</w:t>
      </w:r>
    </w:p>
    <w:p>
      <w:pPr>
        <w:spacing w:after="0" w:line="162" w:lineRule="exact"/>
        <w:rPr>
          <w:sz w:val="20"/>
          <w:szCs w:val="20"/>
          <w:color w:val="auto"/>
        </w:rPr>
      </w:pPr>
    </w:p>
    <w:tbl>
      <w:tblPr>
        <w:tblLayout w:type="fixed"/>
        <w:tblInd w:w="660" w:type="dxa"/>
        <w:tblCellMar>
          <w:top w:w="0" w:type="dxa"/>
          <w:left w:w="0" w:type="dxa"/>
          <w:bottom w:w="0" w:type="dxa"/>
          <w:right w:w="0" w:type="dxa"/>
        </w:tblCellMar>
      </w:tblPr>
      <w:tr>
        <w:trPr>
          <w:trHeight w:val="171"/>
        </w:trPr>
        <w:tc>
          <w:tcPr>
            <w:tcW w:w="2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680" w:type="dxa"/>
            <w:vAlign w:val="bottom"/>
            <w:gridSpan w:val="5"/>
          </w:tcPr>
          <w:p>
            <w:pPr>
              <w:jc w:val="right"/>
              <w:ind w:right="900"/>
              <w:spacing w:after="0"/>
              <w:rPr>
                <w:sz w:val="20"/>
                <w:szCs w:val="20"/>
                <w:color w:val="auto"/>
              </w:rPr>
            </w:pPr>
            <w:r>
              <w:rPr>
                <w:rFonts w:ascii="Arial" w:cs="Arial" w:eastAsia="Arial" w:hAnsi="Arial"/>
                <w:sz w:val="14"/>
                <w:szCs w:val="14"/>
                <w:b w:val="1"/>
                <w:bCs w:val="1"/>
                <w:color w:val="auto"/>
              </w:rPr>
              <w:t>Stock Option Plans</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00" w:type="dxa"/>
            <w:vAlign w:val="bottom"/>
            <w:gridSpan w:val="2"/>
          </w:tcPr>
          <w:p>
            <w:pPr>
              <w:jc w:val="center"/>
              <w:spacing w:after="0"/>
              <w:rPr>
                <w:sz w:val="20"/>
                <w:szCs w:val="20"/>
                <w:color w:val="auto"/>
              </w:rPr>
            </w:pPr>
            <w:r>
              <w:rPr>
                <w:rFonts w:ascii="Arial" w:cs="Arial" w:eastAsia="Arial" w:hAnsi="Arial"/>
                <w:sz w:val="14"/>
                <w:szCs w:val="14"/>
                <w:b w:val="1"/>
                <w:bCs w:val="1"/>
                <w:color w:val="auto"/>
                <w:w w:val="96"/>
              </w:rPr>
              <w:t>ESPP</w:t>
            </w:r>
          </w:p>
        </w:tc>
        <w:tc>
          <w:tcPr>
            <w:tcW w:w="1040" w:type="dxa"/>
            <w:vAlign w:val="bottom"/>
          </w:tcPr>
          <w:p>
            <w:pPr>
              <w:spacing w:after="0"/>
              <w:rPr>
                <w:sz w:val="14"/>
                <w:szCs w:val="14"/>
                <w:color w:val="auto"/>
              </w:rPr>
            </w:pPr>
          </w:p>
        </w:tc>
        <w:tc>
          <w:tcPr>
            <w:tcW w:w="140" w:type="dxa"/>
            <w:vAlign w:val="bottom"/>
          </w:tcPr>
          <w:p>
            <w:pPr>
              <w:spacing w:after="0"/>
              <w:rPr>
                <w:sz w:val="14"/>
                <w:szCs w:val="14"/>
                <w:color w:val="auto"/>
              </w:rPr>
            </w:pPr>
          </w:p>
        </w:tc>
      </w:tr>
      <w:tr>
        <w:trPr>
          <w:trHeight w:val="142"/>
        </w:trPr>
        <w:tc>
          <w:tcPr>
            <w:tcW w:w="2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2480" w:type="dxa"/>
            <w:vAlign w:val="bottom"/>
            <w:tcBorders>
              <w:top w:val="single" w:sz="8" w:color="auto"/>
              <w:bottom w:val="single" w:sz="8" w:color="auto"/>
            </w:tcBorders>
            <w:gridSpan w:val="4"/>
          </w:tcPr>
          <w:p>
            <w:pPr>
              <w:jc w:val="right"/>
              <w:ind w:right="553"/>
              <w:spacing w:after="0" w:line="142" w:lineRule="exact"/>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2340" w:type="dxa"/>
            <w:vAlign w:val="bottom"/>
            <w:tcBorders>
              <w:top w:val="single" w:sz="8" w:color="auto"/>
              <w:bottom w:val="single" w:sz="8" w:color="auto"/>
            </w:tcBorders>
            <w:gridSpan w:val="4"/>
          </w:tcPr>
          <w:p>
            <w:pPr>
              <w:jc w:val="center"/>
              <w:ind w:right="33"/>
              <w:spacing w:after="0" w:line="142" w:lineRule="exact"/>
              <w:rPr>
                <w:sz w:val="20"/>
                <w:szCs w:val="20"/>
                <w:color w:val="auto"/>
              </w:rPr>
            </w:pPr>
            <w:r>
              <w:rPr>
                <w:rFonts w:ascii="Arial" w:cs="Arial" w:eastAsia="Arial" w:hAnsi="Arial"/>
                <w:sz w:val="14"/>
                <w:szCs w:val="14"/>
                <w:b w:val="1"/>
                <w:bCs w:val="1"/>
                <w:color w:val="auto"/>
                <w:w w:val="93"/>
              </w:rPr>
              <w:t>Three Months Ended</w:t>
            </w:r>
          </w:p>
        </w:tc>
        <w:tc>
          <w:tcPr>
            <w:tcW w:w="140" w:type="dxa"/>
            <w:vAlign w:val="bottom"/>
          </w:tcPr>
          <w:p>
            <w:pPr>
              <w:spacing w:after="0"/>
              <w:rPr>
                <w:sz w:val="12"/>
                <w:szCs w:val="12"/>
                <w:color w:val="auto"/>
              </w:rPr>
            </w:pPr>
          </w:p>
        </w:tc>
      </w:tr>
      <w:tr>
        <w:trPr>
          <w:trHeight w:val="142"/>
        </w:trPr>
        <w:tc>
          <w:tcPr>
            <w:tcW w:w="2560" w:type="dxa"/>
            <w:vAlign w:val="bottom"/>
            <w:tcBorders>
              <w:bottom w:val="single" w:sz="8" w:color="CCEEFF"/>
            </w:tcBorders>
          </w:tcPr>
          <w:p>
            <w:pPr>
              <w:spacing w:after="0"/>
              <w:rPr>
                <w:sz w:val="12"/>
                <w:szCs w:val="12"/>
                <w:color w:val="auto"/>
              </w:rPr>
            </w:pPr>
          </w:p>
        </w:tc>
        <w:tc>
          <w:tcPr>
            <w:tcW w:w="540" w:type="dxa"/>
            <w:vAlign w:val="bottom"/>
            <w:tcBorders>
              <w:bottom w:val="single" w:sz="8" w:color="CCEEFF"/>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920" w:type="dxa"/>
            <w:vAlign w:val="bottom"/>
            <w:tcBorders>
              <w:bottom w:val="single" w:sz="8" w:color="auto"/>
            </w:tcBorders>
          </w:tcPr>
          <w:p>
            <w:pPr>
              <w:ind w:left="20"/>
              <w:spacing w:after="0" w:line="142" w:lineRule="exact"/>
              <w:rPr>
                <w:sz w:val="20"/>
                <w:szCs w:val="20"/>
                <w:color w:val="auto"/>
              </w:rPr>
            </w:pPr>
            <w:r>
              <w:rPr>
                <w:rFonts w:ascii="Arial" w:cs="Arial" w:eastAsia="Arial" w:hAnsi="Arial"/>
                <w:sz w:val="14"/>
                <w:szCs w:val="14"/>
                <w:b w:val="1"/>
                <w:bCs w:val="1"/>
                <w:color w:val="auto"/>
              </w:rPr>
              <w:t>May 3, 2008</w:t>
            </w:r>
          </w:p>
        </w:tc>
        <w:tc>
          <w:tcPr>
            <w:tcW w:w="260" w:type="dxa"/>
            <w:vAlign w:val="bottom"/>
            <w:tcBorders>
              <w:bottom w:val="single" w:sz="8" w:color="CCEEFF"/>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140" w:type="dxa"/>
            <w:vAlign w:val="bottom"/>
            <w:tcBorders>
              <w:bottom w:val="single" w:sz="8" w:color="auto"/>
            </w:tcBorders>
          </w:tcPr>
          <w:p>
            <w:pPr>
              <w:jc w:val="right"/>
              <w:ind w:right="133"/>
              <w:spacing w:after="0" w:line="142" w:lineRule="exact"/>
              <w:rPr>
                <w:sz w:val="20"/>
                <w:szCs w:val="20"/>
                <w:color w:val="auto"/>
              </w:rPr>
            </w:pPr>
            <w:r>
              <w:rPr>
                <w:rFonts w:ascii="Arial" w:cs="Arial" w:eastAsia="Arial" w:hAnsi="Arial"/>
                <w:sz w:val="14"/>
                <w:szCs w:val="14"/>
                <w:b w:val="1"/>
                <w:bCs w:val="1"/>
                <w:color w:val="auto"/>
                <w:w w:val="99"/>
              </w:rPr>
              <w:t>April 28, 2007</w:t>
            </w:r>
          </w:p>
        </w:tc>
        <w:tc>
          <w:tcPr>
            <w:tcW w:w="200" w:type="dxa"/>
            <w:vAlign w:val="bottom"/>
            <w:tcBorders>
              <w:bottom w:val="single" w:sz="8" w:color="CCEEFF"/>
            </w:tcBorders>
          </w:tcPr>
          <w:p>
            <w:pPr>
              <w:spacing w:after="0"/>
              <w:rPr>
                <w:sz w:val="12"/>
                <w:szCs w:val="12"/>
                <w:color w:val="auto"/>
              </w:rPr>
            </w:pPr>
          </w:p>
        </w:tc>
        <w:tc>
          <w:tcPr>
            <w:tcW w:w="6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900" w:type="dxa"/>
            <w:vAlign w:val="bottom"/>
            <w:tcBorders>
              <w:bottom w:val="single" w:sz="8" w:color="auto"/>
            </w:tcBorders>
          </w:tcPr>
          <w:p>
            <w:pPr>
              <w:ind w:left="20"/>
              <w:spacing w:after="0" w:line="142" w:lineRule="exact"/>
              <w:rPr>
                <w:sz w:val="20"/>
                <w:szCs w:val="20"/>
                <w:color w:val="auto"/>
              </w:rPr>
            </w:pPr>
            <w:r>
              <w:rPr>
                <w:rFonts w:ascii="Arial" w:cs="Arial" w:eastAsia="Arial" w:hAnsi="Arial"/>
                <w:sz w:val="14"/>
                <w:szCs w:val="14"/>
                <w:b w:val="1"/>
                <w:bCs w:val="1"/>
                <w:color w:val="auto"/>
              </w:rPr>
              <w:t>May 3, 2008</w:t>
            </w:r>
          </w:p>
        </w:tc>
        <w:tc>
          <w:tcPr>
            <w:tcW w:w="240" w:type="dxa"/>
            <w:vAlign w:val="bottom"/>
            <w:tcBorders>
              <w:bottom w:val="single" w:sz="8" w:color="CCEEFF"/>
            </w:tcBorders>
          </w:tcPr>
          <w:p>
            <w:pPr>
              <w:spacing w:after="0"/>
              <w:rPr>
                <w:sz w:val="12"/>
                <w:szCs w:val="12"/>
                <w:color w:val="auto"/>
              </w:rPr>
            </w:pPr>
          </w:p>
        </w:tc>
        <w:tc>
          <w:tcPr>
            <w:tcW w:w="160" w:type="dxa"/>
            <w:vAlign w:val="bottom"/>
            <w:tcBorders>
              <w:bottom w:val="single" w:sz="8" w:color="auto"/>
            </w:tcBorders>
          </w:tcPr>
          <w:p>
            <w:pPr>
              <w:spacing w:after="0"/>
              <w:rPr>
                <w:sz w:val="12"/>
                <w:szCs w:val="12"/>
                <w:color w:val="auto"/>
              </w:rPr>
            </w:pPr>
          </w:p>
        </w:tc>
        <w:tc>
          <w:tcPr>
            <w:tcW w:w="1040" w:type="dxa"/>
            <w:vAlign w:val="bottom"/>
            <w:tcBorders>
              <w:bottom w:val="single" w:sz="8" w:color="auto"/>
            </w:tcBorders>
          </w:tcPr>
          <w:p>
            <w:pPr>
              <w:spacing w:after="0" w:line="142" w:lineRule="exact"/>
              <w:rPr>
                <w:sz w:val="20"/>
                <w:szCs w:val="20"/>
                <w:color w:val="auto"/>
              </w:rPr>
            </w:pPr>
            <w:r>
              <w:rPr>
                <w:rFonts w:ascii="Arial" w:cs="Arial" w:eastAsia="Arial" w:hAnsi="Arial"/>
                <w:sz w:val="14"/>
                <w:szCs w:val="14"/>
                <w:b w:val="1"/>
                <w:bCs w:val="1"/>
                <w:color w:val="auto"/>
              </w:rPr>
              <w:t>April 28, 2007</w:t>
            </w:r>
          </w:p>
        </w:tc>
        <w:tc>
          <w:tcPr>
            <w:tcW w:w="140" w:type="dxa"/>
            <w:vAlign w:val="bottom"/>
            <w:tcBorders>
              <w:bottom w:val="single" w:sz="8" w:color="CCEEFF"/>
            </w:tcBorders>
          </w:tcPr>
          <w:p>
            <w:pPr>
              <w:spacing w:after="0"/>
              <w:rPr>
                <w:sz w:val="12"/>
                <w:szCs w:val="12"/>
                <w:color w:val="auto"/>
              </w:rPr>
            </w:pPr>
          </w:p>
        </w:tc>
      </w:tr>
      <w:tr>
        <w:trPr>
          <w:trHeight w:val="210"/>
        </w:trPr>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45%</w:t>
            </w:r>
          </w:p>
        </w:tc>
        <w:tc>
          <w:tcPr>
            <w:tcW w:w="160" w:type="dxa"/>
            <w:vAlign w:val="bottom"/>
            <w:shd w:val="clear" w:color="auto" w:fill="CCEEFF"/>
          </w:tcPr>
          <w:p>
            <w:pPr>
              <w:spacing w:after="0"/>
              <w:rPr>
                <w:sz w:val="18"/>
                <w:szCs w:val="18"/>
                <w:color w:val="auto"/>
              </w:rPr>
            </w:pPr>
          </w:p>
        </w:tc>
        <w:tc>
          <w:tcPr>
            <w:tcW w:w="1040" w:type="dxa"/>
            <w:vAlign w:val="bottom"/>
            <w:shd w:val="clear" w:color="auto" w:fill="CCEEFF"/>
          </w:tcPr>
          <w:p>
            <w:pPr>
              <w:ind w:left="860"/>
              <w:spacing w:after="0"/>
              <w:rPr>
                <w:sz w:val="20"/>
                <w:szCs w:val="20"/>
                <w:color w:val="auto"/>
              </w:rPr>
            </w:pPr>
            <w:r>
              <w:rPr>
                <w:rFonts w:ascii="Arial" w:cs="Arial" w:eastAsia="Arial" w:hAnsi="Arial"/>
                <w:sz w:val="18"/>
                <w:szCs w:val="18"/>
                <w:color w:val="auto"/>
                <w:w w:val="88"/>
              </w:rPr>
              <w:t>—</w:t>
            </w:r>
          </w:p>
        </w:tc>
        <w:tc>
          <w:tcPr>
            <w:tcW w:w="140" w:type="dxa"/>
            <w:vAlign w:val="bottom"/>
            <w:shd w:val="clear" w:color="auto" w:fill="CCEEFF"/>
          </w:tcPr>
          <w:p>
            <w:pPr>
              <w:spacing w:after="0"/>
              <w:rPr>
                <w:sz w:val="18"/>
                <w:szCs w:val="18"/>
                <w:color w:val="auto"/>
              </w:rPr>
            </w:pPr>
          </w:p>
        </w:tc>
      </w:tr>
      <w:tr>
        <w:trPr>
          <w:trHeight w:val="216"/>
        </w:trPr>
        <w:tc>
          <w:tcPr>
            <w:tcW w:w="2560" w:type="dxa"/>
            <w:vAlign w:val="bottom"/>
          </w:tcPr>
          <w:p>
            <w:pPr>
              <w:spacing w:after="0"/>
              <w:rPr>
                <w:sz w:val="20"/>
                <w:szCs w:val="20"/>
                <w:color w:val="auto"/>
              </w:rPr>
            </w:pPr>
            <w:r>
              <w:rPr>
                <w:rFonts w:ascii="Arial" w:cs="Arial" w:eastAsia="Arial" w:hAnsi="Arial"/>
                <w:sz w:val="18"/>
                <w:szCs w:val="18"/>
                <w:color w:val="auto"/>
              </w:rPr>
              <w:t>Expected life (in years)</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160" w:type="dxa"/>
            <w:vAlign w:val="bottom"/>
          </w:tcPr>
          <w:p>
            <w:pPr>
              <w:spacing w:after="0"/>
              <w:rPr>
                <w:sz w:val="18"/>
                <w:szCs w:val="18"/>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5.0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40" w:type="dxa"/>
            <w:vAlign w:val="bottom"/>
            <w:gridSpan w:val="2"/>
          </w:tcPr>
          <w:p>
            <w:pPr>
              <w:jc w:val="right"/>
              <w:ind w:right="168"/>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8"/>
                <w:szCs w:val="18"/>
                <w:color w:val="auto"/>
              </w:rPr>
            </w:pPr>
          </w:p>
        </w:tc>
        <w:tc>
          <w:tcPr>
            <w:tcW w:w="1180" w:type="dxa"/>
            <w:vAlign w:val="bottom"/>
            <w:gridSpan w:val="2"/>
          </w:tcPr>
          <w:p>
            <w:pPr>
              <w:ind w:left="860"/>
              <w:spacing w:after="0"/>
              <w:rPr>
                <w:sz w:val="20"/>
                <w:szCs w:val="20"/>
                <w:color w:val="auto"/>
              </w:rPr>
            </w:pPr>
            <w:r>
              <w:rPr>
                <w:rFonts w:ascii="Arial" w:cs="Arial" w:eastAsia="Arial" w:hAnsi="Arial"/>
                <w:sz w:val="18"/>
                <w:szCs w:val="18"/>
                <w:color w:val="auto"/>
              </w:rPr>
              <w:t>—</w:t>
            </w:r>
          </w:p>
        </w:tc>
      </w:tr>
      <w:tr>
        <w:trPr>
          <w:trHeight w:val="216"/>
        </w:trPr>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5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w:t>
            </w:r>
          </w:p>
        </w:tc>
        <w:tc>
          <w:tcPr>
            <w:tcW w:w="16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8"/>
              <w:spacing w:after="0"/>
              <w:rPr>
                <w:sz w:val="20"/>
                <w:szCs w:val="20"/>
                <w:color w:val="auto"/>
              </w:rPr>
            </w:pPr>
            <w:r>
              <w:rPr>
                <w:rFonts w:ascii="Arial" w:cs="Arial" w:eastAsia="Arial" w:hAnsi="Arial"/>
                <w:sz w:val="18"/>
                <w:szCs w:val="18"/>
                <w:color w:val="auto"/>
              </w:rPr>
              <w:t>4.7%</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r>
      <w:tr>
        <w:trPr>
          <w:trHeight w:val="216"/>
        </w:trPr>
        <w:tc>
          <w:tcPr>
            <w:tcW w:w="2560" w:type="dxa"/>
            <w:vAlign w:val="bottom"/>
          </w:tcPr>
          <w:p>
            <w:pPr>
              <w:spacing w:after="0"/>
              <w:rPr>
                <w:sz w:val="20"/>
                <w:szCs w:val="20"/>
                <w:color w:val="auto"/>
              </w:rPr>
            </w:pPr>
            <w:r>
              <w:rPr>
                <w:rFonts w:ascii="Arial" w:cs="Arial" w:eastAsia="Arial" w:hAnsi="Arial"/>
                <w:sz w:val="18"/>
                <w:szCs w:val="18"/>
                <w:color w:val="auto"/>
              </w:rPr>
              <w:t>Dividend yield</w:t>
            </w:r>
          </w:p>
        </w:tc>
        <w:tc>
          <w:tcPr>
            <w:tcW w:w="5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gridSpan w:val="3"/>
          </w:tcPr>
          <w:p>
            <w:pPr>
              <w:jc w:val="right"/>
              <w:ind w:right="400"/>
              <w:spacing w:after="0"/>
              <w:rPr>
                <w:sz w:val="20"/>
                <w:szCs w:val="20"/>
                <w:color w:val="auto"/>
              </w:rPr>
            </w:pPr>
            <w:r>
              <w:rPr>
                <w:rFonts w:ascii="Arial" w:cs="Arial" w:eastAsia="Arial" w:hAnsi="Arial"/>
                <w:sz w:val="18"/>
                <w:szCs w:val="18"/>
                <w:color w:val="auto"/>
              </w:rPr>
              <w:t>—</w:t>
            </w:r>
          </w:p>
        </w:tc>
        <w:tc>
          <w:tcPr>
            <w:tcW w:w="1180" w:type="dxa"/>
            <w:vAlign w:val="bottom"/>
            <w:gridSpan w:val="2"/>
          </w:tcPr>
          <w:p>
            <w:pPr>
              <w:ind w:left="860"/>
              <w:spacing w:after="0"/>
              <w:rPr>
                <w:sz w:val="20"/>
                <w:szCs w:val="20"/>
                <w:color w:val="auto"/>
              </w:rPr>
            </w:pPr>
            <w:r>
              <w:rPr>
                <w:rFonts w:ascii="Arial" w:cs="Arial" w:eastAsia="Arial" w:hAnsi="Arial"/>
                <w:sz w:val="18"/>
                <w:szCs w:val="18"/>
                <w:color w:val="auto"/>
              </w:rPr>
              <w:t>—</w:t>
            </w:r>
          </w:p>
        </w:tc>
      </w:tr>
      <w:tr>
        <w:trPr>
          <w:trHeight w:val="216"/>
        </w:trPr>
        <w:tc>
          <w:tcPr>
            <w:tcW w:w="256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fair value</w:t>
            </w: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4.91</w:t>
            </w:r>
          </w:p>
        </w:tc>
        <w:tc>
          <w:tcPr>
            <w:tcW w:w="160" w:type="dxa"/>
            <w:vAlign w:val="bottom"/>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13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7.71</w:t>
            </w:r>
          </w:p>
        </w:tc>
        <w:tc>
          <w:tcPr>
            <w:tcW w:w="1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168"/>
              <w:spacing w:after="0"/>
              <w:rPr>
                <w:sz w:val="20"/>
                <w:szCs w:val="20"/>
                <w:color w:val="auto"/>
              </w:rPr>
            </w:pPr>
            <w:r>
              <w:rPr>
                <w:rFonts w:ascii="Arial" w:cs="Arial" w:eastAsia="Arial" w:hAnsi="Arial"/>
                <w:sz w:val="18"/>
                <w:szCs w:val="18"/>
                <w:color w:val="auto"/>
              </w:rPr>
              <w:t>6.06</w:t>
            </w:r>
          </w:p>
        </w:tc>
        <w:tc>
          <w:tcPr>
            <w:tcW w:w="16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r>
    </w:tbl>
    <w:p>
      <w:pPr>
        <w:spacing w:after="0" w:line="202" w:lineRule="exact"/>
        <w:rPr>
          <w:sz w:val="20"/>
          <w:szCs w:val="20"/>
          <w:color w:val="auto"/>
        </w:rPr>
      </w:pPr>
    </w:p>
    <w:p>
      <w:pPr>
        <w:ind w:right="120" w:firstLine="441"/>
        <w:spacing w:after="0" w:line="286" w:lineRule="auto"/>
        <w:rPr>
          <w:sz w:val="20"/>
          <w:szCs w:val="20"/>
          <w:color w:val="auto"/>
        </w:rPr>
      </w:pPr>
      <w:r>
        <w:rPr>
          <w:rFonts w:ascii="Arial" w:cs="Arial" w:eastAsia="Arial" w:hAnsi="Arial"/>
          <w:sz w:val="17"/>
          <w:szCs w:val="17"/>
          <w:color w:val="auto"/>
        </w:rPr>
        <w:t>In developing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w:t>
      </w:r>
    </w:p>
    <w:p>
      <w:pPr>
        <w:spacing w:after="0" w:line="166" w:lineRule="exact"/>
        <w:rPr>
          <w:sz w:val="20"/>
          <w:szCs w:val="20"/>
          <w:color w:val="auto"/>
        </w:rPr>
      </w:pPr>
    </w:p>
    <w:p>
      <w:pPr>
        <w:ind w:right="560" w:firstLine="441"/>
        <w:spacing w:after="0" w:line="277" w:lineRule="auto"/>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 The risk-free interest rate assumption is based on observed interest rates appropriate for the expected terms of our stock options.</w:t>
      </w:r>
    </w:p>
    <w:p>
      <w:pPr>
        <w:spacing w:after="0" w:line="170" w:lineRule="exact"/>
        <w:rPr>
          <w:sz w:val="20"/>
          <w:szCs w:val="20"/>
          <w:color w:val="auto"/>
        </w:rPr>
      </w:pPr>
    </w:p>
    <w:p>
      <w:pPr>
        <w:ind w:right="100" w:firstLine="441"/>
        <w:spacing w:after="0" w:line="277"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397"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color w:val="auto"/>
        </w:rPr>
        <w:t>Note 9. Shareholders’ Equity</w:t>
      </w:r>
    </w:p>
    <w:p>
      <w:pPr>
        <w:spacing w:after="0" w:line="229"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Plans</w:t>
      </w:r>
    </w:p>
    <w:p>
      <w:pPr>
        <w:spacing w:after="0" w:line="225"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In April 1995, the Company adopted the 1995 Stock Option Plan (the “Option Plan”). The Option Plan, as amended, had 353,671,071 common shares reserved for issuance thereunder as of May 3, 2008. 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 at prices not less than 110% of the fair market value of the stock on the date of grant. The options generally vest 20% one year after the vesting commencement date, and the remaining shares vest one-sixtieth per month over the remaining 48 months. Options granted under the Option Plan prior to March 1, 2000 may be exercised prior to vesting. The Company has the right to repurchase such shares at their original purchase price if the optionee is terminated from service prior to vesting. Such right expires as the options vest over a five-year period. Options granted under the Option Plan subsequent to March 1, 2000 may only be exercised upon or after vesting.</w:t>
      </w:r>
    </w:p>
    <w:p>
      <w:pPr>
        <w:spacing w:after="0" w:line="182" w:lineRule="exact"/>
        <w:rPr>
          <w:sz w:val="20"/>
          <w:szCs w:val="20"/>
          <w:color w:val="auto"/>
        </w:rPr>
      </w:pPr>
    </w:p>
    <w:p>
      <w:pPr>
        <w:ind w:right="80" w:firstLine="243"/>
        <w:spacing w:after="0" w:line="255" w:lineRule="auto"/>
        <w:rPr>
          <w:sz w:val="20"/>
          <w:szCs w:val="20"/>
          <w:color w:val="auto"/>
        </w:rPr>
      </w:pPr>
      <w:r>
        <w:rPr>
          <w:rFonts w:ascii="Arial" w:cs="Arial" w:eastAsia="Arial" w:hAnsi="Arial"/>
          <w:sz w:val="18"/>
          <w:szCs w:val="18"/>
          <w:color w:val="auto"/>
        </w:rPr>
        <w:t>In August 1997, the Company adopted the 1997 Directors’ Stock Option Plan (the “Directors’ Plan”). Under the Directors’ Plan, an outside director was granted an option to purchase 30,000 common shares upon appointment to our Board of Directors. These options vested 20% one year after the vesting commencement date and remaining shares vest one-sixtieth per month over the remaining 48 months. An outside director was also granted an option to purchase 6,000 common shares on the date of each annual meeting of the shareholders. These options vested one-twelfth per month over 12 months after the fourth anniversary of the vesting commencement date. Options granted under the Directors’ Plan could be exercised prior to vesting. The Directors’ Plan was terminated in October 2007.</w:t>
      </w:r>
    </w:p>
    <w:p>
      <w:pPr>
        <w:spacing w:after="0" w:line="193" w:lineRule="exact"/>
        <w:rPr>
          <w:sz w:val="20"/>
          <w:szCs w:val="20"/>
          <w:color w:val="auto"/>
        </w:rPr>
      </w:pPr>
    </w:p>
    <w:p>
      <w:pPr>
        <w:ind w:right="80" w:firstLine="243"/>
        <w:spacing w:after="0" w:line="242" w:lineRule="auto"/>
        <w:rPr>
          <w:sz w:val="20"/>
          <w:szCs w:val="20"/>
          <w:color w:val="auto"/>
        </w:rPr>
      </w:pPr>
      <w:r>
        <w:rPr>
          <w:rFonts w:ascii="Arial" w:cs="Arial" w:eastAsia="Arial" w:hAnsi="Arial"/>
          <w:sz w:val="16"/>
          <w:szCs w:val="16"/>
          <w:color w:val="auto"/>
        </w:rPr>
        <w:t>In October 2007, the Company adopted the 2007 Directors’ Stock Incentive Plan (the “2007 Directors’ Plan”). Under the 2007 Directors’ Plan, an outside director is granted an option to purchase 50,000 common shares upon appointment to our Board of Directors. These options vest 1/3</w:t>
      </w:r>
      <w:r>
        <w:rPr>
          <w:rFonts w:ascii="Arial" w:cs="Arial" w:eastAsia="Arial" w:hAnsi="Arial"/>
          <w:sz w:val="26"/>
          <w:szCs w:val="26"/>
          <w:color w:val="auto"/>
          <w:vertAlign w:val="superscript"/>
        </w:rPr>
        <w:t>rd</w:t>
      </w:r>
      <w:r>
        <w:rPr>
          <w:rFonts w:ascii="Arial" w:cs="Arial" w:eastAsia="Arial" w:hAnsi="Arial"/>
          <w:sz w:val="16"/>
          <w:szCs w:val="16"/>
          <w:color w:val="auto"/>
        </w:rPr>
        <w:t xml:space="preserve"> on the one year</w:t>
      </w:r>
    </w:p>
    <w:p>
      <w:pPr>
        <w:spacing w:after="0" w:line="1" w:lineRule="exact"/>
        <w:rPr>
          <w:sz w:val="20"/>
          <w:szCs w:val="20"/>
          <w:color w:val="auto"/>
        </w:rPr>
      </w:pPr>
    </w:p>
    <w:p>
      <w:pPr>
        <w:ind w:right="260"/>
        <w:spacing w:after="0" w:line="217" w:lineRule="auto"/>
        <w:rPr>
          <w:sz w:val="20"/>
          <w:szCs w:val="20"/>
          <w:color w:val="auto"/>
        </w:rPr>
      </w:pPr>
      <w:r>
        <w:rPr>
          <w:rFonts w:ascii="Arial" w:cs="Arial" w:eastAsia="Arial" w:hAnsi="Arial"/>
          <w:sz w:val="18"/>
          <w:szCs w:val="18"/>
          <w:color w:val="auto"/>
        </w:rPr>
        <w:t>anniversary of the date of grant and 1/3</w:t>
      </w:r>
      <w:r>
        <w:rPr>
          <w:rFonts w:ascii="Arial" w:cs="Arial" w:eastAsia="Arial" w:hAnsi="Arial"/>
          <w:sz w:val="30"/>
          <w:szCs w:val="30"/>
          <w:color w:val="auto"/>
          <w:vertAlign w:val="superscript"/>
        </w:rPr>
        <w:t>rd</w:t>
      </w:r>
      <w:r>
        <w:rPr>
          <w:rFonts w:ascii="Arial" w:cs="Arial" w:eastAsia="Arial" w:hAnsi="Arial"/>
          <w:sz w:val="18"/>
          <w:szCs w:val="18"/>
          <w:color w:val="auto"/>
        </w:rPr>
        <w:t xml:space="preserve"> of the shares on each anniversary thereafter. An outside director who has served on the Board of Directors for the prior six months is also granted an option to purchase 12,000 common shares on the date of each annual meeting of the shareholders. These options vest 100% on the one year anniversary of the date of grant.</w:t>
      </w:r>
    </w:p>
    <w:p>
      <w:pPr>
        <w:spacing w:after="0" w:line="203" w:lineRule="exact"/>
        <w:rPr>
          <w:sz w:val="20"/>
          <w:szCs w:val="20"/>
          <w:color w:val="auto"/>
        </w:rPr>
      </w:pPr>
    </w:p>
    <w:p>
      <w:pPr>
        <w:ind w:firstLine="243"/>
        <w:spacing w:after="0" w:line="264" w:lineRule="auto"/>
        <w:rPr>
          <w:sz w:val="20"/>
          <w:szCs w:val="20"/>
          <w:color w:val="auto"/>
        </w:rPr>
      </w:pPr>
      <w:r>
        <w:rPr>
          <w:rFonts w:ascii="Arial" w:cs="Arial" w:eastAsia="Arial" w:hAnsi="Arial"/>
          <w:sz w:val="18"/>
          <w:szCs w:val="18"/>
          <w:color w:val="auto"/>
        </w:rPr>
        <w:t>Under the Option Plan and the 2007 Directors’ Plan, the Company may also grant restricted stock awards, which may be subject to vesting and stock unit awards, which are denominated in shares of stock, but may be settled in cash or tradable shares of the Company’s common shares upon vesting, as determined by the Company at the time of grant.</w:t>
      </w:r>
    </w:p>
    <w:p>
      <w:pPr>
        <w:spacing w:after="0" w:line="181"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25"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In June 2000, the Company adopted the 2000 Employee Stock Purchase Plan (the “Purchase Plan”). The Purchase Plan, as amended, had 41,871,612 common shares reserve for issuance thereunder as of May 3, 2008. Under the Purchase Plan, employees are granted the right to purchase common shares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Effective on May 30, 2007, offering and purchase periods begin on December 8 and June 8 of each year. For the three months ended May 3, 2008, the Company recognized $9.9 million of stock-based compensation expense related to the activity under the Purchase Plan. The Company did not issue any shares under the Purchase Plan in the three months ended May 3, 2008. As of May 3, 2008, there was $23.7 million of unrecognized compensation cost related to the Purchase Plan.</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380" w:firstLine="243"/>
        <w:spacing w:after="0" w:line="277" w:lineRule="auto"/>
        <w:rPr>
          <w:sz w:val="20"/>
          <w:szCs w:val="20"/>
          <w:color w:val="auto"/>
        </w:rPr>
      </w:pPr>
      <w:r>
        <w:rPr>
          <w:rFonts w:ascii="Arial" w:cs="Arial" w:eastAsia="Arial" w:hAnsi="Arial"/>
          <w:sz w:val="18"/>
          <w:szCs w:val="18"/>
          <w:color w:val="auto"/>
        </w:rPr>
        <w:t>Stock option activity under the Company’s stock option plans for the three months ended May 3, 2008 is summarized below (in thousands, except per share amounts):</w:t>
      </w:r>
    </w:p>
    <w:p>
      <w:pPr>
        <w:spacing w:after="0" w:line="150"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47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4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91"/>
              </w:rPr>
              <w:t>Weighted</w:t>
            </w:r>
          </w:p>
        </w:tc>
        <w:tc>
          <w:tcPr>
            <w:tcW w:w="1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4760" w:type="dxa"/>
            <w:vAlign w:val="bottom"/>
          </w:tcPr>
          <w:p>
            <w:pPr>
              <w:spacing w:after="0"/>
              <w:rPr>
                <w:sz w:val="12"/>
                <w:szCs w:val="12"/>
                <w:color w:val="auto"/>
              </w:rPr>
            </w:pPr>
          </w:p>
        </w:tc>
        <w:tc>
          <w:tcPr>
            <w:tcW w:w="170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0"/>
              </w:rPr>
              <w:t>Options</w:t>
            </w:r>
          </w:p>
        </w:tc>
        <w:tc>
          <w:tcPr>
            <w:tcW w:w="260" w:type="dxa"/>
            <w:vAlign w:val="bottom"/>
          </w:tcPr>
          <w:p>
            <w:pPr>
              <w:spacing w:after="0"/>
              <w:rPr>
                <w:sz w:val="12"/>
                <w:szCs w:val="12"/>
                <w:color w:val="auto"/>
              </w:rPr>
            </w:pPr>
          </w:p>
        </w:tc>
        <w:tc>
          <w:tcPr>
            <w:tcW w:w="144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Average</w:t>
            </w:r>
          </w:p>
        </w:tc>
        <w:tc>
          <w:tcPr>
            <w:tcW w:w="154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90"/>
              </w:rPr>
              <w:t>Restricted Stock</w:t>
            </w:r>
          </w:p>
        </w:tc>
        <w:tc>
          <w:tcPr>
            <w:tcW w:w="0" w:type="dxa"/>
            <w:vAlign w:val="bottom"/>
          </w:tcPr>
          <w:p>
            <w:pPr>
              <w:spacing w:after="0"/>
              <w:rPr>
                <w:sz w:val="1"/>
                <w:szCs w:val="1"/>
                <w:color w:val="auto"/>
              </w:rPr>
            </w:pPr>
          </w:p>
        </w:tc>
      </w:tr>
      <w:tr>
        <w:trPr>
          <w:trHeight w:val="149"/>
        </w:trPr>
        <w:tc>
          <w:tcPr>
            <w:tcW w:w="4760" w:type="dxa"/>
            <w:vAlign w:val="bottom"/>
          </w:tcPr>
          <w:p>
            <w:pPr>
              <w:spacing w:after="0"/>
              <w:rPr>
                <w:sz w:val="12"/>
                <w:szCs w:val="12"/>
                <w:color w:val="auto"/>
              </w:rPr>
            </w:pPr>
          </w:p>
        </w:tc>
        <w:tc>
          <w:tcPr>
            <w:tcW w:w="170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4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Exercise</w:t>
            </w:r>
          </w:p>
        </w:tc>
        <w:tc>
          <w:tcPr>
            <w:tcW w:w="15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4760" w:type="dxa"/>
            <w:vAlign w:val="bottom"/>
          </w:tcPr>
          <w:p>
            <w:pPr>
              <w:spacing w:after="0"/>
              <w:rPr>
                <w:sz w:val="14"/>
                <w:szCs w:val="14"/>
                <w:color w:val="auto"/>
              </w:rPr>
            </w:pPr>
          </w:p>
        </w:tc>
        <w:tc>
          <w:tcPr>
            <w:tcW w:w="1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Outstanding</w:t>
            </w:r>
          </w:p>
        </w:tc>
        <w:tc>
          <w:tcPr>
            <w:tcW w:w="260" w:type="dxa"/>
            <w:vAlign w:val="bottom"/>
          </w:tcPr>
          <w:p>
            <w:pPr>
              <w:spacing w:after="0"/>
              <w:rPr>
                <w:sz w:val="14"/>
                <w:szCs w:val="14"/>
                <w:color w:val="auto"/>
              </w:rPr>
            </w:pPr>
          </w:p>
        </w:tc>
        <w:tc>
          <w:tcPr>
            <w:tcW w:w="144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3"/>
              </w:rPr>
              <w:t>Price</w:t>
            </w:r>
          </w:p>
        </w:tc>
        <w:tc>
          <w:tcPr>
            <w:tcW w:w="15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Outstanding</w:t>
            </w:r>
          </w:p>
        </w:tc>
        <w:tc>
          <w:tcPr>
            <w:tcW w:w="0" w:type="dxa"/>
            <w:vAlign w:val="bottom"/>
          </w:tcPr>
          <w:p>
            <w:pPr>
              <w:spacing w:after="0"/>
              <w:rPr>
                <w:sz w:val="1"/>
                <w:szCs w:val="1"/>
                <w:color w:val="auto"/>
              </w:rPr>
            </w:pPr>
          </w:p>
        </w:tc>
      </w:tr>
      <w:tr>
        <w:trPr>
          <w:trHeight w:val="142"/>
        </w:trPr>
        <w:tc>
          <w:tcPr>
            <w:tcW w:w="4760" w:type="dxa"/>
            <w:vAlign w:val="bottom"/>
          </w:tcPr>
          <w:p>
            <w:pPr>
              <w:spacing w:after="0"/>
              <w:rPr>
                <w:sz w:val="12"/>
                <w:szCs w:val="12"/>
                <w:color w:val="auto"/>
              </w:rPr>
            </w:pPr>
          </w:p>
        </w:tc>
        <w:tc>
          <w:tcPr>
            <w:tcW w:w="14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260" w:type="dxa"/>
            <w:vAlign w:val="bottom"/>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1200" w:type="dxa"/>
            <w:vAlign w:val="bottom"/>
            <w:tcBorders>
              <w:top w:val="single" w:sz="8" w:color="auto"/>
            </w:tcBorders>
          </w:tcPr>
          <w:p>
            <w:pPr>
              <w:spacing w:after="0"/>
              <w:rPr>
                <w:sz w:val="12"/>
                <w:szCs w:val="12"/>
                <w:color w:val="auto"/>
              </w:rPr>
            </w:pPr>
          </w:p>
        </w:tc>
        <w:tc>
          <w:tcPr>
            <w:tcW w:w="240" w:type="dxa"/>
            <w:vAlign w:val="bottom"/>
          </w:tcPr>
          <w:p>
            <w:pPr>
              <w:spacing w:after="0"/>
              <w:rPr>
                <w:sz w:val="12"/>
                <w:szCs w:val="12"/>
                <w:color w:val="auto"/>
              </w:rPr>
            </w:pPr>
          </w:p>
        </w:tc>
        <w:tc>
          <w:tcPr>
            <w:tcW w:w="14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7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109,158</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14.64</w:t>
            </w:r>
          </w:p>
        </w:tc>
        <w:tc>
          <w:tcPr>
            <w:tcW w:w="15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2,024</w:t>
            </w:r>
          </w:p>
        </w:tc>
        <w:tc>
          <w:tcPr>
            <w:tcW w:w="0" w:type="dxa"/>
            <w:vAlign w:val="bottom"/>
          </w:tcPr>
          <w:p>
            <w:pPr>
              <w:spacing w:after="0"/>
              <w:rPr>
                <w:sz w:val="1"/>
                <w:szCs w:val="1"/>
                <w:color w:val="auto"/>
              </w:rPr>
            </w:pPr>
          </w:p>
        </w:tc>
      </w:tr>
      <w:tr>
        <w:trPr>
          <w:trHeight w:val="216"/>
        </w:trPr>
        <w:tc>
          <w:tcPr>
            <w:tcW w:w="4760" w:type="dxa"/>
            <w:vAlign w:val="bottom"/>
          </w:tcPr>
          <w:p>
            <w:pPr>
              <w:ind w:left="180"/>
              <w:spacing w:after="0"/>
              <w:rPr>
                <w:sz w:val="20"/>
                <w:szCs w:val="20"/>
                <w:color w:val="auto"/>
              </w:rPr>
            </w:pPr>
            <w:r>
              <w:rPr>
                <w:rFonts w:ascii="Arial" w:cs="Arial" w:eastAsia="Arial" w:hAnsi="Arial"/>
                <w:sz w:val="18"/>
                <w:szCs w:val="18"/>
                <w:color w:val="auto"/>
              </w:rPr>
              <w:t>Options granted</w:t>
            </w:r>
          </w:p>
        </w:tc>
        <w:tc>
          <w:tcPr>
            <w:tcW w:w="1700" w:type="dxa"/>
            <w:vAlign w:val="bottom"/>
            <w:gridSpan w:val="2"/>
          </w:tcPr>
          <w:p>
            <w:pPr>
              <w:jc w:val="right"/>
              <w:ind w:right="260"/>
              <w:spacing w:after="0"/>
              <w:rPr>
                <w:sz w:val="20"/>
                <w:szCs w:val="20"/>
                <w:color w:val="auto"/>
              </w:rPr>
            </w:pPr>
            <w:r>
              <w:rPr>
                <w:rFonts w:ascii="Arial" w:cs="Arial" w:eastAsia="Arial" w:hAnsi="Arial"/>
                <w:sz w:val="18"/>
                <w:szCs w:val="18"/>
                <w:color w:val="auto"/>
              </w:rPr>
              <w:t>9,134</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11.29</w:t>
            </w:r>
          </w:p>
        </w:tc>
        <w:tc>
          <w:tcPr>
            <w:tcW w:w="1540" w:type="dxa"/>
            <w:vAlign w:val="bottom"/>
            <w:gridSpan w:val="2"/>
          </w:tcPr>
          <w:p>
            <w:pPr>
              <w:jc w:val="right"/>
              <w:ind w:right="100"/>
              <w:spacing w:after="0"/>
              <w:rPr>
                <w:sz w:val="20"/>
                <w:szCs w:val="20"/>
                <w:color w:val="auto"/>
              </w:rPr>
            </w:pPr>
            <w:r>
              <w:rPr>
                <w:rFonts w:ascii="Arial" w:cs="Arial" w:eastAsia="Arial" w:hAnsi="Arial"/>
                <w:sz w:val="18"/>
                <w:szCs w:val="18"/>
                <w:color w:val="auto"/>
              </w:rPr>
              <w:t>2,176</w:t>
            </w:r>
          </w:p>
        </w:tc>
        <w:tc>
          <w:tcPr>
            <w:tcW w:w="0" w:type="dxa"/>
            <w:vAlign w:val="bottom"/>
          </w:tcPr>
          <w:p>
            <w:pPr>
              <w:spacing w:after="0"/>
              <w:rPr>
                <w:sz w:val="1"/>
                <w:szCs w:val="1"/>
                <w:color w:val="auto"/>
              </w:rPr>
            </w:pPr>
          </w:p>
        </w:tc>
      </w:tr>
      <w:tr>
        <w:trPr>
          <w:trHeight w:val="216"/>
        </w:trPr>
        <w:tc>
          <w:tcPr>
            <w:tcW w:w="47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Options forfeited/canceled/expired</w:t>
            </w:r>
          </w:p>
        </w:tc>
        <w:tc>
          <w:tcPr>
            <w:tcW w:w="17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(2,978)</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19.40</w:t>
            </w:r>
          </w:p>
        </w:tc>
        <w:tc>
          <w:tcPr>
            <w:tcW w:w="1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216"/>
        </w:trPr>
        <w:tc>
          <w:tcPr>
            <w:tcW w:w="4760" w:type="dxa"/>
            <w:vAlign w:val="bottom"/>
          </w:tcPr>
          <w:p>
            <w:pPr>
              <w:ind w:left="180"/>
              <w:spacing w:after="0"/>
              <w:rPr>
                <w:sz w:val="20"/>
                <w:szCs w:val="20"/>
                <w:color w:val="auto"/>
              </w:rPr>
            </w:pPr>
            <w:r>
              <w:rPr>
                <w:rFonts w:ascii="Arial" w:cs="Arial" w:eastAsia="Arial" w:hAnsi="Arial"/>
                <w:sz w:val="18"/>
                <w:szCs w:val="18"/>
                <w:color w:val="auto"/>
              </w:rPr>
              <w:t>Options exercised</w:t>
            </w:r>
          </w:p>
        </w:tc>
        <w:tc>
          <w:tcPr>
            <w:tcW w:w="1700" w:type="dxa"/>
            <w:vAlign w:val="bottom"/>
            <w:gridSpan w:val="2"/>
          </w:tcPr>
          <w:p>
            <w:pPr>
              <w:jc w:val="right"/>
              <w:ind w:right="200"/>
              <w:spacing w:after="0"/>
              <w:rPr>
                <w:sz w:val="20"/>
                <w:szCs w:val="20"/>
                <w:color w:val="auto"/>
              </w:rPr>
            </w:pPr>
            <w:r>
              <w:rPr>
                <w:rFonts w:ascii="Arial" w:cs="Arial" w:eastAsia="Arial" w:hAnsi="Arial"/>
                <w:sz w:val="18"/>
                <w:szCs w:val="18"/>
                <w:color w:val="auto"/>
              </w:rPr>
              <w:t>(2,404)</w:t>
            </w:r>
          </w:p>
        </w:tc>
        <w:tc>
          <w:tcPr>
            <w:tcW w:w="260" w:type="dxa"/>
            <w:vAlign w:val="bottom"/>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6.68</w:t>
            </w:r>
          </w:p>
        </w:tc>
        <w:tc>
          <w:tcPr>
            <w:tcW w:w="1540" w:type="dxa"/>
            <w:vAlign w:val="bottom"/>
            <w:gridSpan w:val="2"/>
          </w:tcPr>
          <w:p>
            <w:pPr>
              <w:jc w:val="right"/>
              <w:ind w:right="40"/>
              <w:spacing w:after="0"/>
              <w:rPr>
                <w:sz w:val="20"/>
                <w:szCs w:val="20"/>
                <w:color w:val="auto"/>
              </w:rPr>
            </w:pPr>
            <w:r>
              <w:rPr>
                <w:rFonts w:ascii="Arial" w:cs="Arial" w:eastAsia="Arial" w:hAnsi="Arial"/>
                <w:sz w:val="18"/>
                <w:szCs w:val="18"/>
                <w:color w:val="auto"/>
              </w:rPr>
              <w:t>(275)</w:t>
            </w:r>
          </w:p>
        </w:tc>
        <w:tc>
          <w:tcPr>
            <w:tcW w:w="0" w:type="dxa"/>
            <w:vAlign w:val="bottom"/>
          </w:tcPr>
          <w:p>
            <w:pPr>
              <w:spacing w:after="0"/>
              <w:rPr>
                <w:sz w:val="1"/>
                <w:szCs w:val="1"/>
                <w:color w:val="auto"/>
              </w:rPr>
            </w:pPr>
          </w:p>
        </w:tc>
      </w:tr>
      <w:tr>
        <w:trPr>
          <w:trHeight w:val="230"/>
        </w:trPr>
        <w:tc>
          <w:tcPr>
            <w:tcW w:w="47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May 3, 2008</w:t>
            </w:r>
          </w:p>
        </w:tc>
        <w:tc>
          <w:tcPr>
            <w:tcW w:w="1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112,910</w:t>
            </w:r>
          </w:p>
        </w:tc>
        <w:tc>
          <w:tcPr>
            <w:tcW w:w="260" w:type="dxa"/>
            <w:vAlign w:val="bottom"/>
            <w:tcBorders>
              <w:top w:val="single" w:sz="8" w:color="CCEEFF"/>
              <w:bottom w:val="single" w:sz="8" w:color="CCEEFF"/>
            </w:tcBorders>
            <w:shd w:val="clear" w:color="auto" w:fill="CCEEFF"/>
          </w:tcPr>
          <w:p>
            <w:pPr>
              <w:spacing w:after="0"/>
              <w:rPr>
                <w:sz w:val="19"/>
                <w:szCs w:val="19"/>
                <w:color w:val="auto"/>
              </w:rPr>
            </w:pPr>
          </w:p>
        </w:tc>
        <w:tc>
          <w:tcPr>
            <w:tcW w:w="260" w:type="dxa"/>
            <w:vAlign w:val="bottom"/>
            <w:tcBorders>
              <w:top w:val="single" w:sz="8" w:color="CCEEFF"/>
              <w:bottom w:val="single" w:sz="8" w:color="CCEEFF"/>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tcBorders>
              <w:top w:val="single" w:sz="8" w:color="CCEEFF"/>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14.41</w:t>
            </w:r>
          </w:p>
        </w:tc>
        <w:tc>
          <w:tcPr>
            <w:tcW w:w="14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3,842</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4760" w:type="dxa"/>
            <w:vAlign w:val="bottom"/>
            <w:tcBorders>
              <w:bottom w:val="single" w:sz="8" w:color="CCEEFF"/>
            </w:tcBorders>
          </w:tcPr>
          <w:p>
            <w:pPr>
              <w:spacing w:after="0" w:line="203" w:lineRule="exact"/>
              <w:rPr>
                <w:sz w:val="20"/>
                <w:szCs w:val="20"/>
                <w:color w:val="auto"/>
              </w:rPr>
            </w:pPr>
            <w:r>
              <w:rPr>
                <w:rFonts w:ascii="Arial" w:cs="Arial" w:eastAsia="Arial" w:hAnsi="Arial"/>
                <w:sz w:val="18"/>
                <w:szCs w:val="18"/>
                <w:color w:val="auto"/>
              </w:rPr>
              <w:t>Vested or expected to vest at May 3, 2008</w:t>
            </w:r>
          </w:p>
        </w:tc>
        <w:tc>
          <w:tcPr>
            <w:tcW w:w="14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104,443</w:t>
            </w:r>
          </w:p>
        </w:tc>
        <w:tc>
          <w:tcPr>
            <w:tcW w:w="260" w:type="dxa"/>
            <w:vAlign w:val="bottom"/>
            <w:tcBorders>
              <w:bottom w:val="single" w:sz="8" w:color="CCEEFF"/>
            </w:tcBorders>
          </w:tcPr>
          <w:p>
            <w:pPr>
              <w:spacing w:after="0"/>
              <w:rPr>
                <w:sz w:val="18"/>
                <w:szCs w:val="18"/>
                <w:color w:val="auto"/>
              </w:rPr>
            </w:pPr>
          </w:p>
        </w:tc>
        <w:tc>
          <w:tcPr>
            <w:tcW w:w="260" w:type="dxa"/>
            <w:vAlign w:val="bottom"/>
            <w:tcBorders>
              <w:bottom w:val="single" w:sz="8" w:color="CCEEFF"/>
            </w:tcBorders>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tcBorders>
              <w:bottom w:val="single" w:sz="8" w:color="CCEEFF"/>
            </w:tcBorders>
            <w:gridSpan w:val="2"/>
          </w:tcPr>
          <w:p>
            <w:pPr>
              <w:jc w:val="right"/>
              <w:ind w:right="240"/>
              <w:spacing w:after="0" w:line="203" w:lineRule="exact"/>
              <w:rPr>
                <w:sz w:val="20"/>
                <w:szCs w:val="20"/>
                <w:color w:val="auto"/>
              </w:rPr>
            </w:pPr>
            <w:r>
              <w:rPr>
                <w:rFonts w:ascii="Arial" w:cs="Arial" w:eastAsia="Arial" w:hAnsi="Arial"/>
                <w:sz w:val="18"/>
                <w:szCs w:val="18"/>
                <w:color w:val="auto"/>
              </w:rPr>
              <w:t>13.95</w:t>
            </w:r>
          </w:p>
        </w:tc>
        <w:tc>
          <w:tcPr>
            <w:tcW w:w="14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3,500</w:t>
            </w:r>
          </w:p>
        </w:tc>
        <w:tc>
          <w:tcPr>
            <w:tcW w:w="100" w:type="dxa"/>
            <w:vAlign w:val="bottom"/>
            <w:tcBorders>
              <w:bottom w:val="single" w:sz="8" w:color="CCEEFF"/>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76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Exercisable at May 3, 2008</w:t>
            </w:r>
          </w:p>
        </w:tc>
        <w:tc>
          <w:tcPr>
            <w:tcW w:w="1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63,014</w:t>
            </w:r>
          </w:p>
        </w:tc>
        <w:tc>
          <w:tcPr>
            <w:tcW w:w="260" w:type="dxa"/>
            <w:vAlign w:val="bottom"/>
            <w:tcBorders>
              <w:bottom w:val="single" w:sz="8" w:color="CCEEFF"/>
            </w:tcBorders>
            <w:shd w:val="clear" w:color="auto" w:fill="CCEEFF"/>
          </w:tcPr>
          <w:p>
            <w:pPr>
              <w:spacing w:after="0"/>
              <w:rPr>
                <w:sz w:val="19"/>
                <w:szCs w:val="19"/>
                <w:color w:val="auto"/>
              </w:rPr>
            </w:pPr>
          </w:p>
        </w:tc>
        <w:tc>
          <w:tcPr>
            <w:tcW w:w="260" w:type="dxa"/>
            <w:vAlign w:val="bottom"/>
            <w:tcBorders>
              <w:bottom w:val="single" w:sz="8" w:color="CCEEFF"/>
            </w:tcBorders>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4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10.57</w:t>
            </w:r>
          </w:p>
        </w:tc>
        <w:tc>
          <w:tcPr>
            <w:tcW w:w="1440" w:type="dxa"/>
            <w:vAlign w:val="bottom"/>
            <w:tcBorders>
              <w:bottom w:val="single" w:sz="8" w:color="CCEEFF"/>
            </w:tcBorders>
            <w:shd w:val="clear" w:color="auto" w:fill="CCEEFF"/>
          </w:tcPr>
          <w:p>
            <w:pPr>
              <w:spacing w:after="0"/>
              <w:rPr>
                <w:sz w:val="19"/>
                <w:szCs w:val="19"/>
                <w:color w:val="auto"/>
              </w:rPr>
            </w:pPr>
          </w:p>
        </w:tc>
        <w:tc>
          <w:tcPr>
            <w:tcW w:w="100" w:type="dxa"/>
            <w:vAlign w:val="bottom"/>
            <w:tcBorders>
              <w:bottom w:val="single" w:sz="8" w:color="CCEEFF"/>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300" w:firstLine="247"/>
        <w:spacing w:after="0" w:line="277" w:lineRule="auto"/>
        <w:rPr>
          <w:sz w:val="20"/>
          <w:szCs w:val="20"/>
          <w:color w:val="auto"/>
        </w:rPr>
      </w:pPr>
      <w:r>
        <w:rPr>
          <w:rFonts w:ascii="Arial" w:cs="Arial" w:eastAsia="Arial" w:hAnsi="Arial"/>
          <w:sz w:val="18"/>
          <w:szCs w:val="18"/>
          <w:color w:val="auto"/>
        </w:rPr>
        <w:t>Included in the preceding table are options for 1,483,800 common shares granted to certain officers at an exercise prices of $24.80 and $14.01 that will become exercisable only upon the achievement of specified annual earnings per share targets through fiscal 2010.</w:t>
      </w:r>
    </w:p>
    <w:p>
      <w:pPr>
        <w:spacing w:after="0" w:line="170" w:lineRule="exact"/>
        <w:rPr>
          <w:sz w:val="20"/>
          <w:szCs w:val="20"/>
          <w:color w:val="auto"/>
        </w:rPr>
      </w:pPr>
    </w:p>
    <w:p>
      <w:pPr>
        <w:jc w:val="both"/>
        <w:ind w:right="60" w:firstLine="247"/>
        <w:spacing w:after="0" w:line="259" w:lineRule="auto"/>
        <w:rPr>
          <w:sz w:val="20"/>
          <w:szCs w:val="20"/>
          <w:color w:val="auto"/>
        </w:rPr>
      </w:pPr>
      <w:r>
        <w:rPr>
          <w:rFonts w:ascii="Arial" w:cs="Arial" w:eastAsia="Arial" w:hAnsi="Arial"/>
          <w:sz w:val="18"/>
          <w:szCs w:val="18"/>
          <w:color w:val="auto"/>
        </w:rPr>
        <w:t>The aggregate intrinsic value and weighted average remaining contractual term of options vested and expected to vest at May 3, 2008 was $310.8 million and 6.4 years, respectively. The aggregate intrinsic value and weighted average remaining contractual term of options exercisable at May 3, 2008 was $292.1 million and 5.1 years, respectively. The aggregate intrinsic value is calculated based on the Company’s closing stock price for all in-the-money options as of May 3, 2008.</w:t>
      </w:r>
    </w:p>
    <w:p>
      <w:pPr>
        <w:spacing w:after="0" w:line="187" w:lineRule="exact"/>
        <w:rPr>
          <w:sz w:val="20"/>
          <w:szCs w:val="20"/>
          <w:color w:val="auto"/>
        </w:rPr>
      </w:pPr>
    </w:p>
    <w:p>
      <w:pPr>
        <w:ind w:right="440" w:firstLine="247"/>
        <w:spacing w:after="0" w:line="277"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May 3, 2008 was $46.7 million and 1.0 years, respectively.</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Included in the table below is activity related to the nonvested restricted stock awards:</w:t>
      </w:r>
    </w:p>
    <w:p>
      <w:pPr>
        <w:sectPr>
          <w:pgSz w:w="11900" w:h="16838" w:orient="portrait"/>
          <w:cols w:equalWidth="0" w:num="1">
            <w:col w:w="11420"/>
          </w:cols>
          <w:pgMar w:left="240" w:top="121" w:right="239" w:bottom="0" w:gutter="0" w:footer="0" w:header="0"/>
        </w:sectPr>
      </w:pPr>
    </w:p>
    <w:p>
      <w:pPr>
        <w:spacing w:after="0" w:line="217" w:lineRule="exact"/>
        <w:rPr>
          <w:sz w:val="20"/>
          <w:szCs w:val="20"/>
          <w:color w:val="auto"/>
        </w:rPr>
      </w:pPr>
    </w:p>
    <w:p>
      <w:pPr>
        <w:ind w:left="4340"/>
        <w:spacing w:after="0"/>
        <w:tabs>
          <w:tab w:leader="none" w:pos="5980" w:val="left"/>
        </w:tabs>
        <w:rPr>
          <w:sz w:val="20"/>
          <w:szCs w:val="20"/>
          <w:color w:val="auto"/>
        </w:rPr>
      </w:pPr>
      <w:r>
        <w:rPr>
          <w:rFonts w:ascii="Arial" w:cs="Arial" w:eastAsia="Arial" w:hAnsi="Arial"/>
          <w:sz w:val="12"/>
          <w:szCs w:val="12"/>
          <w:b w:val="1"/>
          <w:bCs w:val="1"/>
          <w:color w:val="auto"/>
        </w:rPr>
        <w:t>Nonvested</w:t>
      </w:r>
      <w:r>
        <w:rPr>
          <w:sz w:val="20"/>
          <w:szCs w:val="20"/>
          <w:color w:val="auto"/>
        </w:rPr>
        <w:tab/>
      </w:r>
      <w:r>
        <w:rPr>
          <w:rFonts w:ascii="Arial" w:cs="Arial" w:eastAsia="Arial" w:hAnsi="Arial"/>
          <w:sz w:val="12"/>
          <w:szCs w:val="12"/>
          <w:b w:val="1"/>
          <w:bCs w:val="1"/>
          <w:color w:val="auto"/>
        </w:rPr>
        <w:t>Weighted</w:t>
      </w:r>
    </w:p>
    <w:p>
      <w:pPr>
        <w:spacing w:after="0" w:line="27" w:lineRule="exact"/>
        <w:rPr>
          <w:sz w:val="20"/>
          <w:szCs w:val="20"/>
          <w:color w:val="auto"/>
        </w:rPr>
      </w:pPr>
    </w:p>
    <w:p>
      <w:pPr>
        <w:ind w:left="4340"/>
        <w:spacing w:after="0"/>
        <w:tabs>
          <w:tab w:leader="none" w:pos="6020" w:val="left"/>
        </w:tabs>
        <w:rPr>
          <w:sz w:val="20"/>
          <w:szCs w:val="20"/>
          <w:color w:val="auto"/>
        </w:rPr>
      </w:pPr>
      <w:r>
        <w:rPr>
          <w:rFonts w:ascii="Arial" w:cs="Arial" w:eastAsia="Arial" w:hAnsi="Arial"/>
          <w:sz w:val="13"/>
          <w:szCs w:val="13"/>
          <w:b w:val="1"/>
          <w:bCs w:val="1"/>
          <w:color w:val="auto"/>
        </w:rPr>
        <w:t>Restricted</w:t>
      </w:r>
      <w:r>
        <w:rPr>
          <w:sz w:val="20"/>
          <w:szCs w:val="20"/>
          <w:color w:val="auto"/>
        </w:rPr>
        <w:tab/>
      </w:r>
      <w:r>
        <w:rPr>
          <w:rFonts w:ascii="Arial" w:cs="Arial" w:eastAsia="Arial" w:hAnsi="Arial"/>
          <w:sz w:val="13"/>
          <w:szCs w:val="13"/>
          <w:b w:val="1"/>
          <w:bCs w:val="1"/>
          <w:color w:val="auto"/>
        </w:rPr>
        <w:t>Average</w:t>
      </w:r>
    </w:p>
    <w:p>
      <w:pPr>
        <w:sectPr>
          <w:pgSz w:w="11900" w:h="16838" w:orient="portrait"/>
          <w:cols w:equalWidth="0" w:num="1">
            <w:col w:w="11420"/>
          </w:cols>
          <w:pgMar w:left="240" w:top="121" w:right="239" w:bottom="0" w:gutter="0" w:footer="0" w:header="0"/>
          <w:type w:val="continuous"/>
        </w:sectPr>
      </w:pPr>
    </w:p>
    <w:bookmarkStart w:id="15" w:name="page16"/>
    <w:bookmarkEnd w:id="15"/>
    <w:tbl>
      <w:tblPr>
        <w:tblLayout w:type="fixed"/>
        <w:tblInd w:w="260" w:type="dxa"/>
        <w:tblCellMar>
          <w:top w:w="0" w:type="dxa"/>
          <w:left w:w="0" w:type="dxa"/>
          <w:bottom w:w="0" w:type="dxa"/>
          <w:right w:w="0" w:type="dxa"/>
        </w:tblCellMar>
      </w:tblPr>
      <w:tr>
        <w:trPr>
          <w:trHeight w:val="161"/>
        </w:trPr>
        <w:tc>
          <w:tcPr>
            <w:tcW w:w="3700" w:type="dxa"/>
            <w:vAlign w:val="bottom"/>
          </w:tcPr>
          <w:p>
            <w:pPr>
              <w:spacing w:after="0"/>
              <w:rPr>
                <w:sz w:val="14"/>
                <w:szCs w:val="14"/>
                <w:color w:val="auto"/>
              </w:rPr>
            </w:pPr>
          </w:p>
        </w:tc>
        <w:tc>
          <w:tcPr>
            <w:tcW w:w="166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rPr>
              <w:t>Stock</w:t>
            </w:r>
          </w:p>
        </w:tc>
        <w:tc>
          <w:tcPr>
            <w:tcW w:w="200" w:type="dxa"/>
            <w:vAlign w:val="bottom"/>
          </w:tcPr>
          <w:p>
            <w:pPr>
              <w:spacing w:after="0"/>
              <w:rPr>
                <w:sz w:val="14"/>
                <w:szCs w:val="14"/>
                <w:color w:val="auto"/>
              </w:rPr>
            </w:pPr>
          </w:p>
        </w:tc>
        <w:tc>
          <w:tcPr>
            <w:tcW w:w="1280" w:type="dxa"/>
            <w:vAlign w:val="bottom"/>
            <w:gridSpan w:val="2"/>
          </w:tcPr>
          <w:p>
            <w:pPr>
              <w:ind w:left="120"/>
              <w:spacing w:after="0"/>
              <w:rPr>
                <w:sz w:val="20"/>
                <w:szCs w:val="20"/>
                <w:color w:val="auto"/>
              </w:rPr>
            </w:pPr>
            <w:r>
              <w:rPr>
                <w:rFonts w:ascii="Arial" w:cs="Arial" w:eastAsia="Arial" w:hAnsi="Arial"/>
                <w:sz w:val="14"/>
                <w:szCs w:val="14"/>
                <w:b w:val="1"/>
                <w:bCs w:val="1"/>
                <w:color w:val="auto"/>
              </w:rPr>
              <w:t>Grant Date</w:t>
            </w:r>
          </w:p>
        </w:tc>
      </w:tr>
      <w:tr>
        <w:trPr>
          <w:trHeight w:val="171"/>
        </w:trPr>
        <w:tc>
          <w:tcPr>
            <w:tcW w:w="3700" w:type="dxa"/>
            <w:vAlign w:val="bottom"/>
          </w:tcPr>
          <w:p>
            <w:pPr>
              <w:spacing w:after="0"/>
              <w:rPr>
                <w:sz w:val="14"/>
                <w:szCs w:val="14"/>
                <w:color w:val="auto"/>
              </w:rPr>
            </w:pPr>
          </w:p>
        </w:tc>
        <w:tc>
          <w:tcPr>
            <w:tcW w:w="166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Outstanding</w:t>
            </w:r>
          </w:p>
        </w:tc>
        <w:tc>
          <w:tcPr>
            <w:tcW w:w="200" w:type="dxa"/>
            <w:vAlign w:val="bottom"/>
          </w:tcPr>
          <w:p>
            <w:pPr>
              <w:spacing w:after="0"/>
              <w:rPr>
                <w:sz w:val="14"/>
                <w:szCs w:val="14"/>
                <w:color w:val="auto"/>
              </w:rPr>
            </w:pPr>
          </w:p>
        </w:tc>
        <w:tc>
          <w:tcPr>
            <w:tcW w:w="1280" w:type="dxa"/>
            <w:vAlign w:val="bottom"/>
            <w:gridSpan w:val="2"/>
          </w:tcPr>
          <w:p>
            <w:pPr>
              <w:ind w:left="16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37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2,111</w:t>
            </w:r>
          </w:p>
        </w:tc>
        <w:tc>
          <w:tcPr>
            <w:tcW w:w="2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tcBorders>
            <w:shd w:val="clear" w:color="auto" w:fill="CCEEFF"/>
          </w:tcPr>
          <w:p>
            <w:pPr>
              <w:ind w:left="740"/>
              <w:spacing w:after="0"/>
              <w:rPr>
                <w:sz w:val="20"/>
                <w:szCs w:val="20"/>
                <w:color w:val="auto"/>
              </w:rPr>
            </w:pPr>
            <w:r>
              <w:rPr>
                <w:rFonts w:ascii="Arial" w:cs="Arial" w:eastAsia="Arial" w:hAnsi="Arial"/>
                <w:sz w:val="18"/>
                <w:szCs w:val="18"/>
                <w:color w:val="auto"/>
                <w:w w:val="84"/>
              </w:rPr>
              <w:t>16.89</w:t>
            </w:r>
          </w:p>
        </w:tc>
        <w:tc>
          <w:tcPr>
            <w:tcW w:w="140" w:type="dxa"/>
            <w:vAlign w:val="bottom"/>
            <w:tcBorders>
              <w:top w:val="single" w:sz="8" w:color="CCEEFF"/>
            </w:tcBorders>
            <w:shd w:val="clear" w:color="auto" w:fill="CCEEFF"/>
          </w:tcPr>
          <w:p>
            <w:pPr>
              <w:spacing w:after="0"/>
              <w:rPr>
                <w:sz w:val="18"/>
                <w:szCs w:val="18"/>
                <w:color w:val="auto"/>
              </w:rPr>
            </w:pPr>
          </w:p>
        </w:tc>
      </w:tr>
      <w:tr>
        <w:trPr>
          <w:trHeight w:val="216"/>
        </w:trPr>
        <w:tc>
          <w:tcPr>
            <w:tcW w:w="3700" w:type="dxa"/>
            <w:vAlign w:val="bottom"/>
          </w:tcPr>
          <w:p>
            <w:pPr>
              <w:ind w:left="180"/>
              <w:spacing w:after="0"/>
              <w:rPr>
                <w:sz w:val="20"/>
                <w:szCs w:val="20"/>
                <w:color w:val="auto"/>
              </w:rPr>
            </w:pPr>
            <w:r>
              <w:rPr>
                <w:rFonts w:ascii="Arial" w:cs="Arial" w:eastAsia="Arial" w:hAnsi="Arial"/>
                <w:sz w:val="18"/>
                <w:szCs w:val="18"/>
                <w:color w:val="auto"/>
              </w:rPr>
              <w:t>Granted</w:t>
            </w:r>
          </w:p>
        </w:tc>
        <w:tc>
          <w:tcPr>
            <w:tcW w:w="1660" w:type="dxa"/>
            <w:vAlign w:val="bottom"/>
            <w:gridSpan w:val="2"/>
          </w:tcPr>
          <w:p>
            <w:pPr>
              <w:jc w:val="right"/>
              <w:ind w:right="280"/>
              <w:spacing w:after="0"/>
              <w:rPr>
                <w:sz w:val="20"/>
                <w:szCs w:val="20"/>
                <w:color w:val="auto"/>
              </w:rPr>
            </w:pPr>
            <w:r>
              <w:rPr>
                <w:rFonts w:ascii="Arial" w:cs="Arial" w:eastAsia="Arial" w:hAnsi="Arial"/>
                <w:sz w:val="18"/>
                <w:szCs w:val="18"/>
                <w:color w:val="auto"/>
              </w:rPr>
              <w:t>2,261</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ind w:left="740"/>
              <w:spacing w:after="0"/>
              <w:rPr>
                <w:sz w:val="20"/>
                <w:szCs w:val="20"/>
                <w:color w:val="auto"/>
              </w:rPr>
            </w:pPr>
            <w:r>
              <w:rPr>
                <w:rFonts w:ascii="Arial" w:cs="Arial" w:eastAsia="Arial" w:hAnsi="Arial"/>
                <w:sz w:val="18"/>
                <w:szCs w:val="18"/>
                <w:color w:val="auto"/>
              </w:rPr>
              <w:t>11.24</w:t>
            </w:r>
          </w:p>
        </w:tc>
      </w:tr>
      <w:tr>
        <w:trPr>
          <w:trHeight w:val="216"/>
        </w:trPr>
        <w:tc>
          <w:tcPr>
            <w:tcW w:w="37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6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(367)</w:t>
            </w:r>
          </w:p>
        </w:tc>
        <w:tc>
          <w:tcPr>
            <w:tcW w:w="200" w:type="dxa"/>
            <w:vAlign w:val="bottom"/>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ind w:left="740"/>
              <w:spacing w:after="0"/>
              <w:rPr>
                <w:sz w:val="20"/>
                <w:szCs w:val="20"/>
                <w:color w:val="auto"/>
              </w:rPr>
            </w:pPr>
            <w:r>
              <w:rPr>
                <w:rFonts w:ascii="Arial" w:cs="Arial" w:eastAsia="Arial" w:hAnsi="Arial"/>
                <w:sz w:val="18"/>
                <w:szCs w:val="18"/>
                <w:color w:val="auto"/>
              </w:rPr>
              <w:t>13.01</w:t>
            </w:r>
          </w:p>
        </w:tc>
      </w:tr>
      <w:tr>
        <w:trPr>
          <w:trHeight w:val="216"/>
        </w:trPr>
        <w:tc>
          <w:tcPr>
            <w:tcW w:w="37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660" w:type="dxa"/>
            <w:vAlign w:val="bottom"/>
            <w:gridSpan w:val="2"/>
          </w:tcPr>
          <w:p>
            <w:pPr>
              <w:jc w:val="right"/>
              <w:ind w:right="220"/>
              <w:spacing w:after="0"/>
              <w:rPr>
                <w:sz w:val="20"/>
                <w:szCs w:val="20"/>
                <w:color w:val="auto"/>
              </w:rPr>
            </w:pPr>
            <w:r>
              <w:rPr>
                <w:rFonts w:ascii="Arial" w:cs="Arial" w:eastAsia="Arial" w:hAnsi="Arial"/>
                <w:sz w:val="18"/>
                <w:szCs w:val="18"/>
                <w:color w:val="auto"/>
              </w:rPr>
              <w:t>(84)</w:t>
            </w: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ind w:left="740"/>
              <w:spacing w:after="0"/>
              <w:rPr>
                <w:sz w:val="20"/>
                <w:szCs w:val="20"/>
                <w:color w:val="auto"/>
              </w:rPr>
            </w:pPr>
            <w:r>
              <w:rPr>
                <w:rFonts w:ascii="Arial" w:cs="Arial" w:eastAsia="Arial" w:hAnsi="Arial"/>
                <w:sz w:val="18"/>
                <w:szCs w:val="18"/>
                <w:color w:val="auto"/>
              </w:rPr>
              <w:t>14.22</w:t>
            </w:r>
          </w:p>
        </w:tc>
      </w:tr>
      <w:tr>
        <w:trPr>
          <w:trHeight w:val="217"/>
        </w:trPr>
        <w:tc>
          <w:tcPr>
            <w:tcW w:w="370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May 3, 2008</w:t>
            </w: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3,921</w:t>
            </w:r>
          </w:p>
        </w:tc>
        <w:tc>
          <w:tcPr>
            <w:tcW w:w="28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140" w:type="dxa"/>
            <w:vAlign w:val="bottom"/>
            <w:tcBorders>
              <w:top w:val="single" w:sz="8" w:color="auto"/>
              <w:bottom w:val="single" w:sz="8" w:color="auto"/>
            </w:tcBorders>
            <w:shd w:val="clear" w:color="auto" w:fill="CCEEFF"/>
          </w:tcPr>
          <w:p>
            <w:pPr>
              <w:ind w:left="740"/>
              <w:spacing w:after="0"/>
              <w:rPr>
                <w:sz w:val="20"/>
                <w:szCs w:val="20"/>
                <w:color w:val="auto"/>
              </w:rPr>
            </w:pPr>
            <w:r>
              <w:rPr>
                <w:rFonts w:ascii="Arial" w:cs="Arial" w:eastAsia="Arial" w:hAnsi="Arial"/>
                <w:sz w:val="18"/>
                <w:szCs w:val="18"/>
                <w:color w:val="auto"/>
                <w:w w:val="84"/>
              </w:rPr>
              <w:t>13.76</w:t>
            </w:r>
          </w:p>
        </w:tc>
        <w:tc>
          <w:tcPr>
            <w:tcW w:w="140" w:type="dxa"/>
            <w:vAlign w:val="bottom"/>
            <w:tcBorders>
              <w:top w:val="single" w:sz="8" w:color="CCEEFF"/>
              <w:bottom w:val="single" w:sz="8" w:color="CCEEFF"/>
            </w:tcBorders>
            <w:shd w:val="clear" w:color="auto" w:fill="CCEEFF"/>
          </w:tcPr>
          <w:p>
            <w:pPr>
              <w:spacing w:after="0"/>
              <w:rPr>
                <w:sz w:val="18"/>
                <w:szCs w:val="18"/>
                <w:color w:val="auto"/>
              </w:rPr>
            </w:pPr>
          </w:p>
        </w:tc>
      </w:tr>
    </w:tbl>
    <w:p>
      <w:pPr>
        <w:spacing w:after="0" w:line="202" w:lineRule="exact"/>
        <w:rPr>
          <w:sz w:val="20"/>
          <w:szCs w:val="20"/>
          <w:color w:val="auto"/>
        </w:rPr>
      </w:pPr>
    </w:p>
    <w:p>
      <w:pPr>
        <w:ind w:right="140" w:firstLine="243"/>
        <w:spacing w:after="0" w:line="286" w:lineRule="auto"/>
        <w:rPr>
          <w:sz w:val="20"/>
          <w:szCs w:val="20"/>
          <w:color w:val="auto"/>
        </w:rPr>
      </w:pPr>
      <w:r>
        <w:rPr>
          <w:rFonts w:ascii="Arial" w:cs="Arial" w:eastAsia="Arial" w:hAnsi="Arial"/>
          <w:sz w:val="17"/>
          <w:szCs w:val="17"/>
          <w:color w:val="auto"/>
        </w:rPr>
        <w:t>The Company’s current practice is to issue new shares to satisfy share option exercises. As of May 3, 2008, compensation costs related to nonvested awards not yet recognized amounted to $376.2 million. The unamortized compensation expense for stock options and restricted stock will be amortized on a straight-line basis and is expected to be recognized over a weighted-average period of 2.5 years and 1.5 years, respectively.</w:t>
      </w:r>
    </w:p>
    <w:p>
      <w:pPr>
        <w:spacing w:after="0" w:line="166" w:lineRule="exact"/>
        <w:rPr>
          <w:sz w:val="20"/>
          <w:szCs w:val="20"/>
          <w:color w:val="auto"/>
        </w:rPr>
      </w:pPr>
    </w:p>
    <w:p>
      <w:pPr>
        <w:ind w:right="100" w:firstLine="243"/>
        <w:spacing w:after="0" w:line="259" w:lineRule="auto"/>
        <w:rPr>
          <w:sz w:val="20"/>
          <w:szCs w:val="20"/>
          <w:color w:val="auto"/>
        </w:rPr>
      </w:pPr>
      <w:r>
        <w:rPr>
          <w:rFonts w:ascii="Arial" w:cs="Arial" w:eastAsia="Arial" w:hAnsi="Arial"/>
          <w:sz w:val="18"/>
          <w:szCs w:val="18"/>
          <w:color w:val="auto"/>
        </w:rPr>
        <w:t>The total tax benefit attributable to options exercised in the three months ended May 3, 2008 was $0.2 million and the excess tax benefits from stock-based compensation of $0.2 million as reported on the condensed consolidated statement of cash flows in financing activities. Such excess tax benefits represent the reduction in income taxes otherwise payable during the period, attributable to the actual gross tax benefits in excess of the expected tax benefits for options exercised in current and prior periods.</w:t>
      </w:r>
    </w:p>
    <w:p>
      <w:pPr>
        <w:spacing w:after="0" w:line="187" w:lineRule="exact"/>
        <w:rPr>
          <w:sz w:val="20"/>
          <w:szCs w:val="20"/>
          <w:color w:val="auto"/>
        </w:rPr>
      </w:pPr>
    </w:p>
    <w:p>
      <w:pPr>
        <w:ind w:left="340"/>
        <w:spacing w:after="0"/>
        <w:rPr>
          <w:sz w:val="20"/>
          <w:szCs w:val="20"/>
          <w:color w:val="auto"/>
        </w:rPr>
      </w:pPr>
      <w:r>
        <w:rPr>
          <w:rFonts w:ascii="Arial" w:cs="Arial" w:eastAsia="Arial" w:hAnsi="Arial"/>
          <w:sz w:val="18"/>
          <w:szCs w:val="18"/>
          <w:b w:val="1"/>
          <w:bCs w:val="1"/>
          <w:i w:val="1"/>
          <w:iCs w:val="1"/>
          <w:color w:val="auto"/>
        </w:rPr>
        <w:t>Stock Award Activity</w:t>
      </w:r>
    </w:p>
    <w:p>
      <w:pPr>
        <w:spacing w:after="0" w:line="225" w:lineRule="exact"/>
        <w:rPr>
          <w:sz w:val="20"/>
          <w:szCs w:val="20"/>
          <w:color w:val="auto"/>
        </w:rPr>
      </w:pPr>
    </w:p>
    <w:p>
      <w:pPr>
        <w:ind w:right="80" w:firstLine="247"/>
        <w:spacing w:after="0" w:line="259" w:lineRule="auto"/>
        <w:rPr>
          <w:sz w:val="20"/>
          <w:szCs w:val="20"/>
          <w:color w:val="auto"/>
        </w:rPr>
      </w:pPr>
      <w:r>
        <w:rPr>
          <w:rFonts w:ascii="Arial" w:cs="Arial" w:eastAsia="Arial" w:hAnsi="Arial"/>
          <w:sz w:val="18"/>
          <w:szCs w:val="18"/>
          <w:color w:val="auto"/>
        </w:rPr>
        <w:t>The Company has issued restricted stock awards to its employees under the Option Plan. Such awards generally vest over a period of five years from the date of grant. The restricted stock awards have the voting rights of common shares and the shares underlying the restricted stock are considered issued and outstanding. The Company expenses the cost of the restricted stock awards, which is determined to be the fair market value of the shares at the date of grant, ratably over the period during which the restrictions lapse.</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360"/>
        <w:spacing w:after="0" w:line="308" w:lineRule="auto"/>
        <w:rPr>
          <w:sz w:val="20"/>
          <w:szCs w:val="20"/>
          <w:color w:val="auto"/>
        </w:rPr>
      </w:pPr>
      <w:r>
        <w:rPr>
          <w:rFonts w:ascii="Arial" w:cs="Arial" w:eastAsia="Arial" w:hAnsi="Arial"/>
          <w:sz w:val="17"/>
          <w:szCs w:val="17"/>
          <w:color w:val="auto"/>
        </w:rPr>
        <w:t>The grant of restricted stock awards is deducted from the shares available for grant under the Option Plan. Restricted stock activity under the Company’s stock option plans for the three months ended May 3, 2008 is summarized below (in thousands, except per share amounts):</w:t>
      </w:r>
    </w:p>
    <w:p>
      <w:pPr>
        <w:spacing w:after="0" w:line="126"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5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9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520" w:type="dxa"/>
            <w:vAlign w:val="bottom"/>
            <w:vMerge w:val="restart"/>
          </w:tcPr>
          <w:p>
            <w:pPr>
              <w:jc w:val="center"/>
              <w:ind w:left="268"/>
              <w:spacing w:after="0"/>
              <w:rPr>
                <w:sz w:val="20"/>
                <w:szCs w:val="20"/>
                <w:color w:val="auto"/>
              </w:rPr>
            </w:pPr>
            <w:r>
              <w:rPr>
                <w:rFonts w:ascii="Arial" w:cs="Arial" w:eastAsia="Arial" w:hAnsi="Arial"/>
                <w:sz w:val="14"/>
                <w:szCs w:val="14"/>
                <w:b w:val="1"/>
                <w:bCs w:val="1"/>
                <w:color w:val="auto"/>
                <w:w w:val="92"/>
              </w:rPr>
              <w:t>Restricted Stock</w:t>
            </w: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56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4"/>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52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56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4"/>
              </w:rPr>
              <w:t>Grant Date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520" w:type="dxa"/>
            <w:vAlign w:val="bottom"/>
          </w:tcPr>
          <w:p>
            <w:pPr>
              <w:jc w:val="center"/>
              <w:ind w:left="268"/>
              <w:spacing w:after="0"/>
              <w:rPr>
                <w:sz w:val="20"/>
                <w:szCs w:val="20"/>
                <w:color w:val="auto"/>
              </w:rPr>
            </w:pPr>
            <w:r>
              <w:rPr>
                <w:rFonts w:ascii="Arial" w:cs="Arial" w:eastAsia="Arial" w:hAnsi="Arial"/>
                <w:sz w:val="14"/>
                <w:szCs w:val="14"/>
                <w:b w:val="1"/>
                <w:bCs w:val="1"/>
                <w:color w:val="auto"/>
                <w:w w:val="94"/>
              </w:rPr>
              <w:t>Outstanding</w:t>
            </w:r>
          </w:p>
        </w:tc>
        <w:tc>
          <w:tcPr>
            <w:tcW w:w="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560" w:type="dxa"/>
            <w:vAlign w:val="bottom"/>
            <w:gridSpan w:val="3"/>
          </w:tcPr>
          <w:p>
            <w:pPr>
              <w:jc w:val="center"/>
              <w:ind w:right="400"/>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5140" w:type="dxa"/>
            <w:vAlign w:val="bottom"/>
          </w:tcPr>
          <w:p>
            <w:pPr>
              <w:spacing w:after="0"/>
              <w:rPr>
                <w:sz w:val="18"/>
                <w:szCs w:val="18"/>
                <w:color w:val="auto"/>
              </w:rPr>
            </w:pPr>
          </w:p>
        </w:tc>
        <w:tc>
          <w:tcPr>
            <w:tcW w:w="1520" w:type="dxa"/>
            <w:vAlign w:val="bottom"/>
            <w:tcBorders>
              <w:top w:val="single" w:sz="8" w:color="auto"/>
            </w:tcBorders>
          </w:tcPr>
          <w:p>
            <w:pPr>
              <w:spacing w:after="0"/>
              <w:rPr>
                <w:sz w:val="18"/>
                <w:szCs w:val="18"/>
                <w:color w:val="auto"/>
              </w:rPr>
            </w:pPr>
          </w:p>
        </w:tc>
        <w:tc>
          <w:tcPr>
            <w:tcW w:w="320" w:type="dxa"/>
            <w:vAlign w:val="bottom"/>
            <w:tcBorders>
              <w:top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00" w:type="dxa"/>
            <w:vAlign w:val="bottom"/>
            <w:tcBorders>
              <w:top w:val="single" w:sz="8" w:color="auto"/>
            </w:tcBorders>
          </w:tcPr>
          <w:p>
            <w:pPr>
              <w:spacing w:after="0"/>
              <w:rPr>
                <w:sz w:val="18"/>
                <w:szCs w:val="18"/>
                <w:color w:val="auto"/>
              </w:rPr>
            </w:pPr>
          </w:p>
        </w:tc>
        <w:tc>
          <w:tcPr>
            <w:tcW w:w="1480" w:type="dxa"/>
            <w:vAlign w:val="bottom"/>
            <w:tcBorders>
              <w:top w:val="single" w:sz="8" w:color="auto"/>
            </w:tcBorders>
          </w:tcPr>
          <w:p>
            <w:pPr>
              <w:spacing w:after="0"/>
              <w:rPr>
                <w:sz w:val="18"/>
                <w:szCs w:val="18"/>
                <w:color w:val="auto"/>
              </w:rPr>
            </w:pP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6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Balance at February 3, 2008</w:t>
            </w:r>
          </w:p>
        </w:tc>
        <w:tc>
          <w:tcPr>
            <w:tcW w:w="5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87</w:t>
            </w:r>
          </w:p>
        </w:tc>
        <w:tc>
          <w:tcPr>
            <w:tcW w:w="320" w:type="dxa"/>
            <w:vAlign w:val="bottom"/>
            <w:gridSpan w:val="2"/>
            <w:shd w:val="clear" w:color="auto" w:fill="CCEEFF"/>
          </w:tcPr>
          <w:p>
            <w:pPr>
              <w:jc w:val="right"/>
              <w:ind w:right="190"/>
              <w:spacing w:after="0"/>
              <w:rPr>
                <w:sz w:val="20"/>
                <w:szCs w:val="20"/>
                <w:color w:val="auto"/>
              </w:rPr>
            </w:pPr>
            <w:r>
              <w:rPr>
                <w:rFonts w:ascii="Arial" w:cs="Arial" w:eastAsia="Arial" w:hAnsi="Arial"/>
                <w:sz w:val="15"/>
                <w:szCs w:val="15"/>
                <w:color w:val="auto"/>
                <w:w w:val="71"/>
              </w:rPr>
              <w:t>$</w:t>
            </w:r>
          </w:p>
        </w:tc>
        <w:tc>
          <w:tcPr>
            <w:tcW w:w="1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32.20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tcPr>
          <w:p>
            <w:pPr>
              <w:ind w:left="160"/>
              <w:spacing w:after="0"/>
              <w:rPr>
                <w:sz w:val="20"/>
                <w:szCs w:val="20"/>
                <w:color w:val="auto"/>
              </w:rPr>
            </w:pPr>
            <w:r>
              <w:rPr>
                <w:rFonts w:ascii="Arial" w:cs="Arial" w:eastAsia="Arial" w:hAnsi="Arial"/>
                <w:sz w:val="18"/>
                <w:szCs w:val="18"/>
                <w:color w:val="auto"/>
              </w:rPr>
              <w:t>Restricted stock granted</w:t>
            </w:r>
          </w:p>
        </w:tc>
        <w:tc>
          <w:tcPr>
            <w:tcW w:w="560" w:type="dxa"/>
            <w:vAlign w:val="bottom"/>
            <w:gridSpan w:val="2"/>
          </w:tcPr>
          <w:p>
            <w:pPr>
              <w:jc w:val="right"/>
              <w:ind w:right="240"/>
              <w:spacing w:after="0"/>
              <w:rPr>
                <w:sz w:val="20"/>
                <w:szCs w:val="20"/>
                <w:color w:val="auto"/>
              </w:rPr>
            </w:pPr>
            <w:r>
              <w:rPr>
                <w:rFonts w:ascii="Arial" w:cs="Arial" w:eastAsia="Arial" w:hAnsi="Arial"/>
                <w:sz w:val="18"/>
                <w:szCs w:val="18"/>
                <w:color w:val="auto"/>
              </w:rPr>
              <w:t>85</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gridSpan w:val="2"/>
          </w:tcPr>
          <w:p>
            <w:pPr>
              <w:jc w:val="right"/>
              <w:ind w:right="20"/>
              <w:spacing w:after="0"/>
              <w:rPr>
                <w:sz w:val="20"/>
                <w:szCs w:val="20"/>
                <w:color w:val="auto"/>
              </w:rPr>
            </w:pPr>
            <w:r>
              <w:rPr>
                <w:rFonts w:ascii="Arial" w:cs="Arial" w:eastAsia="Arial" w:hAnsi="Arial"/>
                <w:sz w:val="18"/>
                <w:szCs w:val="18"/>
                <w:color w:val="auto"/>
              </w:rPr>
              <w:t>10.88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Restricted stock forfeited</w:t>
            </w:r>
          </w:p>
        </w:tc>
        <w:tc>
          <w:tcPr>
            <w:tcW w:w="5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5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60" w:type="dxa"/>
            <w:vAlign w:val="bottom"/>
            <w:gridSpan w:val="2"/>
          </w:tcPr>
          <w:p>
            <w:pPr>
              <w:ind w:left="160"/>
              <w:spacing w:after="0"/>
              <w:rPr>
                <w:sz w:val="20"/>
                <w:szCs w:val="20"/>
                <w:color w:val="auto"/>
              </w:rPr>
            </w:pPr>
            <w:r>
              <w:rPr>
                <w:rFonts w:ascii="Arial" w:cs="Arial" w:eastAsia="Arial" w:hAnsi="Arial"/>
                <w:sz w:val="18"/>
                <w:szCs w:val="18"/>
                <w:color w:val="auto"/>
              </w:rPr>
              <w:t>Restricted stock vested</w:t>
            </w:r>
          </w:p>
        </w:tc>
        <w:tc>
          <w:tcPr>
            <w:tcW w:w="560" w:type="dxa"/>
            <w:vAlign w:val="bottom"/>
            <w:gridSpan w:val="2"/>
          </w:tcPr>
          <w:p>
            <w:pPr>
              <w:jc w:val="right"/>
              <w:ind w:right="180"/>
              <w:spacing w:after="0"/>
              <w:rPr>
                <w:sz w:val="20"/>
                <w:szCs w:val="20"/>
                <w:color w:val="auto"/>
              </w:rPr>
            </w:pPr>
            <w:r>
              <w:rPr>
                <w:rFonts w:ascii="Arial" w:cs="Arial" w:eastAsia="Arial" w:hAnsi="Arial"/>
                <w:sz w:val="18"/>
                <w:szCs w:val="18"/>
                <w:color w:val="auto"/>
              </w:rPr>
              <w:t>(93)</w:t>
            </w:r>
          </w:p>
        </w:tc>
        <w:tc>
          <w:tcPr>
            <w:tcW w:w="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500" w:type="dxa"/>
            <w:vAlign w:val="bottom"/>
            <w:gridSpan w:val="2"/>
          </w:tcPr>
          <w:p>
            <w:pPr>
              <w:jc w:val="right"/>
              <w:ind w:right="20"/>
              <w:spacing w:after="0"/>
              <w:rPr>
                <w:sz w:val="20"/>
                <w:szCs w:val="20"/>
                <w:color w:val="auto"/>
              </w:rPr>
            </w:pPr>
            <w:r>
              <w:rPr>
                <w:rFonts w:ascii="Arial" w:cs="Arial" w:eastAsia="Arial" w:hAnsi="Arial"/>
                <w:sz w:val="18"/>
                <w:szCs w:val="18"/>
                <w:color w:val="auto"/>
              </w:rPr>
              <w:t>12.73</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40" w:type="dxa"/>
            <w:vAlign w:val="bottom"/>
            <w:tcBorders>
              <w:top w:val="single" w:sz="8" w:color="CCEEFF"/>
            </w:tcBorders>
            <w:shd w:val="clear" w:color="auto" w:fill="CCEEFF"/>
          </w:tcPr>
          <w:p>
            <w:pPr>
              <w:spacing w:after="0"/>
              <w:rPr>
                <w:sz w:val="18"/>
                <w:szCs w:val="18"/>
                <w:color w:val="auto"/>
              </w:rPr>
            </w:pPr>
          </w:p>
        </w:tc>
        <w:tc>
          <w:tcPr>
            <w:tcW w:w="1520" w:type="dxa"/>
            <w:vAlign w:val="bottom"/>
            <w:tcBorders>
              <w:top w:val="single" w:sz="8" w:color="auto"/>
              <w:bottom w:val="single" w:sz="8" w:color="auto"/>
            </w:tcBorders>
            <w:shd w:val="clear" w:color="auto" w:fill="CCEEFF"/>
          </w:tcPr>
          <w:p>
            <w:pPr>
              <w:spacing w:after="0"/>
              <w:rPr>
                <w:sz w:val="18"/>
                <w:szCs w:val="18"/>
                <w:color w:val="auto"/>
              </w:rPr>
            </w:pPr>
          </w:p>
        </w:tc>
        <w:tc>
          <w:tcPr>
            <w:tcW w:w="320" w:type="dxa"/>
            <w:vAlign w:val="bottom"/>
            <w:tcBorders>
              <w:top w:val="single" w:sz="8" w:color="auto"/>
              <w:bottom w:val="single" w:sz="8" w:color="auto"/>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auto"/>
              <w:bottom w:val="single" w:sz="8" w:color="auto"/>
            </w:tcBorders>
            <w:shd w:val="clear" w:color="auto" w:fill="CCEEFF"/>
          </w:tcPr>
          <w:p>
            <w:pPr>
              <w:spacing w:after="0"/>
              <w:rPr>
                <w:sz w:val="18"/>
                <w:szCs w:val="18"/>
                <w:color w:val="auto"/>
              </w:rPr>
            </w:pPr>
          </w:p>
        </w:tc>
        <w:tc>
          <w:tcPr>
            <w:tcW w:w="1480" w:type="dxa"/>
            <w:vAlign w:val="bottom"/>
            <w:tcBorders>
              <w:top w:val="single" w:sz="8" w:color="auto"/>
              <w:bottom w:val="single" w:sz="8" w:color="auto"/>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Balance at May 3, 2008</w:t>
            </w:r>
          </w:p>
        </w:tc>
        <w:tc>
          <w:tcPr>
            <w:tcW w:w="1520" w:type="dxa"/>
            <w:vAlign w:val="bottom"/>
            <w:tcBorders>
              <w:bottom w:val="single" w:sz="8" w:color="auto"/>
            </w:tcBorders>
          </w:tcPr>
          <w:p>
            <w:pPr>
              <w:spacing w:after="0"/>
              <w:rPr>
                <w:sz w:val="18"/>
                <w:szCs w:val="18"/>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w:t>
            </w:r>
          </w:p>
        </w:tc>
        <w:tc>
          <w:tcPr>
            <w:tcW w:w="24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300" w:type="dxa"/>
            <w:vAlign w:val="bottom"/>
            <w:tcBorders>
              <w:bottom w:val="single" w:sz="8" w:color="auto"/>
            </w:tcBorders>
          </w:tcPr>
          <w:p>
            <w:pPr>
              <w:jc w:val="right"/>
              <w:ind w:right="190"/>
              <w:spacing w:after="0"/>
              <w:rPr>
                <w:sz w:val="20"/>
                <w:szCs w:val="20"/>
                <w:color w:val="auto"/>
              </w:rPr>
            </w:pPr>
            <w:r>
              <w:rPr>
                <w:rFonts w:ascii="Arial" w:cs="Arial" w:eastAsia="Arial" w:hAnsi="Arial"/>
                <w:sz w:val="10"/>
                <w:szCs w:val="10"/>
                <w:color w:val="auto"/>
                <w:w w:val="71"/>
              </w:rPr>
              <w:t>$</w:t>
            </w:r>
          </w:p>
        </w:tc>
        <w:tc>
          <w:tcPr>
            <w:tcW w:w="1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32.19</w:t>
            </w:r>
          </w:p>
        </w:tc>
        <w:tc>
          <w:tcPr>
            <w:tcW w:w="20" w:type="dxa"/>
            <w:vAlign w:val="bottom"/>
            <w:tcBorders>
              <w:bottom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Based on the closing price of the Company’s stock of $13.33 on May 2, 2008, the total pretax intrinsic value of all outstanding restricted stock was $1.0 million.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Taxes</w:t>
      </w:r>
    </w:p>
    <w:p>
      <w:pPr>
        <w:spacing w:after="0" w:line="229" w:lineRule="exact"/>
        <w:rPr>
          <w:sz w:val="20"/>
          <w:szCs w:val="20"/>
          <w:color w:val="auto"/>
        </w:rPr>
      </w:pPr>
    </w:p>
    <w:p>
      <w:pPr>
        <w:ind w:right="200" w:firstLine="243"/>
        <w:spacing w:after="0" w:line="312" w:lineRule="auto"/>
        <w:rPr>
          <w:sz w:val="20"/>
          <w:szCs w:val="20"/>
          <w:color w:val="auto"/>
        </w:rPr>
      </w:pPr>
      <w:r>
        <w:rPr>
          <w:rFonts w:ascii="Arial" w:cs="Arial" w:eastAsia="Arial" w:hAnsi="Arial"/>
          <w:sz w:val="16"/>
          <w:szCs w:val="16"/>
          <w:color w:val="auto"/>
        </w:rPr>
        <w:t>For the three months ended May 3, 2008 and April 28, 2007, the Company’s effective tax rate was an income tax expense of 10.9% and an income tax expense of (12.7)%, respectively. The income tax provision for these periods was affected by non-tax-deductible expenses such as SFAS 123R stock-based compensation expense, amortization of acquired intangibles and accrual of unrecognized tax benefits, interest and penalties associated with FIN 48.</w:t>
      </w:r>
    </w:p>
    <w:p>
      <w:pPr>
        <w:spacing w:after="0" w:line="147"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Our total unrecognized tax benefits as of May 3, 2008 and February 2, 2008 were $114.3 million and $109.7 million, respectively. During the three months ended May 3, 2008, there was a reversal of a FIN 48 reserve due to the lapse of a statute of limitations in the amount of $0.8 million which includes penalty and interest. However, overall there was a net $4.6 million increase in unrecognized tax benefits, penalties and interest during the three months ended May 3, 2008. The net increase was primarily due to uncertain tax positions on our international structure. If recognized, all of the FIN 48 liabilities recorded as of the date of adoption will impact the effective tax rate.</w:t>
      </w:r>
    </w:p>
    <w:p>
      <w:pPr>
        <w:spacing w:after="0" w:line="188" w:lineRule="exact"/>
        <w:rPr>
          <w:sz w:val="20"/>
          <w:szCs w:val="20"/>
          <w:color w:val="auto"/>
        </w:rPr>
      </w:pPr>
    </w:p>
    <w:p>
      <w:pPr>
        <w:ind w:right="380" w:firstLine="243"/>
        <w:spacing w:after="0" w:line="277" w:lineRule="auto"/>
        <w:rPr>
          <w:sz w:val="20"/>
          <w:szCs w:val="20"/>
          <w:color w:val="auto"/>
        </w:rPr>
      </w:pPr>
      <w:r>
        <w:rPr>
          <w:rFonts w:ascii="Arial" w:cs="Arial" w:eastAsia="Arial" w:hAnsi="Arial"/>
          <w:sz w:val="18"/>
          <w:szCs w:val="18"/>
          <w:color w:val="auto"/>
        </w:rPr>
        <w:t>In accordance with the Company’s accounting policy, the Company recognizes accrued interest and penalties related to unrecognized tax benefits as a component of income tax provision. This policy did not change as a result of the adoption of FIN 48.</w:t>
      </w:r>
    </w:p>
    <w:p>
      <w:pPr>
        <w:spacing w:after="0" w:line="170" w:lineRule="exact"/>
        <w:rPr>
          <w:sz w:val="20"/>
          <w:szCs w:val="20"/>
          <w:color w:val="auto"/>
        </w:rPr>
      </w:pPr>
    </w:p>
    <w:p>
      <w:pPr>
        <w:ind w:right="20" w:firstLine="243"/>
        <w:spacing w:after="0" w:line="287" w:lineRule="auto"/>
        <w:rPr>
          <w:sz w:val="20"/>
          <w:szCs w:val="20"/>
          <w:color w:val="auto"/>
        </w:rPr>
      </w:pPr>
      <w:r>
        <w:rPr>
          <w:rFonts w:ascii="Arial" w:cs="Arial" w:eastAsia="Arial" w:hAnsi="Arial"/>
          <w:sz w:val="16"/>
          <w:szCs w:val="16"/>
          <w:color w:val="auto"/>
        </w:rPr>
        <w:t>The Company conducts business globally and, as a result, one or more of its subsidiaries file income tax returns in the U.S. federal jurisdiction and various state and foreign jurisdictions. The Company is subject to examination by tax authorities throughout the world, including such major jurisdictions as Singapore, Japan, Taiwan, China, India, Germany, Israel, Netherlands, Switzerland, the United Kingdom, Canada, Malaysia, and the United States. The Company is subject to foreign income tax examinations for years beginning with fiscal year 2002 and for U.S. income tax examinations beginning with fiscal year 2004. The U.S. subsidiaries are currently under audit by the U.S. tax authorities for the fiscal years 2004, 2005 and 2006, which audit work is completed and the results are currently under review by the IRS national office. The U.S. tax authorities are also reviewing employment taxes with regard to the re-measured stock options. During the three months ended May 3, 2008, one of the Company’s foreign subsidiaries was notified by tax authorities that it would begin an income tax audit for fiscal years 2004, 2005 and 2006. The audit field work was completed just after May 3, 2008, with no adjustments to the 2004, 2005 and 2006 years as filed. The audit also covered the employment taxes with regard to the re-measured stock options, and the taxing authorities found that the employment taxes had been adequately provided. The Company believes that it has adequately provided for all issues related to these examinations and the ultimate disposition of these matters is unlikely to have a material adverse affect on our consolidated financial position.</w:t>
      </w: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04" w:right="239" w:bottom="383" w:gutter="0" w:footer="0" w:header="0"/>
        </w:sectPr>
      </w:pPr>
    </w:p>
    <w:bookmarkStart w:id="16" w:name="page17"/>
    <w:bookmarkEnd w:id="16"/>
    <w:p>
      <w:pPr>
        <w:spacing w:after="0" w:line="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Related Party Transactions</w:t>
      </w:r>
    </w:p>
    <w:p>
      <w:pPr>
        <w:spacing w:after="0" w:line="229" w:lineRule="exact"/>
        <w:rPr>
          <w:sz w:val="20"/>
          <w:szCs w:val="20"/>
          <w:color w:val="auto"/>
        </w:rPr>
      </w:pPr>
    </w:p>
    <w:p>
      <w:pPr>
        <w:ind w:firstLine="259"/>
        <w:spacing w:after="0" w:line="255" w:lineRule="auto"/>
        <w:rPr>
          <w:sz w:val="20"/>
          <w:szCs w:val="20"/>
          <w:color w:val="auto"/>
        </w:rPr>
      </w:pPr>
      <w:r>
        <w:rPr>
          <w:rFonts w:ascii="Arial" w:cs="Arial" w:eastAsia="Arial" w:hAnsi="Arial"/>
          <w:sz w:val="18"/>
          <w:szCs w:val="18"/>
          <w:color w:val="auto"/>
        </w:rPr>
        <w:t>During fiscal 2008, the Company incurred $0.1 million expenses from an unrelated third-party entity, ACM Aviation, Inc. (“ACM”), for charter aircraft services provided to Marvell Semiconductor, Inc. (“MSI”) for Estopia Air LLC (“Estopia Air”). The aircraft provided by ACM to the Company for such services is owned by Estopia Air. The Company’s Chairman, President and Chief Executive Officer, Dr. Sehat Sutardja, and the Company’s Vice President of Sales for Communications and Consumer Business of MSI, Weili Dai, through their control and ownership of Estopia Air, own the aircraft provided by ACM. Expenses charged by ACM for business travel use of the aircraft are at a cost determined to be at fair market value. There was no expense incurred in the first quarter of fiscal 2009 or 2008.</w:t>
      </w:r>
    </w:p>
    <w:p>
      <w:pPr>
        <w:spacing w:after="0" w:line="193" w:lineRule="exact"/>
        <w:rPr>
          <w:sz w:val="20"/>
          <w:szCs w:val="20"/>
          <w:color w:val="auto"/>
        </w:rPr>
      </w:pPr>
    </w:p>
    <w:p>
      <w:pPr>
        <w:ind w:right="180" w:firstLine="243"/>
        <w:spacing w:after="0" w:line="271" w:lineRule="auto"/>
        <w:rPr>
          <w:sz w:val="20"/>
          <w:szCs w:val="20"/>
          <w:color w:val="auto"/>
        </w:rPr>
      </w:pPr>
      <w:r>
        <w:rPr>
          <w:rFonts w:ascii="Arial" w:cs="Arial" w:eastAsia="Arial" w:hAnsi="Arial"/>
          <w:sz w:val="17"/>
          <w:szCs w:val="17"/>
          <w:color w:val="auto"/>
        </w:rPr>
        <w:t>On August 19, 2005, the Company, through its subsidiaries MSI and Marvell International Ltd. (“Marvell International”), entered into a License and Manufacturing Services Agreement (the “License Agreement”) with C2 Microsystems, Inc. (“C2Micro”). The License Agreement has substantially similar terms as other license and manufacturing services agreements with other third parties. The Company recognized $1.2 million of revenue under the License Agreement with C2 Micro during the first quarter of fiscal 2009 and $30,000 of revenue during the first quarter of fiscal 2008. As of May 3, 2008, the Company had a receivable of $0.8 million from C2Micro. Dr. Sehat Sutardja, and Weili Dai, through their ownership and control of Estopia LLC (“Estopia”), are indirect shareholders of C2Micro. Kuo Wei (Herbert) Chang, a member of the Company’s Board of Directors, through his ownership and control of C-Squared venture entities, is also an indirect shareholder of C2Micro. Dr. Pantas Sutardja, the Company’s Vice President, Chief Technology Officer, Acting Chief Operating Officer and Chief Research and Development Officer, is also a shareholder of C2Micro.</w:t>
      </w:r>
    </w:p>
    <w:p>
      <w:pPr>
        <w:spacing w:after="0" w:line="179" w:lineRule="exact"/>
        <w:rPr>
          <w:sz w:val="20"/>
          <w:szCs w:val="20"/>
          <w:color w:val="auto"/>
        </w:rPr>
      </w:pPr>
    </w:p>
    <w:p>
      <w:pPr>
        <w:ind w:right="60" w:firstLine="324"/>
        <w:spacing w:after="0" w:line="276" w:lineRule="auto"/>
        <w:rPr>
          <w:sz w:val="20"/>
          <w:szCs w:val="20"/>
          <w:color w:val="auto"/>
        </w:rPr>
      </w:pPr>
      <w:r>
        <w:rPr>
          <w:rFonts w:ascii="Arial" w:cs="Arial" w:eastAsia="Arial" w:hAnsi="Arial"/>
          <w:sz w:val="17"/>
          <w:szCs w:val="17"/>
          <w:color w:val="auto"/>
        </w:rPr>
        <w:t>On January 8, 2007, the Company, through Marvell International, entered into a Library/IP/Software Evaluation License Agreement (the “Evaluation License Agreement”) with VeriSilicon Holdings Co., Ltd. (“VeriSilicon”). The Evaluation License Agreement has no consideration. The Company also incurred $66,000 and $72,000 of royalty expense from VeriSilicon under a core license agreement assumed from its acquisition of the semiconductor design business of UTStarcom, Inc. during the first quarter of fiscal 2009 and 2008, respectively. Weili Dai’s brother (and Dr. Sehat Sutardja’s brother-in-law) is the Chairman, President and Chief Executive Officer of VeriSilicon. Ms. Dai is also a shareholder of VeriSilicon.</w:t>
      </w:r>
    </w:p>
    <w:p>
      <w:pPr>
        <w:spacing w:after="0" w:line="173" w:lineRule="exact"/>
        <w:rPr>
          <w:sz w:val="20"/>
          <w:szCs w:val="20"/>
          <w:color w:val="auto"/>
        </w:rPr>
      </w:pPr>
    </w:p>
    <w:p>
      <w:pPr>
        <w:ind w:firstLine="324"/>
        <w:spacing w:after="0" w:line="270" w:lineRule="auto"/>
        <w:rPr>
          <w:sz w:val="20"/>
          <w:szCs w:val="20"/>
          <w:color w:val="auto"/>
        </w:rPr>
      </w:pPr>
      <w:r>
        <w:rPr>
          <w:rFonts w:ascii="Arial" w:cs="Arial" w:eastAsia="Arial" w:hAnsi="Arial"/>
          <w:sz w:val="17"/>
          <w:szCs w:val="17"/>
          <w:color w:val="auto"/>
        </w:rPr>
        <w:t>On September 6, 2007, the Company, through Marvell International, entered into a Technology Evaluation Agreement (the “Evaluation Agreement”) with Vivante Corporation (“Vivante”). The Evaluation Agreement has no consideration. On September 28, 2007, the Company also entered into a Memorandum of Understanding (“MOU”) with Vivante to set forth the main principles for a good faith negotiation of a license agreement. The MOU has no consideration. On October 31, 2007, the Company entered into a License Agreement with Vivante. The License Agreement has substantially similar terms as other license agreements with other third parties. The Company recorded $0.2 million of expense during the first quarter of fiscal 2009 in connection with the License Agreement with Vivante.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82" w:lineRule="exact"/>
        <w:rPr>
          <w:sz w:val="20"/>
          <w:szCs w:val="20"/>
          <w:color w:val="auto"/>
        </w:rPr>
      </w:pPr>
    </w:p>
    <w:p>
      <w:pPr>
        <w:ind w:right="120" w:firstLine="324"/>
        <w:spacing w:after="0" w:line="273" w:lineRule="auto"/>
        <w:rPr>
          <w:sz w:val="20"/>
          <w:szCs w:val="20"/>
          <w:color w:val="auto"/>
        </w:rPr>
      </w:pPr>
      <w:r>
        <w:rPr>
          <w:rFonts w:ascii="Arial" w:cs="Arial" w:eastAsia="Arial" w:hAnsi="Arial"/>
          <w:sz w:val="17"/>
          <w:szCs w:val="17"/>
          <w:color w:val="auto"/>
        </w:rPr>
        <w:t>On September 28, 2007, the Company, through Marvell International, entered into a Master Technology Agreement (the “Technology Agreement”) with Sonics, Inc. (“Sonics”), pursuant to which the Company licensed technology from Sonics. The Technology Agreement has substantially similar terms as other license agreements with other third parties. The Company paid $2.1 million under the Technology Agreement for the license and related maintenance during fiscal 2008. Kuo Wei (Herbert) Chang, member of the Company’s Board of Directors and Mike Sophie, former member of the Company’s Board of Directors, both serve as members of the board of directors of Sonics and each has a direct and/or indirect ownership interest in the equity of Sonics. There was no expense incurred in the first quarter of fiscal 2009 or 2008.</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spacing w:after="0"/>
        <w:rPr>
          <w:sz w:val="20"/>
          <w:szCs w:val="20"/>
          <w:color w:val="auto"/>
        </w:rPr>
      </w:pPr>
      <w:r>
        <w:rPr>
          <w:rFonts w:ascii="Arial" w:cs="Arial" w:eastAsia="Arial" w:hAnsi="Arial"/>
          <w:sz w:val="17"/>
          <w:szCs w:val="17"/>
          <w:i w:val="1"/>
          <w:iCs w:val="1"/>
          <w:color w:val="auto"/>
        </w:rPr>
        <w:t>The statements contained in this Quarterly Report on Form 10-Q that are not purely historical are forward-looking statements within the meaning of</w:t>
      </w:r>
    </w:p>
    <w:p>
      <w:pPr>
        <w:spacing w:after="0" w:line="35" w:lineRule="exact"/>
        <w:rPr>
          <w:sz w:val="20"/>
          <w:szCs w:val="20"/>
          <w:color w:val="auto"/>
        </w:rPr>
      </w:pPr>
    </w:p>
    <w:p>
      <w:pPr>
        <w:ind w:right="20"/>
        <w:spacing w:after="0" w:line="283" w:lineRule="auto"/>
        <w:rPr>
          <w:sz w:val="20"/>
          <w:szCs w:val="20"/>
          <w:color w:val="auto"/>
        </w:rPr>
      </w:pPr>
      <w:r>
        <w:rPr>
          <w:rFonts w:ascii="Arial" w:cs="Arial" w:eastAsia="Arial" w:hAnsi="Arial"/>
          <w:sz w:val="16"/>
          <w:szCs w:val="16"/>
          <w:i w:val="1"/>
          <w:iCs w:val="1"/>
          <w:color w:val="auto"/>
        </w:rPr>
        <w:t>Section 27A of the Securities Exchange Act of 1933, as amended (the “Securities Act”), and Section 21E of the Securities Exchange Act of 1934, as amended (the “Exchange Act”), including statements regarding our expectations, beliefs, intentions or strategies regarding the future. Words such as “anticipates,” “expects,” “intends,” “plans,” “believes,” “seeks,” “estimates,” “can,” and similar expressions identify such forward-looking statements. These are statements that relate to future periods and include statements relating to our anticipation that the rate of new orders and shipments will vary significantly from quarter to quarter; industry trends; our anticipation that the total amount of sales through distributors will increase in future periods; our expectation that a significant percentage of our sales will continue to come from direct sales to key customers; our expectations regarding the number of days in inventory, inventory levels and levels of accounts receivable; our expectations regarding competition; our intention to reduce product costs to offset decreases in average selling prices; our continued efforts relating to the protection of our intellectual property; our expectations regarding the amount of customer concentration in the future; our expectations regarding the amount of our future sales in Asia; our intention to continue to invest significant resources for research and development; our expectation regarding the effect of auction rate securities on our working capital needs or other requirements; our expected cost savings from the restructuring in the fourth quarter of fiscal 2008;our expected results, cash flows, and expenses, including those related to research and development, sales and marketing and general and administrative; our intention to complete acquired in-process research and development projects; our intention to make acquisitions, investments, strategic alliances and joint ventures; our expectations regarding revenue, sources of revenue and make-up of revenue; our expectations regarding the impact of legal proceedings and claims; our expectations regarding the adequacy of our capital resources to meet our capital needs; our plan to attract and retain highly skilled personnel; our expectations regarding the growth in business and operations; our expectations regarding our compliance with SEC periodic reporting requirements; our expectations regarding the impact of the restatement of our financial statements in connection with the internal review of our historic stock option granting practices; our plans regarding remediation of 2007 material weakness and expectations regarding the effectiveness of those remediation efforts; our plan regarding forward exchange contracts; and the effect of recent accounting pronouncements and changes in taxation rules.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the impact of international conflict and continued economic volatility in either domestic or foreign markets; the outcome and impact of the litigation related to our historic stock option granting practices; our dependence upon the hard disk drive industry which is highly cyclical; our ability to scale our operations in response to changes in demand for existing or new products and services; our maintenance of an effective system of internal controls; our dependence on a small number of customers; our ability to develop new and enhanced products;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w:t>
      </w:r>
    </w:p>
    <w:p>
      <w:pPr>
        <w:sectPr>
          <w:pgSz w:w="11900" w:h="16854" w:orient="portrait"/>
          <w:cols w:equalWidth="0" w:num="1">
            <w:col w:w="11420"/>
          </w:cols>
          <w:pgMar w:left="240" w:top="121" w:right="239" w:bottom="0" w:gutter="0" w:footer="0" w:header="0"/>
        </w:sectPr>
      </w:pPr>
    </w:p>
    <w:bookmarkStart w:id="17" w:name="page18"/>
    <w:bookmarkEnd w:id="17"/>
    <w:p>
      <w:pPr>
        <w:ind w:right="160"/>
        <w:spacing w:after="0" w:line="257" w:lineRule="auto"/>
        <w:rPr>
          <w:sz w:val="20"/>
          <w:szCs w:val="20"/>
          <w:color w:val="auto"/>
        </w:rPr>
      </w:pPr>
      <w:r>
        <w:rPr>
          <w:rFonts w:ascii="Arial" w:cs="Arial" w:eastAsia="Arial" w:hAnsi="Arial"/>
          <w:sz w:val="18"/>
          <w:szCs w:val="18"/>
          <w:i w:val="1"/>
          <w:iCs w:val="1"/>
          <w:color w:val="auto"/>
        </w:rPr>
        <w:t>impact of changes in international financial and regulatory conditions; the impact of changes in management; the risk that other remediation efforts will be insufficient to address our material weakness in internal controls and the outcome pending or future litigation and legal proceedings. Additional factors, which could cause actual results to differ materially, include those set forth in the following discussion, as well as the risks discussed in Item 1A, “Risk Factors.” These forward-looking statements speak only as of the date hereof. Unless required by law, we undertake no obligation to update publicly any forward-looking statements.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firstLine="243"/>
        <w:spacing w:after="0" w:line="270" w:lineRule="auto"/>
        <w:rPr>
          <w:sz w:val="20"/>
          <w:szCs w:val="20"/>
          <w:color w:val="auto"/>
        </w:rPr>
      </w:pPr>
      <w:r>
        <w:rPr>
          <w:rFonts w:ascii="Arial" w:cs="Arial" w:eastAsia="Arial" w:hAnsi="Arial"/>
          <w:sz w:val="17"/>
          <w:szCs w:val="17"/>
          <w:color w:val="auto"/>
        </w:rPr>
        <w:t>We are a leading global semiconductor provider of high-performance analog, mixed-signal, digital signal processing and embedded microprocessor integrated circuits. Our diverse product portfolio includes switching, transceiver, wireless, PC connectivity, gateways, communications controller and storage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February 2006, we acquired the semiconductor design business of UTStarcom, Inc. for $40.8 million, including $16.0 million subsequently recognized when milestones were achieved. This business designs and supplies chipsets for personal handy phone applications. In May 2006, we acquired the printer semiconductor business of Avago Technologies Limited for $288.0 million, including earnout payments of $35.0 million subsequently recognized during fiscal 2007 and fiscal 2008 based on the achievement of</w:t>
      </w:r>
    </w:p>
    <w:p>
      <w:pPr>
        <w:spacing w:after="0" w:line="18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certain levels of revenue. The printer semiconductor business of Avago designs and develops system-on-chip and system level solutions for both inkjet and laser jet printer systems. In November 2006, we completed the acquisition of the communications and applications processor business of Intel Corporation for approximately $605.6 million. The communications and applications processor business of Intel designs and develops cellular baseband processors for multi-mode, multi-band wireless handheld devices such as cellular handsets, PDAs and smartphones. In addition, we have also completed several smaller acquisitions over the last three fiscal years.</w:t>
      </w:r>
    </w:p>
    <w:p>
      <w:pPr>
        <w:spacing w:after="0" w:line="188" w:lineRule="exact"/>
        <w:rPr>
          <w:sz w:val="20"/>
          <w:szCs w:val="20"/>
          <w:color w:val="auto"/>
        </w:rPr>
      </w:pPr>
    </w:p>
    <w:p>
      <w:pPr>
        <w:ind w:right="220" w:firstLine="259"/>
        <w:spacing w:after="0" w:line="259"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wireless local area network solutions for small office/home office and residential gateway solutions, and consumer applications such as cell phones, printers, digital cameras, MP3 devices, speakers, game consoles and PDAs.</w:t>
      </w:r>
    </w:p>
    <w:p>
      <w:pPr>
        <w:spacing w:after="0" w:line="187" w:lineRule="exact"/>
        <w:rPr>
          <w:sz w:val="20"/>
          <w:szCs w:val="20"/>
          <w:color w:val="auto"/>
        </w:rPr>
      </w:pPr>
    </w:p>
    <w:p>
      <w:pPr>
        <w:ind w:right="80" w:firstLine="304"/>
        <w:spacing w:after="0" w:line="255"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93" w:lineRule="exact"/>
        <w:rPr>
          <w:sz w:val="20"/>
          <w:szCs w:val="20"/>
          <w:color w:val="auto"/>
        </w:rPr>
      </w:pPr>
    </w:p>
    <w:p>
      <w:pPr>
        <w:ind w:right="40" w:firstLine="259"/>
        <w:spacing w:after="0" w:line="264"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2009 is comprised of 52 weeks and fiscal year 2008 was comprised of 53 weeks.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0" w:firstLine="324"/>
        <w:spacing w:after="0" w:line="273" w:lineRule="auto"/>
        <w:rPr>
          <w:sz w:val="20"/>
          <w:szCs w:val="20"/>
          <w:color w:val="auto"/>
        </w:rPr>
      </w:pPr>
      <w:r>
        <w:rPr>
          <w:rFonts w:ascii="Arial" w:cs="Arial" w:eastAsia="Arial" w:hAnsi="Arial"/>
          <w:sz w:val="17"/>
          <w:szCs w:val="17"/>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2008. There have been no material changes in any of our accounting policies during fiscal 2009.</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29" w:lineRule="exact"/>
        <w:rPr>
          <w:sz w:val="20"/>
          <w:szCs w:val="20"/>
          <w:color w:val="auto"/>
        </w:rPr>
      </w:pPr>
    </w:p>
    <w:p>
      <w:pPr>
        <w:ind w:right="180" w:firstLine="259"/>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2" w:lineRule="exact"/>
        <w:rPr>
          <w:sz w:val="20"/>
          <w:szCs w:val="20"/>
          <w:color w:val="auto"/>
        </w:rPr>
      </w:pPr>
    </w:p>
    <w:tbl>
      <w:tblPr>
        <w:tblLayout w:type="fixed"/>
        <w:tblInd w:w="280" w:type="dxa"/>
        <w:tblCellMar>
          <w:top w:w="0" w:type="dxa"/>
          <w:left w:w="0" w:type="dxa"/>
          <w:bottom w:w="0" w:type="dxa"/>
          <w:right w:w="0" w:type="dxa"/>
        </w:tblCellMar>
      </w:tblPr>
      <w:tr>
        <w:trPr>
          <w:trHeight w:val="171"/>
        </w:trPr>
        <w:tc>
          <w:tcPr>
            <w:tcW w:w="6880" w:type="dxa"/>
            <w:vAlign w:val="bottom"/>
          </w:tcPr>
          <w:p>
            <w:pPr>
              <w:spacing w:after="0"/>
              <w:rPr>
                <w:sz w:val="14"/>
                <w:szCs w:val="14"/>
                <w:color w:val="auto"/>
              </w:rPr>
            </w:pPr>
          </w:p>
        </w:tc>
        <w:tc>
          <w:tcPr>
            <w:tcW w:w="2820" w:type="dxa"/>
            <w:vAlign w:val="bottom"/>
            <w:gridSpan w:val="4"/>
          </w:tcPr>
          <w:p>
            <w:pPr>
              <w:jc w:val="right"/>
              <w:ind w:right="790"/>
              <w:spacing w:after="0"/>
              <w:rPr>
                <w:sz w:val="20"/>
                <w:szCs w:val="20"/>
                <w:color w:val="auto"/>
              </w:rPr>
            </w:pPr>
            <w:r>
              <w:rPr>
                <w:rFonts w:ascii="Arial" w:cs="Arial" w:eastAsia="Arial" w:hAnsi="Arial"/>
                <w:sz w:val="14"/>
                <w:szCs w:val="14"/>
                <w:b w:val="1"/>
                <w:bCs w:val="1"/>
                <w:color w:val="auto"/>
              </w:rPr>
              <w:t>Three Months Ended</w:t>
            </w:r>
          </w:p>
        </w:tc>
      </w:tr>
      <w:tr>
        <w:trPr>
          <w:trHeight w:val="119"/>
        </w:trPr>
        <w:tc>
          <w:tcPr>
            <w:tcW w:w="6880" w:type="dxa"/>
            <w:vAlign w:val="bottom"/>
          </w:tcPr>
          <w:p>
            <w:pPr>
              <w:spacing w:after="0"/>
              <w:rPr>
                <w:sz w:val="10"/>
                <w:szCs w:val="10"/>
                <w:color w:val="auto"/>
              </w:rPr>
            </w:pPr>
          </w:p>
        </w:tc>
        <w:tc>
          <w:tcPr>
            <w:tcW w:w="1420" w:type="dxa"/>
            <w:vAlign w:val="bottom"/>
            <w:tcBorders>
              <w:top w:val="single" w:sz="8" w:color="auto"/>
            </w:tcBorders>
            <w:gridSpan w:val="2"/>
          </w:tcPr>
          <w:p>
            <w:pPr>
              <w:jc w:val="right"/>
              <w:ind w:right="530"/>
              <w:spacing w:after="0" w:line="119" w:lineRule="exact"/>
              <w:rPr>
                <w:sz w:val="20"/>
                <w:szCs w:val="20"/>
                <w:color w:val="auto"/>
              </w:rPr>
            </w:pPr>
            <w:r>
              <w:rPr>
                <w:rFonts w:ascii="Arial" w:cs="Arial" w:eastAsia="Arial" w:hAnsi="Arial"/>
                <w:sz w:val="13"/>
                <w:szCs w:val="13"/>
                <w:b w:val="1"/>
                <w:bCs w:val="1"/>
                <w:color w:val="auto"/>
              </w:rPr>
              <w:t>May 3,</w:t>
            </w:r>
          </w:p>
        </w:tc>
        <w:tc>
          <w:tcPr>
            <w:tcW w:w="1180" w:type="dxa"/>
            <w:vAlign w:val="bottom"/>
            <w:tcBorders>
              <w:top w:val="single" w:sz="8" w:color="auto"/>
            </w:tcBorders>
          </w:tcPr>
          <w:p>
            <w:pPr>
              <w:jc w:val="right"/>
              <w:ind w:right="253"/>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r>
      <w:tr>
        <w:trPr>
          <w:trHeight w:val="171"/>
        </w:trPr>
        <w:tc>
          <w:tcPr>
            <w:tcW w:w="6880" w:type="dxa"/>
            <w:vAlign w:val="bottom"/>
            <w:tcBorders>
              <w:bottom w:val="single" w:sz="8" w:color="CCEEFF"/>
            </w:tcBorders>
          </w:tcPr>
          <w:p>
            <w:pPr>
              <w:spacing w:after="0"/>
              <w:rPr>
                <w:sz w:val="14"/>
                <w:szCs w:val="14"/>
                <w:color w:val="auto"/>
              </w:rPr>
            </w:pPr>
          </w:p>
        </w:tc>
        <w:tc>
          <w:tcPr>
            <w:tcW w:w="116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2008</w:t>
            </w:r>
          </w:p>
        </w:tc>
        <w:tc>
          <w:tcPr>
            <w:tcW w:w="26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tcPr>
          <w:p>
            <w:pPr>
              <w:jc w:val="right"/>
              <w:ind w:right="373"/>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r>
      <w:tr>
        <w:trPr>
          <w:trHeight w:val="210"/>
        </w:trPr>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2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100.0%</w:t>
            </w:r>
          </w:p>
        </w:tc>
        <w:tc>
          <w:tcPr>
            <w:tcW w:w="140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100.0%</w:t>
            </w:r>
          </w:p>
        </w:tc>
      </w:tr>
      <w:tr>
        <w:trPr>
          <w:trHeight w:val="216"/>
        </w:trPr>
        <w:tc>
          <w:tcPr>
            <w:tcW w:w="68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1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6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Cost of goods sold</w:t>
            </w:r>
          </w:p>
        </w:tc>
        <w:tc>
          <w:tcPr>
            <w:tcW w:w="142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48.4</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51.6</w:t>
            </w:r>
          </w:p>
        </w:tc>
        <w:tc>
          <w:tcPr>
            <w:tcW w:w="220" w:type="dxa"/>
            <w:vAlign w:val="bottom"/>
            <w:shd w:val="clear" w:color="auto" w:fill="CCEEFF"/>
          </w:tcPr>
          <w:p>
            <w:pPr>
              <w:spacing w:after="0"/>
              <w:rPr>
                <w:sz w:val="18"/>
                <w:szCs w:val="18"/>
                <w:color w:val="auto"/>
              </w:rPr>
            </w:pPr>
          </w:p>
        </w:tc>
      </w:tr>
      <w:tr>
        <w:trPr>
          <w:trHeight w:val="216"/>
        </w:trPr>
        <w:tc>
          <w:tcPr>
            <w:tcW w:w="6880" w:type="dxa"/>
            <w:vAlign w:val="bottom"/>
          </w:tcPr>
          <w:p>
            <w:pPr>
              <w:ind w:left="180"/>
              <w:spacing w:after="0"/>
              <w:rPr>
                <w:sz w:val="20"/>
                <w:szCs w:val="20"/>
                <w:color w:val="auto"/>
              </w:rPr>
            </w:pPr>
            <w:r>
              <w:rPr>
                <w:rFonts w:ascii="Arial" w:cs="Arial" w:eastAsia="Arial" w:hAnsi="Arial"/>
                <w:sz w:val="18"/>
                <w:szCs w:val="18"/>
                <w:color w:val="auto"/>
              </w:rPr>
              <w:t>Research and development and other</w:t>
            </w:r>
          </w:p>
        </w:tc>
        <w:tc>
          <w:tcPr>
            <w:tcW w:w="1420" w:type="dxa"/>
            <w:vAlign w:val="bottom"/>
            <w:gridSpan w:val="2"/>
          </w:tcPr>
          <w:p>
            <w:pPr>
              <w:jc w:val="right"/>
              <w:ind w:right="170"/>
              <w:spacing w:after="0"/>
              <w:rPr>
                <w:sz w:val="20"/>
                <w:szCs w:val="20"/>
                <w:color w:val="auto"/>
              </w:rPr>
            </w:pPr>
            <w:r>
              <w:rPr>
                <w:rFonts w:ascii="Arial" w:cs="Arial" w:eastAsia="Arial" w:hAnsi="Arial"/>
                <w:sz w:val="18"/>
                <w:szCs w:val="18"/>
                <w:color w:val="auto"/>
              </w:rPr>
              <w:t>29.6</w:t>
            </w:r>
          </w:p>
        </w:tc>
        <w:tc>
          <w:tcPr>
            <w:tcW w:w="1180" w:type="dxa"/>
            <w:vAlign w:val="bottom"/>
          </w:tcPr>
          <w:p>
            <w:pPr>
              <w:jc w:val="right"/>
              <w:spacing w:after="0"/>
              <w:rPr>
                <w:sz w:val="20"/>
                <w:szCs w:val="20"/>
                <w:color w:val="auto"/>
              </w:rPr>
            </w:pPr>
            <w:r>
              <w:rPr>
                <w:rFonts w:ascii="Arial" w:cs="Arial" w:eastAsia="Arial" w:hAnsi="Arial"/>
                <w:sz w:val="18"/>
                <w:szCs w:val="18"/>
                <w:color w:val="auto"/>
              </w:rPr>
              <w:t>36.9</w:t>
            </w:r>
          </w:p>
        </w:tc>
        <w:tc>
          <w:tcPr>
            <w:tcW w:w="220" w:type="dxa"/>
            <w:vAlign w:val="bottom"/>
          </w:tcPr>
          <w:p>
            <w:pPr>
              <w:spacing w:after="0"/>
              <w:rPr>
                <w:sz w:val="18"/>
                <w:szCs w:val="18"/>
                <w:color w:val="auto"/>
              </w:rPr>
            </w:pPr>
          </w:p>
        </w:tc>
      </w:tr>
      <w:tr>
        <w:trPr>
          <w:trHeight w:val="216"/>
        </w:trPr>
        <w:tc>
          <w:tcPr>
            <w:tcW w:w="6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Selling and marketing</w:t>
            </w:r>
          </w:p>
        </w:tc>
        <w:tc>
          <w:tcPr>
            <w:tcW w:w="142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5.7</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220" w:type="dxa"/>
            <w:vAlign w:val="bottom"/>
            <w:shd w:val="clear" w:color="auto" w:fill="CCEEFF"/>
          </w:tcPr>
          <w:p>
            <w:pPr>
              <w:spacing w:after="0"/>
              <w:rPr>
                <w:sz w:val="18"/>
                <w:szCs w:val="18"/>
                <w:color w:val="auto"/>
              </w:rPr>
            </w:pPr>
          </w:p>
        </w:tc>
      </w:tr>
      <w:tr>
        <w:trPr>
          <w:trHeight w:val="216"/>
        </w:trPr>
        <w:tc>
          <w:tcPr>
            <w:tcW w:w="6880" w:type="dxa"/>
            <w:vAlign w:val="bottom"/>
          </w:tcPr>
          <w:p>
            <w:pPr>
              <w:ind w:left="180"/>
              <w:spacing w:after="0"/>
              <w:rPr>
                <w:sz w:val="20"/>
                <w:szCs w:val="20"/>
                <w:color w:val="auto"/>
              </w:rPr>
            </w:pPr>
            <w:r>
              <w:rPr>
                <w:rFonts w:ascii="Arial" w:cs="Arial" w:eastAsia="Arial" w:hAnsi="Arial"/>
                <w:sz w:val="18"/>
                <w:szCs w:val="18"/>
                <w:color w:val="auto"/>
              </w:rPr>
              <w:t>General and administrative</w:t>
            </w:r>
          </w:p>
        </w:tc>
        <w:tc>
          <w:tcPr>
            <w:tcW w:w="1420" w:type="dxa"/>
            <w:vAlign w:val="bottom"/>
            <w:gridSpan w:val="2"/>
          </w:tcPr>
          <w:p>
            <w:pPr>
              <w:jc w:val="right"/>
              <w:ind w:right="170"/>
              <w:spacing w:after="0"/>
              <w:rPr>
                <w:sz w:val="20"/>
                <w:szCs w:val="20"/>
                <w:color w:val="auto"/>
              </w:rPr>
            </w:pPr>
            <w:r>
              <w:rPr>
                <w:rFonts w:ascii="Arial" w:cs="Arial" w:eastAsia="Arial" w:hAnsi="Arial"/>
                <w:sz w:val="18"/>
                <w:szCs w:val="18"/>
                <w:color w:val="auto"/>
              </w:rPr>
              <w:t>1.6</w:t>
            </w:r>
          </w:p>
        </w:tc>
        <w:tc>
          <w:tcPr>
            <w:tcW w:w="1180" w:type="dxa"/>
            <w:vAlign w:val="bottom"/>
          </w:tcPr>
          <w:p>
            <w:pPr>
              <w:jc w:val="right"/>
              <w:spacing w:after="0"/>
              <w:rPr>
                <w:sz w:val="20"/>
                <w:szCs w:val="20"/>
                <w:color w:val="auto"/>
              </w:rPr>
            </w:pPr>
            <w:r>
              <w:rPr>
                <w:rFonts w:ascii="Arial" w:cs="Arial" w:eastAsia="Arial" w:hAnsi="Arial"/>
                <w:sz w:val="18"/>
                <w:szCs w:val="18"/>
                <w:color w:val="auto"/>
              </w:rPr>
              <w:t>3.8</w:t>
            </w:r>
          </w:p>
        </w:tc>
        <w:tc>
          <w:tcPr>
            <w:tcW w:w="220" w:type="dxa"/>
            <w:vAlign w:val="bottom"/>
          </w:tcPr>
          <w:p>
            <w:pPr>
              <w:spacing w:after="0"/>
              <w:rPr>
                <w:sz w:val="18"/>
                <w:szCs w:val="18"/>
                <w:color w:val="auto"/>
              </w:rPr>
            </w:pPr>
          </w:p>
        </w:tc>
      </w:tr>
      <w:tr>
        <w:trPr>
          <w:trHeight w:val="216"/>
        </w:trPr>
        <w:tc>
          <w:tcPr>
            <w:tcW w:w="68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acquired intangible assets</w:t>
            </w:r>
          </w:p>
        </w:tc>
        <w:tc>
          <w:tcPr>
            <w:tcW w:w="142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4.4</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220" w:type="dxa"/>
            <w:vAlign w:val="bottom"/>
            <w:shd w:val="clear" w:color="auto" w:fill="CCEEFF"/>
          </w:tcPr>
          <w:p>
            <w:pPr>
              <w:spacing w:after="0"/>
              <w:rPr>
                <w:sz w:val="18"/>
                <w:szCs w:val="18"/>
                <w:color w:val="auto"/>
              </w:rPr>
            </w:pPr>
          </w:p>
        </w:tc>
      </w:tr>
      <w:tr>
        <w:trPr>
          <w:trHeight w:val="210"/>
        </w:trPr>
        <w:tc>
          <w:tcPr>
            <w:tcW w:w="68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Total operating costs and expenses</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89.7</w:t>
            </w:r>
          </w:p>
        </w:tc>
        <w:tc>
          <w:tcPr>
            <w:tcW w:w="260" w:type="dxa"/>
            <w:vAlign w:val="bottom"/>
            <w:tcBorders>
              <w:bottom w:val="single" w:sz="8" w:color="CCEEFF"/>
            </w:tcBorders>
          </w:tcPr>
          <w:p>
            <w:pPr>
              <w:spacing w:after="0"/>
              <w:rPr>
                <w:sz w:val="18"/>
                <w:szCs w:val="18"/>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106.0</w:t>
            </w:r>
          </w:p>
        </w:tc>
        <w:tc>
          <w:tcPr>
            <w:tcW w:w="220" w:type="dxa"/>
            <w:vAlign w:val="bottom"/>
            <w:tcBorders>
              <w:bottom w:val="single" w:sz="8" w:color="CCEEFF"/>
            </w:tcBorders>
          </w:tcPr>
          <w:p>
            <w:pPr>
              <w:spacing w:after="0"/>
              <w:rPr>
                <w:sz w:val="18"/>
                <w:szCs w:val="18"/>
                <w:color w:val="auto"/>
              </w:rPr>
            </w:pPr>
          </w:p>
        </w:tc>
      </w:tr>
      <w:tr>
        <w:trPr>
          <w:trHeight w:val="210"/>
        </w:trPr>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w:t>
            </w:r>
          </w:p>
        </w:tc>
        <w:tc>
          <w:tcPr>
            <w:tcW w:w="2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(6.0)</w:t>
            </w:r>
          </w:p>
        </w:tc>
      </w:tr>
      <w:tr>
        <w:trPr>
          <w:trHeight w:val="216"/>
        </w:trPr>
        <w:tc>
          <w:tcPr>
            <w:tcW w:w="68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1420" w:type="dxa"/>
            <w:vAlign w:val="bottom"/>
            <w:gridSpan w:val="2"/>
          </w:tcPr>
          <w:p>
            <w:pPr>
              <w:jc w:val="right"/>
              <w:ind w:right="170"/>
              <w:spacing w:after="0"/>
              <w:rPr>
                <w:sz w:val="20"/>
                <w:szCs w:val="20"/>
                <w:color w:val="auto"/>
              </w:rPr>
            </w:pPr>
            <w:r>
              <w:rPr>
                <w:rFonts w:ascii="Arial" w:cs="Arial" w:eastAsia="Arial" w:hAnsi="Arial"/>
                <w:sz w:val="18"/>
                <w:szCs w:val="18"/>
                <w:color w:val="auto"/>
              </w:rPr>
              <w:t>0.4</w:t>
            </w:r>
          </w:p>
        </w:tc>
        <w:tc>
          <w:tcPr>
            <w:tcW w:w="118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18"/>
                <w:szCs w:val="18"/>
                <w:color w:val="auto"/>
              </w:rPr>
            </w:pPr>
          </w:p>
        </w:tc>
      </w:tr>
      <w:tr>
        <w:trPr>
          <w:trHeight w:val="216"/>
        </w:trPr>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2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(0.9)</w:t>
            </w:r>
          </w:p>
        </w:tc>
        <w:tc>
          <w:tcPr>
            <w:tcW w:w="140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(1.6)</w:t>
            </w:r>
          </w:p>
        </w:tc>
      </w:tr>
      <w:tr>
        <w:trPr>
          <w:trHeight w:val="210"/>
        </w:trPr>
        <w:tc>
          <w:tcPr>
            <w:tcW w:w="688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9.8</w:t>
            </w:r>
          </w:p>
        </w:tc>
        <w:tc>
          <w:tcPr>
            <w:tcW w:w="260" w:type="dxa"/>
            <w:vAlign w:val="bottom"/>
          </w:tcPr>
          <w:p>
            <w:pPr>
              <w:spacing w:after="0"/>
              <w:rPr>
                <w:sz w:val="18"/>
                <w:szCs w:val="18"/>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(7.4)</w:t>
            </w:r>
          </w:p>
        </w:tc>
        <w:tc>
          <w:tcPr>
            <w:tcW w:w="220" w:type="dxa"/>
            <w:vAlign w:val="bottom"/>
          </w:tcPr>
          <w:p>
            <w:pPr>
              <w:spacing w:after="0"/>
              <w:rPr>
                <w:sz w:val="18"/>
                <w:szCs w:val="18"/>
                <w:color w:val="auto"/>
              </w:rPr>
            </w:pPr>
          </w:p>
        </w:tc>
      </w:tr>
      <w:tr>
        <w:trPr>
          <w:trHeight w:val="216"/>
        </w:trPr>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20" w:type="dxa"/>
            <w:vAlign w:val="bottom"/>
            <w:gridSpan w:val="2"/>
            <w:shd w:val="clear" w:color="auto" w:fill="CCEEFF"/>
          </w:tcPr>
          <w:p>
            <w:pPr>
              <w:jc w:val="right"/>
              <w:ind w:right="170"/>
              <w:spacing w:after="0"/>
              <w:rPr>
                <w:sz w:val="20"/>
                <w:szCs w:val="20"/>
                <w:color w:val="auto"/>
              </w:rPr>
            </w:pPr>
            <w:r>
              <w:rPr>
                <w:rFonts w:ascii="Arial" w:cs="Arial" w:eastAsia="Arial" w:hAnsi="Arial"/>
                <w:sz w:val="18"/>
                <w:szCs w:val="18"/>
                <w:color w:val="auto"/>
              </w:rPr>
              <w:t>1.1</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220" w:type="dxa"/>
            <w:vAlign w:val="bottom"/>
            <w:shd w:val="clear" w:color="auto" w:fill="CCEEFF"/>
          </w:tcPr>
          <w:p>
            <w:pPr>
              <w:spacing w:after="0"/>
              <w:rPr>
                <w:sz w:val="18"/>
                <w:szCs w:val="18"/>
                <w:color w:val="auto"/>
              </w:rPr>
            </w:pPr>
          </w:p>
        </w:tc>
      </w:tr>
      <w:tr>
        <w:trPr>
          <w:trHeight w:val="210"/>
        </w:trPr>
        <w:tc>
          <w:tcPr>
            <w:tcW w:w="6880" w:type="dxa"/>
            <w:vAlign w:val="bottom"/>
          </w:tcPr>
          <w:p>
            <w:pPr>
              <w:spacing w:after="0"/>
              <w:rPr>
                <w:sz w:val="20"/>
                <w:szCs w:val="20"/>
                <w:color w:val="auto"/>
              </w:rPr>
            </w:pPr>
            <w:r>
              <w:rPr>
                <w:rFonts w:ascii="Arial" w:cs="Arial" w:eastAsia="Arial" w:hAnsi="Arial"/>
                <w:sz w:val="18"/>
                <w:szCs w:val="18"/>
                <w:color w:val="auto"/>
              </w:rPr>
              <w:t>Net income (loss)</w:t>
            </w: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8.7</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w w:val="87"/>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(8.3</w:t>
            </w:r>
          </w:p>
        </w:tc>
        <w:tc>
          <w:tcPr>
            <w:tcW w:w="220" w:type="dxa"/>
            <w:vAlign w:val="bottom"/>
          </w:tcPr>
          <w:p>
            <w:pPr>
              <w:jc w:val="right"/>
              <w:spacing w:after="0"/>
              <w:rPr>
                <w:sz w:val="20"/>
                <w:szCs w:val="20"/>
                <w:color w:val="auto"/>
              </w:rPr>
            </w:pPr>
            <w:r>
              <w:rPr>
                <w:rFonts w:ascii="Arial" w:cs="Arial" w:eastAsia="Arial" w:hAnsi="Arial"/>
                <w:sz w:val="18"/>
                <w:szCs w:val="18"/>
                <w:color w:val="auto"/>
                <w:w w:val="72"/>
              </w:rPr>
              <w:t>)%</w:t>
            </w:r>
          </w:p>
        </w:tc>
      </w:tr>
      <w:tr>
        <w:trPr>
          <w:trHeight w:val="20"/>
        </w:trPr>
        <w:tc>
          <w:tcPr>
            <w:tcW w:w="6880" w:type="dxa"/>
            <w:vAlign w:val="bottom"/>
          </w:tcPr>
          <w:p>
            <w:pPr>
              <w:spacing w:after="0" w:line="20" w:lineRule="exact"/>
              <w:rPr>
                <w:sz w:val="1"/>
                <w:szCs w:val="1"/>
                <w:color w:val="auto"/>
              </w:rPr>
            </w:pPr>
          </w:p>
        </w:tc>
        <w:tc>
          <w:tcPr>
            <w:tcW w:w="11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180" w:type="dxa"/>
            <w:vAlign w:val="bottom"/>
            <w:tcBorders>
              <w:right w:val="single" w:sz="8" w:color="auto"/>
            </w:tcBorders>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bl>
    <w:p>
      <w:pPr>
        <w:sectPr>
          <w:pgSz w:w="11900" w:h="16838" w:orient="portrait"/>
          <w:cols w:equalWidth="0" w:num="1">
            <w:col w:w="11400"/>
          </w:cols>
          <w:pgMar w:left="240" w:top="125" w:right="259" w:bottom="0" w:gutter="0" w:footer="0" w:header="0"/>
        </w:sectPr>
      </w:pPr>
    </w:p>
    <w:bookmarkStart w:id="18" w:name="page19"/>
    <w:bookmarkEnd w:id="18"/>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May 3, 2008 and April 28, 2007</w:t>
      </w:r>
    </w:p>
    <w:p>
      <w:pPr>
        <w:spacing w:after="0" w:line="229" w:lineRule="exact"/>
        <w:rPr>
          <w:sz w:val="20"/>
          <w:szCs w:val="20"/>
          <w:color w:val="auto"/>
        </w:rPr>
      </w:pPr>
    </w:p>
    <w:p>
      <w:pPr>
        <w:ind w:left="140"/>
        <w:spacing w:after="0"/>
        <w:rPr>
          <w:sz w:val="20"/>
          <w:szCs w:val="20"/>
          <w:color w:val="auto"/>
        </w:rPr>
      </w:pPr>
      <w:r>
        <w:rPr>
          <w:rFonts w:ascii="Arial" w:cs="Arial" w:eastAsia="Arial" w:hAnsi="Arial"/>
          <w:sz w:val="18"/>
          <w:szCs w:val="18"/>
          <w:i w:val="1"/>
          <w:iCs w:val="1"/>
          <w:color w:val="auto"/>
        </w:rPr>
        <w:t>Net Revenue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40" w:type="dxa"/>
            <w:vAlign w:val="bottom"/>
            <w:gridSpan w:val="5"/>
          </w:tcPr>
          <w:p>
            <w:pPr>
              <w:ind w:left="48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32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40" w:type="dxa"/>
            <w:vAlign w:val="bottom"/>
            <w:tcBorders>
              <w:top w:val="single" w:sz="8" w:color="auto"/>
            </w:tcBorders>
            <w:gridSpan w:val="2"/>
          </w:tcPr>
          <w:p>
            <w:pPr>
              <w:jc w:val="center"/>
              <w:ind w:right="46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center"/>
              <w:ind w:right="144"/>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2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3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20" w:type="dxa"/>
            <w:vAlign w:val="bottom"/>
            <w:tcBorders>
              <w:bottom w:val="single" w:sz="8" w:color="auto"/>
            </w:tcBorders>
          </w:tcPr>
          <w:p>
            <w:pPr>
              <w:jc w:val="right"/>
              <w:ind w:right="425"/>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04"/>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2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804,075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635,050</w:t>
            </w:r>
          </w:p>
        </w:tc>
        <w:tc>
          <w:tcPr>
            <w:tcW w:w="220" w:type="dxa"/>
            <w:vAlign w:val="bottom"/>
            <w:shd w:val="clear" w:color="auto" w:fill="CCEEFF"/>
          </w:tcPr>
          <w:p>
            <w:pPr>
              <w:spacing w:after="0"/>
              <w:rPr>
                <w:sz w:val="18"/>
                <w:szCs w:val="18"/>
                <w:color w:val="auto"/>
              </w:rPr>
            </w:pPr>
          </w:p>
        </w:tc>
        <w:tc>
          <w:tcPr>
            <w:tcW w:w="15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26.6%</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firstLine="259"/>
        <w:spacing w:after="0" w:line="260" w:lineRule="auto"/>
        <w:rPr>
          <w:sz w:val="20"/>
          <w:szCs w:val="20"/>
          <w:color w:val="auto"/>
        </w:rPr>
      </w:pPr>
      <w:r>
        <w:rPr>
          <w:rFonts w:ascii="Arial" w:cs="Arial" w:eastAsia="Arial" w:hAnsi="Arial"/>
          <w:sz w:val="18"/>
          <w:szCs w:val="18"/>
          <w:color w:val="auto"/>
        </w:rPr>
        <w:t xml:space="preserve">Net revenue consists primarily of product revenue from sales of our semiconductor devices, and to a much lesser extent, development revenue derived from development contracts with our customers. Net revenue is gross revenue, net of accruals for estimated sales returns, allowances and rebates. The increase in net revenue in the first quarter of fiscal 2009 compared to the first quarter of fiscal 2008 reflects an increase in volume shipments of our storage System-on-Chips (“SOCs”), cellular and handset products and wireless products. The increase in net revenue was due to </w:t>
      </w:r>
      <w:r>
        <w:rPr>
          <w:rFonts w:ascii="Arial" w:cs="Arial" w:eastAsia="Arial" w:hAnsi="Arial"/>
          <w:sz w:val="17"/>
          <w:szCs w:val="17"/>
          <w:color w:val="auto"/>
        </w:rPr>
        <w:t>increased demand from our primary</w:t>
      </w:r>
      <w:r>
        <w:rPr>
          <w:rFonts w:ascii="Arial" w:cs="Arial" w:eastAsia="Arial" w:hAnsi="Arial"/>
          <w:sz w:val="18"/>
          <w:szCs w:val="18"/>
          <w:color w:val="auto"/>
        </w:rPr>
        <w:t xml:space="preserve"> </w:t>
      </w:r>
      <w:r>
        <w:rPr>
          <w:rFonts w:ascii="Arial" w:cs="Arial" w:eastAsia="Arial" w:hAnsi="Arial"/>
          <w:sz w:val="17"/>
          <w:szCs w:val="17"/>
          <w:color w:val="auto"/>
        </w:rPr>
        <w:t>hard drive customers and the overall hard drive industry demand for notebook PC two and a half inch drives and consumer products markets, increased acceptance of our cellular and handset products and volume shipments of our wireless products in consumer applications. Net revenue derived from development contracts increased in absolute dollars during the first quarter of fiscal 2009 as compared to the first quarter of fiscal 2008, but represented less than 10% of net revenue for each period.</w:t>
      </w:r>
    </w:p>
    <w:p>
      <w:pPr>
        <w:spacing w:after="0" w:line="188" w:lineRule="exact"/>
        <w:rPr>
          <w:sz w:val="20"/>
          <w:szCs w:val="20"/>
          <w:color w:val="auto"/>
        </w:rPr>
      </w:pPr>
    </w:p>
    <w:p>
      <w:pPr>
        <w:ind w:right="340" w:firstLine="259"/>
        <w:spacing w:after="0" w:line="259"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revenue. For the quarter ended May 3, 2008, one customer represented more than 10% of our net revenue, for a total of 21% of our net revenue. For the quarter ended April 28, 2007, two customers each represented more than 10% of our net revenue, for a combined total of 27% of our net revenue. No distributors accounted for more than 10% of our net revenue in the quarters ended May 3, 2008 and April 28, 2007.</w:t>
      </w:r>
    </w:p>
    <w:p>
      <w:pPr>
        <w:spacing w:after="0" w:line="187" w:lineRule="exact"/>
        <w:rPr>
          <w:sz w:val="20"/>
          <w:szCs w:val="20"/>
          <w:color w:val="auto"/>
        </w:rPr>
      </w:pPr>
    </w:p>
    <w:p>
      <w:pPr>
        <w:ind w:right="200" w:firstLine="259"/>
        <w:spacing w:after="0" w:line="257" w:lineRule="auto"/>
        <w:rPr>
          <w:sz w:val="20"/>
          <w:szCs w:val="20"/>
          <w:color w:val="auto"/>
        </w:rPr>
      </w:pPr>
      <w:r>
        <w:rPr>
          <w:rFonts w:ascii="Arial" w:cs="Arial" w:eastAsia="Arial" w:hAnsi="Arial"/>
          <w:sz w:val="18"/>
          <w:szCs w:val="18"/>
          <w:color w:val="auto"/>
        </w:rPr>
        <w:t>Because we sell our products to many OEM manufacturers who have manufacturing operations located in Asia, a significant percentage of our sales are made to customers located outside of the United States. Sales to customers located in Asia represented 84% of our net revenue for the three months ended May 3, 2008 and April 28, 2007, respectively. The rest of our sales are to customers located in the United States and other geographic regions. We expect that a significant portion of our revenue will continue to be represented by sales to our customers in Asia. Substantially all of our sales to date have been denominated in U.S. dollars.</w:t>
      </w:r>
    </w:p>
    <w:p>
      <w:pPr>
        <w:spacing w:after="0" w:line="18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Cost of Goods Sold</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6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32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right"/>
              <w:ind w:right="278"/>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3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18"/>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388,842</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327,417</w:t>
            </w:r>
          </w:p>
        </w:tc>
        <w:tc>
          <w:tcPr>
            <w:tcW w:w="22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18.8%</w:t>
            </w:r>
          </w:p>
        </w:tc>
        <w:tc>
          <w:tcPr>
            <w:tcW w:w="0" w:type="dxa"/>
            <w:vAlign w:val="bottom"/>
          </w:tcPr>
          <w:p>
            <w:pPr>
              <w:spacing w:after="0"/>
              <w:rPr>
                <w:sz w:val="1"/>
                <w:szCs w:val="1"/>
                <w:color w:val="auto"/>
              </w:rPr>
            </w:pPr>
          </w:p>
        </w:tc>
      </w:tr>
      <w:tr>
        <w:trPr>
          <w:trHeight w:val="216"/>
        </w:trPr>
        <w:tc>
          <w:tcPr>
            <w:tcW w:w="632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8"/>
                <w:szCs w:val="18"/>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48.4%</w:t>
            </w:r>
          </w:p>
        </w:tc>
        <w:tc>
          <w:tcPr>
            <w:tcW w:w="240" w:type="dxa"/>
            <w:vAlign w:val="bottom"/>
          </w:tcPr>
          <w:p>
            <w:pPr>
              <w:spacing w:after="0"/>
              <w:rPr>
                <w:sz w:val="18"/>
                <w:szCs w:val="18"/>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51.6%</w:t>
            </w:r>
          </w:p>
        </w:tc>
        <w:tc>
          <w:tcPr>
            <w:tcW w:w="1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6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51.6%</w:t>
            </w:r>
          </w:p>
        </w:tc>
        <w:tc>
          <w:tcPr>
            <w:tcW w:w="24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48.4%</w:t>
            </w:r>
          </w:p>
        </w:tc>
        <w:tc>
          <w:tcPr>
            <w:tcW w:w="13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40" w:firstLine="259"/>
        <w:spacing w:after="0" w:line="269" w:lineRule="auto"/>
        <w:rPr>
          <w:sz w:val="20"/>
          <w:szCs w:val="20"/>
          <w:color w:val="auto"/>
        </w:rPr>
      </w:pPr>
      <w:r>
        <w:rPr>
          <w:rFonts w:ascii="Arial" w:cs="Arial" w:eastAsia="Arial" w:hAnsi="Arial"/>
          <w:sz w:val="17"/>
          <w:szCs w:val="17"/>
          <w:color w:val="auto"/>
        </w:rPr>
        <w:t>Cost of goods sold consists primarily of the costs of manufacturing, assembly and test of integrated circuit devices and related overhead costs, product warranty costs, royalties and compensation and associated costs relating to manufacturing support, logistics and quality assurance personnel, including stock-based compensation costs, excess and obsolescence provisions and purchase accounting adjustments. Gross margin is calculated as net revenue less cost of goods sold as a percentage of net revenue. The increase in gross margin for the three months ended May 3, 2008 compared to the three months ended April 28, 2007 was primarily due to increased volume and reduced costs for cellular and handset products resulting from the transition of manufacturing to our fabrication partners. In addition, gross margins for printer ASIC and wireless products improved as we experienced lower material and manufacturing costs due to volume efficiencies and yield improvements. Our gross margins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8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Research and Development and Other</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6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32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right"/>
              <w:ind w:right="280"/>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0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32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0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260" w:type="dxa"/>
            <w:vAlign w:val="bottom"/>
            <w:shd w:val="clear" w:color="auto" w:fill="CCEEFF"/>
          </w:tcPr>
          <w:p>
            <w:pPr>
              <w:jc w:val="right"/>
              <w:ind w:right="105"/>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238,475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234,133</w:t>
            </w:r>
          </w:p>
        </w:tc>
        <w:tc>
          <w:tcPr>
            <w:tcW w:w="220" w:type="dxa"/>
            <w:vAlign w:val="bottom"/>
            <w:shd w:val="clear" w:color="auto" w:fill="CCEEFF"/>
          </w:tcPr>
          <w:p>
            <w:pPr>
              <w:spacing w:after="0"/>
              <w:rPr>
                <w:sz w:val="18"/>
                <w:szCs w:val="18"/>
                <w:color w:val="auto"/>
              </w:rPr>
            </w:pPr>
          </w:p>
        </w:tc>
        <w:tc>
          <w:tcPr>
            <w:tcW w:w="15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30"/>
        </w:trPr>
        <w:tc>
          <w:tcPr>
            <w:tcW w:w="632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29.6%</w:t>
            </w:r>
          </w:p>
        </w:tc>
        <w:tc>
          <w:tcPr>
            <w:tcW w:w="240" w:type="dxa"/>
            <w:vAlign w:val="bottom"/>
          </w:tcPr>
          <w:p>
            <w:pPr>
              <w:spacing w:after="0"/>
              <w:rPr>
                <w:sz w:val="20"/>
                <w:szCs w:val="20"/>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36.9%</w:t>
            </w:r>
          </w:p>
        </w:tc>
        <w:tc>
          <w:tcPr>
            <w:tcW w:w="13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60" w:firstLine="259"/>
        <w:spacing w:after="0" w:line="264" w:lineRule="auto"/>
        <w:rPr>
          <w:sz w:val="20"/>
          <w:szCs w:val="20"/>
          <w:color w:val="auto"/>
        </w:rPr>
      </w:pPr>
      <w:r>
        <w:rPr>
          <w:rFonts w:ascii="Arial" w:cs="Arial" w:eastAsia="Arial" w:hAnsi="Arial"/>
          <w:sz w:val="18"/>
          <w:szCs w:val="18"/>
          <w:color w:val="auto"/>
        </w:rPr>
        <w:t>Research and development expense consists primarily of compensation and associated costs relating to development personnel, including stock-based compensation expenses, prototype costs, contracted development work costs, depreciation and amortization expense, patent investigation and filings fees and allocated occupancy costs for these operations.</w:t>
      </w:r>
    </w:p>
    <w:p>
      <w:pPr>
        <w:spacing w:after="0" w:line="181" w:lineRule="exact"/>
        <w:rPr>
          <w:sz w:val="20"/>
          <w:szCs w:val="20"/>
          <w:color w:val="auto"/>
        </w:rPr>
      </w:pPr>
    </w:p>
    <w:p>
      <w:pPr>
        <w:ind w:right="20" w:firstLine="259"/>
        <w:spacing w:after="0" w:line="254" w:lineRule="auto"/>
        <w:rPr>
          <w:sz w:val="20"/>
          <w:szCs w:val="20"/>
          <w:color w:val="auto"/>
        </w:rPr>
      </w:pPr>
      <w:r>
        <w:rPr>
          <w:rFonts w:ascii="Arial" w:cs="Arial" w:eastAsia="Arial" w:hAnsi="Arial"/>
          <w:sz w:val="18"/>
          <w:szCs w:val="18"/>
          <w:color w:val="auto"/>
        </w:rPr>
        <w:t>The increase in research and development expense in absolute dollars in the first quarter of fiscal 2009 compared to the first quarter of fiscal 2008 was primarily due to net hiring of additional development personnel, which resulted in an increase in salary and related costs of $10.1 million. Additionally, we incurred increased costs for depreciation and amortization expense of $3.7 million arising from purchases of property, equipment and technology licenses and an increase in allocated expenses of $2.1 million related to our expanding operations. Partially offsetting the increases in research and development expense was decreased costs of $8.1 million for prototype and related product tape-out costs from the amounts incurred in the first quarter of fiscal 2008 related to our acquisition of the communications and applications processor business of Intel. Additionally, stock based compensation expense decreased by $2.1 million. Research and development related costs for the first quarter of fiscal 2009 was $233.4 million as compared to $231.0 million for the first quarter of fiscal 2008.</w:t>
      </w:r>
    </w:p>
    <w:p>
      <w:pPr>
        <w:sectPr>
          <w:pgSz w:w="11900" w:h="16838" w:orient="portrait"/>
          <w:cols w:equalWidth="0" w:num="1">
            <w:col w:w="11400"/>
          </w:cols>
          <w:pgMar w:left="240" w:top="125" w:right="259" w:bottom="0" w:gutter="0" w:footer="0" w:header="0"/>
        </w:sectPr>
      </w:pPr>
    </w:p>
    <w:bookmarkStart w:id="19" w:name="page20"/>
    <w:bookmarkEnd w:id="19"/>
    <w:p>
      <w:pPr>
        <w:ind w:left="180"/>
        <w:spacing w:after="0"/>
        <w:rPr>
          <w:sz w:val="20"/>
          <w:szCs w:val="20"/>
          <w:color w:val="auto"/>
        </w:rPr>
      </w:pPr>
      <w:r>
        <w:rPr>
          <w:rFonts w:ascii="Arial" w:cs="Arial" w:eastAsia="Arial" w:hAnsi="Arial"/>
          <w:sz w:val="18"/>
          <w:szCs w:val="18"/>
          <w:i w:val="1"/>
          <w:iCs w:val="1"/>
          <w:color w:val="auto"/>
        </w:rPr>
        <w:t>Selling and Marketing</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60" w:type="dxa"/>
            <w:vAlign w:val="bottom"/>
            <w:gridSpan w:val="5"/>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center"/>
              <w:ind w:right="480"/>
              <w:spacing w:after="0" w:line="119" w:lineRule="exact"/>
              <w:rPr>
                <w:sz w:val="20"/>
                <w:szCs w:val="20"/>
                <w:color w:val="auto"/>
              </w:rPr>
            </w:pPr>
            <w:r>
              <w:rPr>
                <w:rFonts w:ascii="Arial" w:cs="Arial" w:eastAsia="Arial" w:hAnsi="Arial"/>
                <w:sz w:val="13"/>
                <w:szCs w:val="13"/>
                <w:b w:val="1"/>
                <w:bCs w:val="1"/>
                <w:color w:val="auto"/>
              </w:rPr>
              <w:t>May 3,</w:t>
            </w:r>
          </w:p>
        </w:tc>
        <w:tc>
          <w:tcPr>
            <w:tcW w:w="240" w:type="dxa"/>
            <w:vAlign w:val="bottom"/>
            <w:tcBorders>
              <w:top w:val="single" w:sz="8" w:color="auto"/>
            </w:tcBorders>
          </w:tcPr>
          <w:p>
            <w:pPr>
              <w:spacing w:after="0"/>
              <w:rPr>
                <w:sz w:val="10"/>
                <w:szCs w:val="10"/>
                <w:color w:val="auto"/>
              </w:rPr>
            </w:pPr>
          </w:p>
        </w:tc>
        <w:tc>
          <w:tcPr>
            <w:tcW w:w="1040" w:type="dxa"/>
            <w:vAlign w:val="bottom"/>
            <w:tcBorders>
              <w:top w:val="single" w:sz="8" w:color="auto"/>
            </w:tcBorders>
          </w:tcPr>
          <w:p>
            <w:pPr>
              <w:jc w:val="center"/>
              <w:ind w:right="140"/>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0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6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46,088</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50,392</w:t>
            </w:r>
          </w:p>
        </w:tc>
        <w:tc>
          <w:tcPr>
            <w:tcW w:w="22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(8.5)%</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5.7%</w:t>
            </w:r>
          </w:p>
        </w:tc>
        <w:tc>
          <w:tcPr>
            <w:tcW w:w="240" w:type="dxa"/>
            <w:vAlign w:val="bottom"/>
          </w:tcPr>
          <w:p>
            <w:pPr>
              <w:spacing w:after="0"/>
              <w:rPr>
                <w:sz w:val="20"/>
                <w:szCs w:val="20"/>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7.9%</w:t>
            </w:r>
          </w:p>
        </w:tc>
        <w:tc>
          <w:tcPr>
            <w:tcW w:w="1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decrease in selling and marketing expense in absolute dollars in the first quarter of fiscal 2009 compared to the first quarter of fiscal 2008 was primarily due to lower salary and related expenses due to lower overall headcount of sales and marketing personnel. Additionally, we incurred a decrease in other marketing costs of $2.6 million and a decrease in allocated overhead costs of $0.8 million. Partially offsetting the decrease in selling and marketing expense was an increase in commissions of $1.5 million due primarily to increased sales.</w:t>
      </w:r>
    </w:p>
    <w:p>
      <w:pPr>
        <w:spacing w:after="0" w:line="178"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General and Administrative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74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260" w:type="dxa"/>
            <w:vAlign w:val="bottom"/>
            <w:tcBorders>
              <w:top w:val="single" w:sz="8" w:color="auto"/>
            </w:tcBorders>
          </w:tcPr>
          <w:p>
            <w:pPr>
              <w:spacing w:after="0"/>
              <w:rPr>
                <w:sz w:val="10"/>
                <w:szCs w:val="10"/>
                <w:color w:val="auto"/>
              </w:rPr>
            </w:pPr>
          </w:p>
        </w:tc>
        <w:tc>
          <w:tcPr>
            <w:tcW w:w="126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2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tcPr>
          <w:p>
            <w:pPr>
              <w:jc w:val="right"/>
              <w:ind w:right="300"/>
              <w:spacing w:after="0" w:line="119" w:lineRule="exact"/>
              <w:rPr>
                <w:sz w:val="20"/>
                <w:szCs w:val="20"/>
                <w:color w:val="auto"/>
              </w:rPr>
            </w:pPr>
            <w:r>
              <w:rPr>
                <w:rFonts w:ascii="Arial" w:cs="Arial" w:eastAsia="Arial" w:hAnsi="Arial"/>
                <w:sz w:val="13"/>
                <w:szCs w:val="13"/>
                <w:b w:val="1"/>
                <w:bCs w:val="1"/>
                <w:color w:val="auto"/>
              </w:rPr>
              <w:t>April 28,</w:t>
            </w:r>
          </w:p>
        </w:tc>
        <w:tc>
          <w:tcPr>
            <w:tcW w:w="200" w:type="dxa"/>
            <w:vAlign w:val="bottom"/>
          </w:tcPr>
          <w:p>
            <w:pPr>
              <w:spacing w:after="0"/>
              <w:rPr>
                <w:sz w:val="10"/>
                <w:szCs w:val="10"/>
                <w:color w:val="auto"/>
              </w:rPr>
            </w:pPr>
          </w:p>
        </w:tc>
        <w:tc>
          <w:tcPr>
            <w:tcW w:w="1300" w:type="dxa"/>
            <w:vAlign w:val="bottom"/>
            <w:vMerge w:val="restart"/>
          </w:tcPr>
          <w:p>
            <w:pPr>
              <w:ind w:left="340"/>
              <w:spacing w:after="0"/>
              <w:rPr>
                <w:sz w:val="20"/>
                <w:szCs w:val="20"/>
                <w:color w:val="auto"/>
              </w:rPr>
            </w:pPr>
            <w:r>
              <w:rPr>
                <w:rFonts w:ascii="Arial" w:cs="Arial" w:eastAsia="Arial" w:hAnsi="Arial"/>
                <w:sz w:val="14"/>
                <w:szCs w:val="14"/>
                <w:b w:val="1"/>
                <w:bCs w:val="1"/>
                <w:color w:val="auto"/>
              </w:rPr>
              <w:t>% Change</w:t>
            </w:r>
          </w:p>
        </w:tc>
        <w:tc>
          <w:tcPr>
            <w:tcW w:w="28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Borders>
              <w:bottom w:val="single" w:sz="8" w:color="CCEEFF"/>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6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0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8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12,951</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5"/>
              <w:spacing w:after="0"/>
              <w:rPr>
                <w:sz w:val="20"/>
                <w:szCs w:val="20"/>
                <w:color w:val="auto"/>
              </w:rPr>
            </w:pPr>
            <w:r>
              <w:rPr>
                <w:rFonts w:ascii="Arial" w:cs="Arial" w:eastAsia="Arial" w:hAnsi="Arial"/>
                <w:sz w:val="15"/>
                <w:szCs w:val="15"/>
                <w:color w:val="auto"/>
                <w:w w:val="71"/>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23,988</w:t>
            </w:r>
          </w:p>
        </w:tc>
        <w:tc>
          <w:tcPr>
            <w:tcW w:w="200" w:type="dxa"/>
            <w:vAlign w:val="bottom"/>
            <w:shd w:val="clear" w:color="auto" w:fill="CCEEFF"/>
          </w:tcPr>
          <w:p>
            <w:pPr>
              <w:spacing w:after="0"/>
              <w:rPr>
                <w:sz w:val="18"/>
                <w:szCs w:val="18"/>
                <w:color w:val="auto"/>
              </w:rPr>
            </w:pPr>
          </w:p>
        </w:tc>
        <w:tc>
          <w:tcPr>
            <w:tcW w:w="1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60" w:type="dxa"/>
            <w:vAlign w:val="bottom"/>
            <w:gridSpan w:val="2"/>
          </w:tcPr>
          <w:p>
            <w:pPr>
              <w:jc w:val="right"/>
              <w:ind w:right="80"/>
              <w:spacing w:after="0"/>
              <w:rPr>
                <w:sz w:val="20"/>
                <w:szCs w:val="20"/>
                <w:color w:val="auto"/>
              </w:rPr>
            </w:pPr>
            <w:r>
              <w:rPr>
                <w:rFonts w:ascii="Arial" w:cs="Arial" w:eastAsia="Arial" w:hAnsi="Arial"/>
                <w:sz w:val="18"/>
                <w:szCs w:val="18"/>
                <w:color w:val="auto"/>
              </w:rPr>
              <w:t>1.6%</w:t>
            </w:r>
          </w:p>
        </w:tc>
        <w:tc>
          <w:tcPr>
            <w:tcW w:w="220" w:type="dxa"/>
            <w:vAlign w:val="bottom"/>
          </w:tcPr>
          <w:p>
            <w:pPr>
              <w:spacing w:after="0"/>
              <w:rPr>
                <w:sz w:val="20"/>
                <w:szCs w:val="20"/>
                <w:color w:val="auto"/>
              </w:rPr>
            </w:pPr>
          </w:p>
        </w:tc>
        <w:tc>
          <w:tcPr>
            <w:tcW w:w="1260" w:type="dxa"/>
            <w:vAlign w:val="bottom"/>
            <w:gridSpan w:val="2"/>
          </w:tcPr>
          <w:p>
            <w:pPr>
              <w:jc w:val="right"/>
              <w:ind w:right="60"/>
              <w:spacing w:after="0"/>
              <w:rPr>
                <w:sz w:val="20"/>
                <w:szCs w:val="20"/>
                <w:color w:val="auto"/>
              </w:rPr>
            </w:pPr>
            <w:r>
              <w:rPr>
                <w:rFonts w:ascii="Arial" w:cs="Arial" w:eastAsia="Arial" w:hAnsi="Arial"/>
                <w:sz w:val="18"/>
                <w:szCs w:val="18"/>
                <w:color w:val="auto"/>
              </w:rPr>
              <w:t>3.8%</w:t>
            </w:r>
          </w:p>
        </w:tc>
        <w:tc>
          <w:tcPr>
            <w:tcW w:w="13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60" w:firstLine="259"/>
        <w:spacing w:after="0" w:line="272" w:lineRule="auto"/>
        <w:rPr>
          <w:sz w:val="20"/>
          <w:szCs w:val="20"/>
          <w:color w:val="auto"/>
        </w:rPr>
      </w:pPr>
      <w:r>
        <w:rPr>
          <w:rFonts w:ascii="Arial" w:cs="Arial" w:eastAsia="Arial" w:hAnsi="Arial"/>
          <w:sz w:val="17"/>
          <w:szCs w:val="17"/>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decrease in absolute dollars in general and administrative expense in the first quarter of fiscal 2009 compared to the first quarter of fiscal 2008 was the result of $24.5 million of insurance recoveries for shareholder derivative, class action and related lawsuits received in the first quarter of fiscal 2009 partially offset by a $10.0 million settlement with the Securities and Exchange Commission (“SEC”) investigation regarding our historical stock option practices and related accounting matters. Partially offsetting the decrease in general and administrative expense in the first quarter of fiscal 2009 compared to the first quarter of fiscal 2008 was a $2.9 million increase salary and related costs due to the net hiring of additional administrative personnel.</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Amortization of Acquired Intangible Assets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3020" w:type="dxa"/>
            <w:vAlign w:val="bottom"/>
            <w:gridSpan w:val="4"/>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152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128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128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6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$35,247</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$37,320</w:t>
            </w:r>
          </w:p>
        </w:tc>
        <w:tc>
          <w:tcPr>
            <w:tcW w:w="22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gridSpan w:val="2"/>
          </w:tcPr>
          <w:p>
            <w:pPr>
              <w:jc w:val="right"/>
              <w:ind w:right="80"/>
              <w:spacing w:after="0"/>
              <w:rPr>
                <w:sz w:val="20"/>
                <w:szCs w:val="20"/>
                <w:color w:val="auto"/>
              </w:rPr>
            </w:pPr>
            <w:r>
              <w:rPr>
                <w:rFonts w:ascii="Arial" w:cs="Arial" w:eastAsia="Arial" w:hAnsi="Arial"/>
                <w:sz w:val="18"/>
                <w:szCs w:val="18"/>
                <w:color w:val="auto"/>
              </w:rPr>
              <w:t>4.4%</w:t>
            </w:r>
          </w:p>
        </w:tc>
        <w:tc>
          <w:tcPr>
            <w:tcW w:w="1500" w:type="dxa"/>
            <w:vAlign w:val="bottom"/>
            <w:gridSpan w:val="2"/>
          </w:tcPr>
          <w:p>
            <w:pPr>
              <w:jc w:val="right"/>
              <w:ind w:right="60"/>
              <w:spacing w:after="0"/>
              <w:rPr>
                <w:sz w:val="20"/>
                <w:szCs w:val="20"/>
                <w:color w:val="auto"/>
              </w:rPr>
            </w:pPr>
            <w:r>
              <w:rPr>
                <w:rFonts w:ascii="Arial" w:cs="Arial" w:eastAsia="Arial" w:hAnsi="Arial"/>
                <w:sz w:val="18"/>
                <w:szCs w:val="18"/>
                <w:color w:val="auto"/>
              </w:rPr>
              <w:t>5.9%</w:t>
            </w:r>
          </w:p>
        </w:tc>
        <w:tc>
          <w:tcPr>
            <w:tcW w:w="1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jc w:val="both"/>
        <w:ind w:right="100" w:firstLine="243"/>
        <w:spacing w:after="0" w:line="264" w:lineRule="auto"/>
        <w:rPr>
          <w:sz w:val="20"/>
          <w:szCs w:val="20"/>
          <w:color w:val="auto"/>
        </w:rPr>
      </w:pPr>
      <w:r>
        <w:rPr>
          <w:rFonts w:ascii="Arial" w:cs="Arial" w:eastAsia="Arial" w:hAnsi="Arial"/>
          <w:sz w:val="18"/>
          <w:szCs w:val="18"/>
          <w:color w:val="auto"/>
        </w:rPr>
        <w:t>In fiscal years 2007 and 2008, we made seven acquisitions in which we acquired intangible assets that are being amortized over their estimated economic lives of one to eight years. The decrease in amortization of acquired intangible assets in the first quarter of fiscal 2009 compared to the first quarter of fiscal 2008 was due to amortization of intangible assets from certain acquisitions being fully amortized.</w:t>
      </w:r>
    </w:p>
    <w:p>
      <w:pPr>
        <w:spacing w:after="0" w:line="18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and Other Income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3020" w:type="dxa"/>
            <w:vAlign w:val="bottom"/>
            <w:gridSpan w:val="4"/>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152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128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128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6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$3,192</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$1,319</w:t>
            </w:r>
          </w:p>
        </w:tc>
        <w:tc>
          <w:tcPr>
            <w:tcW w:w="22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142.0%</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gridSpan w:val="2"/>
          </w:tcPr>
          <w:p>
            <w:pPr>
              <w:jc w:val="right"/>
              <w:ind w:right="80"/>
              <w:spacing w:after="0"/>
              <w:rPr>
                <w:sz w:val="20"/>
                <w:szCs w:val="20"/>
                <w:color w:val="auto"/>
              </w:rPr>
            </w:pPr>
            <w:r>
              <w:rPr>
                <w:rFonts w:ascii="Arial" w:cs="Arial" w:eastAsia="Arial" w:hAnsi="Arial"/>
                <w:sz w:val="18"/>
                <w:szCs w:val="18"/>
                <w:color w:val="auto"/>
              </w:rPr>
              <w:t>0.4%</w:t>
            </w:r>
          </w:p>
        </w:tc>
        <w:tc>
          <w:tcPr>
            <w:tcW w:w="150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1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380" w:firstLine="259"/>
        <w:spacing w:after="0" w:line="279" w:lineRule="auto"/>
        <w:rPr>
          <w:sz w:val="20"/>
          <w:szCs w:val="20"/>
          <w:color w:val="auto"/>
        </w:rPr>
      </w:pPr>
      <w:r>
        <w:rPr>
          <w:rFonts w:ascii="Arial" w:cs="Arial" w:eastAsia="Arial" w:hAnsi="Arial"/>
          <w:sz w:val="17"/>
          <w:szCs w:val="17"/>
          <w:color w:val="auto"/>
        </w:rPr>
        <w:t>Interest and other income consist primarily of interest earned on cash, cash equivalents and short-term investment balances and other realized and unrealized gains and losses. The increase in interest and other income for the first quarter of fiscal 2009 compared to the first quarter of fiscal 2008 is primarily due to an increase in overall cash balances during the first quarter of fiscal 2009, partially offset by a reduction in interest rates. The amount in fiscal 2008 also reflected a $4.9 million reserve for the full impairment of an equity investment in a private company.</w:t>
      </w:r>
    </w:p>
    <w:p>
      <w:pPr>
        <w:spacing w:after="0" w:line="171" w:lineRule="exact"/>
        <w:rPr>
          <w:sz w:val="20"/>
          <w:szCs w:val="20"/>
          <w:color w:val="auto"/>
        </w:rPr>
      </w:pPr>
    </w:p>
    <w:p>
      <w:pPr>
        <w:ind w:left="180"/>
        <w:spacing w:after="0"/>
        <w:rPr>
          <w:sz w:val="20"/>
          <w:szCs w:val="20"/>
          <w:color w:val="auto"/>
        </w:rPr>
      </w:pPr>
      <w:r>
        <w:rPr>
          <w:rFonts w:ascii="Arial" w:cs="Arial" w:eastAsia="Arial" w:hAnsi="Arial"/>
          <w:sz w:val="18"/>
          <w:szCs w:val="18"/>
          <w:i w:val="1"/>
          <w:iCs w:val="1"/>
          <w:color w:val="auto"/>
        </w:rPr>
        <w:t>Interest Expense</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40" w:type="dxa"/>
            <w:vAlign w:val="bottom"/>
          </w:tcPr>
          <w:p>
            <w:pPr>
              <w:spacing w:after="0"/>
              <w:rPr>
                <w:sz w:val="14"/>
                <w:szCs w:val="14"/>
                <w:color w:val="auto"/>
              </w:rPr>
            </w:pPr>
          </w:p>
        </w:tc>
        <w:tc>
          <w:tcPr>
            <w:tcW w:w="3040" w:type="dxa"/>
            <w:vAlign w:val="bottom"/>
            <w:gridSpan w:val="4"/>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40" w:type="dxa"/>
            <w:vAlign w:val="bottom"/>
          </w:tcPr>
          <w:p>
            <w:pPr>
              <w:spacing w:after="0"/>
              <w:rPr>
                <w:sz w:val="10"/>
                <w:szCs w:val="10"/>
                <w:color w:val="auto"/>
              </w:rPr>
            </w:pPr>
          </w:p>
        </w:tc>
        <w:tc>
          <w:tcPr>
            <w:tcW w:w="146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1300" w:type="dxa"/>
            <w:vAlign w:val="bottom"/>
            <w:tcBorders>
              <w:top w:val="single" w:sz="8" w:color="auto"/>
            </w:tcBorders>
          </w:tcPr>
          <w:p>
            <w:pPr>
              <w:jc w:val="right"/>
              <w:ind w:right="300"/>
              <w:spacing w:after="0" w:line="119" w:lineRule="exact"/>
              <w:rPr>
                <w:sz w:val="20"/>
                <w:szCs w:val="20"/>
                <w:color w:val="auto"/>
              </w:rPr>
            </w:pPr>
            <w:r>
              <w:rPr>
                <w:rFonts w:ascii="Arial" w:cs="Arial" w:eastAsia="Arial" w:hAnsi="Arial"/>
                <w:sz w:val="13"/>
                <w:szCs w:val="13"/>
                <w:b w:val="1"/>
                <w:bCs w:val="1"/>
                <w:color w:val="auto"/>
              </w:rPr>
              <w:t>April 28,</w:t>
            </w:r>
          </w:p>
        </w:tc>
        <w:tc>
          <w:tcPr>
            <w:tcW w:w="28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40" w:type="dxa"/>
            <w:vAlign w:val="bottom"/>
            <w:tcBorders>
              <w:bottom w:val="single" w:sz="8" w:color="CCEEFF"/>
            </w:tcBorders>
          </w:tcPr>
          <w:p>
            <w:pPr>
              <w:spacing w:after="0"/>
              <w:rPr>
                <w:sz w:val="14"/>
                <w:szCs w:val="14"/>
                <w:color w:val="auto"/>
              </w:rPr>
            </w:pPr>
          </w:p>
        </w:tc>
        <w:tc>
          <w:tcPr>
            <w:tcW w:w="1180" w:type="dxa"/>
            <w:vAlign w:val="bottom"/>
            <w:tcBorders>
              <w:bottom w:val="single" w:sz="8" w:color="auto"/>
            </w:tcBorders>
          </w:tcPr>
          <w:p>
            <w:pPr>
              <w:jc w:val="right"/>
              <w:ind w:right="362"/>
              <w:spacing w:after="0"/>
              <w:rPr>
                <w:sz w:val="20"/>
                <w:szCs w:val="20"/>
                <w:color w:val="auto"/>
              </w:rPr>
            </w:pPr>
            <w:r>
              <w:rPr>
                <w:rFonts w:ascii="Arial" w:cs="Arial" w:eastAsia="Arial" w:hAnsi="Arial"/>
                <w:sz w:val="14"/>
                <w:szCs w:val="14"/>
                <w:b w:val="1"/>
                <w:bCs w:val="1"/>
                <w:color w:val="auto"/>
              </w:rPr>
              <w:t>2008</w:t>
            </w:r>
          </w:p>
        </w:tc>
        <w:tc>
          <w:tcPr>
            <w:tcW w:w="28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8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6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$(7,151)</w:t>
            </w:r>
          </w:p>
        </w:tc>
        <w:tc>
          <w:tcPr>
            <w:tcW w:w="280" w:type="dxa"/>
            <w:vAlign w:val="bottom"/>
            <w:shd w:val="clear" w:color="auto" w:fill="CCEEFF"/>
          </w:tcPr>
          <w:p>
            <w:pPr>
              <w:spacing w:after="0"/>
              <w:rPr>
                <w:sz w:val="18"/>
                <w:szCs w:val="18"/>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$(9,975)</w:t>
            </w:r>
          </w:p>
        </w:tc>
        <w:tc>
          <w:tcPr>
            <w:tcW w:w="28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(28.3)%</w:t>
            </w:r>
          </w:p>
        </w:tc>
        <w:tc>
          <w:tcPr>
            <w:tcW w:w="0" w:type="dxa"/>
            <w:vAlign w:val="bottom"/>
          </w:tcPr>
          <w:p>
            <w:pPr>
              <w:spacing w:after="0"/>
              <w:rPr>
                <w:sz w:val="1"/>
                <w:szCs w:val="1"/>
                <w:color w:val="auto"/>
              </w:rPr>
            </w:pPr>
          </w:p>
        </w:tc>
      </w:tr>
      <w:tr>
        <w:trPr>
          <w:trHeight w:val="230"/>
        </w:trPr>
        <w:tc>
          <w:tcPr>
            <w:tcW w:w="6240" w:type="dxa"/>
            <w:vAlign w:val="bottom"/>
          </w:tcPr>
          <w:p>
            <w:pPr>
              <w:spacing w:after="0"/>
              <w:rPr>
                <w:sz w:val="20"/>
                <w:szCs w:val="20"/>
                <w:color w:val="auto"/>
              </w:rPr>
            </w:pPr>
            <w:r>
              <w:rPr>
                <w:rFonts w:ascii="Arial" w:cs="Arial" w:eastAsia="Arial" w:hAnsi="Arial"/>
                <w:sz w:val="18"/>
                <w:szCs w:val="18"/>
                <w:color w:val="auto"/>
              </w:rPr>
              <w:t>% of net revenue</w:t>
            </w:r>
          </w:p>
        </w:tc>
        <w:tc>
          <w:tcPr>
            <w:tcW w:w="1460" w:type="dxa"/>
            <w:vAlign w:val="bottom"/>
            <w:gridSpan w:val="2"/>
          </w:tcPr>
          <w:p>
            <w:pPr>
              <w:jc w:val="right"/>
              <w:ind w:right="60"/>
              <w:spacing w:after="0"/>
              <w:rPr>
                <w:sz w:val="20"/>
                <w:szCs w:val="20"/>
                <w:color w:val="auto"/>
              </w:rPr>
            </w:pPr>
            <w:r>
              <w:rPr>
                <w:rFonts w:ascii="Arial" w:cs="Arial" w:eastAsia="Arial" w:hAnsi="Arial"/>
                <w:sz w:val="18"/>
                <w:szCs w:val="18"/>
                <w:color w:val="auto"/>
              </w:rPr>
              <w:t>(0.9)%</w:t>
            </w:r>
          </w:p>
        </w:tc>
        <w:tc>
          <w:tcPr>
            <w:tcW w:w="1580" w:type="dxa"/>
            <w:vAlign w:val="bottom"/>
            <w:gridSpan w:val="2"/>
          </w:tcPr>
          <w:p>
            <w:pPr>
              <w:jc w:val="right"/>
              <w:ind w:right="60"/>
              <w:spacing w:after="0"/>
              <w:rPr>
                <w:sz w:val="20"/>
                <w:szCs w:val="20"/>
                <w:color w:val="auto"/>
              </w:rPr>
            </w:pPr>
            <w:r>
              <w:rPr>
                <w:rFonts w:ascii="Arial" w:cs="Arial" w:eastAsia="Arial" w:hAnsi="Arial"/>
                <w:sz w:val="18"/>
                <w:szCs w:val="18"/>
                <w:color w:val="auto"/>
              </w:rPr>
              <w:t>(1.6)%</w:t>
            </w:r>
          </w:p>
        </w:tc>
        <w:tc>
          <w:tcPr>
            <w:tcW w:w="1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jc w:val="both"/>
        <w:ind w:right="340" w:firstLine="259"/>
        <w:spacing w:after="0" w:line="308" w:lineRule="auto"/>
        <w:rPr>
          <w:sz w:val="20"/>
          <w:szCs w:val="20"/>
          <w:color w:val="auto"/>
        </w:rPr>
      </w:pPr>
      <w:r>
        <w:rPr>
          <w:rFonts w:ascii="Arial" w:cs="Arial" w:eastAsia="Arial" w:hAnsi="Arial"/>
          <w:sz w:val="17"/>
          <w:szCs w:val="17"/>
          <w:color w:val="auto"/>
        </w:rPr>
        <w:t>Interest expense consists primarily of interest paid on a term loan and capital lease obligations. The decrease in interest expense for the first quarter of fiscal 2009 compared to the first quarter of fiscal 2008 was primarily due to lower interest rates and lower capital lease interest expense.</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Provision for Income Taxes</w:t>
      </w:r>
    </w:p>
    <w:p>
      <w:pPr>
        <w:spacing w:after="0" w:line="217" w:lineRule="exact"/>
        <w:rPr>
          <w:sz w:val="20"/>
          <w:szCs w:val="20"/>
          <w:color w:val="auto"/>
        </w:rPr>
      </w:pPr>
    </w:p>
    <w:tbl>
      <w:tblPr>
        <w:tblLayout w:type="fixed"/>
        <w:tblInd w:w="260" w:type="dxa"/>
        <w:tblCellMar>
          <w:top w:w="0" w:type="dxa"/>
          <w:left w:w="0" w:type="dxa"/>
          <w:bottom w:w="0" w:type="dxa"/>
          <w:right w:w="0" w:type="dxa"/>
        </w:tblCellMar>
      </w:tblPr>
      <w:tr>
        <w:trPr>
          <w:trHeight w:val="171"/>
        </w:trPr>
        <w:tc>
          <w:tcPr>
            <w:tcW w:w="6260" w:type="dxa"/>
            <w:vAlign w:val="bottom"/>
          </w:tcPr>
          <w:p>
            <w:pPr>
              <w:spacing w:after="0"/>
              <w:rPr>
                <w:sz w:val="14"/>
                <w:szCs w:val="14"/>
                <w:color w:val="auto"/>
              </w:rPr>
            </w:pPr>
          </w:p>
        </w:tc>
        <w:tc>
          <w:tcPr>
            <w:tcW w:w="3020" w:type="dxa"/>
            <w:vAlign w:val="bottom"/>
            <w:gridSpan w:val="4"/>
          </w:tcPr>
          <w:p>
            <w:pPr>
              <w:jc w:val="right"/>
              <w:ind w:right="960"/>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6260" w:type="dxa"/>
            <w:vAlign w:val="bottom"/>
          </w:tcPr>
          <w:p>
            <w:pPr>
              <w:spacing w:after="0"/>
              <w:rPr>
                <w:sz w:val="10"/>
                <w:szCs w:val="10"/>
                <w:color w:val="auto"/>
              </w:rPr>
            </w:pPr>
          </w:p>
        </w:tc>
        <w:tc>
          <w:tcPr>
            <w:tcW w:w="1520" w:type="dxa"/>
            <w:vAlign w:val="bottom"/>
            <w:tcBorders>
              <w:top w:val="single" w:sz="8" w:color="auto"/>
            </w:tcBorders>
            <w:gridSpan w:val="2"/>
          </w:tcPr>
          <w:p>
            <w:pPr>
              <w:jc w:val="right"/>
              <w:ind w:right="660"/>
              <w:spacing w:after="0" w:line="119" w:lineRule="exact"/>
              <w:rPr>
                <w:sz w:val="20"/>
                <w:szCs w:val="20"/>
                <w:color w:val="auto"/>
              </w:rPr>
            </w:pPr>
            <w:r>
              <w:rPr>
                <w:rFonts w:ascii="Arial" w:cs="Arial" w:eastAsia="Arial" w:hAnsi="Arial"/>
                <w:sz w:val="13"/>
                <w:szCs w:val="13"/>
                <w:b w:val="1"/>
                <w:bCs w:val="1"/>
                <w:color w:val="auto"/>
              </w:rPr>
              <w:t>May 3,</w:t>
            </w:r>
          </w:p>
        </w:tc>
        <w:tc>
          <w:tcPr>
            <w:tcW w:w="1280" w:type="dxa"/>
            <w:vAlign w:val="bottom"/>
            <w:tcBorders>
              <w:top w:val="single" w:sz="8" w:color="auto"/>
            </w:tcBorders>
          </w:tcPr>
          <w:p>
            <w:pPr>
              <w:jc w:val="center"/>
              <w:spacing w:after="0" w:line="119" w:lineRule="exact"/>
              <w:rPr>
                <w:sz w:val="20"/>
                <w:szCs w:val="20"/>
                <w:color w:val="auto"/>
              </w:rPr>
            </w:pPr>
            <w:r>
              <w:rPr>
                <w:rFonts w:ascii="Arial" w:cs="Arial" w:eastAsia="Arial" w:hAnsi="Arial"/>
                <w:sz w:val="13"/>
                <w:szCs w:val="13"/>
                <w:b w:val="1"/>
                <w:bCs w:val="1"/>
                <w:color w:val="auto"/>
              </w:rPr>
              <w:t>April 28,</w:t>
            </w:r>
          </w:p>
        </w:tc>
        <w:tc>
          <w:tcPr>
            <w:tcW w:w="220" w:type="dxa"/>
            <w:vAlign w:val="bottom"/>
          </w:tcPr>
          <w:p>
            <w:pPr>
              <w:spacing w:after="0"/>
              <w:rPr>
                <w:sz w:val="10"/>
                <w:szCs w:val="10"/>
                <w:color w:val="auto"/>
              </w:rPr>
            </w:pPr>
          </w:p>
        </w:tc>
        <w:tc>
          <w:tcPr>
            <w:tcW w:w="13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 Change</w:t>
            </w:r>
          </w:p>
        </w:tc>
        <w:tc>
          <w:tcPr>
            <w:tcW w:w="260" w:type="dxa"/>
            <w:vAlign w:val="bottom"/>
            <w:vMerge w:val="restart"/>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6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tcPr>
          <w:p>
            <w:pPr>
              <w:jc w:val="right"/>
              <w:ind w:right="422"/>
              <w:spacing w:after="0"/>
              <w:rPr>
                <w:sz w:val="20"/>
                <w:szCs w:val="20"/>
                <w:color w:val="auto"/>
              </w:rPr>
            </w:pPr>
            <w:r>
              <w:rPr>
                <w:rFonts w:ascii="Arial" w:cs="Arial" w:eastAsia="Arial" w:hAnsi="Arial"/>
                <w:sz w:val="14"/>
                <w:szCs w:val="14"/>
                <w:b w:val="1"/>
                <w:bCs w:val="1"/>
                <w:color w:val="auto"/>
              </w:rPr>
              <w:t>2008</w:t>
            </w:r>
          </w:p>
        </w:tc>
        <w:tc>
          <w:tcPr>
            <w:tcW w:w="220" w:type="dxa"/>
            <w:vAlign w:val="bottom"/>
            <w:tcBorders>
              <w:bottom w:val="single" w:sz="8" w:color="CCEEFF"/>
            </w:tcBorders>
          </w:tcPr>
          <w:p>
            <w:pPr>
              <w:spacing w:after="0"/>
              <w:rPr>
                <w:sz w:val="14"/>
                <w:szCs w:val="14"/>
                <w:color w:val="auto"/>
              </w:rPr>
            </w:pPr>
          </w:p>
        </w:tc>
        <w:tc>
          <w:tcPr>
            <w:tcW w:w="1280" w:type="dxa"/>
            <w:vAlign w:val="bottom"/>
            <w:tcBorders>
              <w:bottom w:val="single" w:sz="8" w:color="auto"/>
            </w:tcBorders>
          </w:tcPr>
          <w:p>
            <w:pPr>
              <w:jc w:val="right"/>
              <w:ind w:right="420"/>
              <w:spacing w:after="0"/>
              <w:rPr>
                <w:sz w:val="20"/>
                <w:szCs w:val="20"/>
                <w:color w:val="auto"/>
              </w:rPr>
            </w:pPr>
            <w:r>
              <w:rPr>
                <w:rFonts w:ascii="Arial" w:cs="Arial" w:eastAsia="Arial" w:hAnsi="Arial"/>
                <w:sz w:val="14"/>
                <w:szCs w:val="14"/>
                <w:b w:val="1"/>
                <w:bCs w:val="1"/>
                <w:color w:val="auto"/>
              </w:rPr>
              <w:t>2007</w:t>
            </w:r>
          </w:p>
        </w:tc>
        <w:tc>
          <w:tcPr>
            <w:tcW w:w="220" w:type="dxa"/>
            <w:vAlign w:val="bottom"/>
            <w:tcBorders>
              <w:bottom w:val="single" w:sz="8" w:color="CCEEFF"/>
            </w:tcBorders>
          </w:tcPr>
          <w:p>
            <w:pPr>
              <w:spacing w:after="0"/>
              <w:rPr>
                <w:sz w:val="14"/>
                <w:szCs w:val="14"/>
                <w:color w:val="auto"/>
              </w:rPr>
            </w:pPr>
          </w:p>
        </w:tc>
        <w:tc>
          <w:tcPr>
            <w:tcW w:w="1300" w:type="dxa"/>
            <w:vAlign w:val="bottom"/>
            <w:tcBorders>
              <w:bottom w:val="single" w:sz="8" w:color="auto"/>
            </w:tcBorders>
            <w:vMerge w:val="continue"/>
          </w:tcPr>
          <w:p>
            <w:pPr>
              <w:spacing w:after="0"/>
              <w:rPr>
                <w:sz w:val="14"/>
                <w:szCs w:val="14"/>
                <w:color w:val="auto"/>
              </w:rPr>
            </w:pPr>
          </w:p>
        </w:tc>
        <w:tc>
          <w:tcPr>
            <w:tcW w:w="260" w:type="dxa"/>
            <w:vAlign w:val="bottom"/>
            <w:tcBorders>
              <w:bottom w:val="single" w:sz="8" w:color="CCEEFF"/>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$8,574</w:t>
            </w:r>
          </w:p>
        </w:tc>
        <w:tc>
          <w:tcPr>
            <w:tcW w:w="22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$5,972</w:t>
            </w:r>
          </w:p>
        </w:tc>
        <w:tc>
          <w:tcPr>
            <w:tcW w:w="220" w:type="dxa"/>
            <w:vAlign w:val="bottom"/>
            <w:shd w:val="clear" w:color="auto" w:fill="CCEEFF"/>
          </w:tcPr>
          <w:p>
            <w:pPr>
              <w:spacing w:after="0"/>
              <w:rPr>
                <w:sz w:val="18"/>
                <w:szCs w:val="18"/>
                <w:color w:val="auto"/>
              </w:rPr>
            </w:pPr>
          </w:p>
        </w:tc>
        <w:tc>
          <w:tcPr>
            <w:tcW w:w="1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43.6%</w:t>
            </w:r>
          </w:p>
        </w:tc>
        <w:tc>
          <w:tcPr>
            <w:tcW w:w="0" w:type="dxa"/>
            <w:vAlign w:val="bottom"/>
          </w:tcPr>
          <w:p>
            <w:pPr>
              <w:spacing w:after="0"/>
              <w:rPr>
                <w:sz w:val="1"/>
                <w:szCs w:val="1"/>
                <w:color w:val="auto"/>
              </w:rPr>
            </w:pPr>
          </w:p>
        </w:tc>
      </w:tr>
      <w:tr>
        <w:trPr>
          <w:trHeight w:val="230"/>
        </w:trPr>
        <w:tc>
          <w:tcPr>
            <w:tcW w:w="6260" w:type="dxa"/>
            <w:vAlign w:val="bottom"/>
          </w:tcPr>
          <w:p>
            <w:pPr>
              <w:spacing w:after="0"/>
              <w:rPr>
                <w:sz w:val="20"/>
                <w:szCs w:val="20"/>
                <w:color w:val="auto"/>
              </w:rPr>
            </w:pPr>
            <w:r>
              <w:rPr>
                <w:rFonts w:ascii="Arial" w:cs="Arial" w:eastAsia="Arial" w:hAnsi="Arial"/>
                <w:sz w:val="18"/>
                <w:szCs w:val="18"/>
                <w:color w:val="auto"/>
              </w:rPr>
              <w:t>% of net revenue</w:t>
            </w:r>
          </w:p>
        </w:tc>
        <w:tc>
          <w:tcPr>
            <w:tcW w:w="1520" w:type="dxa"/>
            <w:vAlign w:val="bottom"/>
            <w:gridSpan w:val="2"/>
          </w:tcPr>
          <w:p>
            <w:pPr>
              <w:jc w:val="right"/>
              <w:ind w:right="80"/>
              <w:spacing w:after="0"/>
              <w:rPr>
                <w:sz w:val="20"/>
                <w:szCs w:val="20"/>
                <w:color w:val="auto"/>
              </w:rPr>
            </w:pPr>
            <w:r>
              <w:rPr>
                <w:rFonts w:ascii="Arial" w:cs="Arial" w:eastAsia="Arial" w:hAnsi="Arial"/>
                <w:sz w:val="18"/>
                <w:szCs w:val="18"/>
                <w:color w:val="auto"/>
              </w:rPr>
              <w:t>1.1%</w:t>
            </w:r>
          </w:p>
        </w:tc>
        <w:tc>
          <w:tcPr>
            <w:tcW w:w="1500" w:type="dxa"/>
            <w:vAlign w:val="bottom"/>
            <w:gridSpan w:val="2"/>
          </w:tcPr>
          <w:p>
            <w:pPr>
              <w:jc w:val="right"/>
              <w:ind w:right="60"/>
              <w:spacing w:after="0"/>
              <w:rPr>
                <w:sz w:val="20"/>
                <w:szCs w:val="20"/>
                <w:color w:val="auto"/>
              </w:rPr>
            </w:pPr>
            <w:r>
              <w:rPr>
                <w:rFonts w:ascii="Arial" w:cs="Arial" w:eastAsia="Arial" w:hAnsi="Arial"/>
                <w:sz w:val="18"/>
                <w:szCs w:val="18"/>
                <w:color w:val="auto"/>
              </w:rPr>
              <w:t>0.9%</w:t>
            </w:r>
          </w:p>
        </w:tc>
        <w:tc>
          <w:tcPr>
            <w:tcW w:w="13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341" w:right="259" w:bottom="35" w:gutter="0" w:footer="0" w:header="0"/>
        </w:sectPr>
      </w:pPr>
    </w:p>
    <w:bookmarkStart w:id="20" w:name="page21"/>
    <w:bookmarkEnd w:id="20"/>
    <w:p>
      <w:pPr>
        <w:spacing w:after="0" w:line="137" w:lineRule="exact"/>
        <w:rPr>
          <w:sz w:val="20"/>
          <w:szCs w:val="20"/>
          <w:color w:val="auto"/>
        </w:rPr>
      </w:pPr>
    </w:p>
    <w:p>
      <w:pPr>
        <w:ind w:right="100" w:firstLine="243"/>
        <w:spacing w:after="0" w:line="297" w:lineRule="auto"/>
        <w:rPr>
          <w:sz w:val="20"/>
          <w:szCs w:val="20"/>
          <w:color w:val="auto"/>
        </w:rPr>
      </w:pPr>
      <w:r>
        <w:rPr>
          <w:rFonts w:ascii="Arial" w:cs="Arial" w:eastAsia="Arial" w:hAnsi="Arial"/>
          <w:sz w:val="16"/>
          <w:szCs w:val="16"/>
          <w:color w:val="auto"/>
        </w:rPr>
        <w:t>For the three months ended May 3, 2008 and April 28, 2007, our effective tax rate was an income tax expense of 10.9% and an income tax expense of (12.7)%, respectively. The effective tax rates are influenced by non-tax-deductible expenses, such as SFAS 123R stock based compensation expenses, amortization of acquired intangibles, and accounting for uncertain tax benefits under FIN 48. The April 28, 2007 effective tax rate was also impacted by the pretax loss and the fact that a smaller proportion of profit was earned in low or zero tax jurisdictions. Also, for the three months ended May 3, 2008, the effective tax rate was reduced slightly by the recognition of certain uncertain tax positions resulting from lapse of a statute of limitations.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29" w:lineRule="exact"/>
        <w:rPr>
          <w:sz w:val="20"/>
          <w:szCs w:val="20"/>
          <w:color w:val="auto"/>
        </w:rPr>
      </w:pPr>
    </w:p>
    <w:p>
      <w:pPr>
        <w:ind w:right="300" w:firstLine="259"/>
        <w:spacing w:after="0" w:line="264" w:lineRule="auto"/>
        <w:rPr>
          <w:sz w:val="20"/>
          <w:szCs w:val="20"/>
          <w:color w:val="auto"/>
        </w:rPr>
      </w:pPr>
      <w:r>
        <w:rPr>
          <w:rFonts w:ascii="Arial" w:cs="Arial" w:eastAsia="Arial" w:hAnsi="Arial"/>
          <w:sz w:val="18"/>
          <w:szCs w:val="18"/>
          <w:color w:val="auto"/>
        </w:rPr>
        <w:t>Our principal source of liquidity as of May 3, 2008 consisted of $773.6 million of cash, cash equivalents, restricted cash and short-term investments of which $24.5 million will be used in a legal settlement. Since our inception, we have financed our operations through a combination of sales of equity securities, cash generated by operations and cash assumed in acquisitions.</w:t>
      </w:r>
    </w:p>
    <w:p>
      <w:pPr>
        <w:spacing w:after="0" w:line="181"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left="260"/>
        <w:spacing w:after="0"/>
        <w:rPr>
          <w:sz w:val="20"/>
          <w:szCs w:val="20"/>
          <w:color w:val="auto"/>
        </w:rPr>
      </w:pPr>
      <w:r>
        <w:rPr>
          <w:rFonts w:ascii="Arial" w:cs="Arial" w:eastAsia="Arial" w:hAnsi="Arial"/>
          <w:sz w:val="17"/>
          <w:szCs w:val="17"/>
          <w:color w:val="auto"/>
        </w:rPr>
        <w:t>Net cash provided by operating activities was $130.2 million for the three months ended May 3, 2008 compared to $54.2 million for the three months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ended April 28, 2007. The cash inflow from operations in the three months ended May 3, 2008 was primarily due to net income of $69.9 million and changes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working capital. Non-cash charges for the three months ended May 3, 2008 included $35.2 million related to amortization of acquired intangible assets,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$28.6 million of depreciation and amortization expense and $45.2 million of stock-based compensation. A significant working capital change contributing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positive cash flow in the three months ended May 3, 2008 was the decrease in inventories of $55.9 million. The decrease in inventories was primarily due to</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the completion of contractual obligations under the original supply agreement with Intel as well as concentrated efforts to reduce inventory levels. The</w:t>
      </w:r>
    </w:p>
    <w:p>
      <w:pPr>
        <w:spacing w:after="0" w:line="21" w:lineRule="exact"/>
        <w:rPr>
          <w:sz w:val="20"/>
          <w:szCs w:val="20"/>
          <w:color w:val="auto"/>
        </w:rPr>
      </w:pPr>
    </w:p>
    <w:p>
      <w:pPr>
        <w:ind w:right="60"/>
        <w:spacing w:after="0" w:line="273" w:lineRule="auto"/>
        <w:rPr>
          <w:sz w:val="20"/>
          <w:szCs w:val="20"/>
          <w:color w:val="auto"/>
        </w:rPr>
      </w:pPr>
      <w:r>
        <w:rPr>
          <w:rFonts w:ascii="Arial" w:cs="Arial" w:eastAsia="Arial" w:hAnsi="Arial"/>
          <w:sz w:val="17"/>
          <w:szCs w:val="17"/>
          <w:color w:val="auto"/>
        </w:rPr>
        <w:t>number of days in inventory increased to 87 days at the end of the first quarter of fiscal 2009 compared to 74 days at the end of the first quarter of fiscal 2008. Also contributing to the increase in cash flows was a decrease in prepaid expenses and other assets of $32.5 million. The decrease in prepaid expenses and other assets was primarily due to the utilization of prepaid foundry capacity and prepaid wafers. In addition, accrued employee compensation increased $16.9 million due primarily to an increase in employee stock purchase plan contributions and the timing of accrued salary.</w:t>
      </w:r>
    </w:p>
    <w:p>
      <w:pPr>
        <w:spacing w:after="0" w:line="177" w:lineRule="exact"/>
        <w:rPr>
          <w:sz w:val="20"/>
          <w:szCs w:val="20"/>
          <w:color w:val="auto"/>
        </w:rPr>
      </w:pPr>
    </w:p>
    <w:p>
      <w:pPr>
        <w:ind w:right="20" w:firstLine="259"/>
        <w:spacing w:after="0" w:line="260" w:lineRule="auto"/>
        <w:rPr>
          <w:sz w:val="20"/>
          <w:szCs w:val="20"/>
          <w:color w:val="auto"/>
        </w:rPr>
      </w:pPr>
      <w:r>
        <w:rPr>
          <w:rFonts w:ascii="Arial" w:cs="Arial" w:eastAsia="Arial" w:hAnsi="Arial"/>
          <w:sz w:val="18"/>
          <w:szCs w:val="18"/>
          <w:color w:val="auto"/>
        </w:rPr>
        <w:t xml:space="preserve">Significant working capital changes offsetting positive cash flows in the first three months of fiscal 2009 included a decrease in accounts payable of $63.1 million due to payments made on outstanding balances. Accounts receivable increased $38.2 million due primarily to the timing of payments received from customers. Days sales outstanding (“DSO”) increased to 41 days in the three months ended May 3, 2008 compared to 40 days for the three months ended April 28, 2007. </w:t>
      </w:r>
      <w:r>
        <w:rPr>
          <w:rFonts w:ascii="Arial" w:cs="Arial" w:eastAsia="Arial" w:hAnsi="Arial"/>
          <w:sz w:val="17"/>
          <w:szCs w:val="17"/>
          <w:color w:val="auto"/>
        </w:rPr>
        <w:t>Many of our larger customers have regularly scheduled payment dates that fall immediately before or after our fiscal quarter-end. As a result, our</w:t>
      </w:r>
      <w:r>
        <w:rPr>
          <w:rFonts w:ascii="Arial" w:cs="Arial" w:eastAsia="Arial" w:hAnsi="Arial"/>
          <w:sz w:val="18"/>
          <w:szCs w:val="18"/>
          <w:color w:val="auto"/>
        </w:rPr>
        <w:t xml:space="preserve"> </w:t>
      </w:r>
      <w:r>
        <w:rPr>
          <w:rFonts w:ascii="Arial" w:cs="Arial" w:eastAsia="Arial" w:hAnsi="Arial"/>
          <w:sz w:val="17"/>
          <w:szCs w:val="17"/>
          <w:color w:val="auto"/>
        </w:rPr>
        <w:t>accounts receivable balance and DSO may fluctuate depending on the timing of large payments made by our customers. Restricted cash increased $24.5 million due to proceeds from settlement with our directors’ and officers’ insurance carriers with the settlement requiring the proceeds to be used towards the consolidated derivative actions settlement and any future class action securities litigation settlement. Also contributing to an increase in cash flow from operations was a decrease in accrued liabilities and other of $18.8 million. The decrease in accrued liabilities and other was attributable to decreases in accrued sales rebates and accrued legal fees.</w:t>
      </w:r>
    </w:p>
    <w:p>
      <w:pPr>
        <w:spacing w:after="0" w:line="193" w:lineRule="exact"/>
        <w:rPr>
          <w:sz w:val="20"/>
          <w:szCs w:val="20"/>
          <w:color w:val="auto"/>
        </w:rPr>
      </w:pPr>
    </w:p>
    <w:p>
      <w:pPr>
        <w:ind w:firstLine="259"/>
        <w:spacing w:after="0" w:line="286" w:lineRule="auto"/>
        <w:rPr>
          <w:sz w:val="20"/>
          <w:szCs w:val="20"/>
          <w:color w:val="auto"/>
        </w:rPr>
      </w:pPr>
      <w:r>
        <w:rPr>
          <w:rFonts w:ascii="Arial" w:cs="Arial" w:eastAsia="Arial" w:hAnsi="Arial"/>
          <w:sz w:val="16"/>
          <w:szCs w:val="16"/>
          <w:color w:val="auto"/>
        </w:rPr>
        <w:t xml:space="preserve">The cash inflow from operations in the three months ended April 28, 2007 was primarily due to changes in working capital. Non-cash charges in the three months ended April 28, 2007 included $37.3 million related to amortization of acquired intangible assets, $26.5 million of depreciation and amortization expense and $46.8 million of stock-based compensation. A significant working capital change contributing to positive cash flow in the three months ended April 28, 2007 was the decrease in accounts receivable of $45.4 million primarily due to the timing of payments received from customers. </w:t>
      </w:r>
      <w:r>
        <w:rPr>
          <w:rFonts w:ascii="Arial" w:cs="Arial" w:eastAsia="Arial" w:hAnsi="Arial"/>
          <w:sz w:val="15"/>
          <w:szCs w:val="15"/>
          <w:color w:val="auto"/>
        </w:rPr>
        <w:t>Also contributing to</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an increase in cash flow from operations was an increase in accounts payable of $17.0 million, due to an overall increase in operating activities.</w:t>
      </w:r>
    </w:p>
    <w:p>
      <w:pPr>
        <w:spacing w:after="0" w:line="211" w:lineRule="exact"/>
        <w:rPr>
          <w:sz w:val="20"/>
          <w:szCs w:val="20"/>
          <w:color w:val="auto"/>
        </w:rPr>
      </w:pPr>
    </w:p>
    <w:p>
      <w:pPr>
        <w:ind w:right="140" w:firstLine="243"/>
        <w:spacing w:after="0" w:line="258" w:lineRule="auto"/>
        <w:rPr>
          <w:sz w:val="20"/>
          <w:szCs w:val="20"/>
          <w:color w:val="auto"/>
        </w:rPr>
      </w:pPr>
      <w:r>
        <w:rPr>
          <w:rFonts w:ascii="Arial" w:cs="Arial" w:eastAsia="Arial" w:hAnsi="Arial"/>
          <w:sz w:val="18"/>
          <w:szCs w:val="18"/>
          <w:color w:val="auto"/>
        </w:rPr>
        <w:t xml:space="preserve">Significant working capital changes offsetting positive cash flows in the three months ended April 28, 2007 included a decrease in accrued liabilities and other of $26.4 million due primarily to application of a supply contract liability related to the acquisition of communications and applications processor business of Intel and </w:t>
      </w:r>
      <w:r>
        <w:rPr>
          <w:rFonts w:ascii="Arial" w:cs="Arial" w:eastAsia="Arial" w:hAnsi="Arial"/>
          <w:sz w:val="17"/>
          <w:szCs w:val="17"/>
          <w:color w:val="auto"/>
        </w:rPr>
        <w:t>an increase in inventories of $28.7 million due to the build up of inventory to support our increasing revenue as well as inventory purchase</w:t>
      </w:r>
      <w:r>
        <w:rPr>
          <w:rFonts w:ascii="Arial" w:cs="Arial" w:eastAsia="Arial" w:hAnsi="Arial"/>
          <w:sz w:val="18"/>
          <w:szCs w:val="18"/>
          <w:color w:val="auto"/>
        </w:rPr>
        <w:t xml:space="preserve"> </w:t>
      </w:r>
      <w:r>
        <w:rPr>
          <w:rFonts w:ascii="Arial" w:cs="Arial" w:eastAsia="Arial" w:hAnsi="Arial"/>
          <w:sz w:val="17"/>
          <w:szCs w:val="17"/>
          <w:color w:val="auto"/>
        </w:rPr>
        <w:t>commitments from our acquisitions.</w:t>
      </w:r>
    </w:p>
    <w:p>
      <w:pPr>
        <w:spacing w:after="0" w:line="190"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right="60" w:firstLine="259"/>
        <w:spacing w:after="0" w:line="297" w:lineRule="auto"/>
        <w:rPr>
          <w:sz w:val="20"/>
          <w:szCs w:val="20"/>
          <w:color w:val="auto"/>
        </w:rPr>
      </w:pPr>
      <w:r>
        <w:rPr>
          <w:rFonts w:ascii="Arial" w:cs="Arial" w:eastAsia="Arial" w:hAnsi="Arial"/>
          <w:sz w:val="16"/>
          <w:szCs w:val="16"/>
          <w:color w:val="auto"/>
        </w:rPr>
        <w:t>Net cash used in investing activities was $16.9 million for the three months ended May 3, 2008 and $151.9 million for the three months ended April 28, 2007. The net cash used in investing activities in the three month ended May 3, 2008 was due to purchases of property and equipment of $30.5 million and purchases of investments of $10.1 million, partially offset by sales and maturities of investments of $23.8 million. The net cash used in investing activities in the three months ended April 28, 2007 was due to purchases of short-term investments of $108.0 million, purchases of property and equipment of $35.3 million and purchases of technology licenses of $15.7 million, partially offset by sales and maturities of short-term investments of $8.0 million.</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260"/>
        <w:spacing w:after="0"/>
        <w:rPr>
          <w:sz w:val="20"/>
          <w:szCs w:val="20"/>
          <w:color w:val="auto"/>
        </w:rPr>
      </w:pPr>
      <w:r>
        <w:rPr>
          <w:rFonts w:ascii="Arial" w:cs="Arial" w:eastAsia="Arial" w:hAnsi="Arial"/>
          <w:sz w:val="18"/>
          <w:szCs w:val="18"/>
          <w:b w:val="1"/>
          <w:bCs w:val="1"/>
          <w:i w:val="1"/>
          <w:iCs w:val="1"/>
          <w:color w:val="auto"/>
        </w:rPr>
        <w:t>Net Cash Provided by (Used in) Financing Activities</w:t>
      </w:r>
    </w:p>
    <w:p>
      <w:pPr>
        <w:spacing w:after="0" w:line="225" w:lineRule="exact"/>
        <w:rPr>
          <w:sz w:val="20"/>
          <w:szCs w:val="20"/>
          <w:color w:val="auto"/>
        </w:rPr>
      </w:pPr>
    </w:p>
    <w:p>
      <w:pPr>
        <w:ind w:firstLine="259"/>
        <w:spacing w:after="0" w:line="273" w:lineRule="auto"/>
        <w:rPr>
          <w:sz w:val="20"/>
          <w:szCs w:val="20"/>
          <w:color w:val="auto"/>
        </w:rPr>
      </w:pPr>
      <w:r>
        <w:rPr>
          <w:rFonts w:ascii="Arial" w:cs="Arial" w:eastAsia="Arial" w:hAnsi="Arial"/>
          <w:sz w:val="17"/>
          <w:szCs w:val="17"/>
          <w:color w:val="auto"/>
        </w:rPr>
        <w:t>Net cash provided by financing activities was $15.1 million for the three months ended May 3, 2008 while net cash used in financing activities was $5.8 million for the three months ended April 28, 2007. In the three months ended May 3, 2008, net cash provided by financing activities was attributable to proceeds from the issuance of common shares under our stock option plans, partially offset by principal payments on capital lease and debt obligations. In the three months ended April 28, 2007, net cash used in financing activities was attributable to principal payments on capital lease and debt obligations. The proceeds from the issuance of common shares are primarily due to the exercises of stock options. The increase in capital lease obligations was due to additional computer-aided design software licenses, which we acquired for use in our research and development activities.</w:t>
      </w:r>
    </w:p>
    <w:p>
      <w:pPr>
        <w:spacing w:after="0" w:line="174" w:lineRule="exact"/>
        <w:rPr>
          <w:sz w:val="20"/>
          <w:szCs w:val="20"/>
          <w:color w:val="auto"/>
        </w:rPr>
      </w:pPr>
    </w:p>
    <w:p>
      <w:pPr>
        <w:ind w:left="26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29" w:lineRule="exact"/>
        <w:rPr>
          <w:sz w:val="20"/>
          <w:szCs w:val="20"/>
          <w:color w:val="auto"/>
        </w:rPr>
      </w:pPr>
    </w:p>
    <w:p>
      <w:pPr>
        <w:ind w:right="320" w:firstLine="243"/>
        <w:spacing w:after="0" w:line="342" w:lineRule="auto"/>
        <w:rPr>
          <w:sz w:val="20"/>
          <w:szCs w:val="20"/>
          <w:color w:val="auto"/>
        </w:rPr>
      </w:pPr>
      <w:r>
        <w:rPr>
          <w:rFonts w:ascii="Arial" w:cs="Arial" w:eastAsia="Arial" w:hAnsi="Arial"/>
          <w:sz w:val="16"/>
          <w:szCs w:val="16"/>
          <w:color w:val="auto"/>
        </w:rPr>
        <w:t>In connection with the acquisition of the communications and application processor business of Intel, we entered into a product supply agreement with Intel. Although we have met the contractual obligations under the original supply agreement and have transitioned certain products to our fabrication</w:t>
      </w:r>
    </w:p>
    <w:p>
      <w:pPr>
        <w:sectPr>
          <w:pgSz w:w="11900" w:h="16975" w:orient="portrait"/>
          <w:cols w:equalWidth="0" w:num="1">
            <w:col w:w="11420"/>
          </w:cols>
          <w:pgMar w:left="240" w:top="341" w:right="239" w:bottom="0" w:gutter="0" w:footer="0" w:header="0"/>
        </w:sectPr>
      </w:pPr>
    </w:p>
    <w:bookmarkStart w:id="21" w:name="page22"/>
    <w:bookmarkEnd w:id="21"/>
    <w:p>
      <w:pPr>
        <w:spacing w:after="0" w:line="23" w:lineRule="exact"/>
        <w:rPr>
          <w:sz w:val="20"/>
          <w:szCs w:val="20"/>
          <w:color w:val="auto"/>
        </w:rPr>
      </w:pPr>
    </w:p>
    <w:p>
      <w:pPr>
        <w:ind w:right="360"/>
        <w:spacing w:after="0" w:line="264" w:lineRule="auto"/>
        <w:rPr>
          <w:sz w:val="20"/>
          <w:szCs w:val="20"/>
          <w:color w:val="auto"/>
        </w:rPr>
      </w:pPr>
      <w:r>
        <w:rPr>
          <w:rFonts w:ascii="Arial" w:cs="Arial" w:eastAsia="Arial" w:hAnsi="Arial"/>
          <w:sz w:val="18"/>
          <w:szCs w:val="18"/>
          <w:color w:val="auto"/>
        </w:rPr>
        <w:t>partners, we anticipate that we will continue to source certain legacy application processor cellular and handset inventory from Intel. Under terms of an amendment to the supply agreement, we have committed to purchase a minimum number of wafers through December 2008. As of May 3, 2008, we had non-cancellable purchase orders outstanding of $20.6 million.</w:t>
      </w:r>
    </w:p>
    <w:p>
      <w:pPr>
        <w:spacing w:after="0" w:line="181" w:lineRule="exact"/>
        <w:rPr>
          <w:sz w:val="20"/>
          <w:szCs w:val="20"/>
          <w:color w:val="auto"/>
        </w:rPr>
      </w:pPr>
    </w:p>
    <w:p>
      <w:pPr>
        <w:ind w:right="40" w:firstLine="243"/>
        <w:spacing w:after="0" w:line="264" w:lineRule="auto"/>
        <w:rPr>
          <w:sz w:val="20"/>
          <w:szCs w:val="20"/>
          <w:color w:val="auto"/>
        </w:rPr>
      </w:pPr>
      <w:r>
        <w:rPr>
          <w:rFonts w:ascii="Arial" w:cs="Arial" w:eastAsia="Arial" w:hAnsi="Arial"/>
          <w:sz w:val="18"/>
          <w:szCs w:val="18"/>
          <w:color w:val="auto"/>
        </w:rPr>
        <w:t>Under our manufacturing relationships with our other foundries, cancellation of outstanding purchase orders is allowed but requires repayment of all expenses incurred through the date of cancellation. As of May 3, 2008, these foundries had incurred approximately $173.3 million of manufacturing expenses on our outstanding purchase orders.</w:t>
      </w:r>
    </w:p>
    <w:p>
      <w:pPr>
        <w:spacing w:after="0" w:line="181" w:lineRule="exact"/>
        <w:rPr>
          <w:sz w:val="20"/>
          <w:szCs w:val="20"/>
          <w:color w:val="auto"/>
        </w:rPr>
      </w:pPr>
    </w:p>
    <w:p>
      <w:pPr>
        <w:jc w:val="both"/>
        <w:ind w:right="20" w:firstLine="243"/>
        <w:spacing w:after="0" w:line="288" w:lineRule="auto"/>
        <w:rPr>
          <w:sz w:val="20"/>
          <w:szCs w:val="20"/>
          <w:color w:val="auto"/>
        </w:rPr>
      </w:pPr>
      <w:r>
        <w:rPr>
          <w:rFonts w:ascii="Arial" w:cs="Arial" w:eastAsia="Arial" w:hAnsi="Arial"/>
          <w:sz w:val="16"/>
          <w:szCs w:val="16"/>
          <w:color w:val="auto"/>
        </w:rPr>
        <w:t>On February 28, 2005 and as amended on March 31, 2005, we entered into an agreement with a foundry to reserve and secure foundry fabrication capacity for a fixed number of wafers at agreed upon prices for a period of five and a half years beginning on October 1, 2005. In return, we agreed to pay the foundry $174.2 million over a period of 18 months. The amendment extends the term of the agreement and the agreed upon pricing terms until December 31, 2015.</w:t>
      </w:r>
    </w:p>
    <w:p>
      <w:pPr>
        <w:ind w:right="140"/>
        <w:spacing w:after="0" w:line="255" w:lineRule="auto"/>
        <w:rPr>
          <w:sz w:val="20"/>
          <w:szCs w:val="20"/>
          <w:color w:val="auto"/>
        </w:rPr>
      </w:pPr>
      <w:r>
        <w:rPr>
          <w:rFonts w:ascii="Arial" w:cs="Arial" w:eastAsia="Arial" w:hAnsi="Arial"/>
          <w:sz w:val="18"/>
          <w:szCs w:val="18"/>
          <w:color w:val="auto"/>
        </w:rPr>
        <w:t>As of May 3, 2008, payments totaling $174.2 million (included in prepaid expenses and other current assets and other noncurrent assets) had been made and approximately $134.2 million of the prepayment had been utilized as of May 3, 2008. At May 3, 2008, there were no outstanding commitments under the agreement.</w:t>
      </w:r>
    </w:p>
    <w:p>
      <w:pPr>
        <w:spacing w:after="0" w:line="190" w:lineRule="exact"/>
        <w:rPr>
          <w:sz w:val="20"/>
          <w:szCs w:val="20"/>
          <w:color w:val="auto"/>
        </w:rPr>
      </w:pPr>
    </w:p>
    <w:p>
      <w:pPr>
        <w:ind w:left="260"/>
        <w:spacing w:after="0"/>
        <w:rPr>
          <w:sz w:val="20"/>
          <w:szCs w:val="20"/>
          <w:color w:val="auto"/>
        </w:rPr>
      </w:pPr>
      <w:r>
        <w:rPr>
          <w:rFonts w:ascii="Arial" w:cs="Arial" w:eastAsia="Arial" w:hAnsi="Arial"/>
          <w:sz w:val="17"/>
          <w:szCs w:val="17"/>
          <w:color w:val="auto"/>
        </w:rPr>
        <w:t>As of May 3, 2008, we had approximately $51.5 million of other outstanding non-cancelable purchase orders for capital purchase obligations.</w:t>
      </w:r>
    </w:p>
    <w:p>
      <w:pPr>
        <w:spacing w:after="0" w:line="237" w:lineRule="exact"/>
        <w:rPr>
          <w:sz w:val="20"/>
          <w:szCs w:val="20"/>
          <w:color w:val="auto"/>
        </w:rPr>
      </w:pPr>
    </w:p>
    <w:p>
      <w:pPr>
        <w:ind w:right="220" w:firstLine="243"/>
        <w:spacing w:after="0" w:line="257" w:lineRule="auto"/>
        <w:rPr>
          <w:sz w:val="20"/>
          <w:szCs w:val="20"/>
          <w:color w:val="auto"/>
        </w:rPr>
      </w:pPr>
      <w:r>
        <w:rPr>
          <w:rFonts w:ascii="Arial" w:cs="Arial" w:eastAsia="Arial" w:hAnsi="Arial"/>
          <w:sz w:val="18"/>
          <w:szCs w:val="18"/>
          <w:color w:val="auto"/>
        </w:rPr>
        <w:t>As a result of a facility consolidation in February 2002, we obtained a sublease on one of our facilities that had a non cancellable lease. Actual sublease income has approximated estimated sublease income, but was less than our actual lease commitment, resulting in future negative cash flow over the remaining term of the sublease. As of May 3, 2008, cash payments of $11.8 million, net of sublease income, have been made in connection with this sublease. Approximately $1.7 million remains accrued for this facilities consolidation charge as of May 3, 2008 of which $0.6 million is current and $1.1 million is long-term, payable through 2010.</w:t>
      </w:r>
    </w:p>
    <w:p>
      <w:pPr>
        <w:spacing w:after="0" w:line="188" w:lineRule="exact"/>
        <w:rPr>
          <w:sz w:val="20"/>
          <w:szCs w:val="20"/>
          <w:color w:val="auto"/>
        </w:rPr>
      </w:pPr>
    </w:p>
    <w:p>
      <w:pPr>
        <w:ind w:right="60" w:firstLine="243"/>
        <w:spacing w:after="0" w:line="257" w:lineRule="auto"/>
        <w:rPr>
          <w:sz w:val="20"/>
          <w:szCs w:val="20"/>
          <w:color w:val="auto"/>
        </w:rPr>
      </w:pPr>
      <w:r>
        <w:rPr>
          <w:rFonts w:ascii="Arial" w:cs="Arial" w:eastAsia="Arial" w:hAnsi="Arial"/>
          <w:sz w:val="18"/>
          <w:szCs w:val="18"/>
          <w:color w:val="auto"/>
        </w:rPr>
        <w:t>In May 2006, we completed the acquisition of the printer semiconductor business of Avago. Under the terms of the acquisition agreement, we paid $249.6 million in exchange for certain assets and intellectual property of Avago and were committed to two additional contingent payments in cash of $10.0 million and $25.0 million upon the achievement of certain levels of revenue. In the third quarter of fiscal 2007, we recorded contingent consideration and additional goodwill for the first contingent payment of $10.0 million. In the third quarter of fiscal 2008, we recorded the second contingent payment of $25.0 million based on achievement of certain level of revenue during fiscal 2008.</w:t>
      </w:r>
    </w:p>
    <w:p>
      <w:pPr>
        <w:spacing w:after="0" w:line="188" w:lineRule="exact"/>
        <w:rPr>
          <w:sz w:val="20"/>
          <w:szCs w:val="20"/>
          <w:color w:val="auto"/>
        </w:rPr>
      </w:pPr>
    </w:p>
    <w:p>
      <w:pPr>
        <w:ind w:firstLine="360"/>
        <w:spacing w:after="0" w:line="290" w:lineRule="auto"/>
        <w:rPr>
          <w:sz w:val="20"/>
          <w:szCs w:val="20"/>
          <w:color w:val="auto"/>
        </w:rPr>
      </w:pPr>
      <w:r>
        <w:rPr>
          <w:rFonts w:ascii="Arial" w:cs="Arial" w:eastAsia="Arial" w:hAnsi="Arial"/>
          <w:sz w:val="16"/>
          <w:szCs w:val="16"/>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12 months. However, our capital requirements will depend on many factors, including our rate of sales growth, market acceptance of our products, costs of securing access to 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6"/>
          <w:szCs w:val="16"/>
          <w:color w:val="auto"/>
        </w:rPr>
        <w:t>require us to seek additional debt or equity financing. Additional equity financing or convertible debt financing may be dilutive to our current shareholders.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Additional funds may not be available on terms favorable to us or at all.</w:t>
      </w:r>
    </w:p>
    <w:p>
      <w:pPr>
        <w:spacing w:after="0" w:line="211" w:lineRule="exact"/>
        <w:rPr>
          <w:sz w:val="20"/>
          <w:szCs w:val="20"/>
          <w:color w:val="auto"/>
        </w:rPr>
      </w:pPr>
    </w:p>
    <w:p>
      <w:pPr>
        <w:ind w:right="100" w:firstLine="243"/>
        <w:spacing w:after="0" w:line="291" w:lineRule="auto"/>
        <w:rPr>
          <w:sz w:val="20"/>
          <w:szCs w:val="20"/>
          <w:color w:val="auto"/>
        </w:rPr>
      </w:pPr>
      <w:r>
        <w:rPr>
          <w:rFonts w:ascii="Arial" w:cs="Arial" w:eastAsia="Arial" w:hAnsi="Arial"/>
          <w:sz w:val="16"/>
          <w:szCs w:val="16"/>
          <w:color w:val="auto"/>
        </w:rPr>
        <w:t>As of May 3,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ind w:right="40"/>
        <w:spacing w:after="0" w:line="254" w:lineRule="auto"/>
        <w:rPr>
          <w:sz w:val="20"/>
          <w:szCs w:val="20"/>
          <w:color w:val="auto"/>
        </w:rPr>
      </w:pPr>
      <w:r>
        <w:rPr>
          <w:rFonts w:ascii="Arial" w:cs="Arial" w:eastAsia="Arial" w:hAnsi="Arial"/>
          <w:sz w:val="18"/>
          <w:szCs w:val="18"/>
          <w:color w:val="auto"/>
        </w:rPr>
        <w:t>30 years and whose interest rates are reset every seven to thirty five days through an auction process. At the end of each reset period, investors can sell or continue to hold the securities at par. Our auction rate securities are all backed by student loans originated under the Federal Family Education Loan Program (“FFELP”), and are over-collateralized, insured and guaranteed by the United States Federal Department of Education. All auction rate securities held by us are rated by the major independent rating agencies as either AAA or Aaa.</w:t>
      </w:r>
    </w:p>
    <w:p>
      <w:pPr>
        <w:spacing w:after="0" w:line="190" w:lineRule="exact"/>
        <w:rPr>
          <w:sz w:val="20"/>
          <w:szCs w:val="20"/>
          <w:color w:val="auto"/>
        </w:rPr>
      </w:pPr>
    </w:p>
    <w:p>
      <w:pPr>
        <w:ind w:firstLine="259"/>
        <w:spacing w:after="0" w:line="288"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 failures of the auctions are not believed to be a credit issue, but rather caused by a lack of liquidity. Observable market prices were not available for the valuation of these investments. Accordingly, we used a discounted cash flow model to estimate the fair value of the auction rate securities as of May 3, 2008. The assumptions used in preparing the discounted cash flow model included estimates for the amount and timing of future interest and principal payments, the collateralization of underlying security investments, the credit worthiness of the issuer and the rate of return required by investors to own these securities in the current environment, including call premium and liquidity premium. During the three month period ended May 3, 2008, we recorded a temporary impairment charge of $1.7 million calculated using a discounted cash flow model, in accumulated other comprehensive income, a component of shareholders’ equity. When evaluating whether the impairment of the investments are temporary or other than temporary, we reviewed factors such as the length of time and extent to which fair value has been below cost basis and our ability and intent to hold the investment for a period of time which may be sufficient for anticipated recovery in market value.</w:t>
      </w:r>
    </w:p>
    <w:p>
      <w:pPr>
        <w:spacing w:after="0" w:line="169" w:lineRule="exact"/>
        <w:rPr>
          <w:sz w:val="20"/>
          <w:szCs w:val="20"/>
          <w:color w:val="auto"/>
        </w:rPr>
      </w:pPr>
    </w:p>
    <w:p>
      <w:pPr>
        <w:ind w:right="40" w:firstLine="259"/>
        <w:spacing w:after="0" w:line="279" w:lineRule="auto"/>
        <w:rPr>
          <w:sz w:val="20"/>
          <w:szCs w:val="20"/>
          <w:color w:val="auto"/>
        </w:rPr>
      </w:pPr>
      <w:r>
        <w:rPr>
          <w:rFonts w:ascii="Arial" w:cs="Arial" w:eastAsia="Arial" w:hAnsi="Arial"/>
          <w:sz w:val="17"/>
          <w:szCs w:val="17"/>
          <w:color w:val="auto"/>
        </w:rPr>
        <w:t>While the recent auction failures will limit our ability to liquidate these investments, we do not believe that the auction failures will materially impact our ability to fund our working capital needs, capital expenditures, or other business requirements. We believe that we have the ability to hold these securities for a period longer than 12 months. However, at the reporting date, it is not certain when liquidity will return to the markets, or if any other secondary markets will become available, we have continued to classify these auction rate securities in long-term investments as of May 3, 2008.</w:t>
      </w:r>
    </w:p>
    <w:p>
      <w:pPr>
        <w:spacing w:after="0" w:line="171" w:lineRule="exact"/>
        <w:rPr>
          <w:sz w:val="20"/>
          <w:szCs w:val="20"/>
          <w:color w:val="auto"/>
        </w:rPr>
      </w:pPr>
    </w:p>
    <w:p>
      <w:pPr>
        <w:ind w:right="100" w:firstLine="243"/>
        <w:spacing w:after="0" w:line="297" w:lineRule="auto"/>
        <w:rPr>
          <w:sz w:val="20"/>
          <w:szCs w:val="20"/>
          <w:color w:val="auto"/>
        </w:rPr>
      </w:pPr>
      <w:r>
        <w:rPr>
          <w:rFonts w:ascii="Arial" w:cs="Arial" w:eastAsia="Arial" w:hAnsi="Arial"/>
          <w:sz w:val="16"/>
          <w:szCs w:val="16"/>
          <w:color w:val="auto"/>
        </w:rPr>
        <w:t>We will continue to evaluate the impact of these failed auctions on the fair value of our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additional other-than-temporary impairment charges in future periods, which could materially affect our results of operations and financial condition. Further, if the fair value of these securities is determined to be other than temporarily impaired, we may be required to record a loss which could materially affect our results of operations and financial condition.</w:t>
      </w:r>
    </w:p>
    <w:p>
      <w:pPr>
        <w:spacing w:after="0" w:line="158" w:lineRule="exact"/>
        <w:rPr>
          <w:sz w:val="20"/>
          <w:szCs w:val="20"/>
          <w:color w:val="auto"/>
        </w:rPr>
      </w:pPr>
    </w:p>
    <w:p>
      <w:pPr>
        <w:ind w:right="280" w:firstLine="259"/>
        <w:spacing w:after="0" w:line="277" w:lineRule="auto"/>
        <w:rPr>
          <w:sz w:val="20"/>
          <w:szCs w:val="20"/>
          <w:color w:val="auto"/>
        </w:rPr>
      </w:pPr>
      <w:r>
        <w:rPr>
          <w:rFonts w:ascii="Arial" w:cs="Arial" w:eastAsia="Arial" w:hAnsi="Arial"/>
          <w:sz w:val="18"/>
          <w:szCs w:val="18"/>
          <w:color w:val="auto"/>
        </w:rPr>
        <w:t>The following table summarizes our contractual obligations as of May 3, 2008 and the effect such obligations are expected to have on our liquidity and cash flow in future periods (in thousands):</w:t>
      </w:r>
    </w:p>
    <w:p>
      <w:pPr>
        <w:sectPr>
          <w:pgSz w:w="11900" w:h="16861" w:orient="portrait"/>
          <w:cols w:equalWidth="0" w:num="1">
            <w:col w:w="11420"/>
          </w:cols>
          <w:pgMar w:left="240" w:top="125" w:right="239" w:bottom="0" w:gutter="0" w:footer="0" w:header="0"/>
        </w:sectPr>
      </w:pPr>
    </w:p>
    <w:bookmarkStart w:id="22" w:name="page23"/>
    <w:bookmarkEnd w:id="22"/>
    <w:p>
      <w:pPr>
        <w:spacing w:after="0" w:line="4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1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9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220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rPr>
              <w:t>Payments Due by Period</w:t>
            </w:r>
          </w:p>
        </w:tc>
        <w:tc>
          <w:tcPr>
            <w:tcW w:w="2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1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9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6"/>
              </w:rPr>
              <w:t>2009</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80" w:type="dxa"/>
            <w:vAlign w:val="bottom"/>
            <w:vMerge w:val="restart"/>
          </w:tcPr>
          <w:p>
            <w:pPr>
              <w:jc w:val="right"/>
              <w:ind w:right="273"/>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80" w:type="dxa"/>
            <w:vAlign w:val="bottom"/>
            <w:vMerge w:val="restart"/>
          </w:tcPr>
          <w:p>
            <w:pPr>
              <w:jc w:val="right"/>
              <w:ind w:right="274"/>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76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60" w:type="dxa"/>
            <w:vAlign w:val="bottom"/>
            <w:vMerge w:val="restart"/>
          </w:tcPr>
          <w:p>
            <w:pPr>
              <w:jc w:val="right"/>
              <w:ind w:right="253"/>
              <w:spacing w:after="0"/>
              <w:rPr>
                <w:sz w:val="20"/>
                <w:szCs w:val="20"/>
                <w:color w:val="auto"/>
              </w:rPr>
            </w:pPr>
            <w:r>
              <w:rPr>
                <w:rFonts w:ascii="Arial" w:cs="Arial" w:eastAsia="Arial" w:hAnsi="Arial"/>
                <w:sz w:val="14"/>
                <w:szCs w:val="14"/>
                <w:b w:val="1"/>
                <w:bCs w:val="1"/>
                <w:color w:val="auto"/>
              </w:rPr>
              <w:t>2013</w:t>
            </w:r>
          </w:p>
        </w:tc>
        <w:tc>
          <w:tcPr>
            <w:tcW w:w="2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80" w:type="dxa"/>
            <w:vAlign w:val="bottom"/>
            <w:gridSpan w:val="2"/>
          </w:tcPr>
          <w:p>
            <w:pPr>
              <w:jc w:val="center"/>
              <w:ind w:right="400"/>
              <w:spacing w:after="0" w:line="119" w:lineRule="exact"/>
              <w:rPr>
                <w:sz w:val="20"/>
                <w:szCs w:val="20"/>
                <w:color w:val="auto"/>
              </w:rPr>
            </w:pPr>
            <w:r>
              <w:rPr>
                <w:rFonts w:ascii="Arial" w:cs="Arial" w:eastAsia="Arial" w:hAnsi="Arial"/>
                <w:sz w:val="13"/>
                <w:szCs w:val="13"/>
                <w:b w:val="1"/>
                <w:bCs w:val="1"/>
                <w:color w:val="auto"/>
              </w:rPr>
              <w:t>There-</w:t>
            </w:r>
          </w:p>
        </w:tc>
        <w:tc>
          <w:tcPr>
            <w:tcW w:w="220" w:type="dxa"/>
            <w:vAlign w:val="bottom"/>
          </w:tcPr>
          <w:p>
            <w:pPr>
              <w:spacing w:after="0"/>
              <w:rPr>
                <w:sz w:val="10"/>
                <w:szCs w:val="10"/>
                <w:color w:val="auto"/>
              </w:rPr>
            </w:pPr>
          </w:p>
        </w:tc>
        <w:tc>
          <w:tcPr>
            <w:tcW w:w="840" w:type="dxa"/>
            <w:vAlign w:val="bottom"/>
            <w:gridSpan w:val="2"/>
            <w:vMerge w:val="restart"/>
          </w:tcPr>
          <w:p>
            <w:pPr>
              <w:jc w:val="right"/>
              <w:ind w:right="4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71"/>
        </w:trPr>
        <w:tc>
          <w:tcPr>
            <w:tcW w:w="3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8"/>
              </w:rPr>
              <w:t>after</w:t>
            </w:r>
          </w:p>
        </w:tc>
        <w:tc>
          <w:tcPr>
            <w:tcW w:w="220" w:type="dxa"/>
            <w:vAlign w:val="bottom"/>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16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tcPr>
          <w:p>
            <w:pPr>
              <w:jc w:val="center"/>
              <w:ind w:right="17"/>
              <w:spacing w:after="0" w:line="119" w:lineRule="exact"/>
              <w:rPr>
                <w:sz w:val="20"/>
                <w:szCs w:val="20"/>
                <w:color w:val="auto"/>
              </w:rPr>
            </w:pPr>
            <w:r>
              <w:rPr>
                <w:rFonts w:ascii="Arial" w:cs="Arial" w:eastAsia="Arial" w:hAnsi="Arial"/>
                <w:sz w:val="13"/>
                <w:szCs w:val="13"/>
                <w:b w:val="1"/>
                <w:bCs w:val="1"/>
                <w:color w:val="auto"/>
              </w:rPr>
              <w:t>(remaining</w:t>
            </w: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31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nine months)</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3160" w:type="dxa"/>
            <w:vAlign w:val="bottom"/>
            <w:shd w:val="clear" w:color="auto" w:fill="CCEEFF"/>
          </w:tcPr>
          <w:p>
            <w:pPr>
              <w:spacing w:after="0"/>
              <w:rPr>
                <w:sz w:val="20"/>
                <w:szCs w:val="20"/>
                <w:color w:val="auto"/>
              </w:rPr>
            </w:pPr>
            <w:r>
              <w:rPr>
                <w:rFonts w:ascii="Arial" w:cs="Arial" w:eastAsia="Arial" w:hAnsi="Arial"/>
                <w:sz w:val="18"/>
                <w:szCs w:val="18"/>
                <w:color w:val="auto"/>
              </w:rPr>
              <w:t>Contractual obligations:</w:t>
            </w:r>
          </w:p>
        </w:tc>
        <w:tc>
          <w:tcPr>
            <w:tcW w:w="8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tcPr>
          <w:p>
            <w:pPr>
              <w:ind w:left="180"/>
              <w:spacing w:after="0"/>
              <w:rPr>
                <w:sz w:val="20"/>
                <w:szCs w:val="20"/>
                <w:color w:val="auto"/>
              </w:rPr>
            </w:pPr>
            <w:r>
              <w:rPr>
                <w:rFonts w:ascii="Arial" w:cs="Arial" w:eastAsia="Arial" w:hAnsi="Arial"/>
                <w:sz w:val="18"/>
                <w:szCs w:val="18"/>
                <w:color w:val="auto"/>
              </w:rPr>
              <w:t>Operating leases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40,731</w:t>
            </w:r>
          </w:p>
        </w:tc>
        <w:tc>
          <w:tcPr>
            <w:tcW w:w="320" w:type="dxa"/>
            <w:vAlign w:val="bottom"/>
            <w:gridSpan w:val="2"/>
          </w:tcPr>
          <w:p>
            <w:pPr>
              <w:jc w:val="right"/>
              <w:ind w:right="45"/>
              <w:spacing w:after="0"/>
              <w:rPr>
                <w:sz w:val="20"/>
                <w:szCs w:val="20"/>
                <w:color w:val="auto"/>
              </w:rPr>
            </w:pPr>
            <w:r>
              <w:rPr>
                <w:rFonts w:ascii="Arial" w:cs="Arial" w:eastAsia="Arial" w:hAnsi="Arial"/>
                <w:sz w:val="18"/>
                <w:szCs w:val="18"/>
                <w:color w:val="auto"/>
              </w:rPr>
              <w:t>$</w:t>
            </w: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37,176</w:t>
            </w:r>
          </w:p>
        </w:tc>
        <w:tc>
          <w:tcPr>
            <w:tcW w:w="3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26,983</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16,237</w:t>
            </w:r>
          </w:p>
        </w:tc>
        <w:tc>
          <w:tcPr>
            <w:tcW w:w="220" w:type="dxa"/>
            <w:vAlign w:val="bottom"/>
            <w:gridSpan w:val="2"/>
          </w:tcPr>
          <w:p>
            <w:pPr>
              <w:jc w:val="right"/>
              <w:ind w:right="45"/>
              <w:spacing w:after="0"/>
              <w:rPr>
                <w:sz w:val="20"/>
                <w:szCs w:val="20"/>
                <w:color w:val="auto"/>
              </w:rPr>
            </w:pPr>
            <w:r>
              <w:rPr>
                <w:rFonts w:ascii="Arial" w:cs="Arial" w:eastAsia="Arial" w:hAnsi="Arial"/>
                <w:sz w:val="18"/>
                <w:szCs w:val="18"/>
                <w:color w:val="auto"/>
                <w:w w:val="79"/>
              </w:rPr>
              <w:t>$</w:t>
            </w: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9,371</w:t>
            </w:r>
          </w:p>
        </w:tc>
        <w:tc>
          <w:tcPr>
            <w:tcW w:w="180" w:type="dxa"/>
            <w:vAlign w:val="bottom"/>
          </w:tcPr>
          <w:p>
            <w:pPr>
              <w:jc w:val="right"/>
              <w:ind w:right="25"/>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10,094</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140,592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lease obligations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1,643</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2,085</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2,084</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521</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tcPr>
          <w:p>
            <w:pPr>
              <w:ind w:left="180"/>
              <w:spacing w:after="0"/>
              <w:rPr>
                <w:sz w:val="20"/>
                <w:szCs w:val="20"/>
                <w:color w:val="auto"/>
              </w:rPr>
            </w:pPr>
            <w:r>
              <w:rPr>
                <w:rFonts w:ascii="Arial" w:cs="Arial" w:eastAsia="Arial" w:hAnsi="Arial"/>
                <w:sz w:val="18"/>
                <w:szCs w:val="18"/>
                <w:color w:val="auto"/>
              </w:rPr>
              <w:t>Purchase commitments to foundries</w:t>
            </w:r>
          </w:p>
        </w:tc>
        <w:tc>
          <w:tcPr>
            <w:tcW w:w="80" w:type="dxa"/>
            <w:vAlign w:val="bottom"/>
          </w:tcPr>
          <w:p>
            <w:pPr>
              <w:spacing w:after="0"/>
              <w:rPr>
                <w:sz w:val="18"/>
                <w:szCs w:val="18"/>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193,848</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193,848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Capital purchase obligations</w:t>
            </w:r>
          </w:p>
        </w:tc>
        <w:tc>
          <w:tcPr>
            <w:tcW w:w="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51,490</w:t>
            </w: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51,490</w:t>
            </w:r>
          </w:p>
        </w:tc>
        <w:tc>
          <w:tcPr>
            <w:tcW w:w="0" w:type="dxa"/>
            <w:vAlign w:val="bottom"/>
          </w:tcPr>
          <w:p>
            <w:pPr>
              <w:spacing w:after="0"/>
              <w:rPr>
                <w:sz w:val="1"/>
                <w:szCs w:val="1"/>
                <w:color w:val="auto"/>
              </w:rPr>
            </w:pPr>
          </w:p>
        </w:tc>
      </w:tr>
      <w:tr>
        <w:trPr>
          <w:trHeight w:val="216"/>
        </w:trPr>
        <w:tc>
          <w:tcPr>
            <w:tcW w:w="3160" w:type="dxa"/>
            <w:vAlign w:val="bottom"/>
          </w:tcPr>
          <w:p>
            <w:pPr>
              <w:ind w:left="180"/>
              <w:spacing w:after="0"/>
              <w:rPr>
                <w:sz w:val="20"/>
                <w:szCs w:val="20"/>
                <w:color w:val="auto"/>
              </w:rPr>
            </w:pPr>
            <w:r>
              <w:rPr>
                <w:rFonts w:ascii="Arial" w:cs="Arial" w:eastAsia="Arial" w:hAnsi="Arial"/>
                <w:sz w:val="18"/>
                <w:szCs w:val="18"/>
                <w:color w:val="auto"/>
              </w:rPr>
              <w:t>Long-term debt obligations</w:t>
            </w:r>
          </w:p>
        </w:tc>
        <w:tc>
          <w:tcPr>
            <w:tcW w:w="80" w:type="dxa"/>
            <w:vAlign w:val="bottom"/>
          </w:tcPr>
          <w:p>
            <w:pPr>
              <w:spacing w:after="0"/>
              <w:rPr>
                <w:sz w:val="18"/>
                <w:szCs w:val="18"/>
                <w:color w:val="auto"/>
              </w:rPr>
            </w:pPr>
          </w:p>
        </w:tc>
        <w:tc>
          <w:tcPr>
            <w:tcW w:w="1020" w:type="dxa"/>
            <w:vAlign w:val="bottom"/>
            <w:gridSpan w:val="2"/>
          </w:tcPr>
          <w:p>
            <w:pPr>
              <w:jc w:val="right"/>
              <w:ind w:right="120"/>
              <w:spacing w:after="0"/>
              <w:rPr>
                <w:sz w:val="20"/>
                <w:szCs w:val="20"/>
                <w:color w:val="auto"/>
              </w:rPr>
            </w:pPr>
            <w:r>
              <w:rPr>
                <w:rFonts w:ascii="Arial" w:cs="Arial" w:eastAsia="Arial" w:hAnsi="Arial"/>
                <w:sz w:val="18"/>
                <w:szCs w:val="18"/>
                <w:color w:val="auto"/>
              </w:rPr>
              <w:t>4,989</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390,750</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395,739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3160" w:type="dxa"/>
            <w:vAlign w:val="bottom"/>
            <w:tcBorders>
              <w:top w:val="single" w:sz="8" w:color="CCEEFF"/>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contractual cash obligations</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292,701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430,011</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29,067</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16,758</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9,371</w:t>
            </w:r>
          </w:p>
        </w:tc>
        <w:tc>
          <w:tcPr>
            <w:tcW w:w="220" w:type="dxa"/>
            <w:vAlign w:val="bottom"/>
            <w:tcBorders>
              <w:top w:val="single" w:sz="8" w:color="CCEEFF"/>
              <w:bottom w:val="single" w:sz="8" w:color="CCEEFF"/>
            </w:tcBorders>
            <w:shd w:val="clear" w:color="auto" w:fill="CCEEFF"/>
          </w:tcPr>
          <w:p>
            <w:pPr>
              <w:spacing w:after="0"/>
              <w:rPr>
                <w:sz w:val="18"/>
                <w:szCs w:val="18"/>
                <w:color w:val="auto"/>
              </w:rPr>
            </w:pPr>
          </w:p>
        </w:tc>
        <w:tc>
          <w:tcPr>
            <w:tcW w:w="180" w:type="dxa"/>
            <w:vAlign w:val="bottom"/>
            <w:tcBorders>
              <w:top w:val="single" w:sz="8" w:color="auto"/>
              <w:bottom w:val="single" w:sz="8" w:color="auto"/>
            </w:tcBorders>
            <w:shd w:val="clear" w:color="auto" w:fill="CCEEFF"/>
          </w:tcPr>
          <w:p>
            <w:pPr>
              <w:jc w:val="right"/>
              <w:ind w:right="2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10,094</w:t>
            </w:r>
          </w:p>
        </w:tc>
        <w:tc>
          <w:tcPr>
            <w:tcW w:w="2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788,002</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ind w:right="-99"/>
        <w:spacing w:after="0"/>
        <w:rPr>
          <w:sz w:val="20"/>
          <w:szCs w:val="20"/>
          <w:color w:val="auto"/>
        </w:rPr>
      </w:pPr>
      <w:r>
        <w:rPr>
          <w:rFonts w:ascii="Arial" w:cs="Arial" w:eastAsia="Arial" w:hAnsi="Arial"/>
          <w:sz w:val="16"/>
          <w:szCs w:val="16"/>
          <w:color w:val="auto"/>
        </w:rPr>
        <w:t>Included in operating lease commitments are lease payments for computer aided design software license agreements and airplane lease commitments.</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20" w:firstLine="324"/>
        <w:spacing w:after="0" w:line="279" w:lineRule="auto"/>
        <w:rPr>
          <w:sz w:val="20"/>
          <w:szCs w:val="20"/>
          <w:color w:val="auto"/>
        </w:rPr>
      </w:pPr>
      <w:r>
        <w:rPr>
          <w:rFonts w:ascii="Arial" w:cs="Arial" w:eastAsia="Arial" w:hAnsi="Arial"/>
          <w:sz w:val="17"/>
          <w:szCs w:val="17"/>
          <w:color w:val="auto"/>
        </w:rPr>
        <w:t>Our total unrecognized tax benefits under FIN 48 as of May 3, 2008 and February 2, 2008 were $114.3 million and $109.7 million, respectively. There was an overall $4.6 million net increase in our unrecognized tax benefits, penalties and interest during the three months ended May 3, 2008 as discussed above in Note 10 – Income Taxes of the notes of our consolidated financial statements. At this time, we are unable to make a reasonably reliable estimate of the amount of payments in individual years beyond 12 months due to uncertainties in the timing of tax audit outcomes.</w:t>
      </w:r>
    </w:p>
    <w:p>
      <w:pPr>
        <w:spacing w:after="0" w:line="171" w:lineRule="exact"/>
        <w:rPr>
          <w:sz w:val="20"/>
          <w:szCs w:val="20"/>
          <w:color w:val="auto"/>
        </w:rPr>
      </w:pPr>
    </w:p>
    <w:p>
      <w:pPr>
        <w:ind w:right="40" w:firstLine="324"/>
        <w:spacing w:after="0" w:line="257" w:lineRule="auto"/>
        <w:rPr>
          <w:sz w:val="20"/>
          <w:szCs w:val="20"/>
          <w:color w:val="auto"/>
        </w:rPr>
      </w:pPr>
      <w:r>
        <w:rPr>
          <w:rFonts w:ascii="Arial" w:cs="Arial" w:eastAsia="Arial" w:hAnsi="Arial"/>
          <w:sz w:val="18"/>
          <w:szCs w:val="18"/>
          <w:color w:val="auto"/>
        </w:rPr>
        <w:t>In November 2006, we borrowed $400.0 million from a group of lenders in the form of term loans to partially finance the acquisition of the communications and applications processor business of Intel. The credit agreement contains customer covenants including financial covenants with which we were in compliance as of May 3, 2008. We pay interest and principal amounts equal to 0.25% of the aggregate principal amount of loans on a quarterly basis on the last business day of each March, June, September and December. The loan is repayable in November 2009. We may repay the term loans in part or in full at any time without premium or penalty.</w:t>
      </w:r>
    </w:p>
    <w:p>
      <w:pPr>
        <w:spacing w:after="0" w:line="188"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i w:val="1"/>
          <w:iCs w:val="1"/>
          <w:color w:val="auto"/>
        </w:rPr>
        <w:t xml:space="preserve">Prospective capital needs: </w:t>
      </w:r>
      <w:r>
        <w:rPr>
          <w:rFonts w:ascii="Arial" w:cs="Arial" w:eastAsia="Arial" w:hAnsi="Arial"/>
          <w:sz w:val="16"/>
          <w:szCs w:val="16"/>
          <w:color w:val="auto"/>
        </w:rPr>
        <w:t>We believe that our existing cash, cash equivalents and marketable securities, together with cash generated from operations</w:t>
      </w:r>
      <w:r>
        <w:rPr>
          <w:rFonts w:ascii="Arial" w:cs="Arial" w:eastAsia="Arial" w:hAnsi="Arial"/>
          <w:sz w:val="16"/>
          <w:szCs w:val="16"/>
          <w:i w:val="1"/>
          <w:iCs w:val="1"/>
          <w:color w:val="auto"/>
        </w:rPr>
        <w:t xml:space="preserve"> </w:t>
      </w:r>
      <w:r>
        <w:rPr>
          <w:rFonts w:ascii="Arial" w:cs="Arial" w:eastAsia="Arial" w:hAnsi="Arial"/>
          <w:sz w:val="16"/>
          <w:szCs w:val="16"/>
          <w:color w:val="auto"/>
        </w:rPr>
        <w:t>and from exercise of employee stock options will be sufficient to cover our working capital needs, capital expenditures, investment requirements and commitments for at least the next 12 months. However, we are named as defendants to several litigation actions and an unfavorable outcome in such actions could have a material adverse effect on our cash flows, including potential impacts to certain covenants under our existing credit agreement.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as certain covenants would have to be met.</w:t>
      </w:r>
    </w:p>
    <w:p>
      <w:pPr>
        <w:spacing w:after="0" w:line="167" w:lineRule="exact"/>
        <w:rPr>
          <w:sz w:val="20"/>
          <w:szCs w:val="20"/>
          <w:color w:val="auto"/>
        </w:rPr>
      </w:pPr>
    </w:p>
    <w:p>
      <w:pPr>
        <w:ind w:right="80" w:firstLine="324"/>
        <w:spacing w:after="0" w:line="264" w:lineRule="auto"/>
        <w:rPr>
          <w:sz w:val="20"/>
          <w:szCs w:val="20"/>
          <w:color w:val="auto"/>
        </w:rPr>
      </w:pPr>
      <w:r>
        <w:rPr>
          <w:rFonts w:ascii="Arial" w:cs="Arial" w:eastAsia="Arial" w:hAnsi="Arial"/>
          <w:sz w:val="18"/>
          <w:szCs w:val="18"/>
          <w:color w:val="auto"/>
        </w:rPr>
        <w:t>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As of May 3, 2008, we did not have any material off-balance-sheet arrangements, as defined in Item 303(a)(4)(ii) of SEC Regulation S-K.</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56" w:lineRule="exact"/>
        <w:rPr>
          <w:sz w:val="20"/>
          <w:szCs w:val="20"/>
          <w:color w:val="auto"/>
        </w:rPr>
      </w:pPr>
    </w:p>
    <w:p>
      <w:pPr>
        <w:ind w:right="20" w:firstLine="324"/>
        <w:spacing w:after="0" w:line="269" w:lineRule="auto"/>
        <w:rPr>
          <w:sz w:val="20"/>
          <w:szCs w:val="20"/>
          <w:color w:val="auto"/>
        </w:rPr>
      </w:pPr>
      <w:r>
        <w:rPr>
          <w:rFonts w:ascii="Arial" w:cs="Arial" w:eastAsia="Arial" w:hAnsi="Arial"/>
          <w:sz w:val="17"/>
          <w:szCs w:val="17"/>
          <w:color w:val="auto"/>
        </w:rPr>
        <w:t>In December 2007, the Financial Accounting Standards Board (“FASB”) issued Statement of Financial Accounting Standards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or contingent consideration measured at their fair value at the acquisition date. It further requires that research and development assets acquired in a business combination that have no alternative future use be measured at their acquisition-date fair value and then immediately charged to expense, and that acquisition-related costs are to be recognized separately from the acquisition and expensed as incurred. Among other changes, this statement also requires that any “negative goodwill” be recognized in earnings as a gain attributable to the acquisition, and any deferred tax benefits resulting from a business combination be recognized in income from continuing operations in the period of the combination. SFAS 141R is effective for business combinations for which the acquisition date is on or after the beginning of the first annual reporting period beginning on or after December 15, 2008. We expect that SFAS 141R will have an impact on our financial position and results of operations, but the nature and magnitude of the impact will depend on the nature, terms and size of any future business combinations or adjustments to prior business combinations.</w:t>
      </w:r>
    </w:p>
    <w:p>
      <w:pPr>
        <w:spacing w:after="0" w:line="180" w:lineRule="exact"/>
        <w:rPr>
          <w:sz w:val="20"/>
          <w:szCs w:val="20"/>
          <w:color w:val="auto"/>
        </w:rPr>
      </w:pPr>
    </w:p>
    <w:p>
      <w:pPr>
        <w:ind w:right="140" w:firstLine="360"/>
        <w:spacing w:after="0" w:line="255" w:lineRule="auto"/>
        <w:rPr>
          <w:sz w:val="20"/>
          <w:szCs w:val="20"/>
          <w:color w:val="auto"/>
        </w:rPr>
      </w:pPr>
      <w:r>
        <w:rPr>
          <w:rFonts w:ascii="Arial" w:cs="Arial" w:eastAsia="Arial" w:hAnsi="Arial"/>
          <w:sz w:val="18"/>
          <w:szCs w:val="18"/>
          <w:color w:val="auto"/>
        </w:rPr>
        <w:t>In December 2007, the FASB issued SFAS No. 160, “Noncontrolling Interests in Consolidated Financial Statements—an amendment of ARB No. 51” (“SFAS 160”). The objective of this Statement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We do not expect SFAS 160 will have a significant impact on our financial position and results of operations.</w:t>
      </w:r>
    </w:p>
    <w:p>
      <w:pPr>
        <w:sectPr>
          <w:pgSz w:w="11900" w:h="16885" w:orient="portrait"/>
          <w:cols w:equalWidth="0" w:num="1">
            <w:col w:w="11420"/>
          </w:cols>
          <w:pgMar w:left="240" w:top="333" w:right="239" w:bottom="0" w:gutter="0" w:footer="0" w:header="0"/>
        </w:sectPr>
      </w:pPr>
    </w:p>
    <w:bookmarkStart w:id="23" w:name="page24"/>
    <w:bookmarkEnd w:id="23"/>
    <w:p>
      <w:pPr>
        <w:ind w:right="140" w:firstLine="324"/>
        <w:spacing w:after="0" w:line="293" w:lineRule="auto"/>
        <w:rPr>
          <w:sz w:val="20"/>
          <w:szCs w:val="20"/>
          <w:color w:val="auto"/>
        </w:rPr>
      </w:pPr>
      <w:r>
        <w:rPr>
          <w:rFonts w:ascii="Arial" w:cs="Arial" w:eastAsia="Arial" w:hAnsi="Arial"/>
          <w:sz w:val="16"/>
          <w:szCs w:val="16"/>
          <w:color w:val="auto"/>
        </w:rPr>
        <w:t>In March 2008, the FASB issued SFAS No. 161, “Disclosures about Derivative Instruments and Hedging Activities” (“SFAS 161”). SFAS 161 amends and expands the disclosure requirements of Statement of Financial Accounting Standards No. 133, “Accounting for Derivative Instruments and Hedging Activities” and requires qualitative disclosures about objectives and strategies for using derivatives, quantitative disclosures about fair value amounts of and gains and losses on derivative instruments, and disclosures about credit-risk-related contingent features in derivative agreements. SFAS 161 is effective for financial statements issued for fiscal years and interim periods beginning after November 15, 2008, with early application encouraged. We will adopt SFAS 161 in the first quarter of fiscal 2010 and do not anticipate that SFAS 161 will have a significant impact on our financial position and results of operations.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29" w:lineRule="exact"/>
        <w:rPr>
          <w:sz w:val="20"/>
          <w:szCs w:val="20"/>
          <w:color w:val="auto"/>
        </w:rPr>
      </w:pPr>
    </w:p>
    <w:p>
      <w:pPr>
        <w:ind w:firstLine="243"/>
        <w:spacing w:after="0" w:line="297" w:lineRule="auto"/>
        <w:rPr>
          <w:sz w:val="20"/>
          <w:szCs w:val="20"/>
          <w:color w:val="auto"/>
        </w:rPr>
      </w:pPr>
      <w:r>
        <w:rPr>
          <w:rFonts w:ascii="Arial" w:cs="Arial" w:eastAsia="Arial" w:hAnsi="Arial"/>
          <w:sz w:val="16"/>
          <w:szCs w:val="16"/>
          <w:color w:val="auto"/>
        </w:rPr>
        <w:t>During fiscal 2008, we incurred $0.1 million expenses from an unrelated third-party entity, ACM Aviation, Inc. (“ACM”) for charter aircraft services provided to MSI for Estopia Air LLC (“Estopia Air”). The aircraft provided by ACM to us for such services is owned by Estopia Air. Our President and Chief Executive Officer, Dr. Sehat Sutardja and Vice President of Sales for Communications and Consumer Business of MSI, Weili Dai, through their control and ownership in Estopia Air, own the aircraft provided by ACM. Dr. Sutardja and Weili Dai are husband and wife. Expenses charged by ACM for business travel use of the aircraft are at a cost determined to be at fair market value. There was no expense incurred in the first quarter of fiscal 2009 or 2008.</w:t>
      </w:r>
    </w:p>
    <w:p>
      <w:pPr>
        <w:spacing w:after="0" w:line="158" w:lineRule="exact"/>
        <w:rPr>
          <w:sz w:val="20"/>
          <w:szCs w:val="20"/>
          <w:color w:val="auto"/>
        </w:rPr>
      </w:pPr>
    </w:p>
    <w:p>
      <w:pPr>
        <w:ind w:right="80" w:firstLine="162"/>
        <w:spacing w:after="0" w:line="290" w:lineRule="auto"/>
        <w:rPr>
          <w:sz w:val="20"/>
          <w:szCs w:val="20"/>
          <w:color w:val="auto"/>
        </w:rPr>
      </w:pPr>
      <w:r>
        <w:rPr>
          <w:rFonts w:ascii="Arial" w:cs="Arial" w:eastAsia="Arial" w:hAnsi="Arial"/>
          <w:sz w:val="16"/>
          <w:szCs w:val="16"/>
          <w:color w:val="auto"/>
        </w:rPr>
        <w:t>On August 19, 2005, through our subsidiaries MSI and Marvell International Ltd. (“Marvell International”), we entered into a License and Manufacturing Services Agreement (the “License Agreement”) with C2 Microsystems, Inc. (“C2Micro”). The License Agreement has substantially similar terms as other license and manufacturing services agreements with other third parties. We recognized $1.2 million of revenue under the License Agreement with C2Micro during the first quarter of fiscal 2009 and recognized $30,000 of revenue during the first quarter of fiscal 2008. As of May 3, 2008, we had a receivable of $0.8 million from C2Micro. Sehat Sutardja, Ph.D., and Weili Dai, through their ownership and control of Estopia LLC (“Estopia”), are indirect shareholders of C2Micro. Kuo Wei (Herbert) Chang, a member of our board of directors, is a member of the Board of Directors of C2Micro and through his ownership and control of C-Squared venture entities, is also an indirect shareholder of C2Micro. Dr. Pantas Sutardja, our Vice President, Chief Technology Officer, Acting Chief Operating Officer and Chief Research and Development Officer, is also a shareholder of C2Micro.</w:t>
      </w:r>
    </w:p>
    <w:p>
      <w:pPr>
        <w:spacing w:after="0" w:line="166" w:lineRule="exact"/>
        <w:rPr>
          <w:sz w:val="20"/>
          <w:szCs w:val="20"/>
          <w:color w:val="auto"/>
        </w:rPr>
      </w:pPr>
    </w:p>
    <w:p>
      <w:pPr>
        <w:ind w:right="100" w:firstLine="324"/>
        <w:spacing w:after="0" w:line="257" w:lineRule="auto"/>
        <w:rPr>
          <w:sz w:val="20"/>
          <w:szCs w:val="20"/>
          <w:color w:val="auto"/>
        </w:rPr>
      </w:pPr>
      <w:r>
        <w:rPr>
          <w:rFonts w:ascii="Arial" w:cs="Arial" w:eastAsia="Arial" w:hAnsi="Arial"/>
          <w:sz w:val="18"/>
          <w:szCs w:val="18"/>
          <w:color w:val="auto"/>
        </w:rPr>
        <w:t>On January 8, 2007, through Marvell International, we entered into a Library/IP/Software Evaluation License Agreement (the “Evaluation License Agreement”) with VeriSilicon Holdings Co., Ltd. (“VeriSilicon”). The Evaluation License Agreement has no consideration. We incurred $66,000 and $72,000 of royalty expense from VeriSilicon under a core license agreement assumed from our acquisition of the semiconductor design business of UTStarcom, Inc. during the first quarter of fiscal 2009 and 2008, respectively. Weili Dai’s brother (and Dr. Sehat Sutardja’s brother-in-law) is the Chairman, President and Chief Executive Officer of VeriSilicon. Ms. Dai is also a shareholder of VeriSilicon.</w:t>
      </w:r>
    </w:p>
    <w:p>
      <w:pPr>
        <w:spacing w:after="0" w:line="188" w:lineRule="exact"/>
        <w:rPr>
          <w:sz w:val="20"/>
          <w:szCs w:val="20"/>
          <w:color w:val="auto"/>
        </w:rPr>
      </w:pPr>
    </w:p>
    <w:p>
      <w:pPr>
        <w:ind w:right="20" w:firstLine="324"/>
        <w:spacing w:after="0" w:line="253" w:lineRule="auto"/>
        <w:rPr>
          <w:sz w:val="20"/>
          <w:szCs w:val="20"/>
          <w:color w:val="auto"/>
        </w:rPr>
      </w:pPr>
      <w:r>
        <w:rPr>
          <w:rFonts w:ascii="Arial" w:cs="Arial" w:eastAsia="Arial" w:hAnsi="Arial"/>
          <w:sz w:val="18"/>
          <w:szCs w:val="18"/>
          <w:color w:val="auto"/>
        </w:rPr>
        <w:t>On September 6, 2007, through Marvell International, we entered into a Technology Evaluation Agreement (the “Evaluation Agreement”) with Vivante Corporation (“Vivante”). The Evaluation Agreement has no consideration. On September 28, 2007, we also entered into a Memorandum of Understanding (“MOU”) with Vivante to set forth the main principles for a good faith negotiation of a license agreement. The MOU has no consideration. On October 31, 2007, we entered into a License Agreement with Vivante. The License Agreement has substantially similar terms as other license agreements with other third parties. We recorded $0.2 million of expense during fiscal 2009 in connection with the License Agreement with Vivante. Dr. Sehat Sutardja and Weili Dai, through their ownership and control of Estopia,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97" w:lineRule="exact"/>
        <w:rPr>
          <w:sz w:val="20"/>
          <w:szCs w:val="20"/>
          <w:color w:val="auto"/>
        </w:rPr>
      </w:pPr>
    </w:p>
    <w:p>
      <w:pPr>
        <w:ind w:firstLine="324"/>
        <w:spacing w:after="0" w:line="277" w:lineRule="auto"/>
        <w:rPr>
          <w:sz w:val="20"/>
          <w:szCs w:val="20"/>
          <w:color w:val="auto"/>
        </w:rPr>
      </w:pPr>
      <w:r>
        <w:rPr>
          <w:rFonts w:ascii="Arial" w:cs="Arial" w:eastAsia="Arial" w:hAnsi="Arial"/>
          <w:sz w:val="18"/>
          <w:szCs w:val="18"/>
          <w:color w:val="auto"/>
        </w:rPr>
        <w:t>On September 28, 2007, through Marvell International, we entered into a Master Technology Agreement (the “Technology Agreement”) with Sonics, Inc. (“Sonics”), pursuant to which we have licensed technology from Sonics. The Technology Agreement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has substantially similar terms as other license agreements with other third parties. We paid $2.1 million under the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 There was no expense incurred in the first quarter of fiscal 2009 or 2008.</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7"/>
          <w:szCs w:val="17"/>
          <w:b w:val="1"/>
          <w:bCs w:val="1"/>
          <w:i w:val="1"/>
          <w:iCs w:val="1"/>
          <w:color w:val="auto"/>
        </w:rPr>
        <w:t>Quantitative and Qualitative Disclosures About Market Risk</w:t>
      </w:r>
    </w:p>
    <w:p>
      <w:pPr>
        <w:spacing w:after="0" w:line="229" w:lineRule="exact"/>
        <w:rPr>
          <w:sz w:val="20"/>
          <w:szCs w:val="20"/>
          <w:color w:val="auto"/>
        </w:rPr>
      </w:pPr>
    </w:p>
    <w:p>
      <w:pPr>
        <w:ind w:right="180"/>
        <w:spacing w:after="0" w:line="268" w:lineRule="auto"/>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nterest Rate Risk.</w:t>
      </w:r>
      <w:r>
        <w:rPr>
          <w:rFonts w:ascii="Arial" w:cs="Arial" w:eastAsia="Arial" w:hAnsi="Arial"/>
          <w:sz w:val="17"/>
          <w:szCs w:val="17"/>
          <w:i w:val="1"/>
          <w:iCs w:val="1"/>
          <w:color w:val="auto"/>
        </w:rPr>
        <w:t xml:space="preserve"> </w:t>
      </w:r>
      <w:r>
        <w:rPr>
          <w:rFonts w:ascii="Arial" w:cs="Arial" w:eastAsia="Arial" w:hAnsi="Arial"/>
          <w:sz w:val="17"/>
          <w:szCs w:val="17"/>
          <w:color w:val="auto"/>
        </w:rPr>
        <w:t>The primary objective of our investment activities is to preserve principal while at the same time maximize the income we receive from</w:t>
      </w:r>
      <w:r>
        <w:rPr>
          <w:rFonts w:ascii="Arial" w:cs="Arial" w:eastAsia="Arial" w:hAnsi="Arial"/>
          <w:sz w:val="17"/>
          <w:szCs w:val="17"/>
          <w:i w:val="1"/>
          <w:iCs w:val="1"/>
          <w:color w:val="auto"/>
        </w:rPr>
        <w:t xml:space="preserve"> </w:t>
      </w:r>
      <w:r>
        <w:rPr>
          <w:rFonts w:ascii="Arial" w:cs="Arial" w:eastAsia="Arial" w:hAnsi="Arial"/>
          <w:sz w:val="17"/>
          <w:szCs w:val="17"/>
          <w:color w:val="auto"/>
        </w:rPr>
        <w:t>our investments without significantly increasing risk. Some of the securities in which we have invested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May 3, 2008 (in thousands). This table does not include money market funds because those funds are not subject to market risk. Although auction rate securities generally have legally stated maturities in excess of one year, auction rate securities are presented below with an expected fiscal year maturity date beyond 5 years because of recent auction failures. As a result, we believe that we have the ability to hold the securities for a period of longer than 12 months and thus have classified the auction rate securities based on the stated maturity date.</w:t>
      </w:r>
    </w:p>
    <w:p>
      <w:pPr>
        <w:spacing w:after="0" w:line="179" w:lineRule="exact"/>
        <w:rPr>
          <w:sz w:val="20"/>
          <w:szCs w:val="20"/>
          <w:color w:val="auto"/>
        </w:rPr>
      </w:pPr>
    </w:p>
    <w:tbl>
      <w:tblPr>
        <w:tblLayout w:type="fixed"/>
        <w:tblInd w:w="140" w:type="dxa"/>
        <w:tblCellMar>
          <w:top w:w="0" w:type="dxa"/>
          <w:left w:w="0" w:type="dxa"/>
          <w:bottom w:w="0" w:type="dxa"/>
          <w:right w:w="0" w:type="dxa"/>
        </w:tblCellMar>
      </w:tblPr>
      <w:tr>
        <w:trPr>
          <w:trHeight w:val="171"/>
        </w:trPr>
        <w:tc>
          <w:tcPr>
            <w:tcW w:w="21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120" w:type="dxa"/>
            <w:vAlign w:val="bottom"/>
            <w:tcBorders>
              <w:bottom w:val="single" w:sz="8" w:color="auto"/>
            </w:tcBorders>
            <w:gridSpan w:val="8"/>
          </w:tcPr>
          <w:p>
            <w:pPr>
              <w:ind w:left="20"/>
              <w:spacing w:after="0"/>
              <w:rPr>
                <w:sz w:val="20"/>
                <w:szCs w:val="20"/>
                <w:color w:val="auto"/>
              </w:rPr>
            </w:pPr>
            <w:r>
              <w:rPr>
                <w:rFonts w:ascii="Arial" w:cs="Arial" w:eastAsia="Arial" w:hAnsi="Arial"/>
                <w:sz w:val="14"/>
                <w:szCs w:val="14"/>
                <w:b w:val="1"/>
                <w:bCs w:val="1"/>
                <w:color w:val="auto"/>
              </w:rPr>
              <w:t>Expected Fiscal Year Maturity Date</w:t>
            </w:r>
          </w:p>
        </w:tc>
        <w:tc>
          <w:tcPr>
            <w:tcW w:w="40" w:type="dxa"/>
            <w:vAlign w:val="bottom"/>
            <w:tcBorders>
              <w:bottom w:val="single" w:sz="8" w:color="auto"/>
            </w:tcBorders>
          </w:tcPr>
          <w:p>
            <w:pPr>
              <w:spacing w:after="0"/>
              <w:rPr>
                <w:sz w:val="14"/>
                <w:szCs w:val="14"/>
                <w:color w:val="auto"/>
              </w:rPr>
            </w:pPr>
          </w:p>
        </w:tc>
        <w:tc>
          <w:tcPr>
            <w:tcW w:w="2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20" w:type="dxa"/>
            <w:vAlign w:val="bottom"/>
            <w:tcBorders>
              <w:bottom w:val="single" w:sz="8" w:color="auto"/>
            </w:tcBorders>
          </w:tcPr>
          <w:p>
            <w:pPr>
              <w:spacing w:after="0"/>
              <w:rPr>
                <w:sz w:val="14"/>
                <w:szCs w:val="14"/>
                <w:color w:val="auto"/>
              </w:rPr>
            </w:pPr>
          </w:p>
        </w:tc>
        <w:tc>
          <w:tcPr>
            <w:tcW w:w="180" w:type="dxa"/>
            <w:vAlign w:val="bottom"/>
          </w:tcPr>
          <w:p>
            <w:pPr>
              <w:spacing w:after="0"/>
              <w:rPr>
                <w:sz w:val="14"/>
                <w:szCs w:val="14"/>
                <w:color w:val="auto"/>
              </w:rPr>
            </w:pPr>
          </w:p>
        </w:tc>
      </w:tr>
      <w:tr>
        <w:trPr>
          <w:trHeight w:val="142"/>
        </w:trPr>
        <w:tc>
          <w:tcPr>
            <w:tcW w:w="2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ind w:left="160"/>
              <w:spacing w:after="0" w:line="142" w:lineRule="exact"/>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20" w:type="dxa"/>
            <w:vAlign w:val="bottom"/>
          </w:tcPr>
          <w:p>
            <w:pPr>
              <w:ind w:left="80"/>
              <w:spacing w:after="0" w:line="142" w:lineRule="exact"/>
              <w:rPr>
                <w:sz w:val="20"/>
                <w:szCs w:val="20"/>
                <w:color w:val="auto"/>
              </w:rPr>
            </w:pPr>
            <w:r>
              <w:rPr>
                <w:rFonts w:ascii="Arial" w:cs="Arial" w:eastAsia="Arial" w:hAnsi="Arial"/>
                <w:sz w:val="14"/>
                <w:szCs w:val="14"/>
                <w:b w:val="1"/>
                <w:bCs w:val="1"/>
                <w:color w:val="auto"/>
              </w:rPr>
              <w:t>2013</w:t>
            </w:r>
          </w:p>
        </w:tc>
        <w:tc>
          <w:tcPr>
            <w:tcW w:w="2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60" w:type="dxa"/>
            <w:vAlign w:val="bottom"/>
            <w:gridSpan w:val="2"/>
          </w:tcPr>
          <w:p>
            <w:pPr>
              <w:jc w:val="right"/>
              <w:ind w:right="360"/>
              <w:spacing w:after="0" w:line="142" w:lineRule="exact"/>
              <w:rPr>
                <w:sz w:val="20"/>
                <w:szCs w:val="20"/>
                <w:color w:val="auto"/>
              </w:rPr>
            </w:pPr>
            <w:r>
              <w:rPr>
                <w:rFonts w:ascii="Arial" w:cs="Arial" w:eastAsia="Arial" w:hAnsi="Arial"/>
                <w:sz w:val="14"/>
                <w:szCs w:val="14"/>
                <w:b w:val="1"/>
                <w:bCs w:val="1"/>
                <w:color w:val="auto"/>
                <w:w w:val="99"/>
              </w:rPr>
              <w:t>Thereafter</w:t>
            </w:r>
          </w:p>
        </w:tc>
        <w:tc>
          <w:tcPr>
            <w:tcW w:w="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60" w:type="dxa"/>
            <w:vAlign w:val="bottom"/>
            <w:gridSpan w:val="2"/>
          </w:tcPr>
          <w:p>
            <w:pPr>
              <w:jc w:val="right"/>
              <w:ind w:right="520"/>
              <w:spacing w:after="0" w:line="142" w:lineRule="exact"/>
              <w:rPr>
                <w:sz w:val="20"/>
                <w:szCs w:val="20"/>
                <w:color w:val="auto"/>
              </w:rPr>
            </w:pPr>
            <w:r>
              <w:rPr>
                <w:rFonts w:ascii="Arial" w:cs="Arial" w:eastAsia="Arial" w:hAnsi="Arial"/>
                <w:sz w:val="14"/>
                <w:szCs w:val="14"/>
                <w:b w:val="1"/>
                <w:bCs w:val="1"/>
                <w:color w:val="auto"/>
              </w:rPr>
              <w:t>Total</w:t>
            </w:r>
          </w:p>
        </w:tc>
        <w:tc>
          <w:tcPr>
            <w:tcW w:w="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tcPr>
          <w:p>
            <w:pPr>
              <w:jc w:val="right"/>
              <w:ind w:right="56"/>
              <w:spacing w:after="0" w:line="142" w:lineRule="exact"/>
              <w:rPr>
                <w:sz w:val="20"/>
                <w:szCs w:val="20"/>
                <w:color w:val="auto"/>
              </w:rPr>
            </w:pPr>
            <w:r>
              <w:rPr>
                <w:rFonts w:ascii="Arial" w:cs="Arial" w:eastAsia="Arial" w:hAnsi="Arial"/>
                <w:sz w:val="14"/>
                <w:szCs w:val="14"/>
                <w:b w:val="1"/>
                <w:bCs w:val="1"/>
                <w:color w:val="auto"/>
                <w:w w:val="98"/>
              </w:rPr>
              <w:t>Fair Value</w:t>
            </w:r>
          </w:p>
        </w:tc>
        <w:tc>
          <w:tcPr>
            <w:tcW w:w="180" w:type="dxa"/>
            <w:vAlign w:val="bottom"/>
          </w:tcPr>
          <w:p>
            <w:pPr>
              <w:spacing w:after="0"/>
              <w:rPr>
                <w:sz w:val="12"/>
                <w:szCs w:val="12"/>
                <w:color w:val="auto"/>
              </w:rPr>
            </w:pPr>
          </w:p>
        </w:tc>
      </w:tr>
      <w:tr>
        <w:trPr>
          <w:trHeight w:val="210"/>
        </w:trPr>
        <w:tc>
          <w:tcPr>
            <w:tcW w:w="2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Variable Rate</w:t>
            </w:r>
          </w:p>
        </w:tc>
        <w:tc>
          <w:tcPr>
            <w:tcW w:w="5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00" w:type="dxa"/>
            <w:vAlign w:val="bottom"/>
            <w:tcBorders>
              <w:top w:val="single" w:sz="8" w:color="auto"/>
            </w:tcBorders>
            <w:shd w:val="clear" w:color="auto" w:fill="CCEEFF"/>
          </w:tcPr>
          <w:p>
            <w:pPr>
              <w:ind w:left="42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5"/>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42,205</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42,205</w:t>
            </w:r>
          </w:p>
        </w:tc>
        <w:tc>
          <w:tcPr>
            <w:tcW w:w="18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40,459</w:t>
            </w:r>
          </w:p>
        </w:tc>
        <w:tc>
          <w:tcPr>
            <w:tcW w:w="180" w:type="dxa"/>
            <w:vAlign w:val="bottom"/>
            <w:tcBorders>
              <w:top w:val="single" w:sz="8" w:color="CCEEFF"/>
            </w:tcBorders>
            <w:shd w:val="clear" w:color="auto" w:fill="CCEEFF"/>
          </w:tcPr>
          <w:p>
            <w:pPr>
              <w:spacing w:after="0"/>
              <w:rPr>
                <w:sz w:val="18"/>
                <w:szCs w:val="18"/>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8"/>
                <w:szCs w:val="18"/>
                <w:color w:val="auto"/>
              </w:rPr>
              <w:t>Average Interest Rate</w:t>
            </w:r>
          </w:p>
        </w:tc>
        <w:tc>
          <w:tcPr>
            <w:tcW w:w="5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0" w:type="dxa"/>
            <w:vAlign w:val="bottom"/>
          </w:tcPr>
          <w:p>
            <w:pPr>
              <w:ind w:left="4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ind w:left="5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60" w:type="dxa"/>
            <w:vAlign w:val="bottom"/>
            <w:gridSpan w:val="2"/>
          </w:tcPr>
          <w:p>
            <w:pPr>
              <w:jc w:val="right"/>
              <w:ind w:right="20"/>
              <w:spacing w:after="0"/>
              <w:rPr>
                <w:sz w:val="20"/>
                <w:szCs w:val="20"/>
                <w:color w:val="auto"/>
              </w:rPr>
            </w:pPr>
            <w:r>
              <w:rPr>
                <w:rFonts w:ascii="Arial" w:cs="Arial" w:eastAsia="Arial" w:hAnsi="Arial"/>
                <w:sz w:val="18"/>
                <w:szCs w:val="18"/>
                <w:color w:val="auto"/>
              </w:rPr>
              <w:t>2.69%</w:t>
            </w: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2.69%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80" w:type="dxa"/>
            <w:vAlign w:val="bottom"/>
          </w:tcPr>
          <w:p>
            <w:pPr>
              <w:spacing w:after="0"/>
              <w:rPr>
                <w:sz w:val="18"/>
                <w:szCs w:val="18"/>
                <w:color w:val="auto"/>
              </w:rPr>
            </w:pPr>
          </w:p>
        </w:tc>
      </w:tr>
      <w:tr>
        <w:trPr>
          <w:trHeight w:val="216"/>
        </w:trPr>
        <w:tc>
          <w:tcPr>
            <w:tcW w:w="210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72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5,042</w:t>
            </w:r>
          </w:p>
        </w:tc>
        <w:tc>
          <w:tcPr>
            <w:tcW w:w="18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w w:val="99"/>
              </w:rPr>
              <w:t>$</w:t>
            </w:r>
          </w:p>
        </w:tc>
        <w:tc>
          <w:tcPr>
            <w:tcW w:w="600" w:type="dxa"/>
            <w:vAlign w:val="bottom"/>
            <w:shd w:val="clear" w:color="auto" w:fill="CCEEFF"/>
          </w:tcPr>
          <w:p>
            <w:pPr>
              <w:ind w:left="420"/>
              <w:spacing w:after="0"/>
              <w:rPr>
                <w:sz w:val="20"/>
                <w:szCs w:val="20"/>
                <w:color w:val="auto"/>
              </w:rPr>
            </w:pPr>
            <w:r>
              <w:rPr>
                <w:rFonts w:ascii="Arial" w:cs="Arial" w:eastAsia="Arial" w:hAnsi="Arial"/>
                <w:sz w:val="18"/>
                <w:szCs w:val="18"/>
                <w:color w:val="auto"/>
                <w:w w:val="88"/>
              </w:rPr>
              <w:t>—</w:t>
            </w:r>
          </w:p>
        </w:tc>
        <w:tc>
          <w:tcPr>
            <w:tcW w:w="38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ind w:left="520"/>
              <w:spacing w:after="0"/>
              <w:rPr>
                <w:sz w:val="20"/>
                <w:szCs w:val="20"/>
                <w:color w:val="auto"/>
              </w:rPr>
            </w:pPr>
            <w:r>
              <w:rPr>
                <w:rFonts w:ascii="Arial" w:cs="Arial" w:eastAsia="Arial" w:hAnsi="Arial"/>
                <w:sz w:val="18"/>
                <w:szCs w:val="18"/>
                <w:color w:val="auto"/>
                <w:w w:val="88"/>
              </w:rPr>
              <w:t>—</w:t>
            </w:r>
          </w:p>
        </w:tc>
        <w:tc>
          <w:tcPr>
            <w:tcW w:w="380" w:type="dxa"/>
            <w:vAlign w:val="bottom"/>
            <w:gridSpan w:val="2"/>
            <w:shd w:val="clear" w:color="auto" w:fill="CCEEFF"/>
          </w:tcPr>
          <w:p>
            <w:pPr>
              <w:jc w:val="right"/>
              <w:ind w:right="5"/>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ind w:right="45"/>
              <w:spacing w:after="0"/>
              <w:rPr>
                <w:sz w:val="20"/>
                <w:szCs w:val="20"/>
                <w:color w:val="auto"/>
              </w:rPr>
            </w:pPr>
            <w:r>
              <w:rPr>
                <w:rFonts w:ascii="Arial" w:cs="Arial" w:eastAsia="Arial" w:hAnsi="Arial"/>
                <w:sz w:val="18"/>
                <w:szCs w:val="18"/>
                <w:color w:val="auto"/>
                <w:w w:val="99"/>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5,042</w:t>
            </w:r>
          </w:p>
        </w:tc>
        <w:tc>
          <w:tcPr>
            <w:tcW w:w="180" w:type="dxa"/>
            <w:vAlign w:val="bottom"/>
            <w:shd w:val="clear" w:color="auto" w:fill="CCEEFF"/>
          </w:tcPr>
          <w:p>
            <w:pPr>
              <w:spacing w:after="0"/>
              <w:rPr>
                <w:sz w:val="18"/>
                <w:szCs w:val="18"/>
                <w:color w:val="auto"/>
              </w:rPr>
            </w:pP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5,058</w:t>
            </w:r>
          </w:p>
        </w:tc>
        <w:tc>
          <w:tcPr>
            <w:tcW w:w="180" w:type="dxa"/>
            <w:vAlign w:val="bottom"/>
            <w:shd w:val="clear" w:color="auto" w:fill="CCEEFF"/>
          </w:tcPr>
          <w:p>
            <w:pPr>
              <w:spacing w:after="0"/>
              <w:rPr>
                <w:sz w:val="18"/>
                <w:szCs w:val="18"/>
                <w:color w:val="auto"/>
              </w:rPr>
            </w:pPr>
          </w:p>
        </w:tc>
      </w:tr>
      <w:tr>
        <w:trPr>
          <w:trHeight w:val="230"/>
        </w:trPr>
        <w:tc>
          <w:tcPr>
            <w:tcW w:w="2100" w:type="dxa"/>
            <w:vAlign w:val="bottom"/>
          </w:tcPr>
          <w:p>
            <w:pPr>
              <w:spacing w:after="0"/>
              <w:rPr>
                <w:sz w:val="20"/>
                <w:szCs w:val="20"/>
                <w:color w:val="auto"/>
              </w:rPr>
            </w:pPr>
            <w:r>
              <w:rPr>
                <w:rFonts w:ascii="Arial" w:cs="Arial" w:eastAsia="Arial" w:hAnsi="Arial"/>
                <w:sz w:val="18"/>
                <w:szCs w:val="18"/>
                <w:color w:val="auto"/>
              </w:rPr>
              <w:t>Average Interest Rate</w:t>
            </w:r>
          </w:p>
        </w:tc>
        <w:tc>
          <w:tcPr>
            <w:tcW w:w="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3.65%</w:t>
            </w: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0" w:type="dxa"/>
            <w:vAlign w:val="bottom"/>
          </w:tcPr>
          <w:p>
            <w:pPr>
              <w:ind w:left="4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00" w:type="dxa"/>
            <w:vAlign w:val="bottom"/>
          </w:tcPr>
          <w:p>
            <w:pPr>
              <w:ind w:left="52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rPr>
              <w:t>3.65%</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80" w:type="dxa"/>
            <w:vAlign w:val="bottom"/>
          </w:tcPr>
          <w:p>
            <w:pPr>
              <w:spacing w:after="0"/>
              <w:rPr>
                <w:sz w:val="20"/>
                <w:szCs w:val="20"/>
                <w:color w:val="auto"/>
              </w:rPr>
            </w:pPr>
          </w:p>
        </w:tc>
      </w:tr>
    </w:tbl>
    <w:p>
      <w:pPr>
        <w:sectPr>
          <w:pgSz w:w="11900" w:h="16838" w:orient="portrait"/>
          <w:cols w:equalWidth="0" w:num="1">
            <w:col w:w="11400"/>
          </w:cols>
          <w:pgMar w:left="240" w:top="341" w:right="259" w:bottom="0" w:gutter="0" w:footer="0" w:header="0"/>
        </w:sectPr>
      </w:pPr>
    </w:p>
    <w:bookmarkStart w:id="24" w:name="page25"/>
    <w:bookmarkEnd w:id="24"/>
    <w:p>
      <w:pPr>
        <w:spacing w:after="0" w:line="106"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As of May 3,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ind w:right="300"/>
        <w:spacing w:after="0" w:line="254" w:lineRule="auto"/>
        <w:rPr>
          <w:sz w:val="20"/>
          <w:szCs w:val="20"/>
          <w:color w:val="auto"/>
        </w:rPr>
      </w:pPr>
      <w:r>
        <w:rPr>
          <w:rFonts w:ascii="Arial" w:cs="Arial" w:eastAsia="Arial" w:hAnsi="Arial"/>
          <w:sz w:val="18"/>
          <w:szCs w:val="18"/>
          <w:color w:val="auto"/>
        </w:rPr>
        <w:t>30 years and whose interest rates are reset every seven to thirty five days through an auction process. At the end of each reset period, investors can sell or continue to hold the securities at par. Our auction rate securities are all backed by student loans originated under the Federal Family Education Loan Program, or FFELP, and are over-collateralized, insured and guaranteed by the United States Federal Department of Education. All auction rate securities held by us are rated by the major independent rating agencies as either AAA or Aaa.</w:t>
      </w:r>
    </w:p>
    <w:p>
      <w:pPr>
        <w:spacing w:after="0" w:line="190" w:lineRule="exact"/>
        <w:rPr>
          <w:sz w:val="20"/>
          <w:szCs w:val="20"/>
          <w:color w:val="auto"/>
        </w:rPr>
      </w:pPr>
    </w:p>
    <w:p>
      <w:pPr>
        <w:ind w:firstLine="259"/>
        <w:spacing w:after="0" w:line="270" w:lineRule="auto"/>
        <w:rPr>
          <w:sz w:val="20"/>
          <w:szCs w:val="20"/>
          <w:color w:val="auto"/>
        </w:rPr>
      </w:pPr>
      <w:r>
        <w:rPr>
          <w:rFonts w:ascii="Arial" w:cs="Arial" w:eastAsia="Arial" w:hAnsi="Arial"/>
          <w:sz w:val="17"/>
          <w:szCs w:val="17"/>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 failures of the auctions are not believed to be a credit issue, but rather caused by a lack of liquidity. Due to the failure of auctions, we used a discounted cash flow model to estimate the fair value of the auction rate securities as of May 3, 2008. The assumptions used in preparing the discounted cash flow model included estimates for the amount and timing of future interest and principal payments, the collateralization of underlying security investments, the credit worthiness of the issuer and the rate of return required by investors to own these securities in the current environment, including call premium and liquidity premium. During the three month period ended May 3, 2008, we recorded a temporary impairment charge of $1.7 million calculated using a discounted cash flow model, in accumulated other comprehensive income, a component of shareholders’ equity. When evaluating whether the impairment of the investments are temporary or other than temporary, we reviewed factors such as the length of time and extent to which fair value has been below cost basis and our ability and intent to hold the investment for a period of time which may be sufficient for anticipated recovery in market value.</w:t>
      </w:r>
    </w:p>
    <w:p>
      <w:pPr>
        <w:spacing w:after="0" w:line="178" w:lineRule="exact"/>
        <w:rPr>
          <w:sz w:val="20"/>
          <w:szCs w:val="20"/>
          <w:color w:val="auto"/>
        </w:rPr>
      </w:pPr>
    </w:p>
    <w:p>
      <w:pPr>
        <w:ind w:right="80" w:firstLine="259"/>
        <w:spacing w:after="0" w:line="277" w:lineRule="auto"/>
        <w:rPr>
          <w:sz w:val="20"/>
          <w:szCs w:val="20"/>
          <w:color w:val="auto"/>
        </w:rPr>
      </w:pPr>
      <w:r>
        <w:rPr>
          <w:rFonts w:ascii="Arial" w:cs="Arial" w:eastAsia="Arial" w:hAnsi="Arial"/>
          <w:sz w:val="18"/>
          <w:szCs w:val="18"/>
          <w:color w:val="auto"/>
        </w:rPr>
        <w:t>While the recent auction failures will limit our ability to liquidate these investments, we do not believe that the auction failures will materially impact our ability to fund our working capital needs, capital expenditures, or other business requirements. We believe that</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both"/>
        <w:ind w:right="140"/>
        <w:spacing w:after="0" w:line="264" w:lineRule="auto"/>
        <w:rPr>
          <w:sz w:val="20"/>
          <w:szCs w:val="20"/>
          <w:color w:val="auto"/>
        </w:rPr>
      </w:pPr>
      <w:r>
        <w:rPr>
          <w:rFonts w:ascii="Arial" w:cs="Arial" w:eastAsia="Arial" w:hAnsi="Arial"/>
          <w:sz w:val="18"/>
          <w:szCs w:val="18"/>
          <w:color w:val="auto"/>
        </w:rPr>
        <w:t>we have the ability to hold these securities for a period longer than 12 months. However, at the reporting date, it is not certain when liquidity will return to the markets, or if any other secondary markets will become available, we have continued to classify these auction rate securities in long-term investments as of May 3, 2008.</w:t>
      </w:r>
    </w:p>
    <w:p>
      <w:pPr>
        <w:spacing w:after="0" w:line="181"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color w:val="auto"/>
        </w:rPr>
        <w:t>We will continue to evaluate the impact of these failed auctions on the fair value of our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additional other-than-temporary impairment charges in future periods, which could materially affect our results of operations and financial condition. Further, if the fair value of these securities is determined to be other than temporarily impaired, we may be required to record a loss which could materially affect our results of operations and financial condition.</w:t>
      </w:r>
    </w:p>
    <w:p>
      <w:pPr>
        <w:spacing w:after="0" w:line="158" w:lineRule="exact"/>
        <w:rPr>
          <w:sz w:val="20"/>
          <w:szCs w:val="20"/>
          <w:color w:val="auto"/>
        </w:rPr>
      </w:pPr>
    </w:p>
    <w:p>
      <w:pPr>
        <w:ind w:firstLine="259"/>
        <w:spacing w:after="0" w:line="264"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May 3, 2008 would have an immaterial effect on our financial position, results of operations and cash flows.</w:t>
      </w:r>
    </w:p>
    <w:p>
      <w:pPr>
        <w:spacing w:after="0" w:line="181" w:lineRule="exact"/>
        <w:rPr>
          <w:sz w:val="20"/>
          <w:szCs w:val="20"/>
          <w:color w:val="auto"/>
        </w:rPr>
      </w:pPr>
    </w:p>
    <w:p>
      <w:pPr>
        <w:ind w:right="20" w:firstLine="259"/>
        <w:spacing w:after="0" w:line="257"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May 3, 2008 was 5.2%.</w:t>
      </w:r>
    </w:p>
    <w:p>
      <w:pPr>
        <w:spacing w:after="0" w:line="188"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i w:val="1"/>
          <w:iCs w:val="1"/>
          <w:color w:val="auto"/>
        </w:rPr>
        <w:t>I</w:t>
      </w:r>
      <w:r>
        <w:rPr>
          <w:rFonts w:ascii="Arial" w:cs="Arial" w:eastAsia="Arial" w:hAnsi="Arial"/>
          <w:sz w:val="16"/>
          <w:szCs w:val="16"/>
          <w:i w:val="1"/>
          <w:iCs w:val="1"/>
          <w:color w:val="auto"/>
        </w:rPr>
        <w:t>nvestment Risk.</w:t>
      </w:r>
      <w:r>
        <w:rPr>
          <w:rFonts w:ascii="Arial" w:cs="Arial" w:eastAsia="Arial" w:hAnsi="Arial"/>
          <w:sz w:val="17"/>
          <w:szCs w:val="17"/>
          <w:i w:val="1"/>
          <w:iCs w:val="1"/>
          <w:color w:val="auto"/>
        </w:rPr>
        <w:t xml:space="preserve"> </w:t>
      </w:r>
      <w:r>
        <w:rPr>
          <w:rFonts w:ascii="Arial" w:cs="Arial" w:eastAsia="Arial" w:hAnsi="Arial"/>
          <w:sz w:val="17"/>
          <w:szCs w:val="17"/>
          <w:color w:val="auto"/>
        </w:rPr>
        <w:t>We invest in equity instruments of privately-held companies for business and strategic purposes. These investments are included in other</w:t>
      </w:r>
      <w:r>
        <w:rPr>
          <w:rFonts w:ascii="Arial" w:cs="Arial" w:eastAsia="Arial" w:hAnsi="Arial"/>
          <w:sz w:val="17"/>
          <w:szCs w:val="17"/>
          <w:i w:val="1"/>
          <w:iCs w:val="1"/>
          <w:color w:val="auto"/>
        </w:rPr>
        <w:t xml:space="preserve"> </w:t>
      </w:r>
      <w:r>
        <w:rPr>
          <w:rFonts w:ascii="Arial" w:cs="Arial" w:eastAsia="Arial" w:hAnsi="Arial"/>
          <w:sz w:val="17"/>
          <w:szCs w:val="17"/>
          <w:color w:val="auto"/>
        </w:rPr>
        <w:t>non-current assets in the accompanying balance sheets and are accounted for under the cost method because our ownership is less than 20% and we do not have the ability to exercise significant influence over the operations on these companies. We monitor these investments for impairment and make appropriate reductions in carrying value when an impairment is deemed to be other than temporary.</w:t>
      </w:r>
    </w:p>
    <w:p>
      <w:pPr>
        <w:spacing w:after="0" w:line="17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i w:val="1"/>
          <w:iCs w:val="1"/>
          <w:color w:val="auto"/>
        </w:rPr>
        <w:t>F</w:t>
      </w:r>
      <w:r>
        <w:rPr>
          <w:rFonts w:ascii="Arial" w:cs="Arial" w:eastAsia="Arial" w:hAnsi="Arial"/>
          <w:sz w:val="17"/>
          <w:szCs w:val="17"/>
          <w:i w:val="1"/>
          <w:iCs w:val="1"/>
          <w:color w:val="auto"/>
        </w:rPr>
        <w:t>oreign Currency Exchange Risk.</w:t>
      </w:r>
      <w:r>
        <w:rPr>
          <w:rFonts w:ascii="Arial" w:cs="Arial" w:eastAsia="Arial" w:hAnsi="Arial"/>
          <w:sz w:val="18"/>
          <w:szCs w:val="18"/>
          <w:i w:val="1"/>
          <w:iCs w:val="1"/>
          <w:color w:val="auto"/>
        </w:rPr>
        <w:t xml:space="preserve"> </w:t>
      </w:r>
      <w:r>
        <w:rPr>
          <w:rFonts w:ascii="Arial" w:cs="Arial" w:eastAsia="Arial" w:hAnsi="Arial"/>
          <w:sz w:val="18"/>
          <w:szCs w:val="18"/>
          <w:color w:val="auto"/>
        </w:rPr>
        <w:t>Substantially all of our sales and the majority of our expenses to date have been denominated in United States dollars, and,</w:t>
      </w:r>
      <w:r>
        <w:rPr>
          <w:rFonts w:ascii="Arial" w:cs="Arial" w:eastAsia="Arial" w:hAnsi="Arial"/>
          <w:sz w:val="18"/>
          <w:szCs w:val="18"/>
          <w:i w:val="1"/>
          <w:iCs w:val="1"/>
          <w:color w:val="auto"/>
        </w:rPr>
        <w:t xml:space="preserve"> </w:t>
      </w:r>
      <w:r>
        <w:rPr>
          <w:rFonts w:ascii="Arial" w:cs="Arial" w:eastAsia="Arial" w:hAnsi="Arial"/>
          <w:sz w:val="18"/>
          <w:szCs w:val="18"/>
          <w:color w:val="auto"/>
        </w:rPr>
        <w:t>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Exchange Act) as of May 3, 2008.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the Chief Executive Officer and interim Chief Financial Officer, as appropriate, to allow timely decisions regarding required disclosure. Based on this evaluation, our management, including our Chief Executive Officer and interim Chief Financial Officer, has concluded that our disclosure controls and procedures were not effective because of the material weakness described under “Management’s Report on Internal Control Over Financial Reporting” in Item 9A of the Company’s Annual Report on Form 10-K for the year ended February 2, 2008, which the Company is still in the process of remediating. This material weakness is described below:</w:t>
      </w:r>
    </w:p>
    <w:p>
      <w:pPr>
        <w:spacing w:after="0" w:line="166" w:lineRule="exact"/>
        <w:rPr>
          <w:sz w:val="20"/>
          <w:szCs w:val="20"/>
          <w:color w:val="auto"/>
        </w:rPr>
      </w:pPr>
    </w:p>
    <w:p>
      <w:pPr>
        <w:ind w:right="160" w:firstLine="324"/>
        <w:spacing w:after="0" w:line="302" w:lineRule="auto"/>
        <w:rPr>
          <w:sz w:val="20"/>
          <w:szCs w:val="20"/>
          <w:color w:val="auto"/>
        </w:rPr>
      </w:pPr>
      <w:r>
        <w:rPr>
          <w:rFonts w:ascii="Arial" w:cs="Arial" w:eastAsia="Arial" w:hAnsi="Arial"/>
          <w:sz w:val="16"/>
          <w:szCs w:val="16"/>
          <w:color w:val="auto"/>
        </w:rPr>
        <w:t xml:space="preserve">Control </w:t>
      </w:r>
      <w:r>
        <w:rPr>
          <w:rFonts w:ascii="Arial" w:cs="Arial" w:eastAsia="Arial" w:hAnsi="Arial"/>
          <w:sz w:val="16"/>
          <w:szCs w:val="16"/>
          <w:i w:val="1"/>
          <w:iCs w:val="1"/>
          <w:color w:val="auto"/>
        </w:rPr>
        <w:t>environment.</w:t>
      </w:r>
      <w:r>
        <w:rPr>
          <w:rFonts w:ascii="Arial" w:cs="Arial" w:eastAsia="Arial" w:hAnsi="Arial"/>
          <w:sz w:val="16"/>
          <w:szCs w:val="16"/>
          <w:color w:val="auto"/>
        </w:rPr>
        <w:t xml:space="preserve"> We did not maintain an effective control environment based on criteria established in the Committee of Sponsoring Organizations of the Treadway Commission (“COSO”) framework. Specifically: (1) internal control deficiencies were not remediated in a timely manner as our management did not exercise the necessary rigor and commitment to internal control over financial reporting and senior management was unable to timely implement the planned remediation actions of the control deficiencies identified in fiscal 2007; (2) we did not maintain a sufficient complement of</w:t>
      </w:r>
    </w:p>
    <w:p>
      <w:pPr>
        <w:sectPr>
          <w:pgSz w:w="11900" w:h="16945" w:orient="portrait"/>
          <w:cols w:equalWidth="0" w:num="1">
            <w:col w:w="11400"/>
          </w:cols>
          <w:pgMar w:left="240" w:top="125" w:right="259" w:bottom="0" w:gutter="0" w:footer="0" w:header="0"/>
        </w:sectPr>
      </w:pPr>
    </w:p>
    <w:bookmarkStart w:id="25" w:name="page26"/>
    <w:bookmarkEnd w:id="25"/>
    <w:p>
      <w:pPr>
        <w:spacing w:after="0" w:line="88"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personnel with a level of accounting knowledge, experience and training in the application of generally accepted accounting principles commensurate with our financial reporting requirements; and (3) we did not maintain effective, timely and sufficient communication within our finance department and between our finance department and other departments of the Company.</w:t>
      </w:r>
    </w:p>
    <w:p>
      <w:pPr>
        <w:spacing w:after="0" w:line="181" w:lineRule="exact"/>
        <w:rPr>
          <w:sz w:val="20"/>
          <w:szCs w:val="20"/>
          <w:color w:val="auto"/>
        </w:rPr>
      </w:pPr>
    </w:p>
    <w:p>
      <w:pPr>
        <w:ind w:right="60" w:firstLine="324"/>
        <w:spacing w:after="0" w:line="297" w:lineRule="auto"/>
        <w:rPr>
          <w:sz w:val="20"/>
          <w:szCs w:val="20"/>
          <w:color w:val="auto"/>
        </w:rPr>
      </w:pPr>
      <w:r>
        <w:rPr>
          <w:rFonts w:ascii="Arial" w:cs="Arial" w:eastAsia="Arial" w:hAnsi="Arial"/>
          <w:sz w:val="16"/>
          <w:szCs w:val="16"/>
          <w:color w:val="auto"/>
        </w:rPr>
        <w:t>These control deficiencies resulted in audit adjustments for the year ended February 2, 2008 relating to the valuation of intangible assets, valuation of goodwill in purchase accounting, completeness of litigation accrual, valuation of inventory, valuation of deferred tax assets, valuation of accounts receivable, certain other accounts and the related financial disclosures. Additionally, these control deficiencies could result in misstatements to substantially all financial statement accounts and disclosures that would result in a material misstatement to the annual or interim consolidated financial statements that would not be prevented or detected. Accordingly, our management has determined that these control deficiencies constitute a material weakness.</w:t>
      </w:r>
    </w:p>
    <w:p>
      <w:pPr>
        <w:spacing w:after="0" w:line="158" w:lineRule="exact"/>
        <w:rPr>
          <w:sz w:val="20"/>
          <w:szCs w:val="20"/>
          <w:color w:val="auto"/>
        </w:rPr>
      </w:pPr>
    </w:p>
    <w:p>
      <w:pPr>
        <w:ind w:right="180" w:firstLine="324"/>
        <w:spacing w:after="0" w:line="255" w:lineRule="auto"/>
        <w:rPr>
          <w:sz w:val="20"/>
          <w:szCs w:val="20"/>
          <w:color w:val="auto"/>
        </w:rPr>
      </w:pPr>
      <w:r>
        <w:rPr>
          <w:rFonts w:ascii="Arial" w:cs="Arial" w:eastAsia="Arial" w:hAnsi="Arial"/>
          <w:sz w:val="18"/>
          <w:szCs w:val="18"/>
          <w:color w:val="auto"/>
        </w:rPr>
        <w:t>Because of this material weakness, which we are still in the process of remediating, management has concluded that we did not maintain effective internal control over financial reporting as of May 3, 2008, based on the criteria established in “Internal Control - Integrated Framework” issued by the COSO. We have undertaken the remediation steps described below, and in connection with the preparation of this Quarterly Report, our management undertook and completed reconciliations, analyses, reviews and control procedures in addition to those historically completed to confirm that this Quarterly Report on Form 10-Q fairly presents in all material aspects our financial position, results of operations and cash flows as of, and for the period presented in accordance with U.S. generally accepted accounting principles.</w:t>
      </w:r>
    </w:p>
    <w:p>
      <w:pPr>
        <w:spacing w:after="0" w:line="189"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240" w:firstLine="324"/>
        <w:spacing w:after="0" w:line="277"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3, 2008 that have materially affected, or are reasonably likely to materially affect, our internal control over financial reporting, except as described below.</w:t>
      </w:r>
    </w:p>
    <w:p>
      <w:pPr>
        <w:spacing w:after="0" w:line="166"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Implemented or Planned Remedial Actions of Material Weakness</w:t>
      </w:r>
    </w:p>
    <w:p>
      <w:pPr>
        <w:spacing w:after="0" w:line="229" w:lineRule="exact"/>
        <w:rPr>
          <w:sz w:val="20"/>
          <w:szCs w:val="20"/>
          <w:color w:val="auto"/>
        </w:rPr>
      </w:pPr>
    </w:p>
    <w:p>
      <w:pPr>
        <w:jc w:val="both"/>
        <w:ind w:right="40" w:firstLine="324"/>
        <w:spacing w:after="0" w:line="264" w:lineRule="auto"/>
        <w:rPr>
          <w:sz w:val="20"/>
          <w:szCs w:val="20"/>
          <w:color w:val="auto"/>
        </w:rPr>
      </w:pPr>
      <w:r>
        <w:rPr>
          <w:rFonts w:ascii="Arial" w:cs="Arial" w:eastAsia="Arial" w:hAnsi="Arial"/>
          <w:sz w:val="18"/>
          <w:szCs w:val="18"/>
          <w:color w:val="auto"/>
        </w:rPr>
        <w:t>Management is committed to and continues to make significant progress in reducing internal control deficiencies. During the quarter ended May 3, 2008 and subsequent to that date, we implemented or plan to implement further remedial actions regarding the material weakness in internal control over financial reporting related to an ineffective control environment, specifically:</w:t>
      </w:r>
    </w:p>
    <w:p>
      <w:pPr>
        <w:spacing w:after="0" w:line="181" w:lineRule="exact"/>
        <w:rPr>
          <w:sz w:val="20"/>
          <w:szCs w:val="20"/>
          <w:color w:val="auto"/>
        </w:rPr>
      </w:pPr>
    </w:p>
    <w:p>
      <w:pPr>
        <w:ind w:left="340" w:right="180" w:firstLine="316"/>
        <w:spacing w:after="0" w:line="264" w:lineRule="auto"/>
        <w:tabs>
          <w:tab w:leader="none" w:pos="916"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have identified the general nature of our deficiencies at February 2, 2008 and have already begun remediation efforts. We have developed a detailed remediation plan for internal control deficiencies and have already addressed a number of deficiencies during the quarter ended May 3, 2008. We continue to address the remaining deficiencies with rigor and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340" w:right="520"/>
        <w:spacing w:after="0" w:line="277" w:lineRule="auto"/>
        <w:rPr>
          <w:sz w:val="20"/>
          <w:szCs w:val="20"/>
          <w:color w:val="auto"/>
        </w:rPr>
      </w:pPr>
      <w:r>
        <w:rPr>
          <w:rFonts w:ascii="Arial" w:cs="Arial" w:eastAsia="Arial" w:hAnsi="Arial"/>
          <w:sz w:val="18"/>
          <w:szCs w:val="18"/>
          <w:color w:val="auto"/>
        </w:rPr>
        <w:t>commitment and in accordance with our detailed plan. In addition, we have assessed controls over other processes that may be more susceptible to potentially material misstatements.</w:t>
      </w:r>
    </w:p>
    <w:p>
      <w:pPr>
        <w:spacing w:after="0" w:line="170" w:lineRule="exact"/>
        <w:rPr>
          <w:sz w:val="20"/>
          <w:szCs w:val="20"/>
          <w:color w:val="auto"/>
        </w:rPr>
      </w:pPr>
    </w:p>
    <w:p>
      <w:pPr>
        <w:ind w:left="340" w:right="160" w:firstLine="316"/>
        <w:spacing w:after="0" w:line="273" w:lineRule="auto"/>
        <w:tabs>
          <w:tab w:leader="none" w:pos="909" w:val="left"/>
        </w:tabs>
        <w:numPr>
          <w:ilvl w:val="0"/>
          <w:numId w:val="4"/>
        </w:numPr>
        <w:rPr>
          <w:rFonts w:ascii="Arial" w:cs="Arial" w:eastAsia="Arial" w:hAnsi="Arial"/>
          <w:sz w:val="17"/>
          <w:szCs w:val="17"/>
          <w:color w:val="auto"/>
        </w:rPr>
      </w:pPr>
      <w:r>
        <w:rPr>
          <w:rFonts w:ascii="Arial" w:cs="Arial" w:eastAsia="Arial" w:hAnsi="Arial"/>
          <w:sz w:val="17"/>
          <w:szCs w:val="17"/>
          <w:color w:val="auto"/>
        </w:rPr>
        <w:t>A new Chief Financial Officer and Acting Chief Operating Officer was announced on May 29, 2008 to become effective June 23, 2008. We continue to conduct a search for a new General Counsel and are planning to begin a search for a new Vice President of Compliance. The Vice President of Compliance will report directly to the Audit Committee of our Board of Directors. We are actively strengthening our controls over the monthly closing and financial reporting processes by continuing to hire additional personnel with knowledge, experience and training in the application of U.S. generally accepted accounting principles commensurate with our financial reporting requirements. The hiring of additional, qualified personnel is critical to the building of a finance organization with the depth and breadth of knowledge to support our planned operations.</w:t>
      </w:r>
    </w:p>
    <w:p>
      <w:pPr>
        <w:spacing w:after="0" w:line="178" w:lineRule="exact"/>
        <w:rPr>
          <w:rFonts w:ascii="Arial" w:cs="Arial" w:eastAsia="Arial" w:hAnsi="Arial"/>
          <w:sz w:val="17"/>
          <w:szCs w:val="17"/>
          <w:color w:val="auto"/>
        </w:rPr>
      </w:pPr>
    </w:p>
    <w:p>
      <w:pPr>
        <w:ind w:left="340" w:right="80" w:firstLine="316"/>
        <w:spacing w:after="0" w:line="308" w:lineRule="auto"/>
        <w:tabs>
          <w:tab w:leader="none" w:pos="916" w:val="left"/>
        </w:tabs>
        <w:numPr>
          <w:ilvl w:val="0"/>
          <w:numId w:val="4"/>
        </w:numPr>
        <w:rPr>
          <w:rFonts w:ascii="Arial" w:cs="Arial" w:eastAsia="Arial" w:hAnsi="Arial"/>
          <w:sz w:val="17"/>
          <w:szCs w:val="17"/>
          <w:color w:val="auto"/>
        </w:rPr>
      </w:pPr>
      <w:r>
        <w:rPr>
          <w:rFonts w:ascii="Arial" w:cs="Arial" w:eastAsia="Arial" w:hAnsi="Arial"/>
          <w:sz w:val="17"/>
          <w:szCs w:val="17"/>
          <w:color w:val="auto"/>
        </w:rPr>
        <w:t>We are actively enhancing communications through the design of formalized inter-departmental information exchanges on a recurring basis, and enhancements to the design of certain internal controls to enable a more detailed review process to occur on a timely basis.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29" w:lineRule="exact"/>
        <w:rPr>
          <w:sz w:val="20"/>
          <w:szCs w:val="20"/>
          <w:color w:val="auto"/>
        </w:rPr>
      </w:pPr>
    </w:p>
    <w:p>
      <w:pPr>
        <w:ind w:right="320" w:firstLine="324"/>
        <w:spacing w:after="0" w:line="297"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29"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our</w:t>
      </w:r>
      <w:r>
        <w:rPr>
          <w:rFonts w:ascii="Arial" w:cs="Arial" w:eastAsia="Arial" w:hAnsi="Arial"/>
          <w:sz w:val="16"/>
          <w:szCs w:val="16"/>
          <w:i w:val="1"/>
          <w:iCs w:val="1"/>
          <w:color w:val="auto"/>
        </w:rPr>
        <w:t xml:space="preserve"> </w:t>
      </w:r>
      <w:r>
        <w:rPr>
          <w:rFonts w:ascii="Arial" w:cs="Arial" w:eastAsia="Arial" w:hAnsi="Arial"/>
          <w:sz w:val="16"/>
          <w:szCs w:val="16"/>
          <w:color w:val="auto"/>
        </w:rPr>
        <w:t>initial public offering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Exchange Act. Thereafter, on September 5, 2001, a second putative class action was filed in the Southern District of New York relating to our IPO. In this second action, plaintiffs named three underwriters as defendants and also named as defendants us and two of our officers, one of whom is also a director. Relying on many of the same allegations contained in the initial complaint, plaintiffs allege that the defendants violated various provisions of the Securities Act and the Exchange Act.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Claims against the individual officers have been voluntarily dismissed with</w:t>
      </w:r>
    </w:p>
    <w:p>
      <w:pPr>
        <w:sectPr>
          <w:pgSz w:w="11900" w:h="16926" w:orient="portrait"/>
          <w:cols w:equalWidth="0" w:num="1">
            <w:col w:w="11400"/>
          </w:cols>
          <w:pgMar w:left="240" w:top="125" w:right="259" w:bottom="0" w:gutter="0" w:footer="0" w:header="0"/>
        </w:sectPr>
      </w:pPr>
    </w:p>
    <w:bookmarkStart w:id="26" w:name="page27"/>
    <w:bookmarkEnd w:id="26"/>
    <w:p>
      <w:pPr>
        <w:ind w:right="160"/>
        <w:spacing w:after="0" w:line="271" w:lineRule="auto"/>
        <w:rPr>
          <w:sz w:val="20"/>
          <w:szCs w:val="20"/>
          <w:color w:val="auto"/>
        </w:rPr>
      </w:pPr>
      <w:r>
        <w:rPr>
          <w:rFonts w:ascii="Arial" w:cs="Arial" w:eastAsia="Arial" w:hAnsi="Arial"/>
          <w:sz w:val="17"/>
          <w:szCs w:val="17"/>
          <w:color w:val="auto"/>
        </w:rPr>
        <w:t>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us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Defendants’ motions to dismiss those new complaints were denied in part and granted in part. Plaintiffs have also moved for class certification in the six focus cases, which the defendants in those cases have opposed.</w:t>
      </w:r>
    </w:p>
    <w:p>
      <w:pPr>
        <w:spacing w:after="0" w:line="179"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Marvell shareholder filed a complaint for violation of Section 16(b) of the Exchange Act, which</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prohibits short-swing trading, against our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We are named as a nominal defendant. No recovery is sought from us. At a status conference on April 28, 2008, the District Court ruled that the defendants’ motion to dismiss opening briefs are due on July 25, 2008; the plaintiff’s opposition brief</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will be due on September 8, 2008; the defendants’ reply briefs are due on October 23, 2008 when the District Court will consider setting a hearing date for the motions; and all discovery is stayed pending resolution of the defendants’ motions to dismiss.</w:t>
      </w:r>
    </w:p>
    <w:p>
      <w:pPr>
        <w:spacing w:after="0" w:line="170" w:lineRule="exact"/>
        <w:rPr>
          <w:sz w:val="20"/>
          <w:szCs w:val="20"/>
          <w:color w:val="auto"/>
        </w:rPr>
      </w:pPr>
    </w:p>
    <w:p>
      <w:pPr>
        <w:ind w:right="40" w:firstLine="243"/>
        <w:spacing w:after="0" w:line="257"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 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88" w:lineRule="exact"/>
        <w:rPr>
          <w:sz w:val="20"/>
          <w:szCs w:val="20"/>
          <w:color w:val="auto"/>
        </w:rPr>
      </w:pPr>
    </w:p>
    <w:p>
      <w:pPr>
        <w:ind w:right="20" w:firstLine="243"/>
        <w:spacing w:after="0" w:line="286"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our second amended cross-complaint. The demurrer was heard on July 19, 2007 and denied. On August 3, 2007, Jasmine filed its answer to the second amended cross complaint. We thereafter filed our motion for summary adjudication on our fifth and sixth causes of action for declaratory relief seeking, among other things, a determination that Jasmine held no propriety interest in the “JSLIP” algorithm, which was one of the core technologies Jasmine asserts was misappropriated by Marvell.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72" w:lineRule="exact"/>
        <w:rPr>
          <w:sz w:val="20"/>
          <w:szCs w:val="20"/>
          <w:color w:val="auto"/>
        </w:rPr>
      </w:pPr>
    </w:p>
    <w:p>
      <w:pPr>
        <w:ind w:right="40" w:firstLine="243"/>
        <w:spacing w:after="0" w:line="284"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Marvell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xml:space="preserve">. (2004) 116 Cal.App.4th 51. The effect of the California Supreme Court’s grant of review was to depublish the Court of Appeal’s decision. On December 13, 2007, the California Supreme Court ruled in the </w:t>
      </w:r>
      <w:r>
        <w:rPr>
          <w:rFonts w:ascii="Arial" w:cs="Arial" w:eastAsia="Arial" w:hAnsi="Arial"/>
          <w:sz w:val="16"/>
          <w:szCs w:val="16"/>
          <w:i w:val="1"/>
          <w:iCs w:val="1"/>
          <w:color w:val="auto"/>
        </w:rPr>
        <w:t>Rico v. Mitsubishi</w:t>
      </w:r>
      <w:r>
        <w:rPr>
          <w:rFonts w:ascii="Arial" w:cs="Arial" w:eastAsia="Arial" w:hAnsi="Arial"/>
          <w:sz w:val="16"/>
          <w:szCs w:val="16"/>
          <w:color w:val="auto"/>
        </w:rPr>
        <w:t xml:space="preserve"> case in a manner consistent with the position asserted by us that attorney work product and attorney-client privileges are not waived by inadvertent disclosure of a privileged communication, and that any party receiving such information (i) is required to notify opposing counsel immediately; and (ii) may not read such</w:t>
      </w:r>
    </w:p>
    <w:p>
      <w:pPr>
        <w:spacing w:after="0" w:line="3" w:lineRule="exact"/>
        <w:rPr>
          <w:sz w:val="20"/>
          <w:szCs w:val="20"/>
          <w:color w:val="auto"/>
        </w:rPr>
      </w:pPr>
    </w:p>
    <w:p>
      <w:pPr>
        <w:spacing w:after="0" w:line="224" w:lineRule="auto"/>
        <w:rPr>
          <w:sz w:val="20"/>
          <w:szCs w:val="20"/>
          <w:color w:val="auto"/>
        </w:rPr>
      </w:pPr>
      <w:r>
        <w:rPr>
          <w:rFonts w:ascii="Arial" w:cs="Arial" w:eastAsia="Arial" w:hAnsi="Arial"/>
          <w:sz w:val="18"/>
          <w:szCs w:val="18"/>
          <w:color w:val="auto"/>
        </w:rPr>
        <w:t xml:space="preserve">document more closely than is necessary to determine it is 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807. Following its decision in </w:t>
      </w:r>
      <w:r>
        <w:rPr>
          <w:rFonts w:ascii="Arial" w:cs="Arial" w:eastAsia="Arial" w:hAnsi="Arial"/>
          <w:sz w:val="18"/>
          <w:szCs w:val="18"/>
          <w:i w:val="1"/>
          <w:iCs w:val="1"/>
          <w:color w:val="auto"/>
        </w:rPr>
        <w:t>Rico v.</w:t>
      </w:r>
      <w:r>
        <w:rPr>
          <w:rFonts w:ascii="Arial" w:cs="Arial" w:eastAsia="Arial" w:hAnsi="Arial"/>
          <w:sz w:val="18"/>
          <w:szCs w:val="18"/>
          <w:color w:val="auto"/>
        </w:rPr>
        <w:t xml:space="preserve"> </w:t>
      </w:r>
      <w:r>
        <w:rPr>
          <w:rFonts w:ascii="Arial" w:cs="Arial" w:eastAsia="Arial" w:hAnsi="Arial"/>
          <w:sz w:val="18"/>
          <w:szCs w:val="18"/>
          <w:i w:val="1"/>
          <w:iCs w:val="1"/>
          <w:color w:val="auto"/>
        </w:rPr>
        <w:t>Mitsubishi</w:t>
      </w:r>
      <w:r>
        <w:rPr>
          <w:rFonts w:ascii="Arial" w:cs="Arial" w:eastAsia="Arial" w:hAnsi="Arial"/>
          <w:sz w:val="18"/>
          <w:szCs w:val="18"/>
          <w:color w:val="auto"/>
        </w:rPr>
        <w:t>, on April 23, 2008, the California Supreme Court issued an order dismissing our petition for review. As a result the decision of the Court of</w:t>
      </w:r>
      <w:r>
        <w:rPr>
          <w:rFonts w:ascii="Arial" w:cs="Arial" w:eastAsia="Arial" w:hAnsi="Arial"/>
          <w:sz w:val="18"/>
          <w:szCs w:val="18"/>
          <w:i w:val="1"/>
          <w:iCs w:val="1"/>
          <w:color w:val="auto"/>
        </w:rPr>
        <w:t xml:space="preserve"> </w:t>
      </w:r>
      <w:r>
        <w:rPr>
          <w:rFonts w:ascii="Arial" w:cs="Arial" w:eastAsia="Arial" w:hAnsi="Arial"/>
          <w:sz w:val="18"/>
          <w:szCs w:val="18"/>
          <w:color w:val="auto"/>
        </w:rPr>
        <w:t>Appeal, which remains unpublished, became final. The case will now proceed in the trial court, where we intend to vigorously assert our cross-claims and defenses.</w:t>
      </w:r>
    </w:p>
    <w:p>
      <w:pPr>
        <w:spacing w:after="0" w:line="205"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i w:val="1"/>
          <w:iCs w:val="1"/>
          <w:color w:val="auto"/>
        </w:rPr>
        <w:t xml:space="preserve">CSIRO Litigation. </w:t>
      </w:r>
      <w:r>
        <w:rPr>
          <w:rFonts w:ascii="Arial" w:cs="Arial" w:eastAsia="Arial" w:hAnsi="Arial"/>
          <w:sz w:val="16"/>
          <w:szCs w:val="16"/>
          <w:color w:val="auto"/>
        </w:rPr>
        <w:t>As of January 2007, Australia’s Commonwealth Scientific and Industrial Research Organisation (“CSIRO”) is involved in three patent</w:t>
      </w:r>
      <w:r>
        <w:rPr>
          <w:rFonts w:ascii="Arial" w:cs="Arial" w:eastAsia="Arial" w:hAnsi="Arial"/>
          <w:sz w:val="16"/>
          <w:szCs w:val="16"/>
          <w:i w:val="1"/>
          <w:iCs w:val="1"/>
          <w:color w:val="auto"/>
        </w:rPr>
        <w:t xml:space="preserve"> </w:t>
      </w:r>
      <w:r>
        <w:rPr>
          <w:rFonts w:ascii="Arial" w:cs="Arial" w:eastAsia="Arial" w:hAnsi="Arial"/>
          <w:sz w:val="16"/>
          <w:szCs w:val="16"/>
          <w:color w:val="auto"/>
        </w:rPr>
        <w:t>litigations in the Eastern District of Texas in which it has accused a number of wireless LAN system manufacturers, including some of our customers, of infringing CSIRO’s patent, U.S. Patent No. 5,487,069 (the “‘069 Patent”). CSIRO’s claims of infringement relate to IEEE 802.11a, 802.11g and 802.11n wireless standards. As a result of CSIRO’s claims for patent infringement, a number of our customers have sought indemnification from us. In response to these demands for indemnification, we have acknowledged the demands and incurred costs in response to them.</w:t>
      </w:r>
    </w:p>
    <w:p>
      <w:pPr>
        <w:spacing w:after="0" w:line="158" w:lineRule="exact"/>
        <w:rPr>
          <w:sz w:val="20"/>
          <w:szCs w:val="20"/>
          <w:color w:val="auto"/>
        </w:rPr>
      </w:pPr>
    </w:p>
    <w:p>
      <w:pPr>
        <w:ind w:right="20" w:firstLine="243"/>
        <w:spacing w:after="0" w:line="259" w:lineRule="auto"/>
        <w:rPr>
          <w:sz w:val="20"/>
          <w:szCs w:val="20"/>
          <w:color w:val="auto"/>
        </w:rPr>
      </w:pPr>
      <w:r>
        <w:rPr>
          <w:rFonts w:ascii="Arial" w:cs="Arial" w:eastAsia="Arial" w:hAnsi="Arial"/>
          <w:sz w:val="18"/>
          <w:szCs w:val="18"/>
          <w:color w:val="auto"/>
        </w:rPr>
        <w:t>On May 4, 2007, we filed an action in the United States District Court for the Eastern District of Texas seeking a declaratory judgment against CSIRO that the ‘069 Patent is invalid and unenforceable and we and our customers do not infringe the ‘069 Patent. The complaint also seeks damages and a license for us and our customers on reasonable and non-discriminatory terms in the event that our 802.11a/g wireless LAN products are found to infringe and the ‘069 Patent is found to be valid and enforceable.</w:t>
      </w:r>
    </w:p>
    <w:p>
      <w:pPr>
        <w:spacing w:after="0" w:line="187"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On July 3, 2007, we moved to intervene in the two actions described in the first paragraph above pending in the Eastern District of Texas, for the purposes of staying the actions as to products incorporating Marvell parts in favor of the separate action that we filed as described in the second paragraph above. Alternatively we moved to disqualify the firm of Townsend, Townsend and Crew from continuing to represent CSIRO because of a conflict of interest. CSIRO opposed these motions on August 3, 2007.</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5" w:right="239" w:bottom="491" w:gutter="0" w:footer="0" w:header="0"/>
        </w:sectPr>
      </w:pPr>
    </w:p>
    <w:bookmarkStart w:id="27" w:name="page28"/>
    <w:bookmarkEnd w:id="27"/>
    <w:p>
      <w:pPr>
        <w:ind w:right="160" w:firstLine="243"/>
        <w:spacing w:after="0" w:line="257" w:lineRule="auto"/>
        <w:rPr>
          <w:sz w:val="20"/>
          <w:szCs w:val="20"/>
          <w:color w:val="auto"/>
        </w:rPr>
      </w:pPr>
      <w:r>
        <w:rPr>
          <w:rFonts w:ascii="Arial" w:cs="Arial" w:eastAsia="Arial" w:hAnsi="Arial"/>
          <w:sz w:val="18"/>
          <w:szCs w:val="18"/>
          <w:color w:val="auto"/>
        </w:rPr>
        <w:t>On August 3, 2007, CSIRO moved to dismiss our complaint for lack of case or controversy and failure to state a claim upon which relief can be granted, or, in the alternative, to stay the case pending the resolution of the pending lawsuits described in the first paragraph above. On October 24, 2007, the Court issued an order denying CSIRO’s motion to dismiss. The Court also denied our motions to stay/intervene/disqualify. We appealed the Court’s denial of the motions to stay/intervene/disqualify to the United States Court of Appeals for the Federal Circuit. The hearing on our appeal is expected to be heard in the summer/fall of 2008.</w:t>
      </w:r>
    </w:p>
    <w:p>
      <w:pPr>
        <w:spacing w:after="0" w:line="188" w:lineRule="exact"/>
        <w:rPr>
          <w:sz w:val="20"/>
          <w:szCs w:val="20"/>
          <w:color w:val="auto"/>
        </w:rPr>
      </w:pPr>
    </w:p>
    <w:p>
      <w:pPr>
        <w:ind w:right="220" w:firstLine="288"/>
        <w:spacing w:after="0" w:line="257" w:lineRule="auto"/>
        <w:rPr>
          <w:sz w:val="20"/>
          <w:szCs w:val="20"/>
          <w:color w:val="auto"/>
        </w:rPr>
      </w:pPr>
      <w:r>
        <w:rPr>
          <w:rFonts w:ascii="Arial" w:cs="Arial" w:eastAsia="Arial" w:hAnsi="Arial"/>
          <w:sz w:val="18"/>
          <w:szCs w:val="18"/>
          <w:color w:val="auto"/>
        </w:rPr>
        <w:t>On December 5, 2007, CSIRO filed its answer to our complaint, as well as counterclaims against us for willful and deliberate infringement of the ‘069 Patent. CSIRO’s counterclaims included a claim for monetary damages, including triple damages based on its allegation of willful and deliberate infringement, attorneys’ fees and injunctive relief. On April 10, 2008, we filed a First Amended Complaint and First Amended Reply to CSIRO’s Answer and Counterclaims. On April 23, 2008, CSIRO filed its Answer and Counterclaims to the First Amended Complaint. On May 12, 2008, we filed a Reply and Affirmative Defenses to CSIRO’s amended counterclaims.</w:t>
      </w:r>
    </w:p>
    <w:p>
      <w:pPr>
        <w:spacing w:after="0" w:line="188" w:lineRule="exact"/>
        <w:rPr>
          <w:sz w:val="20"/>
          <w:szCs w:val="20"/>
          <w:color w:val="auto"/>
        </w:rPr>
      </w:pPr>
    </w:p>
    <w:p>
      <w:pPr>
        <w:ind w:right="220" w:firstLine="243"/>
        <w:spacing w:after="0" w:line="277" w:lineRule="auto"/>
        <w:rPr>
          <w:sz w:val="20"/>
          <w:szCs w:val="20"/>
          <w:color w:val="auto"/>
        </w:rPr>
      </w:pPr>
      <w:r>
        <w:rPr>
          <w:rFonts w:ascii="Arial" w:cs="Arial" w:eastAsia="Arial" w:hAnsi="Arial"/>
          <w:sz w:val="18"/>
          <w:szCs w:val="18"/>
          <w:color w:val="auto"/>
        </w:rPr>
        <w:t>On May 22, 2008, Marvell filed a motion for summary judgment seeking to invalidate the ‘069 Patent on indefiniteness grounds. The Court has not yet rendered a decision on Marvell’s motion.</w:t>
      </w:r>
    </w:p>
    <w:p>
      <w:pPr>
        <w:spacing w:after="0" w:line="170" w:lineRule="exact"/>
        <w:rPr>
          <w:sz w:val="20"/>
          <w:szCs w:val="20"/>
          <w:color w:val="auto"/>
        </w:rPr>
      </w:pPr>
    </w:p>
    <w:p>
      <w:pPr>
        <w:ind w:right="320" w:firstLine="243"/>
        <w:spacing w:after="0" w:line="277" w:lineRule="auto"/>
        <w:rPr>
          <w:sz w:val="20"/>
          <w:szCs w:val="20"/>
          <w:color w:val="auto"/>
        </w:rPr>
      </w:pPr>
      <w:r>
        <w:rPr>
          <w:rFonts w:ascii="Arial" w:cs="Arial" w:eastAsia="Arial" w:hAnsi="Arial"/>
          <w:sz w:val="18"/>
          <w:szCs w:val="18"/>
          <w:color w:val="auto"/>
        </w:rPr>
        <w:t>The Claim Construction hearing is set for June 26, 2008. Trial for our declaratory judgment action is set to begin on May 10, 2010. CSIRO and we are currently engaging in discovery and motion practice.</w:t>
      </w:r>
    </w:p>
    <w:p>
      <w:pPr>
        <w:spacing w:after="0" w:line="170" w:lineRule="exact"/>
        <w:rPr>
          <w:sz w:val="20"/>
          <w:szCs w:val="20"/>
          <w:color w:val="auto"/>
        </w:rPr>
      </w:pPr>
    </w:p>
    <w:p>
      <w:pPr>
        <w:ind w:right="20" w:firstLine="243"/>
        <w:spacing w:after="0" w:line="269" w:lineRule="auto"/>
        <w:rPr>
          <w:sz w:val="20"/>
          <w:szCs w:val="20"/>
          <w:color w:val="auto"/>
        </w:rPr>
      </w:pPr>
      <w:r>
        <w:rPr>
          <w:rFonts w:ascii="Arial" w:cs="Arial" w:eastAsia="Arial" w:hAnsi="Arial"/>
          <w:sz w:val="17"/>
          <w:szCs w:val="17"/>
          <w:i w:val="1"/>
          <w:iCs w:val="1"/>
          <w:color w:val="auto"/>
        </w:rPr>
        <w:t xml:space="preserve">Shareholder Derivative Litigation. </w:t>
      </w:r>
      <w:r>
        <w:rPr>
          <w:rFonts w:ascii="Arial" w:cs="Arial" w:eastAsia="Arial" w:hAnsi="Arial"/>
          <w:sz w:val="17"/>
          <w:szCs w:val="17"/>
          <w:color w:val="auto"/>
        </w:rPr>
        <w:t>Between June 22, 2006 and August 2, 2006, three purported shareholder derivative actions were filed in the United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States 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xml:space="preserve">. The plaintiffs filed an amended and consolidated complaint on November 1, 2006. On January 16, 2007, we filed a motion to dismiss the consolidated complaint for lack of standing or, in the alternative, stay proceedings. On February 12, 2007, a new purported derivative action was filed in the United States District Court for the Northern District of California. Like </w:t>
      </w:r>
      <w:r>
        <w:rPr>
          <w:rFonts w:ascii="Arial" w:cs="Arial" w:eastAsia="Arial" w:hAnsi="Arial"/>
          <w:sz w:val="17"/>
          <w:szCs w:val="17"/>
          <w:i w:val="1"/>
          <w:iCs w:val="1"/>
          <w:color w:val="auto"/>
        </w:rPr>
        <w:t>In re Marvell Technology Group Ltd. Derivative Litigation</w:t>
      </w:r>
      <w:r>
        <w:rPr>
          <w:rFonts w:ascii="Arial" w:cs="Arial" w:eastAsia="Arial" w:hAnsi="Arial"/>
          <w:sz w:val="17"/>
          <w:szCs w:val="17"/>
          <w:color w:val="auto"/>
        </w:rPr>
        <w:t xml:space="preserve">, this lawsuit names us as a nominal defendant and a number of our current and former directors and officers 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7"/>
          <w:szCs w:val="17"/>
          <w:i w:val="1"/>
          <w:iCs w:val="1"/>
          <w:color w:val="auto"/>
        </w:rPr>
        <w:t>In re Marvell</w:t>
      </w:r>
      <w:r>
        <w:rPr>
          <w:rFonts w:ascii="Arial" w:cs="Arial" w:eastAsia="Arial" w:hAnsi="Arial"/>
          <w:sz w:val="17"/>
          <w:szCs w:val="17"/>
          <w:color w:val="auto"/>
        </w:rPr>
        <w:t xml:space="preserve"> </w:t>
      </w:r>
      <w:r>
        <w:rPr>
          <w:rFonts w:ascii="Arial" w:cs="Arial" w:eastAsia="Arial" w:hAnsi="Arial"/>
          <w:sz w:val="17"/>
          <w:szCs w:val="17"/>
          <w:i w:val="1"/>
          <w:iCs w:val="1"/>
          <w:color w:val="auto"/>
        </w:rPr>
        <w:t>Technology Group Ltd. Derivative Litigation</w:t>
      </w:r>
      <w:r>
        <w:rPr>
          <w:rFonts w:ascii="Arial" w:cs="Arial" w:eastAsia="Arial" w:hAnsi="Arial"/>
          <w:sz w:val="17"/>
          <w:szCs w:val="17"/>
          <w:color w:val="auto"/>
        </w:rPr>
        <w:t>.</w:t>
      </w:r>
    </w:p>
    <w:p>
      <w:pPr>
        <w:spacing w:after="0" w:line="183"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right="40" w:firstLine="243"/>
        <w:spacing w:after="0" w:line="273" w:lineRule="auto"/>
        <w:rPr>
          <w:sz w:val="20"/>
          <w:szCs w:val="20"/>
          <w:color w:val="auto"/>
        </w:rPr>
      </w:pPr>
      <w:r>
        <w:rPr>
          <w:rFonts w:ascii="Arial" w:cs="Arial" w:eastAsia="Arial" w:hAnsi="Arial"/>
          <w:sz w:val="17"/>
          <w:szCs w:val="17"/>
          <w:color w:val="auto"/>
        </w:rPr>
        <w:t>On January 25, 2008, the Court entered a stipulated order staying proceedings so that the parties could finalize a settlement that would resolve the actions. On or about March 5, 2008, the parties entered into a memorandum of understanding that tentatively settles and resolves the actions. The terms of the memorandum of understanding include certain corporate governance enhancements and an agreement by us to pay up to $16 million in plaintiffs’ attorneys’ fees, an amount less than the $24.5 million that we received from a recent settlement with our directors’ and officers’ liability insurers. This tentative settlement of the consolidated derivative actions requires court approval before it becomes final. We anticipate that the parties will finalize and submit formal settlement documentation to the court in the next few months for both preliminary and final approval.</w:t>
      </w:r>
    </w:p>
    <w:p>
      <w:pPr>
        <w:spacing w:after="0" w:line="178"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i w:val="1"/>
          <w:iCs w:val="1"/>
          <w:color w:val="auto"/>
        </w:rPr>
        <w:t xml:space="preserve">Class Action Securities Litigation. </w:t>
      </w:r>
      <w:r>
        <w:rPr>
          <w:rFonts w:ascii="Arial" w:cs="Arial" w:eastAsia="Arial" w:hAnsi="Arial"/>
          <w:sz w:val="17"/>
          <w:szCs w:val="17"/>
          <w:color w:val="auto"/>
        </w:rPr>
        <w:t>Between October 5, 2006 and November 13, 2006, four putative class actions were filed in the United States District</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Court for the 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shares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7"/>
          <w:szCs w:val="17"/>
          <w:i w:val="1"/>
          <w:iCs w:val="1"/>
          <w:color w:val="auto"/>
        </w:rPr>
        <w:t>In re Marvell Technology Group Ltd. Securities Litigation</w:t>
      </w:r>
      <w:r>
        <w:rPr>
          <w:rFonts w:ascii="Arial" w:cs="Arial" w:eastAsia="Arial" w:hAnsi="Arial"/>
          <w:sz w:val="17"/>
          <w:szCs w:val="17"/>
          <w:color w:val="auto"/>
        </w:rPr>
        <w:t>. On August 16, 2007, plaintiffs filed a consolidated class action complaint. On October 18, 2007, we filed a motion to dismiss the consolidated class action complaint. The motion is fully briefed and was argued on February 15, 2008. We await the court’s order on this motion.</w:t>
      </w:r>
    </w:p>
    <w:p>
      <w:pPr>
        <w:spacing w:after="0" w:line="179" w:lineRule="exact"/>
        <w:rPr>
          <w:sz w:val="20"/>
          <w:szCs w:val="20"/>
          <w:color w:val="auto"/>
        </w:rPr>
      </w:pPr>
    </w:p>
    <w:p>
      <w:pPr>
        <w:ind w:right="220" w:firstLine="243"/>
        <w:spacing w:after="0" w:line="259" w:lineRule="auto"/>
        <w:rPr>
          <w:sz w:val="20"/>
          <w:szCs w:val="20"/>
          <w:color w:val="auto"/>
        </w:rPr>
      </w:pPr>
      <w:r>
        <w:rPr>
          <w:rFonts w:ascii="Arial" w:cs="Arial" w:eastAsia="Arial" w:hAnsi="Arial"/>
          <w:sz w:val="18"/>
          <w:szCs w:val="18"/>
          <w:i w:val="1"/>
          <w:iCs w:val="1"/>
          <w:color w:val="auto"/>
        </w:rPr>
        <w:t xml:space="preserve">SEC and United States Attorney Inquiries. </w:t>
      </w:r>
      <w:r>
        <w:rPr>
          <w:rFonts w:ascii="Arial" w:cs="Arial" w:eastAsia="Arial" w:hAnsi="Arial"/>
          <w:sz w:val="18"/>
          <w:szCs w:val="18"/>
          <w:color w:val="auto"/>
        </w:rPr>
        <w:t>In July 2006, we received a letter of informal inquiry from the SEC requesting certain documents relating to</w:t>
      </w:r>
      <w:r>
        <w:rPr>
          <w:rFonts w:ascii="Arial" w:cs="Arial" w:eastAsia="Arial" w:hAnsi="Arial"/>
          <w:sz w:val="18"/>
          <w:szCs w:val="18"/>
          <w:i w:val="1"/>
          <w:iCs w:val="1"/>
          <w:color w:val="auto"/>
        </w:rPr>
        <w:t xml:space="preserve"> </w:t>
      </w:r>
      <w:r>
        <w:rPr>
          <w:rFonts w:ascii="Arial" w:cs="Arial" w:eastAsia="Arial" w:hAnsi="Arial"/>
          <w:sz w:val="18"/>
          <w:szCs w:val="18"/>
          <w:color w:val="auto"/>
        </w:rPr>
        <w:t>our stock option grants and practices. We also received a grand jury subpoena from the office of the United States Attorney for the Northern District of California requesting substantially similar documents. On April 20, 2007, we were informed that the SEC was conducting a formal investigation into this matter. On June 8, 2007 and July 3, 2007, we received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20"/>
        <w:spacing w:after="0" w:line="276" w:lineRule="auto"/>
        <w:rPr>
          <w:sz w:val="20"/>
          <w:szCs w:val="20"/>
          <w:color w:val="auto"/>
        </w:rPr>
      </w:pPr>
      <w:r>
        <w:rPr>
          <w:rFonts w:ascii="Arial" w:cs="Arial" w:eastAsia="Arial" w:hAnsi="Arial"/>
          <w:sz w:val="17"/>
          <w:szCs w:val="17"/>
          <w:color w:val="auto"/>
        </w:rPr>
        <w:t>document subpoenas from the SEC. On October 11, 2007, we received a “Wells Notice” from the staff of the SEC. Weili Dai, Vice President of Sales for Communications and Consumer Business of MSI, who is not an officer or director of Marvell, also received a “Wells” notice. The SEC staff also advised us that it is not at this time recommending enforcement action against any of our current officers or directors. The “Wells” notices indicated that the staff intended to recommend to the SEC that it bring civil actions against the recipients for injunctive relief and civil monetary penalties. We responded in writing to the “Wells Notice” and sought to reach a resolution of this matter before any action was filed.</w:t>
      </w:r>
    </w:p>
    <w:p>
      <w:pPr>
        <w:spacing w:after="0" w:line="173" w:lineRule="exact"/>
        <w:rPr>
          <w:sz w:val="20"/>
          <w:szCs w:val="20"/>
          <w:color w:val="auto"/>
        </w:rPr>
      </w:pPr>
    </w:p>
    <w:p>
      <w:pPr>
        <w:ind w:firstLine="243"/>
        <w:spacing w:after="0" w:line="254" w:lineRule="auto"/>
        <w:rPr>
          <w:sz w:val="20"/>
          <w:szCs w:val="20"/>
          <w:color w:val="auto"/>
        </w:rPr>
      </w:pPr>
      <w:r>
        <w:rPr>
          <w:rFonts w:ascii="Arial" w:cs="Arial" w:eastAsia="Arial" w:hAnsi="Arial"/>
          <w:sz w:val="18"/>
          <w:szCs w:val="18"/>
          <w:color w:val="auto"/>
        </w:rPr>
        <w:t xml:space="preserve">On May 8, 2008, we announced that we had reached an agreement with the SEC to settle this matter. Without admitting or denying the allegations in the SEC’s complaint, we agreed to settle the charges by consenting to a permanent injunction against any future violations of various provisions of the federal securities laws. We also will pay a civil penalty of $10 million in connection with the settlement. On May 8, 2008, the SEC filed a complaint captioned </w:t>
      </w:r>
      <w:r>
        <w:rPr>
          <w:rFonts w:ascii="Arial" w:cs="Arial" w:eastAsia="Arial" w:hAnsi="Arial"/>
          <w:sz w:val="18"/>
          <w:szCs w:val="18"/>
          <w:i w:val="1"/>
          <w:iCs w:val="1"/>
          <w:color w:val="auto"/>
        </w:rPr>
        <w:t>SEC</w:t>
      </w:r>
      <w:r>
        <w:rPr>
          <w:rFonts w:ascii="Arial" w:cs="Arial" w:eastAsia="Arial" w:hAnsi="Arial"/>
          <w:sz w:val="18"/>
          <w:szCs w:val="18"/>
          <w:color w:val="auto"/>
        </w:rPr>
        <w:t xml:space="preserve"> </w:t>
      </w:r>
      <w:r>
        <w:rPr>
          <w:rFonts w:ascii="Arial" w:cs="Arial" w:eastAsia="Arial" w:hAnsi="Arial"/>
          <w:sz w:val="18"/>
          <w:szCs w:val="18"/>
          <w:i w:val="1"/>
          <w:iCs w:val="1"/>
          <w:color w:val="auto"/>
        </w:rPr>
        <w:t>v. Marvell Technology Group, Ltd., et al</w:t>
      </w:r>
      <w:r>
        <w:rPr>
          <w:rFonts w:ascii="Arial" w:cs="Arial" w:eastAsia="Arial" w:hAnsi="Arial"/>
          <w:sz w:val="18"/>
          <w:szCs w:val="18"/>
          <w:color w:val="auto"/>
        </w:rPr>
        <w:t>.,</w:t>
      </w:r>
      <w:r>
        <w:rPr>
          <w:rFonts w:ascii="Arial" w:cs="Arial" w:eastAsia="Arial" w:hAnsi="Arial"/>
          <w:sz w:val="18"/>
          <w:szCs w:val="18"/>
          <w:i w:val="1"/>
          <w:iCs w:val="1"/>
          <w:color w:val="auto"/>
        </w:rPr>
        <w:t xml:space="preserve"> </w:t>
      </w:r>
      <w:r>
        <w:rPr>
          <w:rFonts w:ascii="Arial" w:cs="Arial" w:eastAsia="Arial" w:hAnsi="Arial"/>
          <w:sz w:val="17"/>
          <w:szCs w:val="17"/>
          <w:color w:val="auto"/>
        </w:rPr>
        <w:t>Case No. CV-08-2367-HRL, in the United States District Court for the Northern District of California. We consent to</w:t>
      </w:r>
      <w:r>
        <w:rPr>
          <w:rFonts w:ascii="Arial" w:cs="Arial" w:eastAsia="Arial" w:hAnsi="Arial"/>
          <w:sz w:val="18"/>
          <w:szCs w:val="18"/>
          <w:i w:val="1"/>
          <w:iCs w:val="1"/>
          <w:color w:val="auto"/>
        </w:rPr>
        <w:t xml:space="preserve"> </w:t>
      </w:r>
      <w:r>
        <w:rPr>
          <w:rFonts w:ascii="Arial" w:cs="Arial" w:eastAsia="Arial" w:hAnsi="Arial"/>
          <w:sz w:val="17"/>
          <w:szCs w:val="17"/>
          <w:color w:val="auto"/>
        </w:rPr>
        <w:t xml:space="preserve">entry of final judgment was also filed on May 8, 2008. </w:t>
      </w:r>
      <w:r>
        <w:rPr>
          <w:rFonts w:ascii="Arial" w:cs="Arial" w:eastAsia="Arial" w:hAnsi="Arial"/>
          <w:sz w:val="18"/>
          <w:szCs w:val="18"/>
          <w:color w:val="auto"/>
        </w:rPr>
        <w:t>In a related agreement, Ms. Dai also entered into a settlement with the SEC. Without admitting or</w:t>
      </w:r>
      <w:r>
        <w:rPr>
          <w:rFonts w:ascii="Arial" w:cs="Arial" w:eastAsia="Arial" w:hAnsi="Arial"/>
          <w:sz w:val="17"/>
          <w:szCs w:val="17"/>
          <w:color w:val="auto"/>
        </w:rPr>
        <w:t xml:space="preserve"> </w:t>
      </w:r>
      <w:r>
        <w:rPr>
          <w:rFonts w:ascii="Arial" w:cs="Arial" w:eastAsia="Arial" w:hAnsi="Arial"/>
          <w:sz w:val="18"/>
          <w:szCs w:val="18"/>
          <w:color w:val="auto"/>
        </w:rPr>
        <w:t>denying the allegations in the SEC’s complaint, Ms. Dai consented to a permanent injunction against any future violations of various provisions of the federal securities laws, agreed not to serve as a director or officer of a public company for a period of five years, and will pay a civil penalty of $500,000. The parties await the court’s entry of these final judgments.</w:t>
      </w:r>
    </w:p>
    <w:p>
      <w:pPr>
        <w:spacing w:after="0" w:line="192" w:lineRule="exact"/>
        <w:rPr>
          <w:sz w:val="20"/>
          <w:szCs w:val="20"/>
          <w:color w:val="auto"/>
        </w:rPr>
      </w:pPr>
    </w:p>
    <w:p>
      <w:pPr>
        <w:ind w:right="380" w:firstLine="243"/>
        <w:spacing w:after="0" w:line="277" w:lineRule="auto"/>
        <w:rPr>
          <w:sz w:val="20"/>
          <w:szCs w:val="20"/>
          <w:color w:val="auto"/>
        </w:rPr>
      </w:pPr>
      <w:r>
        <w:rPr>
          <w:rFonts w:ascii="Arial" w:cs="Arial" w:eastAsia="Arial" w:hAnsi="Arial"/>
          <w:sz w:val="18"/>
          <w:szCs w:val="18"/>
          <w:color w:val="auto"/>
        </w:rPr>
        <w:t>This settlement concludes the SEC’s formal investigation of us with respect to our historical stock option granting practices and is pending final court approval.</w:t>
      </w:r>
    </w:p>
    <w:p>
      <w:pPr>
        <w:sectPr>
          <w:pgSz w:w="11900" w:h="16838" w:orient="portrait"/>
          <w:cols w:equalWidth="0" w:num="1">
            <w:col w:w="11400"/>
          </w:cols>
          <w:pgMar w:left="240" w:top="125" w:right="259" w:bottom="45" w:gutter="0" w:footer="0" w:header="0"/>
        </w:sectPr>
      </w:pPr>
    </w:p>
    <w:bookmarkStart w:id="28" w:name="page29"/>
    <w:bookmarkEnd w:id="28"/>
    <w:p>
      <w:pPr>
        <w:spacing w:after="0" w:line="26" w:lineRule="exact"/>
        <w:rPr>
          <w:sz w:val="20"/>
          <w:szCs w:val="20"/>
          <w:color w:val="auto"/>
        </w:rPr>
      </w:pPr>
    </w:p>
    <w:p>
      <w:pPr>
        <w:ind w:right="20" w:firstLine="243"/>
        <w:spacing w:after="0" w:line="290"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we received a letter from Wi-Lan, Inc. (“Wi-Lan”) accusing us of infringing four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allegedly owned by Wi-Lan, and one Canadian patent also allegedly owned by Wi-Lan. On October 31, 2007, Wi-Lan sued two groups of system and chip manufacturers in the United States District Court for the Eastern District of Texas, in both cases naming us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we are not accused of infringing the ADSL patent. We filed our answer to the complaints and our counterclaims in these actions on January 25, 2008; the court has not yet scheduled any other dates in the litigation. We believe that we do not infringe the asserted Wi-Lan patents and will vigorously defend ourselves in these matters.</w:t>
      </w:r>
    </w:p>
    <w:p>
      <w:pPr>
        <w:spacing w:after="0" w:line="166" w:lineRule="exact"/>
        <w:rPr>
          <w:sz w:val="20"/>
          <w:szCs w:val="20"/>
          <w:color w:val="auto"/>
        </w:rPr>
      </w:pPr>
    </w:p>
    <w:p>
      <w:pPr>
        <w:ind w:right="80" w:firstLine="243"/>
        <w:spacing w:after="0" w:line="297" w:lineRule="auto"/>
        <w:rPr>
          <w:sz w:val="20"/>
          <w:szCs w:val="20"/>
          <w:color w:val="auto"/>
        </w:rPr>
      </w:pPr>
      <w:r>
        <w:rPr>
          <w:rFonts w:ascii="Arial" w:cs="Arial" w:eastAsia="Arial" w:hAnsi="Arial"/>
          <w:sz w:val="16"/>
          <w:szCs w:val="16"/>
          <w:color w:val="auto"/>
        </w:rPr>
        <w:t>On November 5, 2007, we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us in either of the two Texas litigations. These patents allegedly relate to Wideband Code Division Multiple Access technology. Also, we ask in the alternative that the Court find the patents invalid. Wi-Lan has filed a motion to dismiss, and Marvell filed its opposition to that motion on May 30, 2008. We expect a ruling on that motion during the summer of 2008. Wi-Lan has not filed its answer in this action. We will vigorously pursue this matter.</w:t>
      </w:r>
    </w:p>
    <w:p>
      <w:pPr>
        <w:spacing w:after="0" w:line="158"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i w:val="1"/>
          <w:iCs w:val="1"/>
          <w:color w:val="auto"/>
        </w:rPr>
        <w:t xml:space="preserve">Fujitsu et al. Litigation. </w:t>
      </w:r>
      <w:r>
        <w:rPr>
          <w:rFonts w:ascii="Arial" w:cs="Arial" w:eastAsia="Arial" w:hAnsi="Arial"/>
          <w:sz w:val="17"/>
          <w:szCs w:val="17"/>
          <w:color w:val="auto"/>
        </w:rPr>
        <w:t>On December 17, 2007, Fujitsu, Ltd., LG Electronics., Ltd., and U.S. Philips Corp., sued NETGEAR, Inc. in the United States</w:t>
      </w:r>
      <w:r>
        <w:rPr>
          <w:rFonts w:ascii="Arial" w:cs="Arial" w:eastAsia="Arial" w:hAnsi="Arial"/>
          <w:sz w:val="17"/>
          <w:szCs w:val="17"/>
          <w:i w:val="1"/>
          <w:iCs w:val="1"/>
          <w:color w:val="auto"/>
        </w:rPr>
        <w:t xml:space="preserve"> </w:t>
      </w:r>
      <w:r>
        <w:rPr>
          <w:rFonts w:ascii="Arial" w:cs="Arial" w:eastAsia="Arial" w:hAnsi="Arial"/>
          <w:sz w:val="17"/>
          <w:szCs w:val="17"/>
          <w:color w:val="auto"/>
        </w:rPr>
        <w:t>District Court for the Western District of Wisconsin, alleging that NETGEAR’s 802.11 equipment infringed three United States patents allegedly owned individually by the plaintiffs. On March 17, 2008, NETGEAR filed a third-party complaint against three companies, including Marvell Semiconductor, Inc., who allegedly supply 802.11 chips to NETGEAR. In the third-party action, NETGEAR alleges that whatever damages and compensation it is required to pay as a result of the underlying patent infringement litigation, the alleged suppliers owe to NETGEAR. We filed an answer and a motion to amend the schedule in the case on April 8, 2008. The Court, on its own, adjusted the schedule to account for the new parties added to the litigation and moved the trial date to April 27, 2009. We believe that we do not owe NETGEAR any payment resulting from NETGEAR’s use of Marvell 802.11 parts in NETGEAR products, and we also believe that none of the patents in suit is infringed by NETGEAR. We intend to defend this litigation vigorously.</w:t>
      </w:r>
    </w:p>
    <w:p>
      <w:pPr>
        <w:spacing w:after="0" w:line="179" w:lineRule="exact"/>
        <w:rPr>
          <w:sz w:val="20"/>
          <w:szCs w:val="20"/>
          <w:color w:val="auto"/>
        </w:rPr>
      </w:pPr>
    </w:p>
    <w:p>
      <w:pPr>
        <w:ind w:right="80" w:firstLine="243"/>
        <w:spacing w:after="0" w:line="293" w:lineRule="auto"/>
        <w:rPr>
          <w:sz w:val="20"/>
          <w:szCs w:val="20"/>
          <w:color w:val="auto"/>
        </w:rPr>
      </w:pPr>
      <w:r>
        <w:rPr>
          <w:rFonts w:ascii="Arial" w:cs="Arial" w:eastAsia="Arial" w:hAnsi="Arial"/>
          <w:sz w:val="16"/>
          <w:szCs w:val="16"/>
          <w:i w:val="1"/>
          <w:iCs w:val="1"/>
          <w:color w:val="auto"/>
        </w:rPr>
        <w:t xml:space="preserve">General. </w:t>
      </w:r>
      <w:r>
        <w:rPr>
          <w:rFonts w:ascii="Arial" w:cs="Arial" w:eastAsia="Arial" w:hAnsi="Arial"/>
          <w:sz w:val="16"/>
          <w:szCs w:val="16"/>
          <w:color w:val="auto"/>
        </w:rPr>
        <w:t>We are also party to other legal proceedings and claims arising in the normal course of business. The legal proceedings and claims described</w:t>
      </w:r>
      <w:r>
        <w:rPr>
          <w:rFonts w:ascii="Arial" w:cs="Arial" w:eastAsia="Arial" w:hAnsi="Arial"/>
          <w:sz w:val="16"/>
          <w:szCs w:val="16"/>
          <w:i w:val="1"/>
          <w:iCs w:val="1"/>
          <w:color w:val="auto"/>
        </w:rPr>
        <w:t xml:space="preserve"> </w:t>
      </w:r>
      <w:r>
        <w:rPr>
          <w:rFonts w:ascii="Arial" w:cs="Arial" w:eastAsia="Arial" w:hAnsi="Arial"/>
          <w:sz w:val="16"/>
          <w:szCs w:val="16"/>
          <w:color w:val="auto"/>
        </w:rPr>
        <w:t>above could result in substantial costs and could divert the attention and resources of our management. Although the legal responsibility and financial impact with respect to these proceedings and claims cannot currently be ascertained, an unfavorable outcome in such actions could have a material adverse effect on our cash flows, including potential impacts to certain covenants under our existing credit agreement.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120" w:firstLine="259"/>
        <w:spacing w:after="0" w:line="264" w:lineRule="auto"/>
        <w:rPr>
          <w:sz w:val="20"/>
          <w:szCs w:val="20"/>
          <w:color w:val="auto"/>
        </w:rPr>
      </w:pPr>
      <w:r>
        <w:rPr>
          <w:rFonts w:ascii="Arial" w:cs="Arial" w:eastAsia="Arial" w:hAnsi="Arial"/>
          <w:sz w:val="18"/>
          <w:szCs w:val="18"/>
          <w:color w:val="auto"/>
        </w:rPr>
        <w:t>In addition to the factors discussed in the “Overview” and “Liquidity and Capital Resources” sections of Item 2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continues to serve in a non-management role. Our current interim Chief Financial Officer, who joined us in January 2008, will become Acting Chief Operating Officer after our newly appointed Chief Financial Officer joins us later this month. Also, the general counsel of our U.S. operating subsidiary was terminated in March 2007. We have not yet recruited permanent replacements for our Chief Operating Officer and General Counsel positions, and if we cannot recruit qualified permanent replacements for such positions, our business may suffer. Moreover, we continue to search for new independent directors to fill the existing vacancies on our Board of Directors, and one of the independent directors currently on our Board of Directors joined our Board of Directors in October 2007. One of the independent directors will succeed Dr. Sehat Sutardja as Chairman of the Board. Although we will endeavor to implement any director and management transition as nondisruptive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 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181"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purported class action and derivative action lawsuits relating to our historic option granting practices, and there is a possibility of additional lawsuits, all of which could require significant management time and attention and result in significant legal expenses.</w:t>
      </w:r>
    </w:p>
    <w:p>
      <w:pPr>
        <w:spacing w:after="0" w:line="181" w:lineRule="exact"/>
        <w:rPr>
          <w:sz w:val="20"/>
          <w:szCs w:val="20"/>
          <w:color w:val="auto"/>
        </w:rPr>
      </w:pPr>
    </w:p>
    <w:p>
      <w:pPr>
        <w:ind w:right="40" w:firstLine="243"/>
        <w:spacing w:after="0" w:line="289" w:lineRule="auto"/>
        <w:rPr>
          <w:sz w:val="20"/>
          <w:szCs w:val="20"/>
          <w:color w:val="auto"/>
        </w:rPr>
      </w:pPr>
      <w:r>
        <w:rPr>
          <w:rFonts w:ascii="Arial" w:cs="Arial" w:eastAsia="Arial" w:hAnsi="Arial"/>
          <w:sz w:val="16"/>
          <w:szCs w:val="16"/>
          <w:color w:val="auto"/>
        </w:rPr>
        <w:t>We are subject to a number of consolidated shareholder derivative lawsuits brought purportedly on behalf of us against certain of our current and former executive officers and board members relating to our historic stock option grant practices. We are named as a nominal defendant in these lawsuits. The parties to these consolidated derivative lawsuits have reached a tentative settlement (as set forth above). In addition, consolidated putative shareholder class action lawsuits have been filed against us and certain of our officers and directors that allege violations of the federal securities laws in connection with our historic stock option granting practices. We and our current and former executive officers and board members may in the future be subject to additional litigation relating to our historic stock option granting practices. Subject to certain limitations, we are obligated to indemnify our current and former directors, officers and employees in connection with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ectPr>
          <w:pgSz w:w="11900" w:h="16865" w:orient="portrait"/>
          <w:cols w:equalWidth="0" w:num="1">
            <w:col w:w="11420"/>
          </w:cols>
          <w:pgMar w:left="240" w:top="125" w:right="239" w:bottom="0" w:gutter="0" w:footer="0" w:header="0"/>
        </w:sectPr>
      </w:pPr>
    </w:p>
    <w:bookmarkStart w:id="29" w:name="page30"/>
    <w:bookmarkEnd w:id="29"/>
    <w:p>
      <w:pPr>
        <w:spacing w:after="0" w:line="95" w:lineRule="exact"/>
        <w:rPr>
          <w:sz w:val="20"/>
          <w:szCs w:val="20"/>
          <w:color w:val="auto"/>
        </w:rPr>
      </w:pPr>
    </w:p>
    <w:p>
      <w:pPr>
        <w:ind w:right="260"/>
        <w:spacing w:after="0" w:line="381" w:lineRule="auto"/>
        <w:rPr>
          <w:sz w:val="20"/>
          <w:szCs w:val="20"/>
          <w:color w:val="auto"/>
        </w:rPr>
      </w:pPr>
      <w:r>
        <w:rPr>
          <w:rFonts w:ascii="Arial" w:cs="Arial" w:eastAsia="Arial" w:hAnsi="Arial"/>
          <w:sz w:val="15"/>
          <w:szCs w:val="15"/>
          <w:b w:val="1"/>
          <w:bCs w:val="1"/>
          <w:i w:val="1"/>
          <w:iCs w:val="1"/>
          <w:color w:val="auto"/>
        </w:rPr>
        <w:t>We have been named as a party to several purported class action and derivative lawsuits relating to our historic stock option granting practices, and we may be named in additional litigation, all of which could cause our business, financial condition, results of operations and cash flows to suffer.</w:t>
      </w:r>
    </w:p>
    <w:p>
      <w:pPr>
        <w:spacing w:after="0" w:line="101" w:lineRule="exact"/>
        <w:rPr>
          <w:sz w:val="20"/>
          <w:szCs w:val="20"/>
          <w:color w:val="auto"/>
        </w:rPr>
      </w:pPr>
    </w:p>
    <w:p>
      <w:pPr>
        <w:jc w:val="both"/>
        <w:ind w:right="480" w:firstLine="243"/>
        <w:spacing w:after="0" w:line="264" w:lineRule="auto"/>
        <w:rPr>
          <w:sz w:val="20"/>
          <w:szCs w:val="20"/>
          <w:color w:val="auto"/>
        </w:rPr>
      </w:pPr>
      <w:r>
        <w:rPr>
          <w:rFonts w:ascii="Arial" w:cs="Arial" w:eastAsia="Arial" w:hAnsi="Arial"/>
          <w:sz w:val="18"/>
          <w:szCs w:val="18"/>
          <w:color w:val="auto"/>
        </w:rPr>
        <w:t>We have been named as a nominal defendant in purported shareholder derivative actions that name a number of our current and former directors and officers as defendants and that seek to recover damages purportedly sustained by us in connection with our historic stock option granting practices. The parties in the consolidated derivative lawsuit have reached a tentative settlement (as set</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forth above). In addition, putative class actions have been filed against us and certain of our officers and directors that allege violations of the federal securities laws in connection with our historic option granting practices, which seek to recover damages. We and our current and former executive officers and board members may in the future be subject to additional litigation relating to our historic stock option granting practices.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An unfavorable outcome in these litigations could exceed the proceeds obtained from a recent settlement and policy release with our directors and officers liability insurers and could have a material adverse effect on our business, financial condition, financial results, results of operations and cash flows, including potential impacts to certain covenants in our existing credit agreement.</w:t>
      </w:r>
    </w:p>
    <w:p>
      <w:pPr>
        <w:spacing w:after="0" w:line="17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actions requires the court’s preliminary and final approval, and may not be approved by the court.</w:t>
      </w:r>
    </w:p>
    <w:p>
      <w:pPr>
        <w:spacing w:after="0" w:line="170"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On or about March 5, 2008, the parties entered into a memorandum of understanding that tentatively settles and resolves the pending consolidated derivative action. This tentative settlement of the derivative actions requires court approval before it becomes final. The court may not preliminarily or finally approve the tentative settlement. If the court does not approve the tentative settlement, the parties might elect or be required to continue litigating the consolidated derivative actions.</w:t>
      </w:r>
    </w:p>
    <w:p>
      <w:pPr>
        <w:spacing w:after="0" w:line="187" w:lineRule="exact"/>
        <w:rPr>
          <w:sz w:val="20"/>
          <w:szCs w:val="20"/>
          <w:color w:val="auto"/>
        </w:rPr>
      </w:pPr>
    </w:p>
    <w:p>
      <w:pPr>
        <w:jc w:val="both"/>
        <w:ind w:right="660"/>
        <w:spacing w:after="0" w:line="264" w:lineRule="auto"/>
        <w:rPr>
          <w:sz w:val="20"/>
          <w:szCs w:val="20"/>
          <w:color w:val="auto"/>
        </w:rPr>
      </w:pPr>
      <w:r>
        <w:rPr>
          <w:rFonts w:ascii="Arial" w:cs="Arial" w:eastAsia="Arial" w:hAnsi="Arial"/>
          <w:sz w:val="18"/>
          <w:szCs w:val="18"/>
          <w:b w:val="1"/>
          <w:bCs w:val="1"/>
          <w:i w:val="1"/>
          <w:iCs w:val="1"/>
          <w:color w:val="auto"/>
        </w:rPr>
        <w:t>Matters related to the internal review of our historic stock option granting practices and the restatement of our financial statements may result in additional litigation, regulatory proceedings and government enforcement actions, and could have a negative impact on our reputation, business, financial condition and financial results.</w:t>
      </w:r>
    </w:p>
    <w:p>
      <w:pPr>
        <w:spacing w:after="0" w:line="181" w:lineRule="exact"/>
        <w:rPr>
          <w:sz w:val="20"/>
          <w:szCs w:val="20"/>
          <w:color w:val="auto"/>
        </w:rPr>
      </w:pPr>
    </w:p>
    <w:p>
      <w:pPr>
        <w:ind w:right="20" w:firstLine="243"/>
        <w:spacing w:after="0" w:line="285" w:lineRule="auto"/>
        <w:rPr>
          <w:sz w:val="20"/>
          <w:szCs w:val="20"/>
          <w:color w:val="auto"/>
        </w:rPr>
      </w:pPr>
      <w:r>
        <w:rPr>
          <w:rFonts w:ascii="Arial" w:cs="Arial" w:eastAsia="Arial" w:hAnsi="Arial"/>
          <w:sz w:val="16"/>
          <w:szCs w:val="16"/>
          <w:color w:val="auto"/>
        </w:rPr>
        <w:t>Our historic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Quarterly Report on Form 10-Q as well as the other risk factors related to litigation set forth in this section. We may become the subject of additional private or government actions regarding these matters in the future. We have provided the results of our internal review to the SEC and the United States Attorney’s Office for the Northern District of California, and in that regard responded to formal and informal requests for documents and additional information. As discussed above, the SEC conducted first an informal and then a formal investigation of our historic stock option grant practices. On May 8, 2008, we announced that we had reached an agreement with the SEC to settle this matter. In a related agreement, Weili Dai also entered into a settlement with the SEC. The parties are awaiting the court’s entry of the final judgments. Although this settlement will conclude the SEC’s formal investigation of us with respect to our historic stock option granting practices, we cannot be certain regarding the outcome of any other unresolved litigation, regulatory proceedings and government enforcement actions relating to our historic stock option granting practices. The resolution of these matters has been and will be time consuming and expensive, and may require the time and attention of our management. Subject to certain limitations, we are obligated to indemnify our current and former directors, officers and employees in connection with the shareholder litigation, as well as the government investigations of our historic stock option granting practices and any subsequent litigation. Further, we could be required to pay damages or additional penalties or have other remedies imposed against us, our directors, executive officers or other officers, or employees, which could harm our reputation, business, financial condition, results of operations and cash flows. Moreover, ongoing government investigations, and the pending shareholder derivative and class action litigation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our board and management, and our revenue, net income, expenses, results of operations, profitability, earnings-per-share, and cash flows.</w:t>
      </w:r>
    </w:p>
    <w:p>
      <w:pPr>
        <w:spacing w:after="0" w:line="38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70" w:lineRule="exact"/>
        <w:rPr>
          <w:sz w:val="20"/>
          <w:szCs w:val="20"/>
          <w:color w:val="auto"/>
        </w:rPr>
      </w:pPr>
    </w:p>
    <w:p>
      <w:pPr>
        <w:ind w:right="100" w:firstLine="243"/>
        <w:spacing w:after="0" w:line="272" w:lineRule="auto"/>
        <w:rPr>
          <w:sz w:val="20"/>
          <w:szCs w:val="20"/>
          <w:color w:val="auto"/>
        </w:rPr>
      </w:pPr>
      <w:r>
        <w:rPr>
          <w:rFonts w:ascii="Arial" w:cs="Arial" w:eastAsia="Arial" w:hAnsi="Arial"/>
          <w:sz w:val="17"/>
          <w:szCs w:val="17"/>
          <w:color w:val="auto"/>
        </w:rPr>
        <w:t>On July 31, 2001, a putative class action suit was filed against two investment banks that participated in the underwriting of our IPO on June 29, 2000. That lawsuit, which did not name us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investment clients in violation of Section 10(b) of the Exchange Act.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 defendants violated various provisions of the</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Securities Act and the Exchange Act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section 11 of the Securities Act and section 10(b) of the Exchange Act.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w:t>
      </w:r>
    </w:p>
    <w:p>
      <w:pPr>
        <w:sectPr>
          <w:pgSz w:w="11900" w:h="16933" w:orient="portrait"/>
          <w:cols w:equalWidth="0" w:num="1">
            <w:col w:w="11420"/>
          </w:cols>
          <w:pgMar w:left="240" w:top="341" w:right="239" w:bottom="0" w:gutter="0" w:footer="0" w:header="0"/>
        </w:sectPr>
      </w:pPr>
    </w:p>
    <w:bookmarkStart w:id="30" w:name="page31"/>
    <w:bookmarkEnd w:id="30"/>
    <w:p>
      <w:pPr>
        <w:spacing w:after="0" w:line="27"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in the coordinated proceedings (the action involving us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defendants in the six focus cases filed briefs opposing plaintiffs’ motion for class certification. The court has indicated it will likely hear the motion for class certification in May 2008. The parties have also fully briefed a motion to dismiss by defendants in the six focus cases; the court has not yet set a hearing date for that motion. The parties have also briefed a motion for class certification but no hearing date has been set by the court.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3" w:lineRule="exact"/>
        <w:rPr>
          <w:sz w:val="20"/>
          <w:szCs w:val="20"/>
          <w:color w:val="auto"/>
        </w:rPr>
      </w:pPr>
    </w:p>
    <w:p>
      <w:pPr>
        <w:ind w:right="240"/>
        <w:spacing w:after="0" w:line="302"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54"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We have assessed that we continue to have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87" w:lineRule="exact"/>
        <w:rPr>
          <w:sz w:val="20"/>
          <w:szCs w:val="20"/>
          <w:color w:val="auto"/>
        </w:rPr>
      </w:pPr>
    </w:p>
    <w:p>
      <w:pPr>
        <w:ind w:firstLine="243"/>
        <w:spacing w:after="0" w:line="287"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 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73"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00"/>
        <w:spacing w:after="0" w:line="293" w:lineRule="auto"/>
        <w:rPr>
          <w:sz w:val="20"/>
          <w:szCs w:val="20"/>
          <w:color w:val="auto"/>
        </w:rPr>
      </w:pPr>
      <w:r>
        <w:rPr>
          <w:rFonts w:ascii="Arial" w:cs="Arial" w:eastAsia="Arial" w:hAnsi="Arial"/>
          <w:sz w:val="16"/>
          <w:szCs w:val="16"/>
          <w:color w:val="auto"/>
        </w:rPr>
        <w:t>also adversely affect the results of periodic management evaluations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6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248"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Recent U.S. sub-prime mortgage defaults have had a significant impact across various sectors of the financial markets, causing global credit and liquidity issues. The short-term funding markets experienced credit issues during the second half of calendar 2007 and continuing into the first and second quarter of calendar 2008, leading to liquidity disruption in asset-backed commercial paper and failed auctions in the auction rate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88"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As of May 3, 2008, our investment portfolio included $42.2 million in par value of auction rate securities. Auction rate securities are usually found in the form of municipal bonds, preferred stock, pools of student loans or collateralized debt obligations with contractual maturities generally between 20 to</w:t>
      </w:r>
    </w:p>
    <w:p>
      <w:pPr>
        <w:ind w:right="300"/>
        <w:spacing w:after="0" w:line="254" w:lineRule="auto"/>
        <w:rPr>
          <w:sz w:val="20"/>
          <w:szCs w:val="20"/>
          <w:color w:val="auto"/>
        </w:rPr>
      </w:pPr>
      <w:r>
        <w:rPr>
          <w:rFonts w:ascii="Arial" w:cs="Arial" w:eastAsia="Arial" w:hAnsi="Arial"/>
          <w:sz w:val="18"/>
          <w:szCs w:val="18"/>
          <w:color w:val="auto"/>
        </w:rPr>
        <w:t>30 years and whose interest rates are reset every seven to thirty five days through an auction process. At the end of each reset period, investors can sell or continue to hold the securities at par. Our auction rate securities are all backed by student loans originated under the Federal Family Education Loan Program, or FFELP, and are over-collateralized, insured and guaranteed by the United States Federal Department of Education. All auction rate securities held by us are rated by the major independent rating agencies as either AAA or Aaa.</w:t>
      </w:r>
    </w:p>
    <w:p>
      <w:pPr>
        <w:spacing w:after="0" w:line="190" w:lineRule="exact"/>
        <w:rPr>
          <w:sz w:val="20"/>
          <w:szCs w:val="20"/>
          <w:color w:val="auto"/>
        </w:rPr>
      </w:pPr>
    </w:p>
    <w:p>
      <w:pPr>
        <w:ind w:firstLine="259"/>
        <w:spacing w:after="0" w:line="290" w:lineRule="auto"/>
        <w:rPr>
          <w:sz w:val="20"/>
          <w:szCs w:val="20"/>
          <w:color w:val="auto"/>
        </w:rPr>
      </w:pPr>
      <w:r>
        <w:rPr>
          <w:rFonts w:ascii="Arial" w:cs="Arial" w:eastAsia="Arial" w:hAnsi="Arial"/>
          <w:sz w:val="16"/>
          <w:szCs w:val="16"/>
          <w:color w:val="auto"/>
        </w:rPr>
        <w:t>Beginning in February 2008, liquidity issues in the global credit markets resulted in failure of the auctions representing all of the auction rate securities held by us, as the amount of securities submitted for sale in those auctions exceed the amount of bids. The failures of the auctions are not believed to be a credit issue, but rather caused by a lack of liquidity. Due to the failure of auctions, we used a discounted cash flow model to estimate the fair value of the auction rate securities as of May 3, 2008. The assumptions used in preparing the discounted cash flow model included estimates for the amount and timing of future interest and principal payments, the collateralization of underlying security investments, the credit worthiness of the issuer and the rate of return required by investors to own these securities in the current environment, including call premium and liquidity premium. During the three month period ended May 3, 2008, we recorded a temporary impairment charge of $1.7 million calculated using a discounted cash flow model, in accumulated other comprehensive income, a component of shareholders’ equity. When evaluating whether the impairment of the investments are temporary or other than</w:t>
      </w:r>
    </w:p>
    <w:p>
      <w:pPr>
        <w:sectPr>
          <w:pgSz w:w="11900" w:h="16865" w:orient="portrait"/>
          <w:cols w:equalWidth="0" w:num="1">
            <w:col w:w="11400"/>
          </w:cols>
          <w:pgMar w:left="240" w:top="125" w:right="259" w:bottom="0" w:gutter="0" w:footer="0" w:header="0"/>
        </w:sectPr>
      </w:pPr>
    </w:p>
    <w:bookmarkStart w:id="31" w:name="page32"/>
    <w:bookmarkEnd w:id="31"/>
    <w:p>
      <w:pPr>
        <w:ind w:right="460"/>
        <w:spacing w:after="0" w:line="277" w:lineRule="auto"/>
        <w:rPr>
          <w:sz w:val="20"/>
          <w:szCs w:val="20"/>
          <w:color w:val="auto"/>
        </w:rPr>
      </w:pPr>
      <w:r>
        <w:rPr>
          <w:rFonts w:ascii="Arial" w:cs="Arial" w:eastAsia="Arial" w:hAnsi="Arial"/>
          <w:sz w:val="18"/>
          <w:szCs w:val="18"/>
          <w:color w:val="auto"/>
        </w:rPr>
        <w:t>temporary, we reviewed factors such as the length of time and extent to which fair value has been below cost basis and our ability and intent to hold the investment for a period of time which may be sufficient for anticipated recovery in market value.</w:t>
      </w:r>
    </w:p>
    <w:p>
      <w:pPr>
        <w:spacing w:after="0" w:line="170" w:lineRule="exact"/>
        <w:rPr>
          <w:sz w:val="20"/>
          <w:szCs w:val="20"/>
          <w:color w:val="auto"/>
        </w:rPr>
      </w:pPr>
    </w:p>
    <w:p>
      <w:pPr>
        <w:ind w:right="60" w:firstLine="259"/>
        <w:spacing w:after="0" w:line="279" w:lineRule="auto"/>
        <w:rPr>
          <w:sz w:val="20"/>
          <w:szCs w:val="20"/>
          <w:color w:val="auto"/>
        </w:rPr>
      </w:pPr>
      <w:r>
        <w:rPr>
          <w:rFonts w:ascii="Arial" w:cs="Arial" w:eastAsia="Arial" w:hAnsi="Arial"/>
          <w:sz w:val="17"/>
          <w:szCs w:val="17"/>
          <w:color w:val="auto"/>
        </w:rPr>
        <w:t>While the recent auction failures will limit our ability to liquidate these investments, we do not believe that the auction failures will materially impact our ability to fund our working capital needs, capital expenditures or other business requirements. We believe that we have the ability to hold these securities for a period longer than 12 months. However, at the reporting date, it is not certain when liquidity will return to the markets, or if any other secondary markets will become available, we have continued to classify these auction rate securities in long-term investments as of May 3, 2008.</w:t>
      </w:r>
    </w:p>
    <w:p>
      <w:pPr>
        <w:spacing w:after="0" w:line="171" w:lineRule="exact"/>
        <w:rPr>
          <w:sz w:val="20"/>
          <w:szCs w:val="20"/>
          <w:color w:val="auto"/>
        </w:rPr>
      </w:pPr>
    </w:p>
    <w:p>
      <w:pPr>
        <w:ind w:right="120" w:firstLine="243"/>
        <w:spacing w:after="0" w:line="276" w:lineRule="auto"/>
        <w:rPr>
          <w:sz w:val="20"/>
          <w:szCs w:val="20"/>
          <w:color w:val="auto"/>
        </w:rPr>
      </w:pPr>
      <w:r>
        <w:rPr>
          <w:rFonts w:ascii="Arial" w:cs="Arial" w:eastAsia="Arial" w:hAnsi="Arial"/>
          <w:sz w:val="17"/>
          <w:szCs w:val="17"/>
          <w:color w:val="auto"/>
        </w:rPr>
        <w:t>We will continue to evaluate the impact of these failed auctions on the fair value of the securities.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 Further, if the fair value of these securities is determined to be other than temporarily impaired, we may be required to record a loss which could materially affect our statement of operations.</w:t>
      </w:r>
    </w:p>
    <w:p>
      <w:pPr>
        <w:spacing w:after="0" w:line="17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are numerous risks with our acquisition of the communications and application processor business of Intel</w:t>
      </w:r>
      <w:r>
        <w:rPr>
          <w:rFonts w:ascii="Arial" w:cs="Arial" w:eastAsia="Arial" w:hAnsi="Arial"/>
          <w:sz w:val="18"/>
          <w:szCs w:val="18"/>
          <w:color w:val="auto"/>
        </w:rPr>
        <w:t>.</w:t>
      </w:r>
    </w:p>
    <w:p>
      <w:pPr>
        <w:spacing w:after="0" w:line="225" w:lineRule="exact"/>
        <w:rPr>
          <w:sz w:val="20"/>
          <w:szCs w:val="20"/>
          <w:color w:val="auto"/>
        </w:rPr>
      </w:pPr>
    </w:p>
    <w:p>
      <w:pPr>
        <w:ind w:firstLine="243"/>
        <w:spacing w:after="0" w:line="257" w:lineRule="auto"/>
        <w:rPr>
          <w:sz w:val="20"/>
          <w:szCs w:val="20"/>
          <w:color w:val="auto"/>
        </w:rPr>
      </w:pPr>
      <w:r>
        <w:rPr>
          <w:rFonts w:ascii="Arial" w:cs="Arial" w:eastAsia="Arial" w:hAnsi="Arial"/>
          <w:sz w:val="18"/>
          <w:szCs w:val="18"/>
          <w:color w:val="auto"/>
        </w:rPr>
        <w:t>We face significant challenges in connection with the integration of the Intel communications and application processor business of Intel that we acquired in November 2006. The integration of the communications and application processor business of Intel could prove to be more difficult than we originally anticipated, which could increase our total direct costs associated with the acquisition. Moreover, this acquisition could fail to produce anticipated benefits, or could result in unforeseen liabilities or expenses such as future impairment charges of acquired assets and goodwill or other adverse effects that we currently do not foresee, which could harm our business and operating results.</w:t>
      </w:r>
    </w:p>
    <w:p>
      <w:pPr>
        <w:spacing w:after="0" w:line="188" w:lineRule="exact"/>
        <w:rPr>
          <w:sz w:val="20"/>
          <w:szCs w:val="20"/>
          <w:color w:val="auto"/>
        </w:rPr>
      </w:pPr>
    </w:p>
    <w:p>
      <w:pPr>
        <w:ind w:right="120" w:firstLine="243"/>
        <w:spacing w:after="0" w:line="297" w:lineRule="auto"/>
        <w:rPr>
          <w:sz w:val="20"/>
          <w:szCs w:val="20"/>
          <w:color w:val="auto"/>
        </w:rPr>
      </w:pPr>
      <w:r>
        <w:rPr>
          <w:rFonts w:ascii="Arial" w:cs="Arial" w:eastAsia="Arial" w:hAnsi="Arial"/>
          <w:sz w:val="16"/>
          <w:szCs w:val="16"/>
          <w:color w:val="auto"/>
        </w:rPr>
        <w:t>The integration of these business assets and personnel has been and will continue to be a time consuming and expensive process that may disrupt our operations if it is not completed in a timely and efficient manner. If customers do not accept or are dissatisfied with the way we have integrated the manufacturing processes of the business, they may adopt competing products and solutions. If our integration efforts are not successful, our results of operations could be harmed, employee morale could decline, key employees could leave, and customer relations could be damaged. In addition, we may not achieve anticipated synergies or other benefits. The total cost of the integration may exceed our expectations, which would harm our operating results.</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160" w:firstLine="243"/>
        <w:spacing w:after="0" w:line="277" w:lineRule="auto"/>
        <w:rPr>
          <w:sz w:val="20"/>
          <w:szCs w:val="20"/>
          <w:color w:val="auto"/>
        </w:rPr>
      </w:pPr>
      <w:r>
        <w:rPr>
          <w:rFonts w:ascii="Arial" w:cs="Arial" w:eastAsia="Arial" w:hAnsi="Arial"/>
          <w:sz w:val="18"/>
          <w:szCs w:val="18"/>
          <w:color w:val="auto"/>
        </w:rPr>
        <w:t>In November 2006, we completed our acquisition of the communications and application processor business of Intel. We also completed several smaller acquisitions over the last three fiscal years.</w:t>
      </w:r>
    </w:p>
    <w:p>
      <w:pPr>
        <w:spacing w:after="0" w:line="170" w:lineRule="exact"/>
        <w:rPr>
          <w:sz w:val="20"/>
          <w:szCs w:val="20"/>
          <w:color w:val="auto"/>
        </w:rPr>
      </w:pPr>
    </w:p>
    <w:p>
      <w:pPr>
        <w:ind w:right="40" w:firstLine="243"/>
        <w:spacing w:after="0" w:line="271" w:lineRule="auto"/>
        <w:rPr>
          <w:sz w:val="20"/>
          <w:szCs w:val="20"/>
          <w:color w:val="auto"/>
        </w:rPr>
      </w:pPr>
      <w:r>
        <w:rPr>
          <w:rFonts w:ascii="Arial" w:cs="Arial" w:eastAsia="Arial" w:hAnsi="Arial"/>
          <w:sz w:val="17"/>
          <w:szCs w:val="17"/>
          <w:color w:val="auto"/>
        </w:rPr>
        <w:t>Such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9"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Under GAAP,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$2.4 billion as of May 3, 2008. An impairment review could result in a write-down of all or a portion of 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9"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financial results.</w:t>
      </w:r>
    </w:p>
    <w:p>
      <w:pPr>
        <w:spacing w:after="0" w:line="170" w:lineRule="exact"/>
        <w:rPr>
          <w:sz w:val="20"/>
          <w:szCs w:val="20"/>
          <w:color w:val="auto"/>
        </w:rPr>
      </w:pPr>
    </w:p>
    <w:p>
      <w:pPr>
        <w:ind w:right="60" w:firstLine="243"/>
        <w:spacing w:after="0" w:line="302"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54" w:lineRule="exact"/>
        <w:rPr>
          <w:sz w:val="20"/>
          <w:szCs w:val="20"/>
          <w:color w:val="auto"/>
        </w:rPr>
      </w:pPr>
    </w:p>
    <w:p>
      <w:pPr>
        <w:ind w:right="20" w:firstLine="243"/>
        <w:spacing w:after="0" w:line="257" w:lineRule="auto"/>
        <w:rPr>
          <w:sz w:val="20"/>
          <w:szCs w:val="20"/>
          <w:color w:val="auto"/>
        </w:rPr>
      </w:pPr>
      <w:r>
        <w:rPr>
          <w:rFonts w:ascii="Arial" w:cs="Arial" w:eastAsia="Arial" w:hAnsi="Arial"/>
          <w:sz w:val="18"/>
          <w:szCs w:val="18"/>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w:t>
      </w:r>
    </w:p>
    <w:p>
      <w:pPr>
        <w:spacing w:after="0" w:line="18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unanticipated events or circumstances, any of which could harm our business. We might not be successful in integrating any acquired businesses, products or technologies, and might not achieve anticipated revenues and cost benefits.</w:t>
      </w:r>
    </w:p>
    <w:p>
      <w:pPr>
        <w:sectPr>
          <w:pgSz w:w="11900" w:h="16838" w:orient="portrait"/>
          <w:cols w:equalWidth="0" w:num="1">
            <w:col w:w="11380"/>
          </w:cols>
          <w:pgMar w:left="240" w:top="125" w:right="279" w:bottom="0" w:gutter="0" w:footer="0" w:header="0"/>
        </w:sectPr>
      </w:pPr>
    </w:p>
    <w:bookmarkStart w:id="32" w:name="page33"/>
    <w:bookmarkEnd w:id="32"/>
    <w:p>
      <w:pPr>
        <w:ind w:right="160" w:firstLine="243"/>
        <w:spacing w:after="0" w:line="255" w:lineRule="auto"/>
        <w:rPr>
          <w:sz w:val="20"/>
          <w:szCs w:val="20"/>
          <w:color w:val="auto"/>
        </w:rPr>
      </w:pPr>
      <w:r>
        <w:rPr>
          <w:rFonts w:ascii="Arial" w:cs="Arial" w:eastAsia="Arial" w:hAnsi="Arial"/>
          <w:sz w:val="18"/>
          <w:szCs w:val="18"/>
          <w:color w:val="auto"/>
        </w:rPr>
        <w:t>Our ability to realize the expected benefits of our acquisition of the communications and application processor business of Intel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third-party foundries or through continuing arrangements with Intel for certain legacy products, increase the gross margin of those products, and retain the business’ relationship with its principal customers, along with other matters described above relating to our ability to integrate effectively the acquired business and its technologies, operations and personnel.</w:t>
      </w:r>
    </w:p>
    <w:p>
      <w:pPr>
        <w:spacing w:after="0" w:line="193" w:lineRule="exact"/>
        <w:rPr>
          <w:sz w:val="20"/>
          <w:szCs w:val="20"/>
          <w:color w:val="auto"/>
        </w:rPr>
      </w:pPr>
    </w:p>
    <w:p>
      <w:pPr>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70"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189" w:lineRule="exact"/>
        <w:rPr>
          <w:sz w:val="20"/>
          <w:szCs w:val="20"/>
          <w:color w:val="auto"/>
        </w:rPr>
      </w:pPr>
    </w:p>
    <w:p>
      <w:pPr>
        <w:ind w:right="140" w:firstLine="243"/>
        <w:spacing w:after="0" w:line="297" w:lineRule="auto"/>
        <w:rPr>
          <w:sz w:val="20"/>
          <w:szCs w:val="20"/>
          <w:color w:val="auto"/>
        </w:rPr>
      </w:pPr>
      <w:r>
        <w:rPr>
          <w:rFonts w:ascii="Arial" w:cs="Arial" w:eastAsia="Arial" w:hAnsi="Arial"/>
          <w:sz w:val="16"/>
          <w:szCs w:val="16"/>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 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58"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70" w:lineRule="exact"/>
        <w:rPr>
          <w:sz w:val="20"/>
          <w:szCs w:val="20"/>
          <w:color w:val="auto"/>
        </w:rPr>
      </w:pPr>
    </w:p>
    <w:p>
      <w:pPr>
        <w:ind w:right="20" w:firstLine="243"/>
        <w:spacing w:after="0" w:line="271" w:lineRule="auto"/>
        <w:rPr>
          <w:sz w:val="20"/>
          <w:szCs w:val="20"/>
          <w:color w:val="auto"/>
        </w:rPr>
      </w:pPr>
      <w:r>
        <w:rPr>
          <w:rFonts w:ascii="Arial" w:cs="Arial" w:eastAsia="Arial" w:hAnsi="Arial"/>
          <w:sz w:val="17"/>
          <w:szCs w:val="17"/>
          <w:color w:val="auto"/>
        </w:rPr>
        <w:t>We receive a significant amount of our revenues from a limited number of customers. For the quarter ended May 3, 2008, one customer accounted for more than 10% of our net revenue, for a total of 21%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79" w:lineRule="exact"/>
        <w:rPr>
          <w:sz w:val="20"/>
          <w:szCs w:val="20"/>
          <w:color w:val="auto"/>
        </w:rPr>
      </w:pPr>
    </w:p>
    <w:p>
      <w:pPr>
        <w:ind w:left="980" w:right="500" w:hanging="324"/>
        <w:spacing w:after="0" w:line="277" w:lineRule="auto"/>
        <w:tabs>
          <w:tab w:leader="none" w:pos="944"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If we are unable to accurately predict our future sales and to appropriately budget for our expenses, our operating results could suffer.</w:t>
      </w:r>
    </w:p>
    <w:p>
      <w:pPr>
        <w:spacing w:after="0" w:line="237" w:lineRule="exact"/>
        <w:rPr>
          <w:sz w:val="20"/>
          <w:szCs w:val="20"/>
          <w:color w:val="auto"/>
        </w:rPr>
      </w:pPr>
    </w:p>
    <w:p>
      <w:pPr>
        <w:ind w:right="80" w:firstLine="243"/>
        <w:spacing w:after="0" w:line="291"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years 2006 and 2007 we expanded our staffing and increased our expense levels in anticipation of future sales growth, in the fourth quarter of fiscal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and operating results may vary which may cause the price of our common shares to decline.</w:t>
      </w:r>
    </w:p>
    <w:p>
      <w:pPr>
        <w:spacing w:after="0" w:line="225" w:lineRule="exact"/>
        <w:rPr>
          <w:sz w:val="20"/>
          <w:szCs w:val="20"/>
          <w:color w:val="auto"/>
        </w:rPr>
      </w:pPr>
    </w:p>
    <w:p>
      <w:pPr>
        <w:ind w:right="100" w:firstLine="243"/>
        <w:spacing w:after="0" w:line="257" w:lineRule="auto"/>
        <w:rPr>
          <w:sz w:val="20"/>
          <w:szCs w:val="20"/>
          <w:color w:val="auto"/>
        </w:rPr>
      </w:pPr>
      <w:r>
        <w:rPr>
          <w:rFonts w:ascii="Arial" w:cs="Arial" w:eastAsia="Arial" w:hAnsi="Arial"/>
          <w:sz w:val="18"/>
          <w:szCs w:val="18"/>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 We have made substantial investments in expanding our operations which has resulted in an increase in our operating expenses. We may not be able to increase revenues in an amount sufficient to offset these increased expenditures, which may lead to a loss for a quarterly period.</w:t>
      </w:r>
    </w:p>
    <w:p>
      <w:pPr>
        <w:spacing w:after="0" w:line="188" w:lineRule="exact"/>
        <w:rPr>
          <w:sz w:val="20"/>
          <w:szCs w:val="20"/>
          <w:color w:val="auto"/>
        </w:rPr>
      </w:pPr>
    </w:p>
    <w:p>
      <w:pPr>
        <w:ind w:right="240" w:firstLine="243"/>
        <w:spacing w:after="0" w:line="277"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70" w:lineRule="exact"/>
        <w:rPr>
          <w:sz w:val="20"/>
          <w:szCs w:val="20"/>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25" w:lineRule="exact"/>
        <w:rPr>
          <w:rFonts w:ascii="Arial" w:cs="Arial" w:eastAsia="Arial" w:hAnsi="Arial"/>
          <w:sz w:val="18"/>
          <w:szCs w:val="18"/>
          <w:color w:val="auto"/>
        </w:rPr>
      </w:pPr>
    </w:p>
    <w:p>
      <w:pPr>
        <w:ind w:left="980" w:right="20" w:hanging="324"/>
        <w:spacing w:after="0" w:line="277" w:lineRule="auto"/>
        <w:tabs>
          <w:tab w:leader="none" w:pos="944"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gain or loss of a key customer;</w:t>
      </w:r>
    </w:p>
    <w:p>
      <w:pPr>
        <w:sectPr>
          <w:pgSz w:w="11900" w:h="16838" w:orient="portrait"/>
          <w:cols w:equalWidth="0" w:num="1">
            <w:col w:w="11400"/>
          </w:cols>
          <w:pgMar w:left="240" w:top="125" w:right="259" w:bottom="0" w:gutter="0" w:footer="0" w:header="0"/>
        </w:sectPr>
      </w:pPr>
    </w:p>
    <w:bookmarkStart w:id="33" w:name="page34"/>
    <w:bookmarkEnd w:id="33"/>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7"/>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25" w:lineRule="exact"/>
        <w:rPr>
          <w:rFonts w:ascii="Arial" w:cs="Arial" w:eastAsia="Arial" w:hAnsi="Arial"/>
          <w:sz w:val="18"/>
          <w:szCs w:val="18"/>
          <w:color w:val="auto"/>
        </w:rPr>
      </w:pPr>
    </w:p>
    <w:p>
      <w:pPr>
        <w:ind w:left="980" w:right="280" w:hanging="324"/>
        <w:spacing w:after="0" w:line="277" w:lineRule="auto"/>
        <w:tabs>
          <w:tab w:leader="none" w:pos="944"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Intel communications and application processor business of Intel.</w:t>
      </w:r>
    </w:p>
    <w:p>
      <w:pPr>
        <w:spacing w:after="0" w:line="170"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shares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58"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70" w:lineRule="exact"/>
        <w:rPr>
          <w:sz w:val="20"/>
          <w:szCs w:val="20"/>
          <w:color w:val="auto"/>
        </w:rPr>
      </w:pPr>
    </w:p>
    <w:p>
      <w:pPr>
        <w:ind w:right="260" w:firstLine="243"/>
        <w:spacing w:after="0" w:line="264" w:lineRule="auto"/>
        <w:rPr>
          <w:sz w:val="20"/>
          <w:szCs w:val="20"/>
          <w:color w:val="auto"/>
        </w:rPr>
      </w:pPr>
      <w:r>
        <w:rPr>
          <w:rFonts w:ascii="Arial" w:cs="Arial" w:eastAsia="Arial" w:hAnsi="Arial"/>
          <w:sz w:val="18"/>
          <w:szCs w:val="18"/>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may occur in the future. Changes to existing rules or the questioning of current practices by regulators may adversely affect our reported financial results or the way we conduct our business.</w:t>
      </w:r>
    </w:p>
    <w:p>
      <w:pPr>
        <w:spacing w:after="0" w:line="170" w:lineRule="exact"/>
        <w:rPr>
          <w:sz w:val="20"/>
          <w:szCs w:val="20"/>
          <w:color w:val="auto"/>
        </w:rPr>
      </w:pPr>
    </w:p>
    <w:p>
      <w:pPr>
        <w:ind w:right="72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70" w:lineRule="exact"/>
        <w:rPr>
          <w:sz w:val="20"/>
          <w:szCs w:val="20"/>
          <w:color w:val="auto"/>
        </w:rPr>
      </w:pPr>
    </w:p>
    <w:p>
      <w:pPr>
        <w:ind w:right="160" w:firstLine="243"/>
        <w:spacing w:after="0" w:line="255" w:lineRule="auto"/>
        <w:rPr>
          <w:sz w:val="20"/>
          <w:szCs w:val="20"/>
          <w:color w:val="auto"/>
        </w:rPr>
      </w:pPr>
      <w:r>
        <w:rPr>
          <w:rFonts w:ascii="Arial" w:cs="Arial" w:eastAsia="Arial" w:hAnsi="Arial"/>
          <w:sz w:val="18"/>
          <w:szCs w:val="18"/>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93"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3"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70" w:lineRule="exact"/>
        <w:rPr>
          <w:sz w:val="20"/>
          <w:szCs w:val="20"/>
          <w:color w:val="auto"/>
        </w:rPr>
      </w:pPr>
    </w:p>
    <w:p>
      <w:pPr>
        <w:ind w:right="160" w:firstLine="243"/>
        <w:spacing w:after="0" w:line="290"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5,320 employees, as of May 3, 2008.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66" w:lineRule="exact"/>
        <w:rPr>
          <w:sz w:val="20"/>
          <w:szCs w:val="20"/>
          <w:color w:val="auto"/>
        </w:rPr>
      </w:pPr>
    </w:p>
    <w:p>
      <w:pPr>
        <w:ind w:firstLine="243"/>
        <w:spacing w:after="0" w:line="253" w:lineRule="auto"/>
        <w:rPr>
          <w:sz w:val="20"/>
          <w:szCs w:val="20"/>
          <w:color w:val="auto"/>
        </w:rPr>
      </w:pPr>
      <w:r>
        <w:rPr>
          <w:rFonts w:ascii="Arial" w:cs="Arial" w:eastAsia="Arial" w:hAnsi="Arial"/>
          <w:sz w:val="18"/>
          <w:szCs w:val="18"/>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97"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ectPr>
          <w:pgSz w:w="11900" w:h="16838" w:orient="portrait"/>
          <w:cols w:equalWidth="0" w:num="1">
            <w:col w:w="11420"/>
          </w:cols>
          <w:pgMar w:left="240" w:top="341" w:right="239" w:bottom="56" w:gutter="0" w:footer="0" w:header="0"/>
        </w:sectPr>
      </w:pPr>
    </w:p>
    <w:bookmarkStart w:id="34" w:name="page35"/>
    <w:bookmarkEnd w:id="34"/>
    <w:p>
      <w:pPr>
        <w:ind w:firstLine="243"/>
        <w:spacing w:after="0" w:line="259"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This exposes us to a variety of risks, including the following:</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8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243"/>
        <w:spacing w:after="0" w:line="253" w:lineRule="auto"/>
        <w:rPr>
          <w:sz w:val="20"/>
          <w:szCs w:val="20"/>
          <w:color w:val="auto"/>
        </w:rPr>
      </w:pPr>
      <w:r>
        <w:rPr>
          <w:rFonts w:ascii="Arial" w:cs="Arial" w:eastAsia="Arial" w:hAnsi="Arial"/>
          <w:sz w:val="18"/>
          <w:szCs w:val="18"/>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 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95" w:lineRule="exact"/>
        <w:rPr>
          <w:sz w:val="20"/>
          <w:szCs w:val="20"/>
          <w:color w:val="auto"/>
        </w:rPr>
      </w:pPr>
    </w:p>
    <w:p>
      <w:pPr>
        <w:ind w:right="260" w:firstLine="243"/>
        <w:spacing w:after="0" w:line="257"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88" w:lineRule="exact"/>
        <w:rPr>
          <w:sz w:val="20"/>
          <w:szCs w:val="20"/>
          <w:color w:val="auto"/>
        </w:rPr>
      </w:pPr>
    </w:p>
    <w:p>
      <w:pPr>
        <w:ind w:firstLine="243"/>
        <w:spacing w:after="0" w:line="272" w:lineRule="auto"/>
        <w:rPr>
          <w:sz w:val="20"/>
          <w:szCs w:val="20"/>
          <w:color w:val="auto"/>
        </w:rPr>
      </w:pPr>
      <w:r>
        <w:rPr>
          <w:rFonts w:ascii="Arial" w:cs="Arial" w:eastAsia="Arial" w:hAnsi="Arial"/>
          <w:sz w:val="17"/>
          <w:szCs w:val="17"/>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8" w:lineRule="exact"/>
        <w:rPr>
          <w:sz w:val="20"/>
          <w:szCs w:val="20"/>
          <w:color w:val="auto"/>
        </w:rPr>
      </w:pPr>
    </w:p>
    <w:p>
      <w:pPr>
        <w:ind w:left="26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right="20" w:firstLine="243"/>
        <w:spacing w:after="0" w:line="255" w:lineRule="auto"/>
        <w:rPr>
          <w:sz w:val="20"/>
          <w:szCs w:val="20"/>
          <w:color w:val="auto"/>
        </w:rPr>
      </w:pPr>
      <w:r>
        <w:rPr>
          <w:rFonts w:ascii="Arial" w:cs="Arial" w:eastAsia="Arial" w:hAnsi="Arial"/>
          <w:sz w:val="18"/>
          <w:szCs w:val="18"/>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225" w:lineRule="exact"/>
        <w:rPr>
          <w:sz w:val="20"/>
          <w:szCs w:val="20"/>
          <w:color w:val="auto"/>
        </w:rPr>
      </w:pPr>
    </w:p>
    <w:p>
      <w:pPr>
        <w:ind w:right="140" w:firstLine="243"/>
        <w:spacing w:after="0" w:line="302" w:lineRule="auto"/>
        <w:rPr>
          <w:sz w:val="20"/>
          <w:szCs w:val="20"/>
          <w:color w:val="auto"/>
        </w:rPr>
      </w:pPr>
      <w:r>
        <w:rPr>
          <w:rFonts w:ascii="Arial" w:cs="Arial" w:eastAsia="Arial" w:hAnsi="Arial"/>
          <w:sz w:val="16"/>
          <w:szCs w:val="16"/>
          <w:color w:val="auto"/>
        </w:rPr>
        <w:t>We have substantial operations, including approximately 20% of our workforce as of the first quarter ended May 3,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w:t>
      </w:r>
    </w:p>
    <w:p>
      <w:pPr>
        <w:sectPr>
          <w:pgSz w:w="11900" w:h="16838" w:orient="portrait"/>
          <w:cols w:equalWidth="0" w:num="1">
            <w:col w:w="11400"/>
          </w:cols>
          <w:pgMar w:left="240" w:top="125" w:right="259" w:bottom="0" w:gutter="0" w:footer="0" w:header="0"/>
        </w:sectPr>
      </w:pPr>
    </w:p>
    <w:bookmarkStart w:id="35" w:name="page36"/>
    <w:bookmarkEnd w:id="35"/>
    <w:p>
      <w:pPr>
        <w:spacing w:after="0" w:line="69"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124"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right="120" w:firstLine="243"/>
        <w:spacing w:after="0" w:line="270" w:lineRule="auto"/>
        <w:rPr>
          <w:sz w:val="20"/>
          <w:szCs w:val="20"/>
          <w:color w:val="auto"/>
        </w:rPr>
      </w:pPr>
      <w:r>
        <w:rPr>
          <w:rFonts w:ascii="Arial" w:cs="Arial" w:eastAsia="Arial" w:hAnsi="Arial"/>
          <w:sz w:val="17"/>
          <w:szCs w:val="17"/>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distributors and manufacturers’ representatives also market and sell competing products. Our distributors and manufacturer’s representatives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8"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81" w:lineRule="exact"/>
        <w:rPr>
          <w:sz w:val="20"/>
          <w:szCs w:val="20"/>
          <w:color w:val="auto"/>
        </w:rPr>
      </w:pPr>
    </w:p>
    <w:p>
      <w:pPr>
        <w:ind w:firstLine="243"/>
        <w:spacing w:after="0" w:line="268" w:lineRule="auto"/>
        <w:rPr>
          <w:sz w:val="20"/>
          <w:szCs w:val="20"/>
          <w:color w:val="auto"/>
        </w:rPr>
      </w:pPr>
      <w:r>
        <w:rPr>
          <w:rFonts w:ascii="Arial" w:cs="Arial" w:eastAsia="Arial" w:hAnsi="Arial"/>
          <w:sz w:val="17"/>
          <w:szCs w:val="17"/>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80"/>
        <w:spacing w:after="0" w:line="381"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01" w:lineRule="exact"/>
        <w:rPr>
          <w:sz w:val="20"/>
          <w:szCs w:val="20"/>
          <w:color w:val="auto"/>
        </w:rPr>
      </w:pPr>
    </w:p>
    <w:p>
      <w:pPr>
        <w:ind w:right="40" w:firstLine="243"/>
        <w:spacing w:after="0" w:line="254"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9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20" w:firstLine="243"/>
        <w:spacing w:after="0" w:line="268" w:lineRule="auto"/>
        <w:rPr>
          <w:sz w:val="20"/>
          <w:szCs w:val="20"/>
          <w:color w:val="auto"/>
        </w:rPr>
      </w:pPr>
      <w:r>
        <w:rPr>
          <w:rFonts w:ascii="Arial" w:cs="Arial" w:eastAsia="Arial" w:hAnsi="Arial"/>
          <w:sz w:val="17"/>
          <w:szCs w:val="17"/>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85"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70" w:lineRule="exact"/>
        <w:rPr>
          <w:sz w:val="20"/>
          <w:szCs w:val="20"/>
          <w:color w:val="auto"/>
        </w:rPr>
      </w:pPr>
    </w:p>
    <w:p>
      <w:pPr>
        <w:ind w:right="60" w:firstLine="243"/>
        <w:spacing w:after="0" w:line="342" w:lineRule="auto"/>
        <w:rPr>
          <w:sz w:val="20"/>
          <w:szCs w:val="20"/>
          <w:color w:val="auto"/>
        </w:rPr>
      </w:pPr>
      <w:r>
        <w:rPr>
          <w:rFonts w:ascii="Arial" w:cs="Arial" w:eastAsia="Arial" w:hAnsi="Arial"/>
          <w:sz w:val="16"/>
          <w:szCs w:val="16"/>
          <w:color w:val="auto"/>
        </w:rPr>
        <w:t>As of May 3, 2008, the aggregate principal amount of our total consolidated debt was $393.8 million. Covenants in the agreements governing our existing debt, and debt we may incur in the future, may materially restrict our operations, including our ability to incur debt, pay dividends, make certain investments</w:t>
      </w:r>
    </w:p>
    <w:p>
      <w:pPr>
        <w:sectPr>
          <w:pgSz w:w="11900" w:h="16908" w:orient="portrait"/>
          <w:cols w:equalWidth="0" w:num="1">
            <w:col w:w="11420"/>
          </w:cols>
          <w:pgMar w:left="240" w:top="125" w:right="239" w:bottom="0" w:gutter="0" w:footer="0" w:header="0"/>
        </w:sectPr>
      </w:pPr>
    </w:p>
    <w:bookmarkStart w:id="36" w:name="page37"/>
    <w:bookmarkEnd w:id="36"/>
    <w:p>
      <w:pPr>
        <w:spacing w:after="0" w:line="96"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and could make it more difficult for us to obtain additional debt financing arrangements, any of which could have a material adverse effect on our business, financial condition, results of operations and cash flows.</w:t>
      </w:r>
    </w:p>
    <w:p>
      <w:pPr>
        <w:spacing w:after="0" w:line="158" w:lineRule="exact"/>
        <w:rPr>
          <w:sz w:val="20"/>
          <w:szCs w:val="20"/>
          <w:color w:val="auto"/>
        </w:rPr>
      </w:pPr>
    </w:p>
    <w:p>
      <w:pPr>
        <w:ind w:left="26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25" w:lineRule="exact"/>
        <w:rPr>
          <w:sz w:val="20"/>
          <w:szCs w:val="20"/>
          <w:color w:val="auto"/>
        </w:rPr>
      </w:pPr>
    </w:p>
    <w:p>
      <w:pPr>
        <w:ind w:left="940" w:hanging="284"/>
        <w:spacing w:after="0"/>
        <w:tabs>
          <w:tab w:leader="none" w:pos="94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25" w:lineRule="exact"/>
        <w:rPr>
          <w:rFonts w:ascii="Arial" w:cs="Arial" w:eastAsia="Arial" w:hAnsi="Arial"/>
          <w:sz w:val="18"/>
          <w:szCs w:val="18"/>
          <w:color w:val="auto"/>
        </w:rPr>
      </w:pPr>
    </w:p>
    <w:p>
      <w:pPr>
        <w:ind w:left="980" w:right="80" w:hanging="324"/>
        <w:spacing w:after="0" w:line="277" w:lineRule="auto"/>
        <w:tabs>
          <w:tab w:leader="none" w:pos="944"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980" w:right="100" w:hanging="324"/>
        <w:spacing w:after="0" w:line="342" w:lineRule="auto"/>
        <w:tabs>
          <w:tab w:leader="none" w:pos="944" w:val="left"/>
        </w:tabs>
        <w:numPr>
          <w:ilvl w:val="0"/>
          <w:numId w:val="9"/>
        </w:numPr>
        <w:rPr>
          <w:rFonts w:ascii="Arial" w:cs="Arial" w:eastAsia="Arial" w:hAnsi="Arial"/>
          <w:sz w:val="16"/>
          <w:szCs w:val="16"/>
          <w:color w:val="auto"/>
        </w:rPr>
      </w:pPr>
      <w:r>
        <w:rPr>
          <w:rFonts w:ascii="Arial" w:cs="Arial" w:eastAsia="Arial" w:hAnsi="Arial"/>
          <w:sz w:val="16"/>
          <w:szCs w:val="16"/>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3" w:lineRule="exact"/>
        <w:rPr>
          <w:rFonts w:ascii="Arial" w:cs="Arial" w:eastAsia="Arial" w:hAnsi="Arial"/>
          <w:sz w:val="16"/>
          <w:szCs w:val="16"/>
          <w:color w:val="auto"/>
        </w:rPr>
      </w:pPr>
    </w:p>
    <w:p>
      <w:pPr>
        <w:ind w:left="940" w:hanging="284"/>
        <w:spacing w:after="0"/>
        <w:tabs>
          <w:tab w:leader="none" w:pos="9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and</w:t>
      </w:r>
    </w:p>
    <w:p>
      <w:pPr>
        <w:spacing w:after="0" w:line="225" w:lineRule="exact"/>
        <w:rPr>
          <w:rFonts w:ascii="Arial" w:cs="Arial" w:eastAsia="Arial" w:hAnsi="Arial"/>
          <w:sz w:val="18"/>
          <w:szCs w:val="18"/>
          <w:color w:val="auto"/>
        </w:rPr>
      </w:pPr>
    </w:p>
    <w:p>
      <w:pPr>
        <w:ind w:left="980" w:right="440" w:hanging="324"/>
        <w:spacing w:after="0" w:line="277" w:lineRule="auto"/>
        <w:tabs>
          <w:tab w:leader="none" w:pos="944" w:val="left"/>
        </w:tabs>
        <w:numPr>
          <w:ilvl w:val="0"/>
          <w:numId w:val="9"/>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20" w:firstLine="243"/>
        <w:spacing w:after="0" w:line="277" w:lineRule="auto"/>
        <w:rPr>
          <w:sz w:val="20"/>
          <w:szCs w:val="20"/>
          <w:color w:val="auto"/>
        </w:rPr>
      </w:pPr>
      <w:r>
        <w:rPr>
          <w:rFonts w:ascii="Arial" w:cs="Arial" w:eastAsia="Arial" w:hAnsi="Arial"/>
          <w:sz w:val="18"/>
          <w:szCs w:val="18"/>
          <w:color w:val="auto"/>
        </w:rPr>
        <w:t>Our U.S. headquarters located in Santa Clara California, building in Singapore, buildings in Malaysia, buildings in Switzerland and buildings in Shanghai, China subject us to the risks of owning real property, including:</w:t>
      </w:r>
    </w:p>
    <w:p>
      <w:pPr>
        <w:spacing w:after="0" w:line="170" w:lineRule="exact"/>
        <w:rPr>
          <w:sz w:val="20"/>
          <w:szCs w:val="20"/>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25" w:lineRule="exact"/>
        <w:rPr>
          <w:rFonts w:ascii="Arial" w:cs="Arial" w:eastAsia="Arial" w:hAnsi="Arial"/>
          <w:sz w:val="18"/>
          <w:szCs w:val="18"/>
          <w:color w:val="auto"/>
        </w:rPr>
      </w:pPr>
    </w:p>
    <w:p>
      <w:pPr>
        <w:ind w:left="980" w:right="24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25" w:lineRule="exact"/>
        <w:rPr>
          <w:rFonts w:ascii="Arial" w:cs="Arial" w:eastAsia="Arial" w:hAnsi="Arial"/>
          <w:sz w:val="18"/>
          <w:szCs w:val="18"/>
          <w:color w:val="auto"/>
        </w:rPr>
      </w:pPr>
    </w:p>
    <w:p>
      <w:pPr>
        <w:ind w:left="980" w:right="160" w:hanging="324"/>
        <w:spacing w:after="0" w:line="277" w:lineRule="auto"/>
        <w:tabs>
          <w:tab w:leader="none" w:pos="9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70" w:lineRule="exact"/>
        <w:rPr>
          <w:sz w:val="20"/>
          <w:szCs w:val="20"/>
          <w:color w:val="auto"/>
        </w:rPr>
      </w:pPr>
    </w:p>
    <w:p>
      <w:pPr>
        <w:ind w:right="460"/>
        <w:spacing w:after="0" w:line="34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24" w:lineRule="exact"/>
        <w:rPr>
          <w:sz w:val="20"/>
          <w:szCs w:val="20"/>
          <w:color w:val="auto"/>
        </w:rPr>
      </w:pPr>
    </w:p>
    <w:p>
      <w:pPr>
        <w:ind w:right="360" w:firstLine="243"/>
        <w:spacing w:after="0" w:line="279" w:lineRule="auto"/>
        <w:rPr>
          <w:sz w:val="20"/>
          <w:szCs w:val="20"/>
          <w:color w:val="auto"/>
        </w:rPr>
      </w:pPr>
      <w:r>
        <w:rPr>
          <w:rFonts w:ascii="Arial" w:cs="Arial" w:eastAsia="Arial" w:hAnsi="Arial"/>
          <w:sz w:val="17"/>
          <w:szCs w:val="17"/>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71" w:lineRule="exact"/>
        <w:rPr>
          <w:sz w:val="20"/>
          <w:szCs w:val="20"/>
          <w:color w:val="auto"/>
        </w:rPr>
      </w:pPr>
    </w:p>
    <w:p>
      <w:pPr>
        <w:ind w:right="140" w:firstLine="243"/>
        <w:spacing w:after="0" w:line="257"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6" w:lineRule="exact"/>
        <w:rPr>
          <w:sz w:val="20"/>
          <w:szCs w:val="20"/>
          <w:color w:val="auto"/>
        </w:rPr>
      </w:pPr>
    </w:p>
    <w:p>
      <w:pPr>
        <w:ind w:right="100" w:firstLine="243"/>
        <w:spacing w:after="0" w:line="293" w:lineRule="auto"/>
        <w:rPr>
          <w:sz w:val="20"/>
          <w:szCs w:val="20"/>
          <w:color w:val="auto"/>
        </w:rPr>
      </w:pPr>
      <w:r>
        <w:rPr>
          <w:rFonts w:ascii="Arial" w:cs="Arial" w:eastAsia="Arial" w:hAnsi="Arial"/>
          <w:sz w:val="16"/>
          <w:szCs w:val="16"/>
          <w:color w:val="auto"/>
        </w:rPr>
        <w:t>As of May 3, 2008, our executive officers and directors beneficially owned or controlled, directly or indirectly, approximately 19.3% of our outstanding common shares. Additionally, Dr. Sehat Sutardja, our Chief Executive Officer, and Weili Dai, who serves as our Vice President of Sales for Communications and Consumer Business of MSI, are husband and wife and Dr. Sehat Sutardja and Dr. Pantas Sutardja, our Vice President, Chief Technology Officer, Acting Chief Operating Officer and Chief Research and Development Officer, are brothers. Together, these three individuals held approximately 19.3% of our outstanding common shares as of May 3, 2008. As a result, if the directors and officers as a group or any of Dr. Sehat Sutardja, Weili Dai and Dr. Pantas Sutardja act together, they will significantly influence the election of our directors and the approval or disapproval of our significant corporate actions. This</w:t>
      </w:r>
    </w:p>
    <w:p>
      <w:pPr>
        <w:sectPr>
          <w:pgSz w:w="11900" w:h="16934" w:orient="portrait"/>
          <w:cols w:equalWidth="0" w:num="1">
            <w:col w:w="11400"/>
          </w:cols>
          <w:pgMar w:left="240" w:top="125" w:right="259" w:bottom="0" w:gutter="0" w:footer="0" w:header="0"/>
        </w:sectPr>
      </w:pPr>
    </w:p>
    <w:bookmarkStart w:id="37" w:name="page38"/>
    <w:bookmarkEnd w:id="37"/>
    <w:p>
      <w:pPr>
        <w:ind w:right="220"/>
        <w:spacing w:after="0" w:line="264" w:lineRule="auto"/>
        <w:rPr>
          <w:sz w:val="20"/>
          <w:szCs w:val="20"/>
          <w:color w:val="auto"/>
        </w:rPr>
      </w:pPr>
      <w:r>
        <w:rPr>
          <w:rFonts w:ascii="Arial" w:cs="Arial" w:eastAsia="Arial" w:hAnsi="Arial"/>
          <w:sz w:val="18"/>
          <w:szCs w:val="18"/>
          <w:color w:val="auto"/>
        </w:rPr>
        <w:t>influence over our affairs might be adverse to the interests of other shareholders. For instance, the voting power of these officers, directors and others could have the effect of delaying or preventing an acquisition of us on terms that other shareholders may desire. Furthermore, we have a classified board, which could also further delay or prevent an acquisition, under certain circumstances.</w:t>
      </w:r>
    </w:p>
    <w:p>
      <w:pPr>
        <w:spacing w:after="0" w:line="181" w:lineRule="exact"/>
        <w:rPr>
          <w:sz w:val="20"/>
          <w:szCs w:val="20"/>
          <w:color w:val="auto"/>
        </w:rPr>
      </w:pPr>
    </w:p>
    <w:p>
      <w:pPr>
        <w:ind w:right="20" w:firstLine="243"/>
        <w:spacing w:after="0" w:line="270" w:lineRule="auto"/>
        <w:rPr>
          <w:sz w:val="20"/>
          <w:szCs w:val="20"/>
          <w:color w:val="auto"/>
        </w:rPr>
      </w:pPr>
      <w:r>
        <w:rPr>
          <w:rFonts w:ascii="Arial" w:cs="Arial" w:eastAsia="Arial" w:hAnsi="Arial"/>
          <w:sz w:val="17"/>
          <w:szCs w:val="17"/>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8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70" w:lineRule="exact"/>
        <w:rPr>
          <w:sz w:val="20"/>
          <w:szCs w:val="20"/>
          <w:color w:val="auto"/>
        </w:rPr>
      </w:pPr>
    </w:p>
    <w:p>
      <w:pPr>
        <w:ind w:right="20" w:firstLine="243"/>
        <w:spacing w:after="0" w:line="29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84% of our net revenue in the fiscal quarter ended May 3, 2009, 84% of our net revenue in fiscal 2008 and 89% of our net revenue in fiscal 2007.</w:t>
      </w:r>
    </w:p>
    <w:p>
      <w:pPr>
        <w:spacing w:after="0" w:line="158" w:lineRule="exact"/>
        <w:rPr>
          <w:sz w:val="20"/>
          <w:szCs w:val="20"/>
          <w:color w:val="auto"/>
        </w:rPr>
      </w:pPr>
    </w:p>
    <w:p>
      <w:pPr>
        <w:ind w:right="420" w:firstLine="243"/>
        <w:spacing w:after="0" w:line="308" w:lineRule="auto"/>
        <w:rPr>
          <w:sz w:val="20"/>
          <w:szCs w:val="20"/>
          <w:color w:val="auto"/>
        </w:rPr>
      </w:pPr>
      <w:r>
        <w:rPr>
          <w:rFonts w:ascii="Arial" w:cs="Arial" w:eastAsia="Arial" w:hAnsi="Arial"/>
          <w:sz w:val="17"/>
          <w:szCs w:val="17"/>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47" w:lineRule="exact"/>
        <w:rPr>
          <w:sz w:val="20"/>
          <w:szCs w:val="20"/>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difficulties of managing distributors, especially because we expect to continue to increase our sales through international distributors;</w:t>
      </w:r>
    </w:p>
    <w:p>
      <w:pPr>
        <w:spacing w:after="0" w:line="236" w:lineRule="exact"/>
        <w:rPr>
          <w:rFonts w:ascii="Arial" w:cs="Arial" w:eastAsia="Arial" w:hAnsi="Arial"/>
          <w:sz w:val="17"/>
          <w:szCs w:val="17"/>
          <w:color w:val="auto"/>
        </w:rPr>
      </w:pPr>
    </w:p>
    <w:p>
      <w:pPr>
        <w:ind w:left="5620"/>
        <w:spacing w:after="0"/>
        <w:rPr>
          <w:rFonts w:ascii="Arial" w:cs="Arial" w:eastAsia="Arial" w:hAnsi="Arial"/>
          <w:sz w:val="17"/>
          <w:szCs w:val="17"/>
          <w:color w:val="auto"/>
        </w:rPr>
      </w:pPr>
      <w:r>
        <w:rPr>
          <w:rFonts w:ascii="Arial" w:cs="Arial" w:eastAsia="Arial" w:hAnsi="Arial"/>
          <w:sz w:val="18"/>
          <w:szCs w:val="18"/>
          <w:color w:val="auto"/>
        </w:rPr>
        <w:t>56</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324" w:lineRule="exact"/>
        <w:rPr>
          <w:rFonts w:ascii="Arial" w:cs="Arial" w:eastAsia="Arial" w:hAnsi="Arial"/>
          <w:sz w:val="17"/>
          <w:szCs w:val="17"/>
          <w:color w:val="auto"/>
        </w:rPr>
      </w:pPr>
    </w:p>
    <w:p>
      <w:pPr>
        <w:ind w:left="980" w:right="30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980" w:right="620" w:hanging="324"/>
        <w:spacing w:after="0" w:line="277" w:lineRule="auto"/>
        <w:tabs>
          <w:tab w:leader="none" w:pos="944"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-1607185</wp:posOffset>
            </wp:positionV>
            <wp:extent cx="7267575" cy="298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5" w:lineRule="exact"/>
        <w:rPr>
          <w:sz w:val="20"/>
          <w:szCs w:val="20"/>
          <w:color w:val="auto"/>
        </w:rPr>
      </w:pPr>
    </w:p>
    <w:p>
      <w:pPr>
        <w:ind w:firstLine="243"/>
        <w:spacing w:after="0" w:line="271" w:lineRule="auto"/>
        <w:rPr>
          <w:sz w:val="20"/>
          <w:szCs w:val="20"/>
          <w:color w:val="auto"/>
        </w:rPr>
      </w:pPr>
      <w:r>
        <w:rPr>
          <w:rFonts w:ascii="Arial" w:cs="Arial" w:eastAsia="Arial" w:hAnsi="Arial"/>
          <w:sz w:val="17"/>
          <w:szCs w:val="17"/>
          <w:color w:val="auto"/>
        </w:rPr>
        <w:t>Moreover, the international nature of our business subjects us to risk associated with the fluctuation of the U.S. dollar versus foreign currencies. Decreases in the value of the U.S.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January 27, 2007, the U.S. dollar - Israeli shekel exchange ratio was 4.25, but on May 3, 2008, this exchange ratio had fallen to 3.45. On the other hand, because substantially all of our sales to date have been denominated in U.S. dollars, increases in the value of the U.S.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9"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70"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profits.</w:t>
      </w:r>
    </w:p>
    <w:p>
      <w:pPr>
        <w:spacing w:after="0" w:line="187"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ectPr>
          <w:pgSz w:w="11900" w:h="16838" w:orient="portrait"/>
          <w:cols w:equalWidth="0" w:num="1">
            <w:col w:w="11420"/>
          </w:cols>
          <w:pgMar w:left="240" w:top="125" w:right="239" w:bottom="0" w:gutter="0" w:footer="0" w:header="0"/>
        </w:sectPr>
      </w:pPr>
    </w:p>
    <w:bookmarkStart w:id="38" w:name="page39"/>
    <w:bookmarkEnd w:id="38"/>
    <w:p>
      <w:pPr>
        <w:spacing w:after="0" w:line="36" w:lineRule="exact"/>
        <w:rPr>
          <w:sz w:val="20"/>
          <w:szCs w:val="20"/>
          <w:color w:val="auto"/>
        </w:rPr>
      </w:pPr>
    </w:p>
    <w:p>
      <w:pPr>
        <w:jc w:val="both"/>
        <w:ind w:firstLine="243"/>
        <w:spacing w:after="0" w:line="264"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81" w:lineRule="exact"/>
        <w:rPr>
          <w:sz w:val="20"/>
          <w:szCs w:val="20"/>
          <w:color w:val="auto"/>
        </w:rPr>
      </w:pPr>
    </w:p>
    <w:p>
      <w:pPr>
        <w:ind w:right="40" w:firstLine="243"/>
        <w:spacing w:after="0" w:line="270" w:lineRule="auto"/>
        <w:rPr>
          <w:sz w:val="20"/>
          <w:szCs w:val="20"/>
          <w:color w:val="auto"/>
        </w:rPr>
      </w:pPr>
      <w:r>
        <w:rPr>
          <w:rFonts w:ascii="Arial" w:cs="Arial" w:eastAsia="Arial" w:hAnsi="Arial"/>
          <w:sz w:val="17"/>
          <w:szCs w:val="17"/>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selling and marketing,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firstLine="243"/>
        <w:spacing w:after="0" w:line="255" w:lineRule="auto"/>
        <w:rPr>
          <w:sz w:val="20"/>
          <w:szCs w:val="20"/>
          <w:color w:val="auto"/>
        </w:rPr>
      </w:pPr>
      <w:r>
        <w:rPr>
          <w:rFonts w:ascii="Arial" w:cs="Arial" w:eastAsia="Arial" w:hAnsi="Arial"/>
          <w:sz w:val="18"/>
          <w:szCs w:val="18"/>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We must keep pace with rapid technological change and evolving industry standards in the semiconductor industry to remain competitive.</w:t>
      </w:r>
    </w:p>
    <w:p>
      <w:pPr>
        <w:spacing w:after="0" w:line="237" w:lineRule="exact"/>
        <w:rPr>
          <w:sz w:val="20"/>
          <w:szCs w:val="20"/>
          <w:color w:val="auto"/>
        </w:rPr>
      </w:pPr>
    </w:p>
    <w:p>
      <w:pPr>
        <w:ind w:right="60" w:firstLine="243"/>
        <w:spacing w:after="0" w:line="269" w:lineRule="auto"/>
        <w:rPr>
          <w:sz w:val="20"/>
          <w:szCs w:val="20"/>
          <w:color w:val="auto"/>
        </w:rPr>
      </w:pPr>
      <w:r>
        <w:rPr>
          <w:rFonts w:ascii="Arial" w:cs="Arial" w:eastAsia="Arial" w:hAnsi="Arial"/>
          <w:sz w:val="17"/>
          <w:szCs w:val="17"/>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243"/>
        <w:spacing w:after="0" w:line="287"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73"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70" w:lineRule="exact"/>
        <w:rPr>
          <w:sz w:val="20"/>
          <w:szCs w:val="20"/>
          <w:color w:val="auto"/>
        </w:rPr>
      </w:pPr>
    </w:p>
    <w:p>
      <w:pPr>
        <w:ind w:right="60" w:firstLine="243"/>
        <w:spacing w:after="0" w:line="291"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and other entities aggressively bring numerous infringement claims to assert their patent portfolios. From time to time our subsidiaries and customers receive, and may continue to receive in the future, notices that allege claims of infringement, misappropriation or misuse of the intellectual property rights of third parties. For example, in recent years, multiple claims have been made against our subsidiaries and our customers related to standards-based technologies such as wireless local area networking. In addition, we have certain patent licenses with third parties that are up for renewal in calendar year 2009, and if we cannot successfully renew these licenses, our subsidiaries and customers could face claims of infringement. These claims could result in litigation and/or claims for indemnification, which, in turn, could subject us to significant</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rPr>
          <w:sz w:val="20"/>
          <w:szCs w:val="20"/>
          <w:color w:val="auto"/>
        </w:rPr>
      </w:pPr>
      <w:r>
        <w:rPr>
          <w:rFonts w:ascii="Arial" w:cs="Arial" w:eastAsia="Arial" w:hAnsi="Arial"/>
          <w:sz w:val="17"/>
          <w:szCs w:val="17"/>
          <w:color w:val="auto"/>
        </w:rPr>
        <w:t>liability for damages, attorneys fees and costs. Any potential intellectual property litigation also could force us to do one or more of the following:</w:t>
      </w:r>
    </w:p>
    <w:p>
      <w:pPr>
        <w:spacing w:after="0" w:line="237" w:lineRule="exact"/>
        <w:rPr>
          <w:sz w:val="20"/>
          <w:szCs w:val="20"/>
          <w:color w:val="auto"/>
        </w:rPr>
      </w:pPr>
    </w:p>
    <w:p>
      <w:pPr>
        <w:ind w:left="980" w:right="140" w:hanging="324"/>
        <w:spacing w:after="0" w:line="277" w:lineRule="auto"/>
        <w:tabs>
          <w:tab w:leader="none" w:pos="944" w:val="left"/>
        </w:tabs>
        <w:numPr>
          <w:ilvl w:val="0"/>
          <w:numId w:val="12"/>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ectPr>
          <w:pgSz w:w="11900" w:h="16874" w:orient="portrait"/>
          <w:cols w:equalWidth="0" w:num="1">
            <w:col w:w="11400"/>
          </w:cols>
          <w:pgMar w:left="240" w:top="125" w:right="259" w:bottom="0" w:gutter="0" w:footer="0" w:header="0"/>
        </w:sectPr>
      </w:pPr>
    </w:p>
    <w:bookmarkStart w:id="39" w:name="page40"/>
    <w:bookmarkEnd w:id="39"/>
    <w:p>
      <w:pPr>
        <w:spacing w:after="0" w:line="6" w:lineRule="exact"/>
        <w:rPr>
          <w:sz w:val="20"/>
          <w:szCs w:val="20"/>
          <w:color w:val="auto"/>
        </w:rPr>
      </w:pPr>
    </w:p>
    <w:p>
      <w:pPr>
        <w:ind w:left="980" w:right="500" w:hanging="324"/>
        <w:spacing w:after="0" w:line="277" w:lineRule="auto"/>
        <w:tabs>
          <w:tab w:leader="none" w:pos="944" w:val="left"/>
        </w:tabs>
        <w:numPr>
          <w:ilvl w:val="0"/>
          <w:numId w:val="13"/>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170" w:lineRule="exact"/>
        <w:rPr>
          <w:rFonts w:ascii="Arial" w:cs="Arial" w:eastAsia="Arial" w:hAnsi="Arial"/>
          <w:sz w:val="18"/>
          <w:szCs w:val="18"/>
          <w:color w:val="auto"/>
        </w:rPr>
      </w:pPr>
    </w:p>
    <w:p>
      <w:pPr>
        <w:ind w:left="940" w:hanging="284"/>
        <w:spacing w:after="0"/>
        <w:tabs>
          <w:tab w:leader="none" w:pos="94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940" w:hanging="284"/>
        <w:spacing w:after="0"/>
        <w:tabs>
          <w:tab w:leader="none" w:pos="9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For example, one of our subsidiaries is a named third-party defendant in a patent infringement lawsuit against NETGEAR filed in Wisconsin by Fujitsu Limited, LG Electronics and U.S. Philips Corp. In addition, three of our subsidiaries filed an action in Texas against CSIRO seeking a declaratory judgment that CSIRO’s patent is invalid and unenforceable and that our subsidiary does not infringe the CSIRO patent. Furthermore, one of our subsidiaries is a named defendant in a patent infringement lawsuit, also in Texas, filed by Wi-Lan, a Canadian company, which likewise alleges that its asserted patents are infringed. Finally, one of our subsidiaries has filed an action in California against Wi-Lan asking the court to find that Marvell’s products do not infringe certain Wi-Lan patents. We believe that our subsidiaries do not infringe any of the asserted Fujitsu, CSIRO or Wi-Lan patents, and we will vigorously defend ourselves in these matters.</w:t>
      </w:r>
    </w:p>
    <w:p>
      <w:pPr>
        <w:spacing w:after="0" w:line="189" w:lineRule="exact"/>
        <w:rPr>
          <w:sz w:val="20"/>
          <w:szCs w:val="20"/>
          <w:color w:val="auto"/>
        </w:rPr>
      </w:pPr>
    </w:p>
    <w:p>
      <w:pPr>
        <w:ind w:right="60" w:firstLine="243"/>
        <w:spacing w:after="0" w:line="259" w:lineRule="auto"/>
        <w:rPr>
          <w:sz w:val="20"/>
          <w:szCs w:val="20"/>
          <w:color w:val="auto"/>
        </w:rPr>
      </w:pPr>
      <w:r>
        <w:rPr>
          <w:rFonts w:ascii="Arial" w:cs="Arial" w:eastAsia="Arial" w:hAnsi="Arial"/>
          <w:sz w:val="18"/>
          <w:szCs w:val="18"/>
          <w:color w:val="auto"/>
        </w:rPr>
        <w:t>Marvell and/or its subsidiaries are also parties to other claims and litigation proceedings arising in the normal course of business. The impact on us as a result of such claims and litigation cannot currently be ascertained. Any litigation, regardless of the outcome, is time-consuming and expensive to resolve and can divert management time and attention. There can be no assurance that these matters will be resolved in a manner that is not adverse to our business, financial condition, results of operations or cash flows.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intellectual property indemnification practices may adversely impact our business.</w:t>
      </w:r>
    </w:p>
    <w:p>
      <w:pPr>
        <w:spacing w:after="0" w:line="225" w:lineRule="exact"/>
        <w:rPr>
          <w:sz w:val="20"/>
          <w:szCs w:val="20"/>
          <w:color w:val="auto"/>
        </w:rPr>
      </w:pPr>
    </w:p>
    <w:p>
      <w:pPr>
        <w:ind w:right="40" w:firstLine="441"/>
        <w:spacing w:after="0" w:line="270" w:lineRule="auto"/>
        <w:rPr>
          <w:sz w:val="20"/>
          <w:szCs w:val="20"/>
          <w:color w:val="auto"/>
        </w:rPr>
      </w:pPr>
      <w:r>
        <w:rPr>
          <w:rFonts w:ascii="Arial" w:cs="Arial" w:eastAsia="Arial" w:hAnsi="Arial"/>
          <w:sz w:val="17"/>
          <w:szCs w:val="17"/>
          <w:color w:val="auto"/>
        </w:rPr>
        <w:t>Some of our contracts require our subsidiaries to indemnify customers under certain circumstances for various costs and damages of intellectual property infringement. This practice may subject our subsidiaries to significant indemnification claims by our customers or others for the payment of legal expenses and damages should a court find infringement. In the past, our subsidiaries have received notice from customers informing them that they have received allegations from certain patent holders that the inclusion of our chipsets into our customer’s products requires the payment of patent license fees. We cannot assure you that such claims will not be pursued or that these claims, if pursued, would not harm our business. For example, customers have requested our subsidiaries to indemnify them in connection with a patent infringement lawsuits filed in Texas by CSIRO. Similarly, certain customers have asked one of our subsidiaries to indemnify them in connection with patent infringement lawsuits filed in Texas by Wi-Lan. In addition, NETGEAR has filed suit against one of our subsidiaries in Wisconsin demanding that its component suppliers, including one of our subsidiaries, indemnify NETGEAR for damages stemming from the patent lawsuit filed by Fujitsu.</w:t>
      </w:r>
    </w:p>
    <w:p>
      <w:pPr>
        <w:spacing w:after="0" w:line="18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70" w:lineRule="exact"/>
        <w:rPr>
          <w:sz w:val="20"/>
          <w:szCs w:val="20"/>
          <w:color w:val="auto"/>
        </w:rPr>
      </w:pPr>
    </w:p>
    <w:p>
      <w:pPr>
        <w:ind w:right="60" w:firstLine="243"/>
        <w:spacing w:after="0" w:line="271" w:lineRule="auto"/>
        <w:rPr>
          <w:sz w:val="20"/>
          <w:szCs w:val="20"/>
          <w:color w:val="auto"/>
        </w:rPr>
      </w:pPr>
      <w:r>
        <w:rPr>
          <w:rFonts w:ascii="Arial" w:cs="Arial" w:eastAsia="Arial" w:hAnsi="Arial"/>
          <w:sz w:val="17"/>
          <w:szCs w:val="17"/>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70" w:lineRule="exact"/>
        <w:rPr>
          <w:sz w:val="20"/>
          <w:szCs w:val="20"/>
          <w:color w:val="auto"/>
        </w:rPr>
      </w:pPr>
    </w:p>
    <w:p>
      <w:pPr>
        <w:ind w:firstLine="243"/>
        <w:spacing w:after="0" w:line="293"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80" w:firstLine="243"/>
        <w:spacing w:after="0" w:line="259"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87" w:lineRule="exact"/>
        <w:rPr>
          <w:sz w:val="20"/>
          <w:szCs w:val="20"/>
          <w:color w:val="auto"/>
        </w:rPr>
      </w:pPr>
    </w:p>
    <w:p>
      <w:pPr>
        <w:ind w:right="160" w:firstLine="243"/>
        <w:spacing w:after="0" w:line="257"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88" w:lineRule="exact"/>
        <w:rPr>
          <w:sz w:val="20"/>
          <w:szCs w:val="20"/>
          <w:color w:val="auto"/>
        </w:rPr>
      </w:pPr>
    </w:p>
    <w:p>
      <w:pPr>
        <w:ind w:right="40" w:firstLine="243"/>
        <w:spacing w:after="0" w:line="259" w:lineRule="auto"/>
        <w:rPr>
          <w:sz w:val="20"/>
          <w:szCs w:val="20"/>
          <w:color w:val="auto"/>
        </w:rPr>
      </w:pPr>
      <w:r>
        <w:rPr>
          <w:rFonts w:ascii="Arial" w:cs="Arial" w:eastAsia="Arial" w:hAnsi="Arial"/>
          <w:sz w:val="18"/>
          <w:szCs w:val="18"/>
          <w:color w:val="auto"/>
        </w:rPr>
        <w:t>The Israeli government has granted Approved Enterprise Status to two of our wholly-owned subsidiaries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w:t>
      </w:r>
    </w:p>
    <w:p>
      <w:pPr>
        <w:sectPr>
          <w:pgSz w:w="11900" w:h="16845" w:orient="portrait"/>
          <w:cols w:equalWidth="0" w:num="1">
            <w:col w:w="11420"/>
          </w:cols>
          <w:pgMar w:left="240" w:top="341" w:right="239" w:bottom="0" w:gutter="0" w:footer="0" w:header="0"/>
        </w:sectPr>
      </w:pPr>
    </w:p>
    <w:bookmarkStart w:id="40" w:name="page41"/>
    <w:bookmarkEnd w:id="40"/>
    <w:p>
      <w:pPr>
        <w:spacing w:after="0" w:line="49" w:lineRule="exact"/>
        <w:rPr>
          <w:sz w:val="20"/>
          <w:szCs w:val="20"/>
          <w:color w:val="auto"/>
        </w:rPr>
      </w:pPr>
    </w:p>
    <w:p>
      <w:pPr>
        <w:ind w:firstLine="243"/>
        <w:spacing w:after="0" w:line="302" w:lineRule="auto"/>
        <w:rPr>
          <w:sz w:val="20"/>
          <w:szCs w:val="20"/>
          <w:color w:val="auto"/>
        </w:rPr>
      </w:pPr>
      <w:r>
        <w:rPr>
          <w:rFonts w:ascii="Arial" w:cs="Arial" w:eastAsia="Arial" w:hAnsi="Arial"/>
          <w:sz w:val="16"/>
          <w:szCs w:val="16"/>
          <w:color w:val="auto"/>
        </w:rPr>
        <w:t>During fiscal 2007, our Switzerland subsidiary received from both the Swiss Federal Department of Economy and the Vaud Cantonal Tax Administration a ten-year tax holiday on design and research centre and wafer supply trading activity revenues earned in Switzerland. Each jurisdiction has separate requirements that need to be met such as the ten-year business requirement and investment in head count, intellectual property, office equipment, software and other expense items. If the requirements are not met, there would be tax dollars to be paid which may affect our financial results.</w:t>
      </w:r>
    </w:p>
    <w:p>
      <w:pPr>
        <w:spacing w:after="0" w:line="15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2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940" w:hanging="284"/>
        <w:spacing w:after="0"/>
        <w:tabs>
          <w:tab w:leader="none" w:pos="9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540" w:firstLine="243"/>
        <w:spacing w:after="0" w:line="277"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29" w:lineRule="exact"/>
        <w:rPr>
          <w:sz w:val="20"/>
          <w:szCs w:val="20"/>
          <w:color w:val="auto"/>
        </w:rPr>
      </w:pPr>
    </w:p>
    <w:p>
      <w:pPr>
        <w:ind w:left="260"/>
        <w:spacing w:after="0"/>
        <w:rPr>
          <w:sz w:val="20"/>
          <w:szCs w:val="20"/>
          <w:color w:val="auto"/>
        </w:rPr>
      </w:pPr>
      <w:r>
        <w:rPr>
          <w:rFonts w:ascii="Arial" w:cs="Arial" w:eastAsia="Arial" w:hAnsi="Arial"/>
          <w:sz w:val="18"/>
          <w:szCs w:val="18"/>
          <w:color w:val="auto"/>
        </w:rPr>
        <w:t>Not applicable.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29" w:lineRule="exact"/>
        <w:rPr>
          <w:sz w:val="20"/>
          <w:szCs w:val="20"/>
          <w:color w:val="auto"/>
        </w:rPr>
      </w:pPr>
    </w:p>
    <w:p>
      <w:pPr>
        <w:jc w:val="both"/>
        <w:ind w:right="380" w:firstLine="243"/>
        <w:spacing w:after="0" w:line="312" w:lineRule="auto"/>
        <w:rPr>
          <w:sz w:val="20"/>
          <w:szCs w:val="20"/>
          <w:color w:val="auto"/>
        </w:rPr>
      </w:pPr>
      <w:r>
        <w:rPr>
          <w:rFonts w:ascii="Arial" w:cs="Arial" w:eastAsia="Arial" w:hAnsi="Arial"/>
          <w:sz w:val="16"/>
          <w:szCs w:val="16"/>
          <w:color w:val="auto"/>
        </w:rPr>
        <w:t>On May 22, 2008, we announced that we currently plan to hold our 2008 annual general meeting of shareholders at 3:30 p.m. Pacific time, on Friday, July 11, 2008, at the Hyatt Regency Hotel, Santa Clara Convention Center, 5101 Great America Parkway, Santa Clara, California 95054. Shareholders of record as of the close of business on May 23, 2008 are entitled to notice of and vote at the annual general meeting of shareholders.</w:t>
      </w:r>
    </w:p>
    <w:p>
      <w:pPr>
        <w:spacing w:after="0" w:line="14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(a) The following exhibits are filed as part of this report:</w:t>
      </w:r>
    </w:p>
    <w:p>
      <w:pPr>
        <w:spacing w:after="0" w:line="225" w:lineRule="exact"/>
        <w:rPr>
          <w:sz w:val="20"/>
          <w:szCs w:val="20"/>
          <w:color w:val="auto"/>
        </w:rPr>
      </w:pPr>
    </w:p>
    <w:p>
      <w:pPr>
        <w:ind w:left="1100" w:right="300" w:hanging="769"/>
        <w:spacing w:after="0" w:line="258" w:lineRule="auto"/>
        <w:tabs>
          <w:tab w:leader="none" w:pos="1080" w:val="left"/>
        </w:tabs>
        <w:rPr>
          <w:sz w:val="20"/>
          <w:szCs w:val="20"/>
          <w:color w:val="auto"/>
        </w:rPr>
      </w:pPr>
      <w:r>
        <w:rPr>
          <w:rFonts w:ascii="Arial" w:cs="Arial" w:eastAsia="Arial" w:hAnsi="Arial"/>
          <w:sz w:val="18"/>
          <w:szCs w:val="18"/>
          <w:color w:val="auto"/>
        </w:rPr>
        <w:t>31.1</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Sehat Sutardja Ph.D., President and Chief Executive Officer</w:t>
      </w:r>
    </w:p>
    <w:p>
      <w:pPr>
        <w:spacing w:after="0" w:line="1" w:lineRule="exact"/>
        <w:rPr>
          <w:sz w:val="20"/>
          <w:szCs w:val="20"/>
          <w:color w:val="auto"/>
        </w:rPr>
      </w:pPr>
    </w:p>
    <w:p>
      <w:pPr>
        <w:ind w:left="1100" w:right="600" w:hanging="769"/>
        <w:spacing w:after="0" w:line="250" w:lineRule="auto"/>
        <w:tabs>
          <w:tab w:leader="none" w:pos="1080" w:val="left"/>
        </w:tabs>
        <w:rPr>
          <w:sz w:val="20"/>
          <w:szCs w:val="20"/>
          <w:color w:val="auto"/>
        </w:rPr>
      </w:pPr>
      <w:r>
        <w:rPr>
          <w:rFonts w:ascii="Arial" w:cs="Arial" w:eastAsia="Arial" w:hAnsi="Arial"/>
          <w:sz w:val="18"/>
          <w:szCs w:val="18"/>
          <w:color w:val="auto"/>
        </w:rPr>
        <w:t>31.2</w:t>
      </w:r>
      <w:r>
        <w:rPr>
          <w:sz w:val="20"/>
          <w:szCs w:val="20"/>
          <w:color w:val="auto"/>
        </w:rPr>
        <w:tab/>
      </w:r>
      <w:r>
        <w:rPr>
          <w:rFonts w:ascii="Arial" w:cs="Arial" w:eastAsia="Arial" w:hAnsi="Arial"/>
          <w:sz w:val="18"/>
          <w:szCs w:val="18"/>
          <w:color w:val="auto"/>
        </w:rPr>
        <w:t>Certification Pursuant to 18 U.S.C. Section 1350, as Adopted Pursuant to Section 302 of the Sarbanes-Oxley Act of 2002 of George de Urioste, Interim Chief Financial Officer</w:t>
      </w:r>
    </w:p>
    <w:p>
      <w:pPr>
        <w:spacing w:after="0" w:line="1" w:lineRule="exact"/>
        <w:rPr>
          <w:sz w:val="20"/>
          <w:szCs w:val="20"/>
          <w:color w:val="auto"/>
        </w:rPr>
      </w:pPr>
    </w:p>
    <w:p>
      <w:pPr>
        <w:ind w:left="1100" w:right="300" w:hanging="769"/>
        <w:spacing w:after="0" w:line="250" w:lineRule="auto"/>
        <w:tabs>
          <w:tab w:leader="none" w:pos="1080" w:val="left"/>
        </w:tabs>
        <w:rPr>
          <w:sz w:val="20"/>
          <w:szCs w:val="20"/>
          <w:color w:val="auto"/>
        </w:rPr>
      </w:pPr>
      <w:r>
        <w:rPr>
          <w:rFonts w:ascii="Arial" w:cs="Arial" w:eastAsia="Arial" w:hAnsi="Arial"/>
          <w:sz w:val="18"/>
          <w:szCs w:val="18"/>
          <w:color w:val="auto"/>
        </w:rPr>
        <w:t>32.1*</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Sehat Sutardja Ph.D., President and Chief Executive Officer</w:t>
      </w:r>
    </w:p>
    <w:p>
      <w:pPr>
        <w:spacing w:after="0" w:line="1" w:lineRule="exact"/>
        <w:rPr>
          <w:sz w:val="20"/>
          <w:szCs w:val="20"/>
          <w:color w:val="auto"/>
        </w:rPr>
      </w:pPr>
    </w:p>
    <w:p>
      <w:pPr>
        <w:ind w:left="1100" w:right="600" w:hanging="769"/>
        <w:spacing w:after="0" w:line="261" w:lineRule="auto"/>
        <w:tabs>
          <w:tab w:leader="none" w:pos="1080" w:val="left"/>
        </w:tabs>
        <w:rPr>
          <w:sz w:val="20"/>
          <w:szCs w:val="20"/>
          <w:color w:val="auto"/>
        </w:rPr>
      </w:pPr>
      <w:r>
        <w:rPr>
          <w:rFonts w:ascii="Arial" w:cs="Arial" w:eastAsia="Arial" w:hAnsi="Arial"/>
          <w:sz w:val="18"/>
          <w:szCs w:val="18"/>
          <w:color w:val="auto"/>
        </w:rPr>
        <w:t>32.2*</w:t>
      </w:r>
      <w:r>
        <w:rPr>
          <w:sz w:val="20"/>
          <w:szCs w:val="20"/>
          <w:color w:val="auto"/>
        </w:rPr>
        <w:tab/>
      </w:r>
      <w:r>
        <w:rPr>
          <w:rFonts w:ascii="Arial" w:cs="Arial" w:eastAsia="Arial" w:hAnsi="Arial"/>
          <w:sz w:val="18"/>
          <w:szCs w:val="18"/>
          <w:color w:val="auto"/>
        </w:rPr>
        <w:t>Certification Pursuant to 18 U.S.C. Section 1350, as Adopted Pursuant to Section 906 of the Sarbanes-Oxley Act of 2002 of George de Urioste,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194310</wp:posOffset>
            </wp:positionV>
            <wp:extent cx="182689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393" w:lineRule="exact"/>
        <w:rPr>
          <w:sz w:val="20"/>
          <w:szCs w:val="20"/>
          <w:color w:val="auto"/>
        </w:rPr>
      </w:pPr>
    </w:p>
    <w:p>
      <w:pPr>
        <w:ind w:left="660" w:right="40" w:hanging="328"/>
        <w:spacing w:after="0" w:line="257" w:lineRule="auto"/>
        <w:tabs>
          <w:tab w:leader="none" w:pos="655"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right="880" w:firstLine="259"/>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87"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p>
      <w:pPr>
        <w:spacing w:after="0"/>
        <w:tabs>
          <w:tab w:leader="none" w:pos="5680" w:val="left"/>
          <w:tab w:leader="none" w:pos="6100" w:val="left"/>
        </w:tabs>
        <w:rPr>
          <w:sz w:val="20"/>
          <w:szCs w:val="20"/>
          <w:color w:val="auto"/>
        </w:rPr>
      </w:pPr>
      <w:r>
        <w:rPr>
          <w:rFonts w:ascii="Arial" w:cs="Arial" w:eastAsia="Arial" w:hAnsi="Arial"/>
          <w:sz w:val="18"/>
          <w:szCs w:val="18"/>
          <w:color w:val="auto"/>
        </w:rPr>
        <w:t>June 6, 2008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GEORGE DE URIOSTE</w:t>
      </w:r>
    </w:p>
    <w:p>
      <w:pPr>
        <w:sectPr>
          <w:pgSz w:w="11900" w:h="16888" w:orient="portrait"/>
          <w:cols w:equalWidth="0" w:num="1">
            <w:col w:w="11420"/>
          </w:cols>
          <w:pgMar w:left="240" w:top="341" w:right="239" w:bottom="0" w:gutter="0" w:footer="0" w:header="0"/>
        </w:sectPr>
      </w:pPr>
    </w:p>
    <w:bookmarkStart w:id="41" w:name="page42"/>
    <w:bookmarkEnd w:id="41"/>
    <w:tbl>
      <w:tblPr>
        <w:tblLayout w:type="fixed"/>
        <w:tblInd w:w="0" w:type="dxa"/>
        <w:tblCellMar>
          <w:top w:w="0" w:type="dxa"/>
          <w:left w:w="0" w:type="dxa"/>
          <w:bottom w:w="0" w:type="dxa"/>
          <w:right w:w="0" w:type="dxa"/>
        </w:tblCellMar>
      </w:tblPr>
      <w:tr>
        <w:trPr>
          <w:trHeight w:val="215"/>
        </w:trPr>
        <w:tc>
          <w:tcPr>
            <w:tcW w:w="1120" w:type="dxa"/>
            <w:vAlign w:val="bottom"/>
            <w:tcBorders>
              <w:top w:val="single" w:sz="8" w:color="auto"/>
            </w:tcBorders>
            <w:gridSpan w:val="2"/>
          </w:tcPr>
          <w:p>
            <w:pPr>
              <w:spacing w:after="0"/>
              <w:rPr>
                <w:sz w:val="20"/>
                <w:szCs w:val="20"/>
                <w:color w:val="auto"/>
              </w:rPr>
            </w:pPr>
            <w:r>
              <w:rPr>
                <w:rFonts w:ascii="Arial" w:cs="Arial" w:eastAsia="Arial" w:hAnsi="Arial"/>
                <w:sz w:val="18"/>
                <w:szCs w:val="18"/>
                <w:color w:val="auto"/>
              </w:rPr>
              <w:t>Date</w:t>
            </w:r>
          </w:p>
        </w:tc>
        <w:tc>
          <w:tcPr>
            <w:tcW w:w="2020" w:type="dxa"/>
            <w:vAlign w:val="bottom"/>
            <w:tcBorders>
              <w:top w:val="single" w:sz="8" w:color="auto"/>
            </w:tcBorders>
          </w:tcPr>
          <w:p>
            <w:pPr>
              <w:spacing w:after="0"/>
              <w:rPr>
                <w:sz w:val="18"/>
                <w:szCs w:val="18"/>
                <w:color w:val="auto"/>
              </w:rPr>
            </w:pPr>
          </w:p>
        </w:tc>
        <w:tc>
          <w:tcPr>
            <w:tcW w:w="2560" w:type="dxa"/>
            <w:vAlign w:val="bottom"/>
            <w:tcBorders>
              <w:top w:val="single" w:sz="8" w:color="auto"/>
            </w:tcBorders>
          </w:tcPr>
          <w:p>
            <w:pPr>
              <w:spacing w:after="0"/>
              <w:rPr>
                <w:sz w:val="18"/>
                <w:szCs w:val="18"/>
                <w:color w:val="auto"/>
              </w:rPr>
            </w:pPr>
          </w:p>
        </w:tc>
        <w:tc>
          <w:tcPr>
            <w:tcW w:w="420" w:type="dxa"/>
            <w:vAlign w:val="bottom"/>
          </w:tcPr>
          <w:p>
            <w:pPr>
              <w:spacing w:after="0"/>
              <w:rPr>
                <w:sz w:val="18"/>
                <w:szCs w:val="18"/>
                <w:color w:val="auto"/>
              </w:rPr>
            </w:pPr>
          </w:p>
        </w:tc>
        <w:tc>
          <w:tcPr>
            <w:tcW w:w="530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George de Urioste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25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8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2980" w:type="dxa"/>
            <w:vAlign w:val="bottom"/>
            <w:gridSpan w:val="2"/>
          </w:tcPr>
          <w:p>
            <w:pPr>
              <w:ind w:left="2480"/>
              <w:spacing w:after="0"/>
              <w:rPr>
                <w:sz w:val="20"/>
                <w:szCs w:val="20"/>
                <w:color w:val="auto"/>
              </w:rPr>
            </w:pPr>
            <w:r>
              <w:rPr>
                <w:rFonts w:ascii="Arial" w:cs="Arial" w:eastAsia="Arial" w:hAnsi="Arial"/>
                <w:sz w:val="18"/>
                <w:szCs w:val="18"/>
                <w:color w:val="auto"/>
              </w:rPr>
              <w:t>62</w:t>
            </w:r>
          </w:p>
        </w:tc>
        <w:tc>
          <w:tcPr>
            <w:tcW w:w="5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2"/>
        </w:trPr>
        <w:tc>
          <w:tcPr>
            <w:tcW w:w="88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2020" w:type="dxa"/>
            <w:vAlign w:val="bottom"/>
            <w:tcBorders>
              <w:bottom w:val="single" w:sz="8" w:color="010101"/>
            </w:tcBorders>
          </w:tcPr>
          <w:p>
            <w:pPr>
              <w:spacing w:after="0"/>
              <w:rPr>
                <w:sz w:val="11"/>
                <w:szCs w:val="11"/>
                <w:color w:val="auto"/>
              </w:rPr>
            </w:pPr>
          </w:p>
        </w:tc>
        <w:tc>
          <w:tcPr>
            <w:tcW w:w="8280" w:type="dxa"/>
            <w:vAlign w:val="bottom"/>
            <w:tcBorders>
              <w:bottom w:val="single" w:sz="8" w:color="010101"/>
            </w:tcBorders>
            <w:gridSpan w:val="3"/>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c>
          <w:tcPr>
            <w:tcW w:w="0" w:type="dxa"/>
            <w:vAlign w:val="bottom"/>
          </w:tcPr>
          <w:p>
            <w:pPr>
              <w:spacing w:after="0"/>
              <w:rPr>
                <w:sz w:val="1"/>
                <w:szCs w:val="1"/>
                <w:color w:val="auto"/>
              </w:rPr>
            </w:pPr>
          </w:p>
        </w:tc>
      </w:tr>
      <w:tr>
        <w:trPr>
          <w:trHeight w:val="780"/>
        </w:trPr>
        <w:tc>
          <w:tcPr>
            <w:tcW w:w="8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8280" w:type="dxa"/>
            <w:vAlign w:val="bottom"/>
            <w:gridSpan w:val="3"/>
          </w:tcPr>
          <w:p>
            <w:pPr>
              <w:ind w:left="1880"/>
              <w:spacing w:after="0"/>
              <w:rPr>
                <w:sz w:val="20"/>
                <w:szCs w:val="20"/>
                <w:color w:val="auto"/>
              </w:rPr>
            </w:pPr>
            <w:r>
              <w:rPr>
                <w:rFonts w:ascii="Arial" w:cs="Arial" w:eastAsia="Arial" w:hAnsi="Arial"/>
                <w:sz w:val="18"/>
                <w:szCs w:val="18"/>
                <w:b w:val="1"/>
                <w:bCs w:val="1"/>
                <w:color w:val="auto"/>
              </w:rPr>
              <w:t>EXHIBIT INDEX</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2"/>
        </w:trPr>
        <w:tc>
          <w:tcPr>
            <w:tcW w:w="1120" w:type="dxa"/>
            <w:vAlign w:val="bottom"/>
            <w:gridSpan w:val="2"/>
          </w:tcPr>
          <w:p>
            <w:pPr>
              <w:spacing w:after="0"/>
              <w:rPr>
                <w:sz w:val="20"/>
                <w:szCs w:val="20"/>
                <w:color w:val="auto"/>
              </w:rPr>
            </w:pPr>
            <w:r>
              <w:rPr>
                <w:rFonts w:ascii="Arial" w:cs="Arial" w:eastAsia="Arial" w:hAnsi="Arial"/>
                <w:sz w:val="14"/>
                <w:szCs w:val="14"/>
                <w:b w:val="1"/>
                <w:bCs w:val="1"/>
                <w:color w:val="auto"/>
              </w:rPr>
              <w:t>Exhibit</w:t>
            </w:r>
          </w:p>
        </w:tc>
        <w:tc>
          <w:tcPr>
            <w:tcW w:w="2020" w:type="dxa"/>
            <w:vAlign w:val="bottom"/>
          </w:tcPr>
          <w:p>
            <w:pPr>
              <w:spacing w:after="0"/>
              <w:rPr>
                <w:sz w:val="24"/>
                <w:szCs w:val="24"/>
                <w:color w:val="auto"/>
              </w:rPr>
            </w:pPr>
          </w:p>
        </w:tc>
        <w:tc>
          <w:tcPr>
            <w:tcW w:w="2560" w:type="dxa"/>
            <w:vAlign w:val="bottom"/>
          </w:tcPr>
          <w:p>
            <w:pPr>
              <w:spacing w:after="0"/>
              <w:rPr>
                <w:sz w:val="24"/>
                <w:szCs w:val="24"/>
                <w:color w:val="auto"/>
              </w:rPr>
            </w:pPr>
          </w:p>
        </w:tc>
        <w:tc>
          <w:tcPr>
            <w:tcW w:w="5720" w:type="dxa"/>
            <w:vAlign w:val="bottom"/>
            <w:gridSpan w:val="2"/>
            <w:vMerge w:val="restart"/>
          </w:tcPr>
          <w:p>
            <w:pPr>
              <w:ind w:left="220"/>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1120" w:type="dxa"/>
            <w:vAlign w:val="bottom"/>
            <w:gridSpan w:val="2"/>
          </w:tcPr>
          <w:p>
            <w:pPr>
              <w:spacing w:after="0"/>
              <w:rPr>
                <w:sz w:val="20"/>
                <w:szCs w:val="20"/>
                <w:color w:val="auto"/>
              </w:rPr>
            </w:pPr>
            <w:r>
              <w:rPr>
                <w:rFonts w:ascii="Arial" w:cs="Arial" w:eastAsia="Arial" w:hAnsi="Arial"/>
                <w:sz w:val="14"/>
                <w:szCs w:val="14"/>
                <w:b w:val="1"/>
                <w:bCs w:val="1"/>
                <w:color w:val="auto"/>
              </w:rPr>
              <w:t>Number</w:t>
            </w:r>
          </w:p>
        </w:tc>
        <w:tc>
          <w:tcPr>
            <w:tcW w:w="202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5720" w:type="dxa"/>
            <w:vAlign w:val="bottom"/>
            <w:gridSpan w:val="2"/>
            <w:vMerge w:val="continue"/>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1"/>
        </w:trPr>
        <w:tc>
          <w:tcPr>
            <w:tcW w:w="8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31.1</w:t>
            </w:r>
          </w:p>
        </w:tc>
        <w:tc>
          <w:tcPr>
            <w:tcW w:w="240" w:type="dxa"/>
            <w:vAlign w:val="bottom"/>
          </w:tcPr>
          <w:p>
            <w:pPr>
              <w:spacing w:after="0"/>
              <w:rPr>
                <w:sz w:val="24"/>
                <w:szCs w:val="24"/>
                <w:color w:val="auto"/>
              </w:rPr>
            </w:pPr>
          </w:p>
        </w:tc>
        <w:tc>
          <w:tcPr>
            <w:tcW w:w="20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2"/>
              </w:rPr>
              <w:t>Certification Pursuant to 18</w:t>
            </w:r>
          </w:p>
        </w:tc>
        <w:tc>
          <w:tcPr>
            <w:tcW w:w="8280" w:type="dxa"/>
            <w:vAlign w:val="bottom"/>
            <w:tcBorders>
              <w:top w:val="single" w:sz="8" w:color="auto"/>
            </w:tcBorders>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302 of the Sarbanes-Oxley Act of 2002 of Sehat Sutardja</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300" w:type="dxa"/>
            <w:vAlign w:val="bottom"/>
            <w:gridSpan w:val="4"/>
          </w:tcPr>
          <w:p>
            <w:pPr>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jc w:val="center"/>
              <w:spacing w:after="0"/>
              <w:rPr>
                <w:sz w:val="20"/>
                <w:szCs w:val="20"/>
                <w:color w:val="auto"/>
              </w:rPr>
            </w:pPr>
            <w:r>
              <w:rPr>
                <w:rFonts w:ascii="Arial" w:cs="Arial" w:eastAsia="Arial" w:hAnsi="Arial"/>
                <w:sz w:val="18"/>
                <w:szCs w:val="18"/>
                <w:color w:val="auto"/>
                <w:w w:val="91"/>
              </w:rPr>
              <w:t>31.2</w:t>
            </w:r>
          </w:p>
        </w:tc>
        <w:tc>
          <w:tcPr>
            <w:tcW w:w="24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Certification Pursuant to 18</w:t>
            </w:r>
          </w:p>
        </w:tc>
        <w:tc>
          <w:tcPr>
            <w:tcW w:w="8280" w:type="dxa"/>
            <w:vAlign w:val="bottom"/>
            <w:gridSpan w:val="3"/>
          </w:tcPr>
          <w:p>
            <w:pPr>
              <w:ind w:left="20"/>
              <w:spacing w:after="0"/>
              <w:rPr>
                <w:sz w:val="20"/>
                <w:szCs w:val="20"/>
                <w:color w:val="auto"/>
              </w:rPr>
            </w:pPr>
            <w:r>
              <w:rPr>
                <w:rFonts w:ascii="Arial" w:cs="Arial" w:eastAsia="Arial" w:hAnsi="Arial"/>
                <w:sz w:val="18"/>
                <w:szCs w:val="18"/>
                <w:color w:val="auto"/>
                <w:w w:val="96"/>
              </w:rPr>
              <w:t>U.S.C. Section 1350, as Adopted Pursuant to Section 302 of the Sarbanes-Oxley Act of 2002 of George de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300" w:type="dxa"/>
            <w:vAlign w:val="bottom"/>
            <w:gridSpan w:val="4"/>
          </w:tcPr>
          <w:p>
            <w:pPr>
              <w:spacing w:after="0"/>
              <w:rPr>
                <w:sz w:val="20"/>
                <w:szCs w:val="20"/>
                <w:color w:val="auto"/>
              </w:rPr>
            </w:pPr>
            <w:r>
              <w:rPr>
                <w:rFonts w:ascii="Arial" w:cs="Arial" w:eastAsia="Arial" w:hAnsi="Arial"/>
                <w:sz w:val="18"/>
                <w:szCs w:val="18"/>
                <w:color w:val="auto"/>
              </w:rPr>
              <w:t>Urioste, Interim Chief Financial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jc w:val="center"/>
              <w:spacing w:after="0"/>
              <w:rPr>
                <w:sz w:val="20"/>
                <w:szCs w:val="20"/>
                <w:color w:val="auto"/>
              </w:rPr>
            </w:pPr>
            <w:r>
              <w:rPr>
                <w:rFonts w:ascii="Arial" w:cs="Arial" w:eastAsia="Arial" w:hAnsi="Arial"/>
                <w:sz w:val="18"/>
                <w:szCs w:val="18"/>
                <w:color w:val="auto"/>
                <w:w w:val="95"/>
              </w:rPr>
              <w:t>32.1*</w:t>
            </w:r>
          </w:p>
        </w:tc>
        <w:tc>
          <w:tcPr>
            <w:tcW w:w="24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Certification Pursuant to 18</w:t>
            </w:r>
          </w:p>
        </w:tc>
        <w:tc>
          <w:tcPr>
            <w:tcW w:w="8280" w:type="dxa"/>
            <w:vAlign w:val="bottom"/>
            <w:gridSpan w:val="3"/>
          </w:tcPr>
          <w:p>
            <w:pPr>
              <w:ind w:left="20"/>
              <w:spacing w:after="0"/>
              <w:rPr>
                <w:sz w:val="20"/>
                <w:szCs w:val="20"/>
                <w:color w:val="auto"/>
              </w:rPr>
            </w:pPr>
            <w:r>
              <w:rPr>
                <w:rFonts w:ascii="Arial" w:cs="Arial" w:eastAsia="Arial" w:hAnsi="Arial"/>
                <w:sz w:val="18"/>
                <w:szCs w:val="18"/>
                <w:color w:val="auto"/>
                <w:w w:val="93"/>
              </w:rPr>
              <w:t>U.S.C. Section 1350, as Adopted Pursuant to Section 906 of the Sarbanes-Oxley Act of 2002 of Sehat Sutardja</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300" w:type="dxa"/>
            <w:vAlign w:val="bottom"/>
            <w:gridSpan w:val="4"/>
          </w:tcPr>
          <w:p>
            <w:pPr>
              <w:spacing w:after="0"/>
              <w:rPr>
                <w:sz w:val="20"/>
                <w:szCs w:val="20"/>
                <w:color w:val="auto"/>
              </w:rPr>
            </w:pPr>
            <w:r>
              <w:rPr>
                <w:rFonts w:ascii="Arial" w:cs="Arial" w:eastAsia="Arial" w:hAnsi="Arial"/>
                <w:sz w:val="18"/>
                <w:szCs w:val="18"/>
                <w:color w:val="auto"/>
              </w:rPr>
              <w:t>Ph.D., President and Chief Executive Officer</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jc w:val="center"/>
              <w:spacing w:after="0"/>
              <w:rPr>
                <w:sz w:val="20"/>
                <w:szCs w:val="20"/>
                <w:color w:val="auto"/>
              </w:rPr>
            </w:pPr>
            <w:r>
              <w:rPr>
                <w:rFonts w:ascii="Arial" w:cs="Arial" w:eastAsia="Arial" w:hAnsi="Arial"/>
                <w:sz w:val="18"/>
                <w:szCs w:val="18"/>
                <w:color w:val="auto"/>
                <w:w w:val="95"/>
              </w:rPr>
              <w:t>32.2*</w:t>
            </w:r>
          </w:p>
        </w:tc>
        <w:tc>
          <w:tcPr>
            <w:tcW w:w="24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Certification Pursuant to 18</w:t>
            </w:r>
          </w:p>
        </w:tc>
        <w:tc>
          <w:tcPr>
            <w:tcW w:w="8280" w:type="dxa"/>
            <w:vAlign w:val="bottom"/>
            <w:gridSpan w:val="3"/>
          </w:tcPr>
          <w:p>
            <w:pPr>
              <w:ind w:left="20"/>
              <w:spacing w:after="0"/>
              <w:rPr>
                <w:sz w:val="20"/>
                <w:szCs w:val="20"/>
                <w:color w:val="auto"/>
              </w:rPr>
            </w:pPr>
            <w:r>
              <w:rPr>
                <w:rFonts w:ascii="Arial" w:cs="Arial" w:eastAsia="Arial" w:hAnsi="Arial"/>
                <w:sz w:val="18"/>
                <w:szCs w:val="18"/>
                <w:color w:val="auto"/>
                <w:w w:val="96"/>
              </w:rPr>
              <w:t>U.S.C. Section 1350, as Adopted Pursuant to Section 906 of the Sarbanes-Oxley Act of 2002 of George de</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8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300" w:type="dxa"/>
            <w:vAlign w:val="bottom"/>
            <w:gridSpan w:val="4"/>
          </w:tcPr>
          <w:p>
            <w:pPr>
              <w:spacing w:after="0"/>
              <w:rPr>
                <w:sz w:val="20"/>
                <w:szCs w:val="20"/>
                <w:color w:val="auto"/>
              </w:rPr>
            </w:pPr>
            <w:r>
              <w:rPr>
                <w:rFonts w:ascii="Arial" w:cs="Arial" w:eastAsia="Arial" w:hAnsi="Arial"/>
                <w:sz w:val="18"/>
                <w:szCs w:val="18"/>
                <w:color w:val="auto"/>
              </w:rPr>
              <w:t>Urioste, Interim Chief Financial Officer</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-2094230</wp:posOffset>
            </wp:positionV>
            <wp:extent cx="12700" cy="298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-2094230</wp:posOffset>
            </wp:positionV>
            <wp:extent cx="12700"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205740</wp:posOffset>
            </wp:positionV>
            <wp:extent cx="1826895"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82689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340" w:right="60" w:hanging="332"/>
        <w:spacing w:after="0" w:line="257" w:lineRule="auto"/>
        <w:tabs>
          <w:tab w:leader="none" w:pos="335"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8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0" w:right="199" w:bottom="1440" w:gutter="0" w:footer="0" w:header="0"/>
        </w:sectPr>
      </w:pPr>
    </w:p>
    <w:bookmarkStart w:id="42" w:name="page43"/>
    <w:bookmarkEnd w:id="42"/>
    <w:p>
      <w:pPr>
        <w:ind w:left="10480"/>
        <w:spacing w:after="0"/>
        <w:rPr>
          <w:sz w:val="20"/>
          <w:szCs w:val="20"/>
          <w:color w:val="auto"/>
        </w:rPr>
      </w:pPr>
      <w:r>
        <w:rPr>
          <w:rFonts w:ascii="Arial" w:cs="Arial" w:eastAsia="Arial" w:hAnsi="Arial"/>
          <w:sz w:val="17"/>
          <w:szCs w:val="17"/>
          <w:b w:val="1"/>
          <w:bCs w:val="1"/>
          <w:color w:val="auto"/>
        </w:rPr>
        <w:t>Exhibit 31.1</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 D, certify that:</w:t>
      </w:r>
    </w:p>
    <w:p>
      <w:pPr>
        <w:spacing w:after="0" w:line="225" w:lineRule="exact"/>
        <w:rPr>
          <w:sz w:val="20"/>
          <w:szCs w:val="20"/>
          <w:color w:val="auto"/>
        </w:rPr>
      </w:pPr>
    </w:p>
    <w:p>
      <w:pPr>
        <w:ind w:left="660" w:hanging="652"/>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00" w:hanging="652"/>
        <w:spacing w:after="0" w:line="308" w:lineRule="auto"/>
        <w:tabs>
          <w:tab w:leader="none" w:pos="6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20" w:hanging="652"/>
        <w:spacing w:after="0" w:line="308" w:lineRule="auto"/>
        <w:tabs>
          <w:tab w:leader="none" w:pos="6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7"/>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580" w:type="dxa"/>
            <w:vAlign w:val="bottom"/>
            <w:gridSpan w:val="2"/>
          </w:tcPr>
          <w:p>
            <w:pPr>
              <w:spacing w:after="0"/>
              <w:rPr>
                <w:sz w:val="20"/>
                <w:szCs w:val="20"/>
                <w:color w:val="auto"/>
              </w:rPr>
            </w:pPr>
            <w:r>
              <w:rPr>
                <w:rFonts w:ascii="Arial" w:cs="Arial" w:eastAsia="Arial" w:hAnsi="Arial"/>
                <w:sz w:val="18"/>
                <w:szCs w:val="18"/>
                <w:color w:val="auto"/>
              </w:rPr>
              <w:t>Date:  June 6, 2008</w:t>
            </w:r>
          </w:p>
        </w:tc>
        <w:tc>
          <w:tcPr>
            <w:tcW w:w="1020" w:type="dxa"/>
            <w:vAlign w:val="bottom"/>
          </w:tcPr>
          <w:p>
            <w:pPr>
              <w:ind w:left="380"/>
              <w:spacing w:after="0"/>
              <w:rPr>
                <w:sz w:val="20"/>
                <w:szCs w:val="20"/>
                <w:color w:val="auto"/>
              </w:rPr>
            </w:pPr>
            <w:r>
              <w:rPr>
                <w:rFonts w:ascii="Arial" w:cs="Arial" w:eastAsia="Arial" w:hAnsi="Arial"/>
                <w:sz w:val="18"/>
                <w:szCs w:val="18"/>
                <w:color w:val="auto"/>
              </w:rPr>
              <w:t>By:</w:t>
            </w:r>
          </w:p>
        </w:tc>
        <w:tc>
          <w:tcPr>
            <w:tcW w:w="4820" w:type="dxa"/>
            <w:vAlign w:val="bottom"/>
          </w:tcPr>
          <w:p>
            <w:pPr>
              <w:spacing w:after="0"/>
              <w:rPr>
                <w:sz w:val="20"/>
                <w:szCs w:val="20"/>
                <w:color w:val="auto"/>
              </w:rPr>
            </w:pPr>
            <w:r>
              <w:rPr>
                <w:rFonts w:ascii="Arial" w:cs="Arial" w:eastAsia="Arial" w:hAnsi="Arial"/>
                <w:sz w:val="18"/>
                <w:szCs w:val="18"/>
                <w:color w:val="auto"/>
              </w:rPr>
              <w:t>/s/ SEHAT SUTARDJA PH.D.</w:t>
            </w:r>
          </w:p>
        </w:tc>
        <w:tc>
          <w:tcPr>
            <w:tcW w:w="40" w:type="dxa"/>
            <w:vAlign w:val="bottom"/>
          </w:tcPr>
          <w:p>
            <w:pPr>
              <w:spacing w:after="0"/>
              <w:rPr>
                <w:sz w:val="20"/>
                <w:szCs w:val="20"/>
                <w:color w:val="auto"/>
              </w:rPr>
            </w:pPr>
          </w:p>
        </w:tc>
      </w:tr>
      <w:tr>
        <w:trPr>
          <w:trHeight w:val="195"/>
        </w:trPr>
        <w:tc>
          <w:tcPr>
            <w:tcW w:w="600" w:type="dxa"/>
            <w:vAlign w:val="bottom"/>
          </w:tcPr>
          <w:p>
            <w:pPr>
              <w:spacing w:after="0"/>
              <w:rPr>
                <w:sz w:val="16"/>
                <w:szCs w:val="16"/>
                <w:color w:val="auto"/>
              </w:rPr>
            </w:pPr>
          </w:p>
        </w:tc>
        <w:tc>
          <w:tcPr>
            <w:tcW w:w="4980" w:type="dxa"/>
            <w:vAlign w:val="bottom"/>
            <w:tcBorders>
              <w:top w:val="single" w:sz="8" w:color="auto"/>
            </w:tcBorders>
          </w:tcPr>
          <w:p>
            <w:pPr>
              <w:spacing w:after="0"/>
              <w:rPr>
                <w:sz w:val="16"/>
                <w:szCs w:val="16"/>
                <w:color w:val="auto"/>
              </w:rPr>
            </w:pPr>
          </w:p>
        </w:tc>
        <w:tc>
          <w:tcPr>
            <w:tcW w:w="1020" w:type="dxa"/>
            <w:vAlign w:val="bottom"/>
          </w:tcPr>
          <w:p>
            <w:pPr>
              <w:spacing w:after="0"/>
              <w:rPr>
                <w:sz w:val="16"/>
                <w:szCs w:val="16"/>
                <w:color w:val="auto"/>
              </w:rPr>
            </w:pPr>
          </w:p>
        </w:tc>
        <w:tc>
          <w:tcPr>
            <w:tcW w:w="48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600" w:type="dxa"/>
            <w:vAlign w:val="bottom"/>
          </w:tcPr>
          <w:p>
            <w:pPr>
              <w:spacing w:after="0"/>
              <w:rPr>
                <w:sz w:val="20"/>
                <w:szCs w:val="20"/>
                <w:color w:val="auto"/>
              </w:rPr>
            </w:pPr>
          </w:p>
        </w:tc>
        <w:tc>
          <w:tcPr>
            <w:tcW w:w="49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348"/>
        </w:trPr>
        <w:tc>
          <w:tcPr>
            <w:tcW w:w="600" w:type="dxa"/>
            <w:vAlign w:val="bottom"/>
            <w:tcBorders>
              <w:bottom w:val="single" w:sz="8" w:color="010101"/>
            </w:tcBorders>
          </w:tcPr>
          <w:p>
            <w:pPr>
              <w:spacing w:after="0"/>
              <w:rPr>
                <w:sz w:val="24"/>
                <w:szCs w:val="24"/>
                <w:color w:val="auto"/>
              </w:rPr>
            </w:pPr>
          </w:p>
        </w:tc>
        <w:tc>
          <w:tcPr>
            <w:tcW w:w="4980" w:type="dxa"/>
            <w:vAlign w:val="bottom"/>
            <w:tcBorders>
              <w:bottom w:val="single" w:sz="8" w:color="010101"/>
            </w:tcBorders>
          </w:tcPr>
          <w:p>
            <w:pPr>
              <w:spacing w:after="0"/>
              <w:rPr>
                <w:sz w:val="24"/>
                <w:szCs w:val="24"/>
                <w:color w:val="auto"/>
              </w:rPr>
            </w:pPr>
          </w:p>
        </w:tc>
        <w:tc>
          <w:tcPr>
            <w:tcW w:w="1020" w:type="dxa"/>
            <w:vAlign w:val="bottom"/>
            <w:tcBorders>
              <w:bottom w:val="single" w:sz="8" w:color="010101"/>
            </w:tcBorders>
          </w:tcPr>
          <w:p>
            <w:pPr>
              <w:spacing w:after="0"/>
              <w:rPr>
                <w:sz w:val="24"/>
                <w:szCs w:val="24"/>
                <w:color w:val="auto"/>
              </w:rPr>
            </w:pPr>
          </w:p>
        </w:tc>
        <w:tc>
          <w:tcPr>
            <w:tcW w:w="48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3" w:name="page44"/>
    <w:bookmarkEnd w:id="43"/>
    <w:p>
      <w:pPr>
        <w:ind w:left="10480"/>
        <w:spacing w:after="0"/>
        <w:rPr>
          <w:sz w:val="20"/>
          <w:szCs w:val="20"/>
          <w:color w:val="auto"/>
        </w:rPr>
      </w:pPr>
      <w:r>
        <w:rPr>
          <w:rFonts w:ascii="Arial" w:cs="Arial" w:eastAsia="Arial" w:hAnsi="Arial"/>
          <w:sz w:val="17"/>
          <w:szCs w:val="17"/>
          <w:b w:val="1"/>
          <w:bCs w:val="1"/>
          <w:color w:val="auto"/>
        </w:rPr>
        <w:t>Exhibit 31.2</w:t>
      </w:r>
    </w:p>
    <w:p>
      <w:pPr>
        <w:spacing w:after="0" w:line="237" w:lineRule="exact"/>
        <w:rPr>
          <w:sz w:val="20"/>
          <w:szCs w:val="20"/>
          <w:color w:val="auto"/>
        </w:rPr>
      </w:pPr>
    </w:p>
    <w:p>
      <w:pPr>
        <w:jc w:val="center"/>
        <w:ind w:right="40"/>
        <w:spacing w:after="0" w:line="282"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I, George de Urioste, certify that:</w:t>
      </w:r>
    </w:p>
    <w:p>
      <w:pPr>
        <w:spacing w:after="0" w:line="225" w:lineRule="exact"/>
        <w:rPr>
          <w:sz w:val="20"/>
          <w:szCs w:val="20"/>
          <w:color w:val="auto"/>
        </w:rPr>
      </w:pPr>
    </w:p>
    <w:p>
      <w:pPr>
        <w:ind w:left="660" w:hanging="652"/>
        <w:spacing w:after="0"/>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jc w:val="both"/>
        <w:ind w:left="660" w:right="340" w:hanging="652"/>
        <w:spacing w:after="0" w:line="264" w:lineRule="auto"/>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81" w:lineRule="exact"/>
        <w:rPr>
          <w:rFonts w:ascii="Arial" w:cs="Arial" w:eastAsia="Arial" w:hAnsi="Arial"/>
          <w:sz w:val="18"/>
          <w:szCs w:val="18"/>
          <w:color w:val="auto"/>
        </w:rPr>
      </w:pPr>
    </w:p>
    <w:p>
      <w:pPr>
        <w:ind w:left="660" w:right="300" w:hanging="652"/>
        <w:spacing w:after="0" w:line="308" w:lineRule="auto"/>
        <w:tabs>
          <w:tab w:leader="none" w:pos="6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660" w:right="320" w:hanging="652"/>
        <w:spacing w:after="0" w:line="264" w:lineRule="auto"/>
        <w:tabs>
          <w:tab w:leader="none" w:pos="6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1300" w:right="120" w:hanging="644"/>
        <w:spacing w:after="0" w:line="264" w:lineRule="auto"/>
        <w:tabs>
          <w:tab w:leader="none" w:pos="1305"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1300" w:right="26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1300" w:right="42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1300" w:right="120" w:hanging="644"/>
        <w:spacing w:after="0" w:line="264"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660" w:right="220" w:hanging="652"/>
        <w:spacing w:after="0" w:line="308" w:lineRule="auto"/>
        <w:tabs>
          <w:tab w:leader="none" w:pos="6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registrant’s board of directors (or persons performing the equivalent functions):</w:t>
      </w:r>
    </w:p>
    <w:p>
      <w:pPr>
        <w:spacing w:after="0" w:line="146" w:lineRule="exact"/>
        <w:rPr>
          <w:rFonts w:ascii="Arial" w:cs="Arial" w:eastAsia="Arial" w:hAnsi="Arial"/>
          <w:sz w:val="17"/>
          <w:szCs w:val="17"/>
          <w:color w:val="auto"/>
        </w:rPr>
      </w:pPr>
    </w:p>
    <w:p>
      <w:pPr>
        <w:ind w:left="1300" w:right="600" w:hanging="644"/>
        <w:spacing w:after="0" w:line="342" w:lineRule="auto"/>
        <w:tabs>
          <w:tab w:leader="none" w:pos="1305" w:val="left"/>
        </w:tabs>
        <w:numPr>
          <w:ilvl w:val="1"/>
          <w:numId w:val="18"/>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controls over financial reporting which are reasonably likely to adversely affect the registrant’s ability to record, process, summarize and report financial information; and</w:t>
      </w:r>
    </w:p>
    <w:p>
      <w:pPr>
        <w:spacing w:after="0" w:line="123" w:lineRule="exact"/>
        <w:rPr>
          <w:rFonts w:ascii="Arial" w:cs="Arial" w:eastAsia="Arial" w:hAnsi="Arial"/>
          <w:sz w:val="16"/>
          <w:szCs w:val="16"/>
          <w:color w:val="auto"/>
        </w:rPr>
      </w:pPr>
    </w:p>
    <w:p>
      <w:pPr>
        <w:ind w:left="1300" w:right="360" w:hanging="644"/>
        <w:spacing w:after="0" w:line="277" w:lineRule="auto"/>
        <w:tabs>
          <w:tab w:leader="none" w:pos="1301"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5580" w:type="dxa"/>
            <w:vAlign w:val="bottom"/>
            <w:gridSpan w:val="2"/>
          </w:tcPr>
          <w:p>
            <w:pPr>
              <w:spacing w:after="0"/>
              <w:rPr>
                <w:sz w:val="20"/>
                <w:szCs w:val="20"/>
                <w:color w:val="auto"/>
              </w:rPr>
            </w:pPr>
            <w:r>
              <w:rPr>
                <w:rFonts w:ascii="Arial" w:cs="Arial" w:eastAsia="Arial" w:hAnsi="Arial"/>
                <w:sz w:val="18"/>
                <w:szCs w:val="18"/>
                <w:color w:val="auto"/>
              </w:rPr>
              <w:t>Date:  June 6, 2008</w:t>
            </w:r>
          </w:p>
        </w:tc>
        <w:tc>
          <w:tcPr>
            <w:tcW w:w="5840" w:type="dxa"/>
            <w:vAlign w:val="bottom"/>
            <w:gridSpan w:val="2"/>
          </w:tcPr>
          <w:p>
            <w:pPr>
              <w:ind w:left="380"/>
              <w:spacing w:after="0"/>
              <w:rPr>
                <w:sz w:val="20"/>
                <w:szCs w:val="20"/>
                <w:color w:val="auto"/>
              </w:rPr>
            </w:pPr>
            <w:r>
              <w:rPr>
                <w:rFonts w:ascii="Arial" w:cs="Arial" w:eastAsia="Arial" w:hAnsi="Arial"/>
                <w:sz w:val="18"/>
                <w:szCs w:val="18"/>
                <w:color w:val="auto"/>
              </w:rPr>
              <w:t>By:    /s/ GEORGE DE URIOSTE</w:t>
            </w:r>
          </w:p>
        </w:tc>
        <w:tc>
          <w:tcPr>
            <w:tcW w:w="40" w:type="dxa"/>
            <w:vAlign w:val="bottom"/>
          </w:tcPr>
          <w:p>
            <w:pPr>
              <w:spacing w:after="0"/>
              <w:rPr>
                <w:sz w:val="20"/>
                <w:szCs w:val="20"/>
                <w:color w:val="auto"/>
              </w:rPr>
            </w:pPr>
          </w:p>
        </w:tc>
      </w:tr>
      <w:tr>
        <w:trPr>
          <w:trHeight w:val="195"/>
        </w:trPr>
        <w:tc>
          <w:tcPr>
            <w:tcW w:w="580" w:type="dxa"/>
            <w:vAlign w:val="bottom"/>
          </w:tcPr>
          <w:p>
            <w:pPr>
              <w:spacing w:after="0"/>
              <w:rPr>
                <w:sz w:val="16"/>
                <w:szCs w:val="16"/>
                <w:color w:val="auto"/>
              </w:rPr>
            </w:pPr>
          </w:p>
        </w:tc>
        <w:tc>
          <w:tcPr>
            <w:tcW w:w="5000" w:type="dxa"/>
            <w:vAlign w:val="bottom"/>
            <w:tcBorders>
              <w:top w:val="single" w:sz="8" w:color="auto"/>
            </w:tcBorders>
          </w:tcPr>
          <w:p>
            <w:pPr>
              <w:spacing w:after="0"/>
              <w:rPr>
                <w:sz w:val="16"/>
                <w:szCs w:val="16"/>
                <w:color w:val="auto"/>
              </w:rPr>
            </w:pPr>
          </w:p>
        </w:tc>
        <w:tc>
          <w:tcPr>
            <w:tcW w:w="960" w:type="dxa"/>
            <w:vAlign w:val="bottom"/>
          </w:tcPr>
          <w:p>
            <w:pPr>
              <w:spacing w:after="0"/>
              <w:rPr>
                <w:sz w:val="16"/>
                <w:szCs w:val="16"/>
                <w:color w:val="auto"/>
              </w:rPr>
            </w:pPr>
          </w:p>
        </w:tc>
        <w:tc>
          <w:tcPr>
            <w:tcW w:w="48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de Urioste</w:t>
            </w:r>
          </w:p>
        </w:tc>
        <w:tc>
          <w:tcPr>
            <w:tcW w:w="40" w:type="dxa"/>
            <w:vAlign w:val="bottom"/>
          </w:tcPr>
          <w:p>
            <w:pPr>
              <w:spacing w:after="0"/>
              <w:rPr>
                <w:sz w:val="16"/>
                <w:szCs w:val="16"/>
                <w:color w:val="auto"/>
              </w:rPr>
            </w:pPr>
          </w:p>
        </w:tc>
      </w:tr>
      <w:tr>
        <w:trPr>
          <w:trHeight w:val="230"/>
        </w:trPr>
        <w:tc>
          <w:tcPr>
            <w:tcW w:w="580" w:type="dxa"/>
            <w:vAlign w:val="bottom"/>
          </w:tcPr>
          <w:p>
            <w:pPr>
              <w:spacing w:after="0"/>
              <w:rPr>
                <w:sz w:val="20"/>
                <w:szCs w:val="20"/>
                <w:color w:val="auto"/>
              </w:rPr>
            </w:pPr>
          </w:p>
        </w:tc>
        <w:tc>
          <w:tcPr>
            <w:tcW w:w="50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348"/>
        </w:trPr>
        <w:tc>
          <w:tcPr>
            <w:tcW w:w="580" w:type="dxa"/>
            <w:vAlign w:val="bottom"/>
            <w:tcBorders>
              <w:bottom w:val="single" w:sz="8" w:color="010101"/>
            </w:tcBorders>
          </w:tcPr>
          <w:p>
            <w:pPr>
              <w:spacing w:after="0"/>
              <w:rPr>
                <w:sz w:val="24"/>
                <w:szCs w:val="24"/>
                <w:color w:val="auto"/>
              </w:rPr>
            </w:pPr>
          </w:p>
        </w:tc>
        <w:tc>
          <w:tcPr>
            <w:tcW w:w="5000" w:type="dxa"/>
            <w:vAlign w:val="bottom"/>
            <w:tcBorders>
              <w:bottom w:val="single" w:sz="8" w:color="010101"/>
            </w:tcBorders>
          </w:tcPr>
          <w:p>
            <w:pPr>
              <w:spacing w:after="0"/>
              <w:rPr>
                <w:sz w:val="24"/>
                <w:szCs w:val="24"/>
                <w:color w:val="auto"/>
              </w:rPr>
            </w:pPr>
          </w:p>
        </w:tc>
        <w:tc>
          <w:tcPr>
            <w:tcW w:w="960" w:type="dxa"/>
            <w:vAlign w:val="bottom"/>
            <w:tcBorders>
              <w:bottom w:val="single" w:sz="8" w:color="010101"/>
            </w:tcBorders>
          </w:tcPr>
          <w:p>
            <w:pPr>
              <w:spacing w:after="0"/>
              <w:rPr>
                <w:sz w:val="24"/>
                <w:szCs w:val="24"/>
                <w:color w:val="auto"/>
              </w:rPr>
            </w:pPr>
          </w:p>
        </w:tc>
        <w:tc>
          <w:tcPr>
            <w:tcW w:w="48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121" w:right="199" w:bottom="1440" w:gutter="0" w:footer="0" w:header="0"/>
        </w:sectPr>
      </w:pPr>
    </w:p>
    <w:bookmarkStart w:id="44" w:name="page45"/>
    <w:bookmarkEnd w:id="44"/>
    <w:p>
      <w:pPr>
        <w:ind w:left="10480"/>
        <w:spacing w:after="0"/>
        <w:rPr>
          <w:sz w:val="20"/>
          <w:szCs w:val="20"/>
          <w:color w:val="auto"/>
        </w:rPr>
      </w:pPr>
      <w:r>
        <w:rPr>
          <w:rFonts w:ascii="Arial" w:cs="Arial" w:eastAsia="Arial" w:hAnsi="Arial"/>
          <w:sz w:val="16"/>
          <w:szCs w:val="16"/>
          <w:b w:val="1"/>
          <w:bCs w:val="1"/>
          <w:color w:val="auto"/>
        </w:rPr>
        <w:t>Exhibit 32.1</w:t>
      </w:r>
    </w:p>
    <w:p>
      <w:pPr>
        <w:spacing w:after="0" w:line="248" w:lineRule="exact"/>
        <w:rPr>
          <w:sz w:val="20"/>
          <w:szCs w:val="20"/>
          <w:color w:val="auto"/>
        </w:rPr>
      </w:pPr>
    </w:p>
    <w:p>
      <w:pPr>
        <w:jc w:val="center"/>
        <w:spacing w:after="0" w:line="282" w:lineRule="auto"/>
        <w:rPr>
          <w:sz w:val="20"/>
          <w:szCs w:val="20"/>
          <w:color w:val="auto"/>
        </w:rPr>
      </w:pPr>
      <w:r>
        <w:rPr>
          <w:rFonts w:ascii="Arial" w:cs="Arial" w:eastAsia="Arial" w:hAnsi="Arial"/>
          <w:sz w:val="18"/>
          <w:szCs w:val="18"/>
          <w:b w:val="1"/>
          <w:bCs w:val="1"/>
          <w:color w:val="auto"/>
        </w:rPr>
        <w:t>STATEMENT OF THE PRESIDENT AND CHIEF EXECUTIVE OFFICER PURSUANT TO 18 U.S.C. § 1350, AS ADOPTED PURSUANT TO SECTION 906 OF THE SARBANES-OXLEY ACT OF 2002</w:t>
      </w:r>
    </w:p>
    <w:p>
      <w:pPr>
        <w:spacing w:after="0" w:line="166"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980" w:right="900" w:hanging="324"/>
        <w:spacing w:after="0" w:line="277" w:lineRule="auto"/>
        <w:tabs>
          <w:tab w:leader="none" w:pos="974"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3, 2008 (the “Report”), fully complies with the requirements of section 13(a) or 15(d) of the Securities Exchange Act of 1934, and</w:t>
      </w:r>
    </w:p>
    <w:p>
      <w:pPr>
        <w:spacing w:after="0" w:line="170" w:lineRule="exact"/>
        <w:rPr>
          <w:rFonts w:ascii="Arial" w:cs="Arial" w:eastAsia="Arial" w:hAnsi="Arial"/>
          <w:sz w:val="18"/>
          <w:szCs w:val="18"/>
          <w:color w:val="auto"/>
        </w:rPr>
      </w:pPr>
    </w:p>
    <w:p>
      <w:pPr>
        <w:ind w:left="980" w:hanging="324"/>
        <w:spacing w:after="0"/>
        <w:tabs>
          <w:tab w:leader="none" w:pos="98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3735705</wp:posOffset>
            </wp:positionH>
            <wp:positionV relativeFrom="paragraph">
              <wp:posOffset>-130810</wp:posOffset>
            </wp:positionV>
            <wp:extent cx="3515995"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515995" cy="8890"/>
                    </a:xfrm>
                    <a:prstGeom prst="rect">
                      <a:avLst/>
                    </a:prstGeom>
                    <a:noFill/>
                  </pic:spPr>
                </pic:pic>
              </a:graphicData>
            </a:graphic>
          </wp:anchor>
        </w:drawing>
      </w:r>
    </w:p>
    <w:p>
      <w:pPr>
        <w:spacing w:after="0" w:line="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Date: June 6,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45" w:name="page46"/>
    <w:bookmarkEnd w:id="45"/>
    <w:p>
      <w:pPr>
        <w:ind w:left="10480"/>
        <w:spacing w:after="0"/>
        <w:rPr>
          <w:sz w:val="20"/>
          <w:szCs w:val="20"/>
          <w:color w:val="auto"/>
        </w:rPr>
      </w:pPr>
      <w:r>
        <w:rPr>
          <w:rFonts w:ascii="Arial" w:cs="Arial" w:eastAsia="Arial" w:hAnsi="Arial"/>
          <w:sz w:val="16"/>
          <w:szCs w:val="16"/>
          <w:b w:val="1"/>
          <w:bCs w:val="1"/>
          <w:color w:val="auto"/>
        </w:rPr>
        <w:t>Exhibit 32.2</w:t>
      </w:r>
    </w:p>
    <w:p>
      <w:pPr>
        <w:spacing w:after="0" w:line="248" w:lineRule="exact"/>
        <w:rPr>
          <w:sz w:val="20"/>
          <w:szCs w:val="20"/>
          <w:color w:val="auto"/>
        </w:rPr>
      </w:pPr>
    </w:p>
    <w:p>
      <w:pPr>
        <w:jc w:val="center"/>
        <w:ind w:left="260" w:right="120"/>
        <w:spacing w:after="0" w:line="282" w:lineRule="auto"/>
        <w:rPr>
          <w:sz w:val="20"/>
          <w:szCs w:val="20"/>
          <w:color w:val="auto"/>
        </w:rPr>
      </w:pPr>
      <w:r>
        <w:rPr>
          <w:rFonts w:ascii="Arial" w:cs="Arial" w:eastAsia="Arial" w:hAnsi="Arial"/>
          <w:sz w:val="18"/>
          <w:szCs w:val="18"/>
          <w:b w:val="1"/>
          <w:bCs w:val="1"/>
          <w:color w:val="auto"/>
        </w:rPr>
        <w:t>STATEMENT OF INTERIM CHIEF FINANCIAL OFFICER PURSUANT TO 18 U.S.C. § 1350, AS ADOPTED PURSUANT TO SECTION 906 OF THE SARBANES-OXLEY ACT OF 2002</w:t>
      </w:r>
    </w:p>
    <w:p>
      <w:pPr>
        <w:spacing w:after="0" w:line="166"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I, George de Urioste, the chief financial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980" w:right="900" w:hanging="324"/>
        <w:spacing w:after="0" w:line="277" w:lineRule="auto"/>
        <w:tabs>
          <w:tab w:leader="none" w:pos="974"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3, 2008 (the “Report”), fully complies with the requirements of section 13(a) or 15(d) of the Securities Exchange Act of 1934, and</w:t>
      </w:r>
    </w:p>
    <w:p>
      <w:pPr>
        <w:spacing w:after="0" w:line="170" w:lineRule="exact"/>
        <w:rPr>
          <w:rFonts w:ascii="Arial" w:cs="Arial" w:eastAsia="Arial" w:hAnsi="Arial"/>
          <w:sz w:val="18"/>
          <w:szCs w:val="18"/>
          <w:color w:val="auto"/>
        </w:rPr>
      </w:pPr>
    </w:p>
    <w:p>
      <w:pPr>
        <w:ind w:left="980" w:hanging="324"/>
        <w:spacing w:after="0"/>
        <w:tabs>
          <w:tab w:leader="none" w:pos="98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/s/ GEORGE DE URIOSTE</w:t>
      </w:r>
    </w:p>
    <w:p>
      <w:pPr>
        <w:spacing w:after="0" w:line="2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George de Urioste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3735705</wp:posOffset>
            </wp:positionH>
            <wp:positionV relativeFrom="paragraph">
              <wp:posOffset>-130810</wp:posOffset>
            </wp:positionV>
            <wp:extent cx="3515995"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3515995" cy="8890"/>
                    </a:xfrm>
                    <a:prstGeom prst="rect">
                      <a:avLst/>
                    </a:prstGeom>
                    <a:noFill/>
                  </pic:spPr>
                </pic:pic>
              </a:graphicData>
            </a:graphic>
          </wp:anchor>
        </w:drawing>
      </w:r>
    </w:p>
    <w:p>
      <w:pPr>
        <w:spacing w:after="0" w:line="3"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5880"/>
        <w:spacing w:after="0"/>
        <w:rPr>
          <w:sz w:val="20"/>
          <w:szCs w:val="20"/>
          <w:color w:val="auto"/>
        </w:rPr>
      </w:pPr>
      <w:r>
        <w:rPr>
          <w:rFonts w:ascii="Arial" w:cs="Arial" w:eastAsia="Arial" w:hAnsi="Arial"/>
          <w:sz w:val="18"/>
          <w:szCs w:val="18"/>
          <w:color w:val="auto"/>
        </w:rPr>
        <w:t>Date: June 6,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16231B"/>
    <w:multiLevelType w:val="hybridMultilevel"/>
    <w:lvl w:ilvl="0">
      <w:lvlJc w:val="left"/>
      <w:lvlText w:val="x"/>
      <w:numFmt w:val="bullet"/>
      <w:start w:val="1"/>
    </w:lvl>
  </w:abstractNum>
  <w:abstractNum w:abstractNumId="1">
    <w:nsid w:val="1F16E9E8"/>
    <w:multiLevelType w:val="hybridMultilevel"/>
    <w:lvl w:ilvl="0">
      <w:lvlJc w:val="left"/>
      <w:lvlText w:val="o"/>
      <w:numFmt w:val="bullet"/>
      <w:start w:val="1"/>
    </w:lvl>
  </w:abstractNum>
  <w:abstractNum w:abstractNumId="2">
    <w:nsid w:val="1190CDE7"/>
    <w:multiLevelType w:val="hybridMultilevel"/>
    <w:lvl w:ilvl="0">
      <w:lvlJc w:val="left"/>
      <w:lvlText w:val="(%1)"/>
      <w:numFmt w:val="decimal"/>
      <w:start w:val="1"/>
    </w:lvl>
  </w:abstractNum>
  <w:abstractNum w:abstractNumId="3">
    <w:nsid w:val="66EF438D"/>
    <w:multiLevelType w:val="hybridMultilevel"/>
    <w:lvl w:ilvl="0">
      <w:lvlJc w:val="left"/>
      <w:lvlText w:val="(%1)"/>
      <w:numFmt w:val="decimal"/>
      <w:start w:val="2"/>
    </w:lvl>
  </w:abstractNum>
  <w:abstractNum w:abstractNumId="4">
    <w:nsid w:val="140E0F76"/>
    <w:multiLevelType w:val="hybridMultilevel"/>
    <w:lvl w:ilvl="0">
      <w:lvlJc w:val="left"/>
      <w:lvlText w:val="·"/>
      <w:numFmt w:val="bullet"/>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
      <w:numFmt w:val="bullet"/>
      <w:start w:val="1"/>
    </w:lvl>
  </w:abstractNum>
  <w:abstractNum w:abstractNumId="7">
    <w:nsid w:val="DED7263"/>
    <w:multiLevelType w:val="hybridMultilevel"/>
    <w:lvl w:ilvl="0">
      <w:lvlJc w:val="left"/>
      <w:lvlText w:val="·"/>
      <w:numFmt w:val="bullet"/>
      <w:start w:val="1"/>
    </w:lvl>
  </w:abstractNum>
  <w:abstractNum w:abstractNumId="8">
    <w:nsid w:val="7FDCC233"/>
    <w:multiLevelType w:val="hybridMultilevel"/>
    <w:lvl w:ilvl="0">
      <w:lvlJc w:val="left"/>
      <w:lvlText w:val="·"/>
      <w:numFmt w:val="bullet"/>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abstractNum>
  <w:abstractNum w:abstractNumId="11">
    <w:nsid w:val="6B68079A"/>
    <w:multiLevelType w:val="hybridMultilevel"/>
    <w:lvl w:ilvl="0">
      <w:lvlJc w:val="left"/>
      <w:lvlText w:val="·"/>
      <w:numFmt w:val="bullet"/>
      <w:start w:val="1"/>
    </w:lvl>
  </w:abstractNum>
  <w:abstractNum w:abstractNumId="12">
    <w:nsid w:val="4E6AFB66"/>
    <w:multiLevelType w:val="hybridMultilevel"/>
    <w:lvl w:ilvl="0">
      <w:lvlJc w:val="left"/>
      <w:lvlText w:val="·"/>
      <w:numFmt w:val="bullet"/>
      <w:start w:val="1"/>
    </w:lvl>
  </w:abstractNum>
  <w:abstractNum w:abstractNumId="13">
    <w:nsid w:val="25E45D32"/>
    <w:multiLevelType w:val="hybridMultilevel"/>
    <w:lvl w:ilvl="0">
      <w:lvlJc w:val="left"/>
      <w:lvlText w:val="·"/>
      <w:numFmt w:val="bullet"/>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
      <w:numFmt w:val="bullet"/>
      <w:start w:val="1"/>
    </w:lvl>
  </w:abstractNum>
  <w:abstractNum w:abstractNumId="16">
    <w:nsid w:val="3F2DBA31"/>
    <w:multiLevelType w:val="hybridMultilevel"/>
    <w:lvl w:ilvl="0">
      <w:lvlJc w:val="left"/>
      <w:lvlText w:val="%1."/>
      <w:numFmt w:val="decimal"/>
      <w:start w:val="1"/>
    </w:lvl>
    <w:lvl w:ilvl="1">
      <w:lvlJc w:val="left"/>
      <w:lvlText w:val="%2)"/>
      <w:numFmt w:val="lowerLetter"/>
      <w:start w:val="1"/>
    </w:lvl>
  </w:abstractNum>
  <w:abstractNum w:abstractNumId="17">
    <w:nsid w:val="7C83E458"/>
    <w:multiLevelType w:val="hybridMultilevel"/>
    <w:lvl w:ilvl="0">
      <w:lvlJc w:val="left"/>
      <w:lvlText w:val="%1."/>
      <w:numFmt w:val="decimal"/>
      <w:start w:val="1"/>
    </w:lvl>
    <w:lvl w:ilvl="1">
      <w:lvlJc w:val="left"/>
      <w:lvlText w:val="%2)"/>
      <w:numFmt w:val="lowerLetter"/>
      <w:start w:val="1"/>
    </w:lvl>
  </w:abstractNum>
  <w:abstractNum w:abstractNumId="18">
    <w:nsid w:val="257130A3"/>
    <w:multiLevelType w:val="hybridMultilevel"/>
    <w:lvl w:ilvl="0">
      <w:lvlJc w:val="left"/>
      <w:lvlText w:val="(%1)"/>
      <w:numFmt w:val="lowerRoman"/>
      <w:start w:val="1"/>
    </w:lvl>
  </w:abstractNum>
  <w:abstractNum w:abstractNumId="19">
    <w:nsid w:val="62BBD95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2019-12-14T19:21:52Z</dcterms:created>
  <dcterms:modified xsi:type="dcterms:W3CDTF">2019-12-14T19:21:52Z</dcterms:modified>
</cp:coreProperties>
</file>