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b w:val="1"/>
          <w:bCs w:val="1"/>
          <w:color w:val="auto"/>
        </w:rPr>
        <w:t>As filed with the Securities and Exchange Commission on June 20, 2008</w:t>
      </w:r>
    </w:p>
    <w:p>
      <w:pPr>
        <w:spacing w:after="0" w:line="225" w:lineRule="exact"/>
        <w:rPr>
          <w:sz w:val="24"/>
          <w:szCs w:val="24"/>
          <w:color w:val="auto"/>
        </w:rPr>
      </w:pPr>
    </w:p>
    <w:p>
      <w:pPr>
        <w:ind w:left="9140"/>
        <w:spacing w:after="0"/>
        <w:rPr>
          <w:sz w:val="20"/>
          <w:szCs w:val="20"/>
          <w:color w:val="auto"/>
        </w:rPr>
      </w:pPr>
      <w:r>
        <w:rPr>
          <w:rFonts w:ascii="Arial" w:cs="Arial" w:eastAsia="Arial" w:hAnsi="Arial"/>
          <w:sz w:val="15"/>
          <w:szCs w:val="15"/>
          <w:b w:val="1"/>
          <w:bCs w:val="1"/>
          <w:color w:val="auto"/>
        </w:rPr>
        <w:t>Registration No. 333 -</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219710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210820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S-8/S-3</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REGISTRATION STATEMENT</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21"/>
          <w:szCs w:val="21"/>
          <w:b w:val="1"/>
          <w:bCs w:val="1"/>
          <w:color w:val="auto"/>
        </w:rPr>
        <w:t>REGISTRATION STATEMENT UNDER THE SECURITIES ACT OF 1933</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registration of shares for resale by means of a Form S-3 Prospectus)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210820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229" w:right="239" w:bottom="0" w:gutter="0" w:footer="0" w:header="0"/>
        </w:sectPr>
      </w:pPr>
    </w:p>
    <w:p>
      <w:pPr>
        <w:spacing w:after="0" w:line="205" w:lineRule="exact"/>
        <w:rPr>
          <w:sz w:val="24"/>
          <w:szCs w:val="24"/>
          <w:color w:val="auto"/>
        </w:rPr>
      </w:pPr>
    </w:p>
    <w:p>
      <w:pPr>
        <w:jc w:val="center"/>
        <w:ind w:right="82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8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3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360"/>
        <w:spacing w:after="0"/>
        <w:rPr>
          <w:sz w:val="20"/>
          <w:szCs w:val="20"/>
          <w:color w:val="auto"/>
        </w:rPr>
      </w:pPr>
      <w:r>
        <w:rPr>
          <w:rFonts w:ascii="Arial" w:cs="Arial" w:eastAsia="Arial" w:hAnsi="Arial"/>
          <w:sz w:val="16"/>
          <w:szCs w:val="16"/>
          <w:color w:val="auto"/>
        </w:rPr>
        <w:t>(I.R.S. Employer Identification Number)</w:t>
      </w:r>
    </w:p>
    <w:p>
      <w:pPr>
        <w:spacing w:after="0" w:line="200" w:lineRule="exact"/>
        <w:rPr>
          <w:sz w:val="24"/>
          <w:szCs w:val="24"/>
          <w:color w:val="auto"/>
        </w:rPr>
      </w:pPr>
    </w:p>
    <w:p>
      <w:pPr>
        <w:sectPr>
          <w:pgSz w:w="11900" w:h="16838" w:orient="portrait"/>
          <w:cols w:equalWidth="0" w:num="2">
            <w:col w:w="6460" w:space="720"/>
            <w:col w:w="4240"/>
          </w:cols>
          <w:pgMar w:left="240" w:top="229" w:right="239" w:bottom="0" w:gutter="0" w:footer="0" w:header="0"/>
          <w:type w:val="continuous"/>
        </w:sectPr>
      </w:pPr>
    </w:p>
    <w:p>
      <w:pPr>
        <w:spacing w:after="0" w:line="3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Eric Janofsky</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Copy 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Carmen Chang, Esq.</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Professional Corporation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650 Page Mill Road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Palo Alto, CA 94304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200"/>
        <w:spacing w:after="0"/>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w:t>
      </w:r>
    </w:p>
    <w:p>
      <w:pPr>
        <w:spacing w:after="0" w:line="41" w:lineRule="exact"/>
        <w:rPr>
          <w:sz w:val="24"/>
          <w:szCs w:val="24"/>
          <w:color w:val="auto"/>
        </w:rPr>
      </w:pPr>
    </w:p>
    <w:tbl>
      <w:tblPr>
        <w:tblLayout w:type="fixed"/>
        <w:tblInd w:w="0" w:type="dxa"/>
        <w:tblCellMar>
          <w:top w:w="0" w:type="dxa"/>
          <w:left w:w="0" w:type="dxa"/>
          <w:bottom w:w="0" w:type="dxa"/>
          <w:right w:w="0" w:type="dxa"/>
        </w:tblCellMar>
      </w:tblPr>
      <w:tr>
        <w:trPr>
          <w:trHeight w:val="207"/>
        </w:trPr>
        <w:tc>
          <w:tcPr>
            <w:tcW w:w="10180" w:type="dxa"/>
            <w:vAlign w:val="bottom"/>
            <w:gridSpan w:val="4"/>
          </w:tcPr>
          <w:p>
            <w:pPr>
              <w:spacing w:after="0"/>
              <w:rPr>
                <w:sz w:val="20"/>
                <w:szCs w:val="20"/>
                <w:color w:val="auto"/>
              </w:rPr>
            </w:pPr>
            <w:r>
              <w:rPr>
                <w:rFonts w:ascii="Arial" w:cs="Arial" w:eastAsia="Arial" w:hAnsi="Arial"/>
                <w:sz w:val="18"/>
                <w:szCs w:val="18"/>
                <w:color w:val="auto"/>
                <w:w w:val="92"/>
              </w:rPr>
              <w:t>definitions of “large accelerated filer,” “accelerated filer” and “smaller reporting company” in Rule 12b-2 of the Exchange Act. (Check one):</w:t>
            </w: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20" w:type="dxa"/>
            <w:vAlign w:val="bottom"/>
          </w:tcPr>
          <w:p>
            <w:pPr>
              <w:ind w:left="1620"/>
              <w:spacing w:after="0"/>
              <w:rPr>
                <w:sz w:val="20"/>
                <w:szCs w:val="20"/>
                <w:color w:val="auto"/>
              </w:rPr>
            </w:pPr>
            <w:r>
              <w:rPr>
                <w:rFonts w:ascii="Arial" w:cs="Arial" w:eastAsia="Arial" w:hAnsi="Arial"/>
                <w:sz w:val="18"/>
                <w:szCs w:val="18"/>
                <w:color w:val="auto"/>
              </w:rPr>
              <w:t>Large accelerated filer x</w:t>
            </w:r>
          </w:p>
        </w:tc>
        <w:tc>
          <w:tcPr>
            <w:tcW w:w="30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200" w:type="dxa"/>
            <w:vAlign w:val="bottom"/>
          </w:tcPr>
          <w:p>
            <w:pPr>
              <w:ind w:left="120"/>
              <w:spacing w:after="0"/>
              <w:rPr>
                <w:sz w:val="20"/>
                <w:szCs w:val="20"/>
                <w:color w:val="auto"/>
              </w:rPr>
            </w:pPr>
            <w:r>
              <w:rPr>
                <w:rFonts w:ascii="Arial" w:cs="Arial" w:eastAsia="Arial" w:hAnsi="Arial"/>
                <w:sz w:val="18"/>
                <w:szCs w:val="18"/>
                <w:color w:val="auto"/>
              </w:rPr>
              <w:t>Accelerated filer o</w:t>
            </w: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940" w:type="dxa"/>
            <w:vAlign w:val="bottom"/>
            <w:gridSpan w:val="2"/>
          </w:tcPr>
          <w:p>
            <w:pPr>
              <w:ind w:left="1620"/>
              <w:spacing w:after="0"/>
              <w:rPr>
                <w:sz w:val="20"/>
                <w:szCs w:val="20"/>
                <w:color w:val="auto"/>
              </w:rPr>
            </w:pPr>
            <w:r>
              <w:rPr>
                <w:rFonts w:ascii="Arial" w:cs="Arial" w:eastAsia="Arial" w:hAnsi="Arial"/>
                <w:sz w:val="18"/>
                <w:szCs w:val="18"/>
                <w:color w:val="auto"/>
                <w:w w:val="96"/>
              </w:rPr>
              <w:t>Non-accelerated filer o (Do not check if a smaller reporting company)</w:t>
            </w:r>
          </w:p>
        </w:tc>
        <w:tc>
          <w:tcPr>
            <w:tcW w:w="1040" w:type="dxa"/>
            <w:vAlign w:val="bottom"/>
          </w:tcPr>
          <w:p>
            <w:pPr>
              <w:spacing w:after="0"/>
              <w:rPr>
                <w:sz w:val="20"/>
                <w:szCs w:val="20"/>
                <w:color w:val="auto"/>
              </w:rPr>
            </w:pPr>
          </w:p>
        </w:tc>
        <w:tc>
          <w:tcPr>
            <w:tcW w:w="2200" w:type="dxa"/>
            <w:vAlign w:val="bottom"/>
          </w:tcPr>
          <w:p>
            <w:pPr>
              <w:ind w:left="120"/>
              <w:spacing w:after="0"/>
              <w:rPr>
                <w:sz w:val="20"/>
                <w:szCs w:val="20"/>
                <w:color w:val="auto"/>
              </w:rPr>
            </w:pPr>
            <w:r>
              <w:rPr>
                <w:rFonts w:ascii="Arial" w:cs="Arial" w:eastAsia="Arial" w:hAnsi="Arial"/>
                <w:sz w:val="18"/>
                <w:szCs w:val="18"/>
                <w:color w:val="auto"/>
                <w:w w:val="89"/>
              </w:rPr>
              <w:t>Smaller reporting company o</w:t>
            </w:r>
          </w:p>
        </w:tc>
        <w:tc>
          <w:tcPr>
            <w:tcW w:w="1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3920" w:type="dxa"/>
            <w:vAlign w:val="bottom"/>
          </w:tcPr>
          <w:p>
            <w:pPr>
              <w:spacing w:after="0"/>
              <w:rPr>
                <w:sz w:val="24"/>
                <w:szCs w:val="24"/>
                <w:color w:val="auto"/>
              </w:rPr>
            </w:pPr>
          </w:p>
        </w:tc>
        <w:tc>
          <w:tcPr>
            <w:tcW w:w="3020" w:type="dxa"/>
            <w:vAlign w:val="bottom"/>
          </w:tcPr>
          <w:p>
            <w:pPr>
              <w:ind w:left="600"/>
              <w:spacing w:after="0"/>
              <w:rPr>
                <w:sz w:val="20"/>
                <w:szCs w:val="20"/>
                <w:color w:val="auto"/>
              </w:rPr>
            </w:pPr>
            <w:r>
              <w:rPr>
                <w:rFonts w:ascii="Arial" w:cs="Arial" w:eastAsia="Arial" w:hAnsi="Arial"/>
                <w:sz w:val="18"/>
                <w:szCs w:val="18"/>
                <w:b w:val="1"/>
                <w:bCs w:val="1"/>
                <w:color w:val="auto"/>
                <w:w w:val="90"/>
              </w:rPr>
              <w:t>Calculation of Registration Fee</w:t>
            </w:r>
          </w:p>
        </w:tc>
        <w:tc>
          <w:tcPr>
            <w:tcW w:w="104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3920" w:type="dxa"/>
            <w:vAlign w:val="bottom"/>
            <w:tcBorders>
              <w:bottom w:val="single" w:sz="8" w:color="auto"/>
            </w:tcBorders>
          </w:tcPr>
          <w:p>
            <w:pPr>
              <w:spacing w:after="0"/>
              <w:rPr>
                <w:sz w:val="19"/>
                <w:szCs w:val="19"/>
                <w:color w:val="auto"/>
              </w:rPr>
            </w:pPr>
          </w:p>
        </w:tc>
        <w:tc>
          <w:tcPr>
            <w:tcW w:w="302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spacing w:after="0"/>
              <w:rPr>
                <w:sz w:val="19"/>
                <w:szCs w:val="19"/>
                <w:color w:val="auto"/>
              </w:rPr>
            </w:pPr>
          </w:p>
        </w:tc>
        <w:tc>
          <w:tcPr>
            <w:tcW w:w="220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26"/>
        </w:trPr>
        <w:tc>
          <w:tcPr>
            <w:tcW w:w="3920" w:type="dxa"/>
            <w:vAlign w:val="bottom"/>
          </w:tcPr>
          <w:p>
            <w:pPr>
              <w:spacing w:after="0"/>
              <w:rPr>
                <w:sz w:val="10"/>
                <w:szCs w:val="10"/>
                <w:color w:val="auto"/>
              </w:rPr>
            </w:pPr>
          </w:p>
        </w:tc>
        <w:tc>
          <w:tcPr>
            <w:tcW w:w="3020" w:type="dxa"/>
            <w:vAlign w:val="bottom"/>
            <w:vMerge w:val="restart"/>
          </w:tcPr>
          <w:p>
            <w:pPr>
              <w:jc w:val="center"/>
              <w:ind w:left="684"/>
              <w:spacing w:after="0"/>
              <w:rPr>
                <w:sz w:val="20"/>
                <w:szCs w:val="20"/>
                <w:color w:val="auto"/>
              </w:rPr>
            </w:pPr>
            <w:r>
              <w:rPr>
                <w:rFonts w:ascii="Arial" w:cs="Arial" w:eastAsia="Arial" w:hAnsi="Arial"/>
                <w:sz w:val="14"/>
                <w:szCs w:val="14"/>
                <w:b w:val="1"/>
                <w:bCs w:val="1"/>
                <w:color w:val="auto"/>
                <w:w w:val="94"/>
              </w:rPr>
              <w:t>Amount</w:t>
            </w:r>
          </w:p>
        </w:tc>
        <w:tc>
          <w:tcPr>
            <w:tcW w:w="1040" w:type="dxa"/>
            <w:vAlign w:val="bottom"/>
          </w:tcPr>
          <w:p>
            <w:pPr>
              <w:jc w:val="center"/>
              <w:spacing w:after="0" w:line="126" w:lineRule="exact"/>
              <w:rPr>
                <w:sz w:val="20"/>
                <w:szCs w:val="20"/>
                <w:color w:val="auto"/>
              </w:rPr>
            </w:pPr>
            <w:r>
              <w:rPr>
                <w:rFonts w:ascii="Arial" w:cs="Arial" w:eastAsia="Arial" w:hAnsi="Arial"/>
                <w:sz w:val="14"/>
                <w:szCs w:val="14"/>
                <w:b w:val="1"/>
                <w:bCs w:val="1"/>
                <w:color w:val="auto"/>
                <w:w w:val="89"/>
              </w:rPr>
              <w:t>Proposed</w:t>
            </w:r>
          </w:p>
        </w:tc>
        <w:tc>
          <w:tcPr>
            <w:tcW w:w="2200" w:type="dxa"/>
            <w:vAlign w:val="bottom"/>
          </w:tcPr>
          <w:p>
            <w:pPr>
              <w:jc w:val="center"/>
              <w:ind w:right="2"/>
              <w:spacing w:after="0" w:line="126" w:lineRule="exact"/>
              <w:rPr>
                <w:sz w:val="20"/>
                <w:szCs w:val="20"/>
                <w:color w:val="auto"/>
              </w:rPr>
            </w:pPr>
            <w:r>
              <w:rPr>
                <w:rFonts w:ascii="Arial" w:cs="Arial" w:eastAsia="Arial" w:hAnsi="Arial"/>
                <w:sz w:val="14"/>
                <w:szCs w:val="14"/>
                <w:b w:val="1"/>
                <w:bCs w:val="1"/>
                <w:color w:val="auto"/>
                <w:w w:val="86"/>
              </w:rPr>
              <w:t>Proposed</w:t>
            </w:r>
          </w:p>
        </w:tc>
        <w:tc>
          <w:tcPr>
            <w:tcW w:w="1240" w:type="dxa"/>
            <w:vAlign w:val="bottom"/>
            <w:vMerge w:val="restart"/>
          </w:tcPr>
          <w:p>
            <w:pPr>
              <w:jc w:val="center"/>
              <w:ind w:right="268"/>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3920" w:type="dxa"/>
            <w:vAlign w:val="bottom"/>
            <w:vMerge w:val="restart"/>
          </w:tcPr>
          <w:p>
            <w:pPr>
              <w:jc w:val="center"/>
              <w:ind w:left="877"/>
              <w:spacing w:after="0"/>
              <w:rPr>
                <w:sz w:val="20"/>
                <w:szCs w:val="20"/>
                <w:color w:val="auto"/>
              </w:rPr>
            </w:pPr>
            <w:r>
              <w:rPr>
                <w:rFonts w:ascii="Arial" w:cs="Arial" w:eastAsia="Arial" w:hAnsi="Arial"/>
                <w:sz w:val="14"/>
                <w:szCs w:val="14"/>
                <w:b w:val="1"/>
                <w:bCs w:val="1"/>
                <w:color w:val="auto"/>
                <w:w w:val="92"/>
              </w:rPr>
              <w:t>Title of Securities to</w:t>
            </w:r>
          </w:p>
        </w:tc>
        <w:tc>
          <w:tcPr>
            <w:tcW w:w="3020" w:type="dxa"/>
            <w:vAlign w:val="bottom"/>
            <w:vMerge w:val="continue"/>
          </w:tcPr>
          <w:p>
            <w:pPr>
              <w:spacing w:after="0"/>
              <w:rPr>
                <w:sz w:val="12"/>
                <w:szCs w:val="12"/>
                <w:color w:val="auto"/>
              </w:rPr>
            </w:pPr>
          </w:p>
        </w:tc>
        <w:tc>
          <w:tcPr>
            <w:tcW w:w="1040" w:type="dxa"/>
            <w:vAlign w:val="bottom"/>
          </w:tcPr>
          <w:p>
            <w:pPr>
              <w:jc w:val="center"/>
              <w:ind w:right="8"/>
              <w:spacing w:after="0" w:line="149" w:lineRule="exact"/>
              <w:rPr>
                <w:sz w:val="20"/>
                <w:szCs w:val="20"/>
                <w:color w:val="auto"/>
              </w:rPr>
            </w:pPr>
            <w:r>
              <w:rPr>
                <w:rFonts w:ascii="Arial" w:cs="Arial" w:eastAsia="Arial" w:hAnsi="Arial"/>
                <w:sz w:val="14"/>
                <w:szCs w:val="14"/>
                <w:b w:val="1"/>
                <w:bCs w:val="1"/>
                <w:color w:val="auto"/>
                <w:w w:val="99"/>
              </w:rPr>
              <w:t>Maximum</w:t>
            </w:r>
          </w:p>
        </w:tc>
        <w:tc>
          <w:tcPr>
            <w:tcW w:w="2200" w:type="dxa"/>
            <w:vAlign w:val="bottom"/>
          </w:tcPr>
          <w:p>
            <w:pPr>
              <w:jc w:val="center"/>
              <w:ind w:right="2"/>
              <w:spacing w:after="0" w:line="149" w:lineRule="exact"/>
              <w:rPr>
                <w:sz w:val="20"/>
                <w:szCs w:val="20"/>
                <w:color w:val="auto"/>
              </w:rPr>
            </w:pPr>
            <w:r>
              <w:rPr>
                <w:rFonts w:ascii="Arial" w:cs="Arial" w:eastAsia="Arial" w:hAnsi="Arial"/>
                <w:sz w:val="14"/>
                <w:szCs w:val="14"/>
                <w:b w:val="1"/>
                <w:bCs w:val="1"/>
                <w:color w:val="auto"/>
                <w:w w:val="99"/>
              </w:rPr>
              <w:t>Maximum</w:t>
            </w:r>
          </w:p>
        </w:tc>
        <w:tc>
          <w:tcPr>
            <w:tcW w:w="12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920" w:type="dxa"/>
            <w:vAlign w:val="bottom"/>
            <w:vMerge w:val="continue"/>
          </w:tcPr>
          <w:p>
            <w:pPr>
              <w:spacing w:after="0"/>
              <w:rPr>
                <w:sz w:val="12"/>
                <w:szCs w:val="12"/>
                <w:color w:val="auto"/>
              </w:rPr>
            </w:pPr>
          </w:p>
        </w:tc>
        <w:tc>
          <w:tcPr>
            <w:tcW w:w="3020" w:type="dxa"/>
            <w:vAlign w:val="bottom"/>
          </w:tcPr>
          <w:p>
            <w:pPr>
              <w:jc w:val="center"/>
              <w:ind w:left="684"/>
              <w:spacing w:after="0" w:line="149" w:lineRule="exact"/>
              <w:rPr>
                <w:sz w:val="20"/>
                <w:szCs w:val="20"/>
                <w:color w:val="auto"/>
              </w:rPr>
            </w:pPr>
            <w:r>
              <w:rPr>
                <w:rFonts w:ascii="Arial" w:cs="Arial" w:eastAsia="Arial" w:hAnsi="Arial"/>
                <w:sz w:val="14"/>
                <w:szCs w:val="14"/>
                <w:b w:val="1"/>
                <w:bCs w:val="1"/>
                <w:color w:val="auto"/>
                <w:w w:val="89"/>
              </w:rPr>
              <w:t>to be</w:t>
            </w:r>
          </w:p>
        </w:tc>
        <w:tc>
          <w:tcPr>
            <w:tcW w:w="10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Offering Price</w:t>
            </w:r>
          </w:p>
        </w:tc>
        <w:tc>
          <w:tcPr>
            <w:tcW w:w="2200" w:type="dxa"/>
            <w:vAlign w:val="bottom"/>
          </w:tcPr>
          <w:p>
            <w:pPr>
              <w:jc w:val="center"/>
              <w:ind w:right="2"/>
              <w:spacing w:after="0" w:line="149" w:lineRule="exact"/>
              <w:rPr>
                <w:sz w:val="20"/>
                <w:szCs w:val="20"/>
                <w:color w:val="auto"/>
              </w:rPr>
            </w:pPr>
            <w:r>
              <w:rPr>
                <w:rFonts w:ascii="Arial" w:cs="Arial" w:eastAsia="Arial" w:hAnsi="Arial"/>
                <w:sz w:val="14"/>
                <w:szCs w:val="14"/>
                <w:b w:val="1"/>
                <w:bCs w:val="1"/>
                <w:color w:val="auto"/>
                <w:w w:val="92"/>
              </w:rPr>
              <w:t>Aggregate</w:t>
            </w:r>
          </w:p>
        </w:tc>
        <w:tc>
          <w:tcPr>
            <w:tcW w:w="1240" w:type="dxa"/>
            <w:vAlign w:val="bottom"/>
          </w:tcPr>
          <w:p>
            <w:pPr>
              <w:jc w:val="center"/>
              <w:ind w:right="288"/>
              <w:spacing w:after="0" w:line="149" w:lineRule="exact"/>
              <w:rPr>
                <w:sz w:val="20"/>
                <w:szCs w:val="20"/>
                <w:color w:val="auto"/>
              </w:rPr>
            </w:pPr>
            <w:r>
              <w:rPr>
                <w:rFonts w:ascii="Arial" w:cs="Arial" w:eastAsia="Arial" w:hAnsi="Arial"/>
                <w:sz w:val="14"/>
                <w:szCs w:val="14"/>
                <w:b w:val="1"/>
                <w:bCs w:val="1"/>
                <w:color w:val="auto"/>
                <w:w w:val="92"/>
              </w:rPr>
              <w:t>Registration</w:t>
            </w:r>
          </w:p>
        </w:tc>
        <w:tc>
          <w:tcPr>
            <w:tcW w:w="0" w:type="dxa"/>
            <w:vAlign w:val="bottom"/>
          </w:tcPr>
          <w:p>
            <w:pPr>
              <w:spacing w:after="0"/>
              <w:rPr>
                <w:sz w:val="1"/>
                <w:szCs w:val="1"/>
                <w:color w:val="auto"/>
              </w:rPr>
            </w:pPr>
          </w:p>
        </w:tc>
      </w:tr>
      <w:tr>
        <w:trPr>
          <w:trHeight w:val="171"/>
        </w:trPr>
        <w:tc>
          <w:tcPr>
            <w:tcW w:w="3920" w:type="dxa"/>
            <w:vAlign w:val="bottom"/>
            <w:tcBorders>
              <w:bottom w:val="single" w:sz="8" w:color="auto"/>
            </w:tcBorders>
          </w:tcPr>
          <w:p>
            <w:pPr>
              <w:jc w:val="center"/>
              <w:ind w:left="877"/>
              <w:spacing w:after="0"/>
              <w:rPr>
                <w:sz w:val="20"/>
                <w:szCs w:val="20"/>
                <w:color w:val="auto"/>
              </w:rPr>
            </w:pPr>
            <w:r>
              <w:rPr>
                <w:rFonts w:ascii="Arial" w:cs="Arial" w:eastAsia="Arial" w:hAnsi="Arial"/>
                <w:sz w:val="14"/>
                <w:szCs w:val="14"/>
                <w:b w:val="1"/>
                <w:bCs w:val="1"/>
                <w:color w:val="auto"/>
                <w:w w:val="90"/>
              </w:rPr>
              <w:t>be Registered</w:t>
            </w:r>
          </w:p>
        </w:tc>
        <w:tc>
          <w:tcPr>
            <w:tcW w:w="3020" w:type="dxa"/>
            <w:vAlign w:val="bottom"/>
            <w:tcBorders>
              <w:bottom w:val="single" w:sz="8" w:color="auto"/>
            </w:tcBorders>
          </w:tcPr>
          <w:p>
            <w:pPr>
              <w:jc w:val="center"/>
              <w:ind w:left="684"/>
              <w:spacing w:after="0"/>
              <w:rPr>
                <w:sz w:val="20"/>
                <w:szCs w:val="20"/>
                <w:color w:val="auto"/>
              </w:rPr>
            </w:pPr>
            <w:r>
              <w:rPr>
                <w:rFonts w:ascii="Arial" w:cs="Arial" w:eastAsia="Arial" w:hAnsi="Arial"/>
                <w:sz w:val="14"/>
                <w:szCs w:val="14"/>
                <w:b w:val="1"/>
                <w:bCs w:val="1"/>
                <w:color w:val="auto"/>
                <w:w w:val="91"/>
              </w:rPr>
              <w:t>Registered(1)</w:t>
            </w:r>
          </w:p>
        </w:tc>
        <w:tc>
          <w:tcPr>
            <w:tcW w:w="10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Per Share(2)</w:t>
            </w:r>
          </w:p>
        </w:tc>
        <w:tc>
          <w:tcPr>
            <w:tcW w:w="2200" w:type="dxa"/>
            <w:vAlign w:val="bottom"/>
            <w:tcBorders>
              <w:bottom w:val="single" w:sz="8" w:color="auto"/>
            </w:tcBorders>
          </w:tcPr>
          <w:p>
            <w:pPr>
              <w:jc w:val="center"/>
              <w:ind w:right="2"/>
              <w:spacing w:after="0"/>
              <w:rPr>
                <w:sz w:val="20"/>
                <w:szCs w:val="20"/>
                <w:color w:val="auto"/>
              </w:rPr>
            </w:pPr>
            <w:r>
              <w:rPr>
                <w:rFonts w:ascii="Arial" w:cs="Arial" w:eastAsia="Arial" w:hAnsi="Arial"/>
                <w:sz w:val="14"/>
                <w:szCs w:val="14"/>
                <w:b w:val="1"/>
                <w:bCs w:val="1"/>
                <w:color w:val="auto"/>
                <w:w w:val="94"/>
              </w:rPr>
              <w:t>Offering Price</w:t>
            </w:r>
          </w:p>
        </w:tc>
        <w:tc>
          <w:tcPr>
            <w:tcW w:w="1240" w:type="dxa"/>
            <w:vAlign w:val="bottom"/>
            <w:tcBorders>
              <w:bottom w:val="single" w:sz="8" w:color="auto"/>
            </w:tcBorders>
          </w:tcPr>
          <w:p>
            <w:pPr>
              <w:jc w:val="center"/>
              <w:ind w:right="268"/>
              <w:spacing w:after="0"/>
              <w:rPr>
                <w:sz w:val="20"/>
                <w:szCs w:val="20"/>
                <w:color w:val="auto"/>
              </w:rPr>
            </w:pPr>
            <w:r>
              <w:rPr>
                <w:rFonts w:ascii="Arial" w:cs="Arial" w:eastAsia="Arial" w:hAnsi="Arial"/>
                <w:sz w:val="14"/>
                <w:szCs w:val="14"/>
                <w:b w:val="1"/>
                <w:bCs w:val="1"/>
                <w:color w:val="auto"/>
                <w:w w:val="92"/>
              </w:rPr>
              <w:t>Fee(3)</w:t>
            </w:r>
          </w:p>
        </w:tc>
        <w:tc>
          <w:tcPr>
            <w:tcW w:w="0" w:type="dxa"/>
            <w:vAlign w:val="bottom"/>
          </w:tcPr>
          <w:p>
            <w:pPr>
              <w:spacing w:after="0"/>
              <w:rPr>
                <w:sz w:val="1"/>
                <w:szCs w:val="1"/>
                <w:color w:val="auto"/>
              </w:rPr>
            </w:pPr>
          </w:p>
        </w:tc>
      </w:tr>
    </w:tbl>
    <w:p>
      <w:pPr>
        <w:sectPr>
          <w:pgSz w:w="11900" w:h="16838" w:orient="portrait"/>
          <w:cols w:equalWidth="0" w:num="1">
            <w:col w:w="11420"/>
          </w:cols>
          <w:pgMar w:left="240" w:top="229" w:right="239" w:bottom="0" w:gutter="0" w:footer="0" w:header="0"/>
          <w:type w:val="continuous"/>
        </w:sectPr>
      </w:pPr>
    </w:p>
    <w:bookmarkStart w:id="1" w:name="page2"/>
    <w:bookmarkEnd w:id="1"/>
    <w:p>
      <w:pPr>
        <w:ind w:left="180" w:right="100" w:hanging="179"/>
        <w:spacing w:after="0" w:line="258" w:lineRule="auto"/>
        <w:rPr>
          <w:sz w:val="20"/>
          <w:szCs w:val="20"/>
          <w:color w:val="auto"/>
        </w:rPr>
      </w:pPr>
      <w:r>
        <w:rPr>
          <w:rFonts w:ascii="Arial" w:cs="Arial" w:eastAsia="Arial" w:hAnsi="Arial"/>
          <w:sz w:val="18"/>
          <w:szCs w:val="18"/>
          <w:color w:val="auto"/>
        </w:rPr>
        <w:t>Common shares, par value $0.002 per share, issued or to be issued</w:t>
      </w:r>
      <w:r>
        <w:rPr>
          <w:sz w:val="20"/>
          <w:szCs w:val="20"/>
          <w:color w:val="auto"/>
        </w:rPr>
        <w:t xml:space="preserve"> </w:t>
      </w:r>
      <w:r>
        <w:rPr>
          <w:rFonts w:ascii="Arial" w:cs="Arial" w:eastAsia="Arial" w:hAnsi="Arial"/>
          <w:sz w:val="18"/>
          <w:szCs w:val="18"/>
          <w:color w:val="auto"/>
        </w:rPr>
        <w:t>169,277 shares $16.475 $2,788,838.58 $110 pursuant to stock units granted under the Marvell Technology</w:t>
      </w:r>
    </w:p>
    <w:p>
      <w:pPr>
        <w:spacing w:after="0" w:line="216" w:lineRule="exact"/>
        <w:rPr>
          <w:sz w:val="20"/>
          <w:szCs w:val="20"/>
          <w:color w:val="auto"/>
        </w:rPr>
      </w:pPr>
    </w:p>
    <w:p>
      <w:pPr>
        <w:ind w:left="180"/>
        <w:spacing w:after="0"/>
        <w:rPr>
          <w:sz w:val="20"/>
          <w:szCs w:val="20"/>
          <w:color w:val="auto"/>
        </w:rPr>
      </w:pPr>
      <w:r>
        <w:rPr>
          <w:rFonts w:ascii="Arial" w:cs="Arial" w:eastAsia="Arial" w:hAnsi="Arial"/>
          <w:sz w:val="18"/>
          <w:szCs w:val="18"/>
          <w:color w:val="auto"/>
        </w:rPr>
        <w:t>Group Ltd. Amended and Restated 1995 Stock Option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wp:posOffset>
            </wp:positionV>
            <wp:extent cx="72466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 w:lineRule="exact"/>
        <w:rPr>
          <w:sz w:val="20"/>
          <w:szCs w:val="20"/>
          <w:color w:val="auto"/>
        </w:rPr>
      </w:pPr>
    </w:p>
    <w:p>
      <w:pPr>
        <w:ind w:left="340" w:right="140" w:hanging="332"/>
        <w:spacing w:after="0" w:line="269" w:lineRule="auto"/>
        <w:tabs>
          <w:tab w:leader="none" w:pos="340" w:val="left"/>
        </w:tabs>
        <w:numPr>
          <w:ilvl w:val="0"/>
          <w:numId w:val="1"/>
        </w:numPr>
        <w:rPr>
          <w:rFonts w:ascii="Arial" w:cs="Arial" w:eastAsia="Arial" w:hAnsi="Arial"/>
          <w:sz w:val="17"/>
          <w:szCs w:val="17"/>
          <w:color w:val="auto"/>
        </w:rPr>
      </w:pPr>
      <w:r>
        <w:rPr>
          <w:rFonts w:ascii="Arial" w:cs="Arial" w:eastAsia="Arial" w:hAnsi="Arial"/>
          <w:sz w:val="17"/>
          <w:szCs w:val="17"/>
          <w:color w:val="auto"/>
        </w:rPr>
        <w:t>Pursuant to Rule 416(a) of the Securities Act of 1933, as amended (the “Securities Act”), this Registration Statement also covers shares issued pursuant to certain anti-dilution provisions as set forth in the Marvell Technology Group Ltd. Amended and Restated 1995 Stock Option Plan,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2" w:lineRule="exact"/>
        <w:rPr>
          <w:rFonts w:ascii="Arial" w:cs="Arial" w:eastAsia="Arial" w:hAnsi="Arial"/>
          <w:sz w:val="17"/>
          <w:szCs w:val="17"/>
          <w:color w:val="auto"/>
        </w:rPr>
      </w:pPr>
    </w:p>
    <w:p>
      <w:pPr>
        <w:ind w:left="340" w:hanging="332"/>
        <w:spacing w:after="0" w:line="250" w:lineRule="auto"/>
        <w:tabs>
          <w:tab w:leader="none" w:pos="34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purposes of calculating the registration fee in accordance with Rules 457(c) and (h) under the Securities Act of 1933, as amended, on the basis of $16.475, the average of the high and low prices of the Registrant’s common shares on June 18, 2008, as reported on The NASDAQ Global Select Market.</w:t>
      </w:r>
    </w:p>
    <w:p>
      <w:pPr>
        <w:spacing w:after="0" w:line="1" w:lineRule="exact"/>
        <w:rPr>
          <w:rFonts w:ascii="Arial" w:cs="Arial" w:eastAsia="Arial" w:hAnsi="Arial"/>
          <w:sz w:val="18"/>
          <w:szCs w:val="18"/>
          <w:color w:val="auto"/>
        </w:rPr>
      </w:pPr>
    </w:p>
    <w:p>
      <w:pPr>
        <w:ind w:left="340" w:right="120" w:hanging="332"/>
        <w:spacing w:after="0" w:line="261" w:lineRule="auto"/>
        <w:tabs>
          <w:tab w:leader="none" w:pos="340" w:val="left"/>
        </w:tabs>
        <w:numPr>
          <w:ilvl w:val="0"/>
          <w:numId w:val="1"/>
        </w:numPr>
        <w:rPr>
          <w:rFonts w:ascii="Arial" w:cs="Arial" w:eastAsia="Arial" w:hAnsi="Arial"/>
          <w:sz w:val="18"/>
          <w:szCs w:val="18"/>
          <w:color w:val="auto"/>
        </w:rPr>
      </w:pPr>
      <w:r>
        <w:rPr>
          <w:rFonts w:ascii="Arial" w:cs="Arial" w:eastAsia="Arial" w:hAnsi="Arial"/>
          <w:sz w:val="18"/>
          <w:szCs w:val="18"/>
          <w:color w:val="auto"/>
        </w:rPr>
        <w:t>Amount of the Registration Fee was calculated pursuant to Section 6(b) of the Securities Act, and was determined by multiplying the aggregate offering amount by 0.0000393.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192405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 xml:space="preserve">169,277 </w:t>
      </w:r>
      <w:r>
        <w:rPr>
          <w:rFonts w:ascii="Arial" w:cs="Arial" w:eastAsia="Arial" w:hAnsi="Arial"/>
          <w:sz w:val="17"/>
          <w:szCs w:val="17"/>
          <w:b w:val="1"/>
          <w:bCs w:val="1"/>
          <w:color w:val="auto"/>
        </w:rPr>
        <w:t>Shares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Common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223520</wp:posOffset>
            </wp:positionV>
            <wp:extent cx="182689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firstLine="648"/>
        <w:spacing w:after="0" w:line="253" w:lineRule="auto"/>
        <w:rPr>
          <w:sz w:val="20"/>
          <w:szCs w:val="20"/>
          <w:color w:val="auto"/>
        </w:rPr>
      </w:pPr>
      <w:r>
        <w:rPr>
          <w:rFonts w:ascii="Arial" w:cs="Arial" w:eastAsia="Arial" w:hAnsi="Arial"/>
          <w:sz w:val="18"/>
          <w:szCs w:val="18"/>
          <w:color w:val="auto"/>
        </w:rPr>
        <w:t>This prospectus relates to the registration of up to 169,277 of our common shares (the “Shares”), which may be offered from time to time by certain of our shareholders (the “Selling Shareholders”) for their own accounts. We will receive no part of the proceeds from sales made hereunder. The Shares were issued or are issuable by the Selling Shareholders upon vesting of stock units awards granted under our Amended and Restated 1995 Stock Option Plan. The Shares may be offered by the Selling Shareholders from time to time in one or more transactions in the over-the-counter market at prices prevailing therein, in negotiated transactions at such prices as may be agreed upon, or in a combination of such methods of sale. See “Plan of Distribution.” The price at which any of the Shares may be sold, and the commissions, if any, paid in connection with any such sale, are unknown and may vary from transaction to transaction. The Selling Shareholders will bear all sales commissions and similar expenses. Any other expenses incurred by us in connection with the registration and offering that are not borne by the Selling Shareholders will be borne by us. None of the Shares have been registered prior to the filing of this Registration Statement on Form S-8/S-3 (herein, together with all amendments and exhibits, referred to as the “Registration Statement”) of which this prospectus is a part.</w:t>
      </w:r>
    </w:p>
    <w:p>
      <w:pPr>
        <w:spacing w:after="0" w:line="195"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Our common shares have been quoted on The NASDAQ Global Select Market under the symbol “MRVL” since June 27, 2000. Prior to that time, there was no public market for our common shares. On June 19, 2008, the last sale price for our common shares as reported on The NASDAQ Global Select Market was $17.50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193040</wp:posOffset>
            </wp:positionV>
            <wp:extent cx="182689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right="440" w:firstLine="648"/>
        <w:spacing w:after="0" w:line="282" w:lineRule="auto"/>
        <w:rPr>
          <w:sz w:val="20"/>
          <w:szCs w:val="20"/>
          <w:color w:val="auto"/>
        </w:rPr>
      </w:pPr>
      <w:r>
        <w:rPr>
          <w:rFonts w:ascii="Arial" w:cs="Arial" w:eastAsia="Arial" w:hAnsi="Arial"/>
          <w:sz w:val="18"/>
          <w:szCs w:val="18"/>
          <w:b w:val="1"/>
          <w:bCs w:val="1"/>
          <w:color w:val="auto"/>
        </w:rPr>
        <w:t>This offering involves material risks. See “Risk Factors” on page 4 for a discussion of factors that should be considered by prospective investors of the Shares offered by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182880</wp:posOffset>
            </wp:positionV>
            <wp:extent cx="182689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392" w:lineRule="exact"/>
        <w:rPr>
          <w:sz w:val="20"/>
          <w:szCs w:val="20"/>
          <w:color w:val="auto"/>
        </w:rPr>
      </w:pPr>
    </w:p>
    <w:p>
      <w:pPr>
        <w:ind w:right="360" w:firstLine="648"/>
        <w:spacing w:after="0" w:line="279" w:lineRule="auto"/>
        <w:rPr>
          <w:sz w:val="20"/>
          <w:szCs w:val="20"/>
          <w:color w:val="auto"/>
        </w:rPr>
      </w:pPr>
      <w:r>
        <w:rPr>
          <w:rFonts w:ascii="Arial" w:cs="Arial" w:eastAsia="Arial" w:hAnsi="Arial"/>
          <w:sz w:val="17"/>
          <w:szCs w:val="17"/>
          <w:color w:val="auto"/>
        </w:rPr>
        <w:t>The Securities and Exchange Commission (the “SEC”) may take the view that, under certain circumstances, the Selling Shareholders and any broker-dealers or agents that participate with the Selling Shareholders in the distribution of the Shares may be deemed to be “underwriters” within the meaning of the Securities Act of 1933, as amended (the “Securities Act”). Commissions, discounts or concessions received by any such broker-dealer or agent may be deemed to be underwriting commissions under the Securities Act. See “Plan of Distribution.”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186690</wp:posOffset>
            </wp:positionV>
            <wp:extent cx="182689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THESE SECURITIES HAVE NOT BEEN APPROVED OR DISAPPROVED BY THE SECURITIES AND EXCHANGE COMMISSION OR ANY</w:t>
      </w:r>
    </w:p>
    <w:p>
      <w:pPr>
        <w:spacing w:after="0" w:line="27" w:lineRule="exact"/>
        <w:rPr>
          <w:sz w:val="20"/>
          <w:szCs w:val="20"/>
          <w:color w:val="auto"/>
        </w:rPr>
      </w:pPr>
    </w:p>
    <w:p>
      <w:pPr>
        <w:jc w:val="center"/>
        <w:ind w:left="260" w:right="360"/>
        <w:spacing w:after="0" w:line="255" w:lineRule="auto"/>
        <w:rPr>
          <w:sz w:val="20"/>
          <w:szCs w:val="20"/>
          <w:color w:val="auto"/>
        </w:rPr>
      </w:pPr>
      <w:r>
        <w:rPr>
          <w:rFonts w:ascii="Arial" w:cs="Arial" w:eastAsia="Arial" w:hAnsi="Arial"/>
          <w:sz w:val="18"/>
          <w:szCs w:val="18"/>
          <w:b w:val="1"/>
          <w:bCs w:val="1"/>
          <w:color w:val="auto"/>
        </w:rPr>
        <w:t>STATE SECURITIES COMMISSION NOR HAS THE SECURITIES AND EXCHANGE COMMISSION OR ANY STATE SECURITIES COMMISSION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198755</wp:posOffset>
            </wp:positionV>
            <wp:extent cx="182689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Prospectus dated June 20,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right="360" w:firstLine="648"/>
        <w:spacing w:after="0" w:line="297"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devices leveraging our extensive portfolio of intellectual property in the areas of analog, mixed-signal, digital signal processing and embedded ARM-based microprocessor integrated circuits. Our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w:t>
      </w:r>
    </w:p>
    <w:p>
      <w:pPr>
        <w:sectPr>
          <w:pgSz w:w="11900" w:h="16838" w:orient="portrait"/>
          <w:cols w:equalWidth="0" w:num="1">
            <w:col w:w="11400"/>
          </w:cols>
          <w:pgMar w:left="240" w:top="125" w:right="259" w:bottom="0" w:gutter="0" w:footer="0" w:header="0"/>
        </w:sectPr>
      </w:pPr>
    </w:p>
    <w:bookmarkStart w:id="2" w:name="page3"/>
    <w:bookmarkEnd w:id="2"/>
    <w:p>
      <w:pPr>
        <w:ind w:right="520"/>
        <w:spacing w:after="0" w:line="277" w:lineRule="auto"/>
        <w:rPr>
          <w:sz w:val="20"/>
          <w:szCs w:val="20"/>
          <w:color w:val="auto"/>
        </w:rPr>
      </w:pPr>
      <w:r>
        <w:rPr>
          <w:rFonts w:ascii="Arial" w:cs="Arial" w:eastAsia="Arial" w:hAnsi="Arial"/>
          <w:sz w:val="18"/>
          <w:szCs w:val="18"/>
          <w:color w:val="auto"/>
        </w:rPr>
        <w:t>applications used in carrier, metropolitan, enterprise and PC-client data communications and storage systems. Additionally, we serve the market for the convergence of voice, video and data applications in the consumer electronics market.</w:t>
      </w:r>
    </w:p>
    <w:p>
      <w:pPr>
        <w:spacing w:after="0" w:line="170"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color w:val="auto"/>
        </w:rPr>
        <w:t>Our core technologies were initially focused on the storage market, where we provide high-performance products to storage companies such as Fujitsu, Hitachi, Samsung, Seagate, Toshiba and Western Digital Corporation. We subsequently applied our technology to the broadband communications market, where we provide industry-leading physical layer transceivers, wired and wireless Ethernet-switching solutions that enable the data transmission between communications systems to manufacturers of high-speed networking and wireless equipment including ASUSTeK, Cisco Systems, Inc., 3Com Corporation, Dell Inc., Juniper Networks, Inc., Foundry Networks, Inc., Intel Corporation and NETGEAR, Inc. Our wireless technology has a variety of uses in emerging consumer electronic devices, including enabling applications such as wireless connectivity, ad-hoc gaming, streaming audio, video and voice over Internet applications for products offered by companies such as Microsoft Corporation, Motorola, Inc., Palm, Inc. and Sony Corporation.</w:t>
      </w:r>
    </w:p>
    <w:p>
      <w:pPr>
        <w:spacing w:after="0" w:line="167" w:lineRule="exact"/>
        <w:rPr>
          <w:sz w:val="20"/>
          <w:szCs w:val="20"/>
          <w:color w:val="auto"/>
        </w:rPr>
      </w:pPr>
    </w:p>
    <w:p>
      <w:pPr>
        <w:ind w:right="140" w:firstLine="648"/>
        <w:spacing w:after="0" w:line="279" w:lineRule="auto"/>
        <w:rPr>
          <w:sz w:val="20"/>
          <w:szCs w:val="20"/>
          <w:color w:val="auto"/>
        </w:rPr>
      </w:pPr>
      <w:r>
        <w:rPr>
          <w:rFonts w:ascii="Arial" w:cs="Arial" w:eastAsia="Arial" w:hAnsi="Arial"/>
          <w:sz w:val="17"/>
          <w:szCs w:val="17"/>
          <w:color w:val="auto"/>
        </w:rPr>
        <w:t>In fiscal 2007, we acquired the communications and application processor business from Intel, providing us with cellular and handheld solutions with customers such as Research in Motion Limited, Motorola and Palm. Also, during fiscal 2007, we acquired the printer semiconductor division from Avago Technologies Limited, which provides system-on-a-chip and system level solutions for both inkjet and laser jet printer systems. We also have applied our technology by introducing integrated circuits and modules that provide power management broadly to electronic devices.</w:t>
      </w:r>
    </w:p>
    <w:p>
      <w:pPr>
        <w:spacing w:after="0" w:line="171" w:lineRule="exact"/>
        <w:rPr>
          <w:sz w:val="20"/>
          <w:szCs w:val="20"/>
          <w:color w:val="auto"/>
        </w:rPr>
      </w:pPr>
    </w:p>
    <w:p>
      <w:pPr>
        <w:ind w:right="140" w:firstLine="360"/>
        <w:spacing w:after="0" w:line="302" w:lineRule="auto"/>
        <w:rPr>
          <w:sz w:val="20"/>
          <w:szCs w:val="20"/>
          <w:color w:val="auto"/>
        </w:rPr>
      </w:pPr>
      <w:r>
        <w:rPr>
          <w:rFonts w:ascii="Arial" w:cs="Arial" w:eastAsia="Arial" w:hAnsi="Arial"/>
          <w:sz w:val="16"/>
          <w:szCs w:val="16"/>
          <w:color w:val="auto"/>
        </w:rPr>
        <w:t>We were incorporated in Bermuda in January 1995. Our registered address is Canon’s Court, 22 Victoria Street, Hamilton HM 12, Bermuda, and our telephone number there is (441) 296-6395. The address of our United States subsidiary is Marvell Semiconductor, Inc., 5488 Marvell Lane, Santa Clara, California 95054, and our telephone number there is (408) 222-2500. We also have offices in many countries including Israel, Singapore, Germany, Canada, China, India, Italy, Japan, Korea, Malaysia, Switzerland, Taiwan and the United Kingdom. Our fiscal year ends on the Saturday nearest January 31.</w:t>
      </w:r>
    </w:p>
    <w:p>
      <w:pPr>
        <w:spacing w:after="0" w:line="154" w:lineRule="exact"/>
        <w:rPr>
          <w:sz w:val="20"/>
          <w:szCs w:val="20"/>
          <w:color w:val="auto"/>
        </w:rPr>
      </w:pPr>
    </w:p>
    <w:p>
      <w:pPr>
        <w:ind w:right="20" w:firstLine="363"/>
        <w:spacing w:after="0" w:line="289" w:lineRule="auto"/>
        <w:rPr>
          <w:sz w:val="20"/>
          <w:szCs w:val="20"/>
          <w:color w:val="auto"/>
        </w:rPr>
      </w:pPr>
      <w:r>
        <w:rPr>
          <w:rFonts w:ascii="Arial" w:cs="Arial" w:eastAsia="Arial" w:hAnsi="Arial"/>
          <w:sz w:val="17"/>
          <w:szCs w:val="17"/>
          <w:color w:val="auto"/>
        </w:rPr>
        <w:t xml:space="preserve">Our website address is located at www.marvell.com. The information contained in our website does not form any part of this Registration </w:t>
      </w:r>
      <w:r>
        <w:rPr>
          <w:rFonts w:ascii="Arial" w:cs="Arial" w:eastAsia="Arial" w:hAnsi="Arial"/>
          <w:sz w:val="16"/>
          <w:szCs w:val="16"/>
          <w:color w:val="auto"/>
        </w:rPr>
        <w:t>Statement on</w:t>
      </w:r>
      <w:r>
        <w:rPr>
          <w:rFonts w:ascii="Arial" w:cs="Arial" w:eastAsia="Arial" w:hAnsi="Arial"/>
          <w:sz w:val="17"/>
          <w:szCs w:val="17"/>
          <w:color w:val="auto"/>
        </w:rPr>
        <w:t xml:space="preserve"> </w:t>
      </w:r>
      <w:r>
        <w:rPr>
          <w:rFonts w:ascii="Arial" w:cs="Arial" w:eastAsia="Arial" w:hAnsi="Arial"/>
          <w:sz w:val="16"/>
          <w:szCs w:val="16"/>
          <w:color w:val="auto"/>
        </w:rPr>
        <w:t>Form S-8/S-3.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SEC.</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440" w:firstLine="648"/>
        <w:spacing w:after="0" w:line="273" w:lineRule="auto"/>
        <w:rPr>
          <w:sz w:val="20"/>
          <w:szCs w:val="20"/>
          <w:color w:val="auto"/>
        </w:rPr>
      </w:pPr>
      <w:r>
        <w:rPr>
          <w:rFonts w:ascii="Arial" w:cs="Arial" w:eastAsia="Arial" w:hAnsi="Arial"/>
          <w:sz w:val="17"/>
          <w:szCs w:val="17"/>
          <w:color w:val="auto"/>
        </w:rPr>
        <w:t>This prospectus and the documents incorporated herein by reference contain forward-looking statements that are based on current expectations, estimates and projections about our industry, management’s beliefs, and assumptions made by management. Words such as “anticipates,” “expects,” “intends,” “plans,” “believes,” “seeks,” “estimates,” variations of such words and similar expressions are intended to identify such forward-looking statements. These statements are not guarantees of future performance and are subject to certain risks, uncertainties and assumptions that are difficult to predict; therefore, actual results may differ materially from those expressed or forecasted in any such forward-looking statements. Such risks and uncertainties include those set forth herein under “Risk Factors,” as well as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those noted in the documents incorporated herein by reference. We undertake no obligation to update publicly any forward-looking statements, whether as a result of new information, future events or otherwise.</w:t>
      </w:r>
    </w:p>
    <w:p>
      <w:pPr>
        <w:spacing w:after="0" w:line="170"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In this prospectus, “we,” “us” and “our” refer to Marvell Technology Group Ltd. In this prospectus, we refer to the fiscal year ended January 27, 2007 as fiscal 2007 and the fiscal year ended February 2, 2008 as fiscal 2008.</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 * * *</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right="200" w:firstLine="648"/>
        <w:spacing w:after="0" w:line="342" w:lineRule="auto"/>
        <w:rPr>
          <w:sz w:val="20"/>
          <w:szCs w:val="20"/>
          <w:color w:val="auto"/>
        </w:rPr>
      </w:pPr>
      <w:r>
        <w:rPr>
          <w:rFonts w:ascii="Arial" w:cs="Arial" w:eastAsia="Arial" w:hAnsi="Arial"/>
          <w:sz w:val="16"/>
          <w:szCs w:val="16"/>
          <w:i w:val="1"/>
          <w:iCs w:val="1"/>
          <w:color w:val="auto"/>
        </w:rPr>
        <w:t>The Shares offered hereby are speculative in nature and involve a high degree of risk. The following risk factors should be considered carefully, in addition to the other information contained in the documents incorporated by reference herein, before purchasing the Shares offered hereby.</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continues to serve in a non-management role. Our current interim Chief Financial Officer, who joined us in January 2008, will become Acting Chief Operating Officer after our newly appointed Chief Financial Officer joins us later this month. Also, the general counsel of our U.S. operating subsidiary was terminated in March 2007. We have not yet recruited permanent replacements for our Chief Operating Officer and General Counsel positions, and if we cannot recruit qualified permanent replacements for such positions, our business may suffer. Moreover, we continue to search for new independent directors to fill the existing vacancies on our Board of Directors, and one of the independent directors currently on our Board of Directors joined our Board of Directors in October 2007. One of the independent directors will succeed Dr. Sehat Sutardja as Chairman of the Board. Although we will endeavor to implement any director and management transition as nondisruptive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ectPr>
          <w:pgSz w:w="11900" w:h="16838" w:orient="portrait"/>
          <w:cols w:equalWidth="0" w:num="1">
            <w:col w:w="11420"/>
          </w:cols>
          <w:pgMar w:left="240" w:top="125" w:right="239" w:bottom="0" w:gutter="0" w:footer="0" w:header="0"/>
        </w:sectPr>
      </w:pPr>
    </w:p>
    <w:bookmarkStart w:id="3" w:name="page4"/>
    <w:bookmarkEnd w:id="3"/>
    <w:p>
      <w:pPr>
        <w:ind w:right="300"/>
        <w:spacing w:after="0" w:line="286" w:lineRule="auto"/>
        <w:rPr>
          <w:sz w:val="20"/>
          <w:szCs w:val="20"/>
          <w:color w:val="auto"/>
        </w:rPr>
      </w:pPr>
      <w:r>
        <w:rPr>
          <w:rFonts w:ascii="Arial" w:cs="Arial" w:eastAsia="Arial" w:hAnsi="Arial"/>
          <w:sz w:val="17"/>
          <w:szCs w:val="17"/>
          <w:b w:val="1"/>
          <w:bCs w:val="1"/>
          <w:i w:val="1"/>
          <w:iCs w:val="1"/>
          <w:color w:val="auto"/>
        </w:rPr>
        <w:t>A number of our current and former executive officers and directors have been named as parties to several purported shareholder derivative and class action lawsuits relating to our historic stock option granting practices, and there is a possibility of additional lawsuits, all of which could require significant management time and attention and result in significant legal expenses.</w:t>
      </w:r>
    </w:p>
    <w:p>
      <w:pPr>
        <w:spacing w:after="0" w:line="166"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color w:val="auto"/>
        </w:rPr>
        <w:t>We are subject to a number of consolidated shareholder derivative lawsuits brought purportedly on behalf of us against certain of our current and former executive officers and board members relating to our historic stock option grant practices. We are named as a nominal defendant in these lawsuits. The parties to these consolidated shareholder derivative lawsuits have reached a tentative settlement. In addition, consolidated putative shareholder class action lawsuits have been filed against us and certain of our officers and directors that allege violations of the federal securities laws in connection with our historic stock option granting practices. We and our current and former executive officers and board members may in the future be subject to additional litigation relating to our historic stock option granting practices. Subject to certain limitations, we are obligated to indemnify our current and former directors, officers and employees in connection with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pacing w:after="0" w:line="18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purported class action and shareholder derivative lawsuits relating to our historic stock option granting practices, and we may be named in additional litigation, all of which could cause our business, financial condition, results of operations and cash flows to suffer.</w:t>
      </w:r>
    </w:p>
    <w:p>
      <w:pPr>
        <w:spacing w:after="0" w:line="181" w:lineRule="exact"/>
        <w:rPr>
          <w:sz w:val="20"/>
          <w:szCs w:val="20"/>
          <w:color w:val="auto"/>
        </w:rPr>
      </w:pPr>
    </w:p>
    <w:p>
      <w:pPr>
        <w:jc w:val="both"/>
        <w:ind w:right="480" w:firstLine="243"/>
        <w:spacing w:after="0" w:line="264" w:lineRule="auto"/>
        <w:rPr>
          <w:sz w:val="20"/>
          <w:szCs w:val="20"/>
          <w:color w:val="auto"/>
        </w:rPr>
      </w:pPr>
      <w:r>
        <w:rPr>
          <w:rFonts w:ascii="Arial" w:cs="Arial" w:eastAsia="Arial" w:hAnsi="Arial"/>
          <w:sz w:val="18"/>
          <w:szCs w:val="18"/>
          <w:color w:val="auto"/>
        </w:rPr>
        <w:t>We have been named as a nominal defendant in purported shareholder derivative actions that name a number of our current and former directors and officers as defendants and that seek to recover damages purportedly sustained by us in connection with our historic stock option granting practices. The parties in the consolidated derivative lawsuit have</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spacing w:after="0" w:line="271" w:lineRule="auto"/>
        <w:rPr>
          <w:sz w:val="20"/>
          <w:szCs w:val="20"/>
          <w:color w:val="auto"/>
        </w:rPr>
      </w:pPr>
      <w:r>
        <w:rPr>
          <w:rFonts w:ascii="Arial" w:cs="Arial" w:eastAsia="Arial" w:hAnsi="Arial"/>
          <w:sz w:val="17"/>
          <w:szCs w:val="17"/>
          <w:color w:val="auto"/>
        </w:rPr>
        <w:t>reached a tentative settlement. In addition, putative class actions have been filed against us and certain of our officers and directors that allege violations of the federal securities laws in connection with our historic option granting practices, which seek to recover damages. We and our current and former executive officers and board members may in the future be subject to additional litigation relating to our historic stock option granting practices.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An unfavorable outcome in these litigations could exceed the proceeds obtained from a recent settlement and policy release with our directors and officers liability insurers and could have a material adverse effect on our business, financial condition, financial results, results of operations and cash flows, including potential impacts to certain covenants in our existing credit agreement.</w:t>
      </w:r>
    </w:p>
    <w:p>
      <w:pPr>
        <w:spacing w:after="0" w:line="17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actions requires the court’s preliminary and final approval, and may not be approved by the court.</w:t>
      </w:r>
    </w:p>
    <w:p>
      <w:pPr>
        <w:spacing w:after="0" w:line="170"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On or about March 5, 2008, the parties entered into a memorandum of understanding that tentatively settles and resolves the pending consolidated derivative action. This tentative settlement of the derivative actions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187" w:lineRule="exact"/>
        <w:rPr>
          <w:sz w:val="20"/>
          <w:szCs w:val="20"/>
          <w:color w:val="auto"/>
        </w:rPr>
      </w:pPr>
    </w:p>
    <w:p>
      <w:pPr>
        <w:jc w:val="both"/>
        <w:ind w:right="660"/>
        <w:spacing w:after="0" w:line="264" w:lineRule="auto"/>
        <w:rPr>
          <w:sz w:val="20"/>
          <w:szCs w:val="20"/>
          <w:color w:val="auto"/>
        </w:rPr>
      </w:pPr>
      <w:r>
        <w:rPr>
          <w:rFonts w:ascii="Arial" w:cs="Arial" w:eastAsia="Arial" w:hAnsi="Arial"/>
          <w:sz w:val="18"/>
          <w:szCs w:val="18"/>
          <w:b w:val="1"/>
          <w:bCs w:val="1"/>
          <w:i w:val="1"/>
          <w:iCs w:val="1"/>
          <w:color w:val="auto"/>
        </w:rPr>
        <w:t>Matters related to the internal review of our historic stock option granting practices and the restatement of our financial statements may result in additional litigation, regulatory proceedings and government enforcement actions, and could have a negative impact on our reputation, business, financial condition and financial results.</w:t>
      </w:r>
    </w:p>
    <w:p>
      <w:pPr>
        <w:spacing w:after="0" w:line="181" w:lineRule="exact"/>
        <w:rPr>
          <w:sz w:val="20"/>
          <w:szCs w:val="20"/>
          <w:color w:val="auto"/>
        </w:rPr>
      </w:pPr>
    </w:p>
    <w:p>
      <w:pPr>
        <w:ind w:firstLine="243"/>
        <w:spacing w:after="0" w:line="285"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We may become the subject of additional private or government actions regarding these matters in the future. We provided the results of our internal review to the SEC and the United States Attorney’s Office for the Northern District of California, and in that regard responded to formal and informal requests for documents and additional information. As discussed above, the SEC conducted first an informal and then a formal investigation of our historic stock option grant practices. On May 8, 2008, we announced that we had reached an agreement with the SEC to settle this matter. In a related agreement, Weili Dai also entered into a settlement with the SEC. The Court entered into the final judgment against Ms. Dai on June 16, 2008. We are awaiting the entry of the final judgment against us. Although this settlement will conclude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 The resolution of these matters has been and will be time consuming and expensive, and may require the time and attention of our management. Subject to certain limitations, we are obligated to indemnify our current and former directors, officers and employees in connection with the shareholder litigation, as well as the government investigations of our historic stock option granting practices and any subsequent litigation. 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ongoing government investigations, and the pending shareholder derivative and class action litigation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our board and management, and our revenue, net income, expenses, results of operations, profitability, earnings-per-share and cash flows.</w:t>
      </w:r>
    </w:p>
    <w:p>
      <w:pPr>
        <w:spacing w:after="0" w:line="175"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160" w:firstLine="243"/>
        <w:spacing w:after="0" w:line="279" w:lineRule="auto"/>
        <w:rPr>
          <w:sz w:val="20"/>
          <w:szCs w:val="20"/>
          <w:color w:val="auto"/>
        </w:rPr>
      </w:pPr>
      <w:r>
        <w:rPr>
          <w:rFonts w:ascii="Arial" w:cs="Arial" w:eastAsia="Arial" w:hAnsi="Arial"/>
          <w:sz w:val="17"/>
          <w:szCs w:val="17"/>
          <w:color w:val="auto"/>
        </w:rPr>
        <w:t>On July 31, 2001, a putative class action suit was filed against two investment banks that participated in the underwriting of our initial public offering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investment clients in violation of Section 10(b) of the Exchange Act. Thereafter, on</w:t>
      </w:r>
    </w:p>
    <w:p>
      <w:pPr>
        <w:sectPr>
          <w:pgSz w:w="11900" w:h="16838" w:orient="portrait"/>
          <w:cols w:equalWidth="0" w:num="1">
            <w:col w:w="11420"/>
          </w:cols>
          <w:pgMar w:left="240" w:top="125" w:right="239" w:bottom="111" w:gutter="0" w:footer="0" w:header="0"/>
        </w:sectPr>
      </w:pP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11" w:gutter="0" w:footer="0" w:header="0"/>
          <w:type w:val="continuous"/>
        </w:sectPr>
      </w:pPr>
    </w:p>
    <w:bookmarkStart w:id="4" w:name="page5"/>
    <w:bookmarkEnd w:id="4"/>
    <w:p>
      <w:pPr>
        <w:ind w:right="20"/>
        <w:spacing w:after="0" w:line="285" w:lineRule="auto"/>
        <w:rPr>
          <w:sz w:val="20"/>
          <w:szCs w:val="20"/>
          <w:color w:val="auto"/>
        </w:rPr>
      </w:pPr>
      <w:r>
        <w:rPr>
          <w:rFonts w:ascii="Arial" w:cs="Arial" w:eastAsia="Arial" w:hAnsi="Arial"/>
          <w:sz w:val="16"/>
          <w:szCs w:val="16"/>
          <w:color w:val="auto"/>
        </w:rPr>
        <w:t>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in which we were not named as a defendant, plaintiffs allege that the defendants violated various provisions of the Securities Act and the Exchange Act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section 11 of the Securities Act and section 10(b) of the Exchange Act.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us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defendants in the six focus cases filed briefs opposing plaintiffs’ motion for class certification. The parties have also fully briefed a motion to dismiss by defendants in the six focus cases. The court has not yet set a hearing date for either of those motions.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384" w:lineRule="exact"/>
        <w:rPr>
          <w:sz w:val="20"/>
          <w:szCs w:val="20"/>
          <w:color w:val="auto"/>
        </w:rPr>
      </w:pPr>
    </w:p>
    <w:p>
      <w:pPr>
        <w:ind w:right="240"/>
        <w:spacing w:after="0" w:line="302"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54"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We have assessed that we continue to have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243"/>
        <w:spacing w:after="0" w:line="286" w:lineRule="auto"/>
        <w:rPr>
          <w:sz w:val="20"/>
          <w:szCs w:val="20"/>
          <w:color w:val="auto"/>
        </w:rPr>
      </w:pPr>
      <w:r>
        <w:rPr>
          <w:rFonts w:ascii="Arial" w:cs="Arial" w:eastAsia="Arial" w:hAnsi="Arial"/>
          <w:sz w:val="16"/>
          <w:szCs w:val="16"/>
          <w:color w:val="auto"/>
        </w:rPr>
        <w:t>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of 2002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the effectiveness of our internal control over financial reporting required under the Sarbanes-Oxley Act of 2002.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of 2002 or that management or our auditors will conclude that our internal control over financial reporting is effective in future periods.</w:t>
      </w:r>
    </w:p>
    <w:p>
      <w:pPr>
        <w:spacing w:after="0" w:line="17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248"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Recent U.S. sub-prime mortgage defaults have had a significant impact across various sectors of the financial markets, causing global credit and liquidity issues. The short-term funding markets experienced credit issues during the second half of calendar 2007 and continuing into the first and second quarter of calendar 2008, leading to liquidity disruption in asset-backed commercial paper and failed auctions in the auction rate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88"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As of May 3,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ind w:right="340"/>
        <w:spacing w:after="0" w:line="323" w:lineRule="auto"/>
        <w:rPr>
          <w:sz w:val="20"/>
          <w:szCs w:val="20"/>
          <w:color w:val="auto"/>
        </w:rPr>
      </w:pPr>
      <w:r>
        <w:rPr>
          <w:rFonts w:ascii="Arial" w:cs="Arial" w:eastAsia="Arial" w:hAnsi="Arial"/>
          <w:sz w:val="16"/>
          <w:szCs w:val="16"/>
          <w:color w:val="auto"/>
        </w:rPr>
        <w:t>30 years and whose interest rates are reset every seven to thirty five days through an auction process. At the end of each reset period, investors can sell or continue to hold the securities at par. Our auction rate securities are all backed by student loans originated under the Federal Family Education Loan</w:t>
      </w:r>
    </w:p>
    <w:p>
      <w:pPr>
        <w:sectPr>
          <w:pgSz w:w="11900" w:h="16838" w:orient="portrait"/>
          <w:cols w:equalWidth="0" w:num="1">
            <w:col w:w="11400"/>
          </w:cols>
          <w:pgMar w:left="240" w:top="341" w:right="259" w:bottom="0" w:gutter="0" w:footer="0" w:header="0"/>
        </w:sectPr>
      </w:pPr>
    </w:p>
    <w:bookmarkStart w:id="5" w:name="page6"/>
    <w:bookmarkEnd w:id="5"/>
    <w:p>
      <w:pPr>
        <w:spacing w:after="0" w:line="13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Program, and are over-collateralized, insured and guaranteed by the United States Federal Department of Education. All auction rate securities held by us are rated by the major independent rating agencies as either AAA or Aaa at the time of purchase.</w:t>
      </w:r>
    </w:p>
    <w:p>
      <w:pPr>
        <w:spacing w:after="0" w:line="170"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 failures of the auctions are not believed to be a credit issue, but rather caused by a lack of liquidity. Due to the failure of auctions, we used a discounted cash flow model to estimate the fair value of the auction rate securities as of May 3, 2008. The assumptions used in preparing the discounted cash flow model included estimates for the amount and timing of future interest and principal payments, the collateralization of underlying security investments, the credit worthiness of the issuer and the rate of return required by investors to own these securities in the current environment, including call premium and liquidity premium. During the three month period ended May 3, 2008, we recorded a temporary impairment charge of $1.7 million calculated using a discounted cash flow model, in accumulated other comprehensive income, a component of shareholders’ equity. When evaluating whether the impairment of the investments are temporary or other than temporary, we reviewed factors such as the length of time and extent to which fair value has been below cost basis and our ability and intent to hold the investment for a period of time which may be sufficient for anticipated recovery in market value.</w:t>
      </w:r>
    </w:p>
    <w:p>
      <w:pPr>
        <w:spacing w:after="0" w:line="178" w:lineRule="exact"/>
        <w:rPr>
          <w:sz w:val="20"/>
          <w:szCs w:val="20"/>
          <w:color w:val="auto"/>
        </w:rPr>
      </w:pPr>
    </w:p>
    <w:p>
      <w:pPr>
        <w:jc w:val="both"/>
        <w:ind w:right="80" w:firstLine="259"/>
        <w:spacing w:after="0" w:line="312" w:lineRule="auto"/>
        <w:rPr>
          <w:sz w:val="20"/>
          <w:szCs w:val="20"/>
          <w:color w:val="auto"/>
        </w:rPr>
      </w:pPr>
      <w:r>
        <w:rPr>
          <w:rFonts w:ascii="Arial" w:cs="Arial" w:eastAsia="Arial" w:hAnsi="Arial"/>
          <w:sz w:val="16"/>
          <w:szCs w:val="16"/>
          <w:color w:val="auto"/>
        </w:rPr>
        <w:t>While the recent auction failures will limit our ability to liquidate these investments, we do not believe that the auction failures will materially impact our ability to fund our working capital needs, capital expenditures or other business requirements. We believe that we have the ability to hold these securities for a period longer than 12 months. However, at the reporting date, it is not certain when liquidity will return to the markets, or if any other secondary</w:t>
      </w:r>
    </w:p>
    <w:p>
      <w:pPr>
        <w:spacing w:after="0" w:line="14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markets will become available, we have continued to classify these auction rate securities in long-term investments as of May 3, 2008.</w:t>
      </w:r>
    </w:p>
    <w:p>
      <w:pPr>
        <w:spacing w:after="0" w:line="225" w:lineRule="exact"/>
        <w:rPr>
          <w:sz w:val="20"/>
          <w:szCs w:val="20"/>
          <w:color w:val="auto"/>
        </w:rPr>
      </w:pPr>
    </w:p>
    <w:p>
      <w:pPr>
        <w:ind w:right="140" w:firstLine="243"/>
        <w:spacing w:after="0" w:line="276" w:lineRule="auto"/>
        <w:rPr>
          <w:sz w:val="20"/>
          <w:szCs w:val="20"/>
          <w:color w:val="auto"/>
        </w:rPr>
      </w:pPr>
      <w:r>
        <w:rPr>
          <w:rFonts w:ascii="Arial" w:cs="Arial" w:eastAsia="Arial" w:hAnsi="Arial"/>
          <w:sz w:val="17"/>
          <w:szCs w:val="17"/>
          <w:color w:val="auto"/>
        </w:rPr>
        <w:t>We will continue to evaluate the impact of these failed auctions on the fair value of the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 Further, if the fair value of these securities is determined to be other than temporarily impaired, we may be required to record a loss which could materially affect our statement of operations.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are numerous risks with our acquisition of the communications and application processor business of Intel</w:t>
      </w:r>
      <w:r>
        <w:rPr>
          <w:rFonts w:ascii="Arial" w:cs="Arial" w:eastAsia="Arial" w:hAnsi="Arial"/>
          <w:sz w:val="18"/>
          <w:szCs w:val="18"/>
          <w:color w:val="auto"/>
        </w:rPr>
        <w:t>.</w:t>
      </w:r>
    </w:p>
    <w:p>
      <w:pPr>
        <w:spacing w:after="0" w:line="225" w:lineRule="exact"/>
        <w:rPr>
          <w:sz w:val="20"/>
          <w:szCs w:val="20"/>
          <w:color w:val="auto"/>
        </w:rPr>
      </w:pPr>
    </w:p>
    <w:p>
      <w:pPr>
        <w:ind w:right="20" w:firstLine="243"/>
        <w:spacing w:after="0" w:line="257" w:lineRule="auto"/>
        <w:rPr>
          <w:sz w:val="20"/>
          <w:szCs w:val="20"/>
          <w:color w:val="auto"/>
        </w:rPr>
      </w:pPr>
      <w:r>
        <w:rPr>
          <w:rFonts w:ascii="Arial" w:cs="Arial" w:eastAsia="Arial" w:hAnsi="Arial"/>
          <w:sz w:val="18"/>
          <w:szCs w:val="18"/>
          <w:color w:val="auto"/>
        </w:rPr>
        <w:t>We face significant challenges in connection with the integration of the communications and application processor business of Intel that we acquired in November 2006. The integration of the communications and application processor business of Intel could prove to be more difficult than we originally anticipated, which could increase our total direct costs associated with the acquisition. Moreover, this acquisition could fail to produce anticipated benefits, or could result in unforeseen liabilities or expenses such as future impairment charges of acquired assets and goodwill or other adverse effects that we currently do not foresee, which could harm our business and operating results.</w:t>
      </w:r>
    </w:p>
    <w:p>
      <w:pPr>
        <w:spacing w:after="0" w:line="188" w:lineRule="exact"/>
        <w:rPr>
          <w:sz w:val="20"/>
          <w:szCs w:val="20"/>
          <w:color w:val="auto"/>
        </w:rPr>
      </w:pPr>
    </w:p>
    <w:p>
      <w:pPr>
        <w:ind w:right="140" w:firstLine="243"/>
        <w:spacing w:after="0" w:line="297" w:lineRule="auto"/>
        <w:rPr>
          <w:sz w:val="20"/>
          <w:szCs w:val="20"/>
          <w:color w:val="auto"/>
        </w:rPr>
      </w:pPr>
      <w:r>
        <w:rPr>
          <w:rFonts w:ascii="Arial" w:cs="Arial" w:eastAsia="Arial" w:hAnsi="Arial"/>
          <w:sz w:val="16"/>
          <w:szCs w:val="16"/>
          <w:color w:val="auto"/>
        </w:rPr>
        <w:t>The integration of these business assets and personnel has been and will continue to be a time consuming and expensive process that may disrupt our operations if it is not completed in a timely and efficient manner. If customers do not accept or are dissatisfied with the way we have integrated the manufacturing processes of the business, they may adopt competing products and solutions. If our integration efforts are not successful, our results of operations could be harmed, employee morale could decline, key employees could leave, and customer relations could be damaged. In addition, we may not achieve anticipated synergies or other benefits. The total cost of the integration may exceed our expectations, which would harm our operating results.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180" w:firstLine="243"/>
        <w:spacing w:after="0" w:line="277" w:lineRule="auto"/>
        <w:rPr>
          <w:sz w:val="20"/>
          <w:szCs w:val="20"/>
          <w:color w:val="auto"/>
        </w:rPr>
      </w:pPr>
      <w:r>
        <w:rPr>
          <w:rFonts w:ascii="Arial" w:cs="Arial" w:eastAsia="Arial" w:hAnsi="Arial"/>
          <w:sz w:val="18"/>
          <w:szCs w:val="18"/>
          <w:color w:val="auto"/>
        </w:rPr>
        <w:t>In November 2006, we completed our acquisition of the communications and application processor business of Intel. We also completed several smaller acquisitions over the last three fiscal years.</w:t>
      </w:r>
    </w:p>
    <w:p>
      <w:pPr>
        <w:spacing w:after="0" w:line="170"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Such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9"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Under GAAP,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$2.4 billion as of May 3, 2008.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financial results.</w:t>
      </w:r>
    </w:p>
    <w:p>
      <w:pPr>
        <w:spacing w:after="0" w:line="170" w:lineRule="exact"/>
        <w:rPr>
          <w:sz w:val="20"/>
          <w:szCs w:val="20"/>
          <w:color w:val="auto"/>
        </w:rPr>
      </w:pPr>
    </w:p>
    <w:p>
      <w:pPr>
        <w:ind w:right="80" w:firstLine="243"/>
        <w:spacing w:after="0" w:line="34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w:t>
      </w:r>
    </w:p>
    <w:p>
      <w:pPr>
        <w:sectPr>
          <w:pgSz w:w="11900" w:h="16975" w:orient="portrait"/>
          <w:cols w:equalWidth="0" w:num="1">
            <w:col w:w="11400"/>
          </w:cols>
          <w:pgMar w:left="240" w:top="125" w:right="259" w:bottom="0" w:gutter="0" w:footer="0" w:header="0"/>
        </w:sectPr>
      </w:pPr>
    </w:p>
    <w:bookmarkStart w:id="6" w:name="page7"/>
    <w:bookmarkEnd w:id="6"/>
    <w:p>
      <w:pPr>
        <w:ind w:right="400"/>
        <w:spacing w:after="0" w:line="342" w:lineRule="auto"/>
        <w:rPr>
          <w:sz w:val="20"/>
          <w:szCs w:val="20"/>
          <w:color w:val="auto"/>
        </w:rPr>
      </w:pPr>
      <w:r>
        <w:rPr>
          <w:rFonts w:ascii="Arial" w:cs="Arial" w:eastAsia="Arial" w:hAnsi="Arial"/>
          <w:sz w:val="16"/>
          <w:szCs w:val="16"/>
          <w:color w:val="auto"/>
        </w:rPr>
        <w:t>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24" w:lineRule="exact"/>
        <w:rPr>
          <w:sz w:val="20"/>
          <w:szCs w:val="20"/>
          <w:color w:val="auto"/>
        </w:rPr>
      </w:pPr>
    </w:p>
    <w:p>
      <w:pPr>
        <w:ind w:right="40" w:firstLine="243"/>
        <w:spacing w:after="0" w:line="293"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65"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ability to realize the expected benefits of our acquisition of the communications and application processor business of Intel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third-party foundries or through continuing arrangements with Intel for certain legacy products, increase the gross margin of those products, and retain the business’ relationship with its principal customers, along with other matters described above relating to our ability to integrate effectively the acquired business and its technologies, operations and personnel.</w:t>
      </w:r>
    </w:p>
    <w:p>
      <w:pPr>
        <w:spacing w:after="0" w:line="193"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40" w:firstLine="243"/>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70" w:lineRule="exact"/>
        <w:rPr>
          <w:sz w:val="20"/>
          <w:szCs w:val="20"/>
          <w:color w:val="auto"/>
        </w:rPr>
      </w:pPr>
    </w:p>
    <w:p>
      <w:pPr>
        <w:jc w:val="both"/>
        <w:ind w:right="240" w:firstLine="243"/>
        <w:spacing w:after="0" w:line="302" w:lineRule="auto"/>
        <w:rPr>
          <w:sz w:val="20"/>
          <w:szCs w:val="20"/>
          <w:color w:val="auto"/>
        </w:rPr>
      </w:pPr>
      <w:r>
        <w:rPr>
          <w:rFonts w:ascii="Arial" w:cs="Arial" w:eastAsia="Arial" w:hAnsi="Arial"/>
          <w:sz w:val="16"/>
          <w:szCs w:val="16"/>
          <w:color w:val="auto"/>
        </w:rPr>
        <w:t>We receive a significant amount of our revenues from a limited number of customers. For the quarter ended May 3, 2008, one customer accounted for more than 10% of our net revenue, for a total of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w:t>
      </w:r>
    </w:p>
    <w:p>
      <w:pPr>
        <w:spacing w:after="0" w:line="15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1" w:lineRule="exact"/>
        <w:rPr>
          <w:sz w:val="20"/>
          <w:szCs w:val="20"/>
          <w:color w:val="auto"/>
        </w:rPr>
      </w:pPr>
    </w:p>
    <w:p>
      <w:pPr>
        <w:ind w:left="980" w:right="500" w:hanging="324"/>
        <w:spacing w:after="0" w:line="277" w:lineRule="auto"/>
        <w:tabs>
          <w:tab w:leader="none" w:pos="944" w:val="left"/>
        </w:tabs>
        <w:numPr>
          <w:ilvl w:val="0"/>
          <w:numId w:val="2"/>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years 2006 and 2007 we expanded our staffing and increased our expense levels in anticipation of future sales growth, in the fourth quarter of fiscal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and operating results may vary which may cause the price of our common shares to decline.</w:t>
      </w:r>
    </w:p>
    <w:p>
      <w:pPr>
        <w:spacing w:after="0" w:line="225" w:lineRule="exact"/>
        <w:rPr>
          <w:sz w:val="20"/>
          <w:szCs w:val="20"/>
          <w:color w:val="auto"/>
        </w:rPr>
      </w:pPr>
    </w:p>
    <w:p>
      <w:pPr>
        <w:ind w:right="100" w:firstLine="243"/>
        <w:spacing w:after="0" w:line="312" w:lineRule="auto"/>
        <w:rPr>
          <w:sz w:val="20"/>
          <w:szCs w:val="20"/>
          <w:color w:val="auto"/>
        </w:rPr>
      </w:pPr>
      <w:r>
        <w:rPr>
          <w:rFonts w:ascii="Arial" w:cs="Arial" w:eastAsia="Arial" w:hAnsi="Arial"/>
          <w:sz w:val="16"/>
          <w:szCs w:val="16"/>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 We have made substantial investments in expanding our operations which has resulted in an increase in our operating</w:t>
      </w:r>
    </w:p>
    <w:p>
      <w:pPr>
        <w:sectPr>
          <w:pgSz w:w="11900" w:h="16838" w:orient="portrait"/>
          <w:cols w:equalWidth="0" w:num="1">
            <w:col w:w="11400"/>
          </w:cols>
          <w:pgMar w:left="240" w:top="125" w:right="259" w:bottom="0" w:gutter="0" w:footer="0" w:header="0"/>
        </w:sectPr>
      </w:pPr>
    </w:p>
    <w:bookmarkStart w:id="7" w:name="page8"/>
    <w:bookmarkEnd w:id="7"/>
    <w:p>
      <w:pPr>
        <w:spacing w:after="0" w:line="90"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expenses. We may not be able to increase revenues in an amount sufficient to offset these increased expenditures, which may lead to a loss for a quarterly period.</w:t>
      </w:r>
    </w:p>
    <w:p>
      <w:pPr>
        <w:spacing w:after="0" w:line="170" w:lineRule="exact"/>
        <w:rPr>
          <w:sz w:val="20"/>
          <w:szCs w:val="20"/>
          <w:color w:val="auto"/>
        </w:rPr>
      </w:pPr>
    </w:p>
    <w:p>
      <w:pPr>
        <w:ind w:right="260" w:firstLine="243"/>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0" w:lineRule="exact"/>
        <w:rPr>
          <w:sz w:val="20"/>
          <w:szCs w:val="20"/>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25" w:lineRule="exact"/>
        <w:rPr>
          <w:rFonts w:ascii="Arial" w:cs="Arial" w:eastAsia="Arial" w:hAnsi="Arial"/>
          <w:sz w:val="18"/>
          <w:szCs w:val="18"/>
          <w:color w:val="auto"/>
        </w:rPr>
      </w:pPr>
    </w:p>
    <w:p>
      <w:pPr>
        <w:ind w:left="980" w:right="40" w:hanging="324"/>
        <w:spacing w:after="0" w:line="277" w:lineRule="auto"/>
        <w:tabs>
          <w:tab w:leader="none" w:pos="93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940" w:hanging="284"/>
        <w:spacing w:after="0"/>
        <w:tabs>
          <w:tab w:leader="none" w:pos="94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25" w:lineRule="exact"/>
        <w:rPr>
          <w:rFonts w:ascii="Arial" w:cs="Arial" w:eastAsia="Arial" w:hAnsi="Arial"/>
          <w:sz w:val="18"/>
          <w:szCs w:val="18"/>
          <w:color w:val="auto"/>
        </w:rPr>
      </w:pPr>
    </w:p>
    <w:p>
      <w:pPr>
        <w:ind w:left="980" w:right="280" w:hanging="324"/>
        <w:spacing w:after="0" w:line="277" w:lineRule="auto"/>
        <w:tabs>
          <w:tab w:leader="none" w:pos="944"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Intel communications and application processor business of Intel.</w:t>
      </w:r>
    </w:p>
    <w:p>
      <w:pPr>
        <w:spacing w:after="0" w:line="170"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5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71"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5,320 employees, as of May 3, 2008.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and such demand does not materialize at the pace at which we expected, the rate of increase in our operating expenses may exceed the rate of increase in our revenue, which would adversely affect our operating results.</w:t>
      </w:r>
    </w:p>
    <w:p>
      <w:pPr>
        <w:sectPr>
          <w:pgSz w:w="11900" w:h="16929" w:orient="portrait"/>
          <w:cols w:equalWidth="0" w:num="1">
            <w:col w:w="11420"/>
          </w:cols>
          <w:pgMar w:left="240" w:top="125" w:right="239" w:bottom="0" w:gutter="0" w:footer="0" w:header="0"/>
        </w:sectPr>
      </w:pPr>
    </w:p>
    <w:bookmarkStart w:id="8" w:name="page9"/>
    <w:bookmarkEnd w:id="8"/>
    <w:p>
      <w:pPr>
        <w:spacing w:after="0" w:line="28" w:lineRule="exact"/>
        <w:rPr>
          <w:sz w:val="20"/>
          <w:szCs w:val="20"/>
          <w:color w:val="auto"/>
        </w:rPr>
      </w:pPr>
    </w:p>
    <w:p>
      <w:pPr>
        <w:ind w:right="120" w:firstLine="243"/>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2"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firstLine="243"/>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This exposes us to a variety of risks, including the following:</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81"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88"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w:t>
      </w:r>
    </w:p>
    <w:p>
      <w:pPr>
        <w:sectPr>
          <w:pgSz w:w="11900" w:h="16867" w:orient="portrait"/>
          <w:cols w:equalWidth="0" w:num="1">
            <w:col w:w="11400"/>
          </w:cols>
          <w:pgMar w:left="240" w:top="341" w:right="259" w:bottom="0" w:gutter="0" w:footer="0" w:header="0"/>
        </w:sectPr>
      </w:pPr>
    </w:p>
    <w:bookmarkStart w:id="9" w:name="page10"/>
    <w:bookmarkEnd w:id="9"/>
    <w:p>
      <w:pPr>
        <w:ind w:right="400"/>
        <w:spacing w:after="0" w:line="308" w:lineRule="auto"/>
        <w:rPr>
          <w:sz w:val="20"/>
          <w:szCs w:val="20"/>
          <w:color w:val="auto"/>
        </w:rPr>
      </w:pPr>
      <w:r>
        <w:rPr>
          <w:rFonts w:ascii="Arial" w:cs="Arial" w:eastAsia="Arial" w:hAnsi="Arial"/>
          <w:sz w:val="17"/>
          <w:szCs w:val="17"/>
          <w:color w:val="auto"/>
        </w:rPr>
        <w:t>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225" w:lineRule="exact"/>
        <w:rPr>
          <w:sz w:val="20"/>
          <w:szCs w:val="20"/>
          <w:color w:val="auto"/>
        </w:rPr>
      </w:pPr>
    </w:p>
    <w:p>
      <w:pPr>
        <w:ind w:right="200" w:firstLine="243"/>
        <w:spacing w:after="0" w:line="293" w:lineRule="auto"/>
        <w:rPr>
          <w:sz w:val="20"/>
          <w:szCs w:val="20"/>
          <w:color w:val="auto"/>
        </w:rPr>
      </w:pPr>
      <w:r>
        <w:rPr>
          <w:rFonts w:ascii="Arial" w:cs="Arial" w:eastAsia="Arial" w:hAnsi="Arial"/>
          <w:sz w:val="16"/>
          <w:szCs w:val="16"/>
          <w:color w:val="auto"/>
        </w:rPr>
        <w:t>We have substantial operations, including approximately 20% of our workforce as of the first quarter ended May 3,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16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120" w:firstLine="243"/>
        <w:spacing w:after="0" w:line="276"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93"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243"/>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320" w:firstLine="243"/>
        <w:spacing w:after="0" w:line="259" w:lineRule="auto"/>
        <w:rPr>
          <w:sz w:val="20"/>
          <w:szCs w:val="20"/>
          <w:color w:val="auto"/>
        </w:rPr>
      </w:pPr>
      <w:r>
        <w:rPr>
          <w:rFonts w:ascii="Arial" w:cs="Arial" w:eastAsia="Arial" w:hAnsi="Arial"/>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316" w:gutter="0" w:footer="0" w:header="0"/>
        </w:sectPr>
      </w:pPr>
    </w:p>
    <w:bookmarkStart w:id="10" w:name="page11"/>
    <w:bookmarkEnd w:id="10"/>
    <w:p>
      <w:pPr>
        <w:spacing w:after="0" w:line="288" w:lineRule="auto"/>
        <w:rPr>
          <w:sz w:val="20"/>
          <w:szCs w:val="20"/>
          <w:color w:val="auto"/>
        </w:rPr>
      </w:pPr>
      <w:r>
        <w:rPr>
          <w:rFonts w:ascii="Arial" w:cs="Arial" w:eastAsia="Arial" w:hAnsi="Arial"/>
          <w:sz w:val="16"/>
          <w:szCs w:val="16"/>
          <w:color w:val="auto"/>
        </w:rPr>
        <w:t>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69"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color w:val="auto"/>
        </w:rPr>
        <w:t>As of May 3, 2008, the aggregate principal amount of our total consolidated debt was $393.8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and could make it more difficult for us to obtain additional debt financing arrangements, any of which could have a material adverse effect on our business, financial condition, results of operations and cash flows.</w:t>
      </w:r>
    </w:p>
    <w:p>
      <w:pPr>
        <w:spacing w:after="0" w:line="167"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25" w:lineRule="exact"/>
        <w:rPr>
          <w:sz w:val="20"/>
          <w:szCs w:val="20"/>
          <w:color w:val="auto"/>
        </w:rPr>
      </w:pPr>
    </w:p>
    <w:p>
      <w:pPr>
        <w:ind w:left="940" w:hanging="284"/>
        <w:spacing w:after="0"/>
        <w:tabs>
          <w:tab w:leader="none" w:pos="94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25" w:lineRule="exact"/>
        <w:rPr>
          <w:rFonts w:ascii="Arial" w:cs="Arial" w:eastAsia="Arial" w:hAnsi="Arial"/>
          <w:sz w:val="18"/>
          <w:szCs w:val="18"/>
          <w:color w:val="auto"/>
        </w:rPr>
      </w:pPr>
    </w:p>
    <w:p>
      <w:pPr>
        <w:ind w:left="980" w:right="80" w:hanging="324"/>
        <w:spacing w:after="0" w:line="277" w:lineRule="auto"/>
        <w:tabs>
          <w:tab w:leader="none" w:pos="944"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70" w:lineRule="exact"/>
        <w:rPr>
          <w:rFonts w:ascii="Arial" w:cs="Arial" w:eastAsia="Arial" w:hAnsi="Arial"/>
          <w:sz w:val="18"/>
          <w:szCs w:val="18"/>
          <w:color w:val="auto"/>
        </w:rPr>
      </w:pPr>
    </w:p>
    <w:p>
      <w:pPr>
        <w:ind w:left="980" w:right="100" w:hanging="324"/>
        <w:spacing w:after="0" w:line="342" w:lineRule="auto"/>
        <w:tabs>
          <w:tab w:leader="none" w:pos="944" w:val="left"/>
        </w:tabs>
        <w:numPr>
          <w:ilvl w:val="0"/>
          <w:numId w:val="5"/>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3" w:lineRule="exact"/>
        <w:rPr>
          <w:rFonts w:ascii="Arial" w:cs="Arial" w:eastAsia="Arial" w:hAnsi="Arial"/>
          <w:sz w:val="16"/>
          <w:szCs w:val="16"/>
          <w:color w:val="auto"/>
        </w:rPr>
      </w:pPr>
    </w:p>
    <w:p>
      <w:pPr>
        <w:ind w:left="940" w:hanging="284"/>
        <w:spacing w:after="0"/>
        <w:tabs>
          <w:tab w:leader="none" w:pos="940"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and</w:t>
      </w:r>
    </w:p>
    <w:p>
      <w:pPr>
        <w:spacing w:after="0" w:line="225" w:lineRule="exact"/>
        <w:rPr>
          <w:rFonts w:ascii="Arial" w:cs="Arial" w:eastAsia="Arial" w:hAnsi="Arial"/>
          <w:sz w:val="18"/>
          <w:szCs w:val="18"/>
          <w:color w:val="auto"/>
        </w:rPr>
      </w:pPr>
    </w:p>
    <w:p>
      <w:pPr>
        <w:ind w:left="980" w:right="440" w:hanging="324"/>
        <w:spacing w:after="0" w:line="277" w:lineRule="auto"/>
        <w:tabs>
          <w:tab w:leader="none" w:pos="944" w:val="left"/>
        </w:tabs>
        <w:numPr>
          <w:ilvl w:val="0"/>
          <w:numId w:val="5"/>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20" w:firstLine="243"/>
        <w:spacing w:after="0" w:line="277" w:lineRule="auto"/>
        <w:rPr>
          <w:sz w:val="20"/>
          <w:szCs w:val="20"/>
          <w:color w:val="auto"/>
        </w:rPr>
      </w:pPr>
      <w:r>
        <w:rPr>
          <w:rFonts w:ascii="Arial" w:cs="Arial" w:eastAsia="Arial" w:hAnsi="Arial"/>
          <w:sz w:val="18"/>
          <w:szCs w:val="18"/>
          <w:color w:val="auto"/>
        </w:rPr>
        <w:t>Our U.S. headquarters located in Santa Clara California, building in Singapore, buildings in Malaysia, buildings in Switzerland and buildings in Shanghai, China subject us to the risks of owning real property, including:</w:t>
      </w:r>
    </w:p>
    <w:p>
      <w:pPr>
        <w:spacing w:after="0" w:line="170" w:lineRule="exact"/>
        <w:rPr>
          <w:sz w:val="20"/>
          <w:szCs w:val="20"/>
          <w:color w:val="auto"/>
        </w:rPr>
      </w:pPr>
    </w:p>
    <w:p>
      <w:pPr>
        <w:ind w:left="5620" w:right="2340" w:hanging="4964"/>
        <w:spacing w:after="0" w:line="528" w:lineRule="auto"/>
        <w:tabs>
          <w:tab w:leader="none" w:pos="941"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 15</w:t>
      </w:r>
    </w:p>
    <w:p>
      <w:pPr>
        <w:spacing w:after="0" w:line="200" w:lineRule="exact"/>
        <w:rPr>
          <w:rFonts w:ascii="Arial" w:cs="Arial" w:eastAsia="Arial" w:hAnsi="Arial"/>
          <w:sz w:val="18"/>
          <w:szCs w:val="18"/>
          <w:color w:val="auto"/>
        </w:rPr>
      </w:pPr>
    </w:p>
    <w:p>
      <w:pPr>
        <w:spacing w:after="0" w:line="253"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6"/>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-2465705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5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243"/>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jc w:val="both"/>
        <w:ind w:right="140" w:firstLine="243"/>
        <w:spacing w:after="0" w:line="312" w:lineRule="auto"/>
        <w:rPr>
          <w:sz w:val="20"/>
          <w:szCs w:val="20"/>
          <w:color w:val="auto"/>
        </w:rPr>
      </w:pPr>
      <w:r>
        <w:rPr>
          <w:rFonts w:ascii="Arial" w:cs="Arial" w:eastAsia="Arial" w:hAnsi="Arial"/>
          <w:sz w:val="16"/>
          <w:szCs w:val="16"/>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w:t>
      </w:r>
    </w:p>
    <w:p>
      <w:pPr>
        <w:sectPr>
          <w:pgSz w:w="11900" w:h="16838" w:orient="portrait"/>
          <w:cols w:equalWidth="0" w:num="1">
            <w:col w:w="11400"/>
          </w:cols>
          <w:pgMar w:left="240" w:top="125" w:right="259" w:bottom="0" w:gutter="0" w:footer="0" w:header="0"/>
        </w:sectPr>
      </w:pPr>
    </w:p>
    <w:bookmarkStart w:id="11" w:name="page12"/>
    <w:bookmarkEnd w:id="11"/>
    <w:p>
      <w:pPr>
        <w:ind w:right="700"/>
        <w:spacing w:after="0" w:line="277" w:lineRule="auto"/>
        <w:rPr>
          <w:sz w:val="20"/>
          <w:szCs w:val="20"/>
          <w:color w:val="auto"/>
        </w:rPr>
      </w:pPr>
      <w:r>
        <w:rPr>
          <w:rFonts w:ascii="Arial" w:cs="Arial" w:eastAsia="Arial" w:hAnsi="Arial"/>
          <w:sz w:val="18"/>
          <w:szCs w:val="18"/>
          <w:color w:val="auto"/>
        </w:rPr>
        <w:t>technological and product innovations. We may not be successful in attracting and retaining sufficient numbers of technical personnel to support our anticipated growth.</w:t>
      </w:r>
    </w:p>
    <w:p>
      <w:pPr>
        <w:spacing w:after="0" w:line="170"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80" w:firstLine="243"/>
        <w:spacing w:after="0" w:line="270" w:lineRule="auto"/>
        <w:rPr>
          <w:sz w:val="20"/>
          <w:szCs w:val="20"/>
          <w:color w:val="auto"/>
        </w:rPr>
      </w:pPr>
      <w:r>
        <w:rPr>
          <w:rFonts w:ascii="Arial" w:cs="Arial" w:eastAsia="Arial" w:hAnsi="Arial"/>
          <w:sz w:val="17"/>
          <w:szCs w:val="17"/>
          <w:color w:val="auto"/>
        </w:rPr>
        <w:t>As of May 3, 2008, our executive officers and directors beneficially owned or controlled, directly or indirectly, approximately 19.3% of our outstanding common shares. Additionally, Dr. Sehat Sutardja, our Chief Executive Officer, and Weili Dai, who serves as our Vice President of Sales for Communications and Consumer Business of MSI, are husband and wife and Dr. Sehat Sutardja and Dr. Pantas Sutardja, our Vice President, Chief Technology Officer, Acting Chief Operating Officer and Chief Research and Development Officer, are brothers. Together, these three individuals held approximately 19.3% of our outstanding common shares as of May 3, 2008.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us on terms that other shareholders may desire. Furthermore, we have a classified board, which could also further delay or prevent an acquisition, under certain circumstances.</w:t>
      </w:r>
    </w:p>
    <w:p>
      <w:pPr>
        <w:spacing w:after="0" w:line="182" w:lineRule="exact"/>
        <w:rPr>
          <w:sz w:val="20"/>
          <w:szCs w:val="20"/>
          <w:color w:val="auto"/>
        </w:rPr>
      </w:pPr>
    </w:p>
    <w:p>
      <w:pPr>
        <w:ind w:right="60" w:firstLine="243"/>
        <w:spacing w:after="0" w:line="277" w:lineRule="auto"/>
        <w:rPr>
          <w:sz w:val="20"/>
          <w:szCs w:val="20"/>
          <w:color w:val="auto"/>
        </w:rPr>
      </w:pPr>
      <w:r>
        <w:rPr>
          <w:rFonts w:ascii="Arial" w:cs="Arial" w:eastAsia="Arial" w:hAnsi="Arial"/>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9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84% of our net revenue in the fiscal quarter ended May 3, 2008, 84% of our net revenue in fiscal 2008 and 89% of our net revenue in fiscal 2007.</w:t>
      </w:r>
    </w:p>
    <w:p>
      <w:pPr>
        <w:spacing w:after="0" w:line="158" w:lineRule="exact"/>
        <w:rPr>
          <w:sz w:val="20"/>
          <w:szCs w:val="20"/>
          <w:color w:val="auto"/>
        </w:rPr>
      </w:pPr>
    </w:p>
    <w:p>
      <w:pPr>
        <w:ind w:right="400" w:firstLine="243"/>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280" w:hanging="324"/>
        <w:spacing w:after="0" w:line="277" w:lineRule="auto"/>
        <w:tabs>
          <w:tab w:leader="none" w:pos="944" w:val="left"/>
        </w:tabs>
        <w:numPr>
          <w:ilvl w:val="0"/>
          <w:numId w:val="7"/>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600" w:hanging="324"/>
        <w:spacing w:after="0" w:line="277" w:lineRule="auto"/>
        <w:tabs>
          <w:tab w:leader="none" w:pos="944"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20" w:firstLine="243"/>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532" w:gutter="0" w:footer="0" w:header="0"/>
        </w:sectPr>
      </w:pPr>
    </w:p>
    <w:bookmarkStart w:id="12" w:name="page13"/>
    <w:bookmarkEnd w:id="12"/>
    <w:p>
      <w:pPr>
        <w:spacing w:after="0" w:line="2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large fixed costs in Israel, which become relatively greater if the U.S. dollar declines in value versus the Israeli shekel. On January 27, 2007, the U.S. dollar - Israeli shekel exchange ratio was 4.25, but on May 3, 2008, this exchange ratio had fallen to 3.45.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3"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profits.</w:t>
      </w:r>
    </w:p>
    <w:p>
      <w:pPr>
        <w:spacing w:after="0" w:line="187"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243"/>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243"/>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ectPr>
          <w:pgSz w:w="11900" w:h="16859" w:orient="portrait"/>
          <w:cols w:equalWidth="0" w:num="1">
            <w:col w:w="11400"/>
          </w:cols>
          <w:pgMar w:left="240" w:top="125" w:right="259" w:bottom="0" w:gutter="0" w:footer="0" w:header="0"/>
        </w:sectPr>
      </w:pPr>
    </w:p>
    <w:bookmarkStart w:id="13" w:name="page14"/>
    <w:bookmarkEnd w:id="13"/>
    <w:p>
      <w:pPr>
        <w:spacing w:after="0" w:line="114"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70"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local area networking.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66" w:lineRule="exact"/>
        <w:rPr>
          <w:sz w:val="20"/>
          <w:szCs w:val="20"/>
          <w:color w:val="auto"/>
        </w:rPr>
      </w:pPr>
    </w:p>
    <w:p>
      <w:pPr>
        <w:ind w:left="980" w:right="140" w:hanging="324"/>
        <w:spacing w:after="0" w:line="277" w:lineRule="auto"/>
        <w:tabs>
          <w:tab w:leader="none" w:pos="944"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980" w:right="48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For example, one of our subsidiaries is a named third-party defendant in a patent infringement lawsuit against NETGEAR filed in Wisconsin by Fujitsu Limited, LG Electronics and U.S. Philips Corp. In addition, three of our subsidiaries filed an action in Texas against Australia’s Commonwealth Scientific and Industrial Research Organisation (“CSIRO”) seeking a declaratory judgment that CSIRO’s patent is invalid and unenforceable and that our subsidiary does not infringe the CSIRO patent. Furthermore, one of our subsidiaries is a named defendant in a patent infringement lawsuit, also in Texas, filed by Wi-Lan, a Canadian company, which likewise alleges that its asserted patents are infringed. Finally, one of our subsidiaries has filed an action in California against Wi-Lan asking the court to find that Marvell’s products do not infringe certain Wi-Lan patents. We believe that our subsidiaries do not infringe any of the asserted Fujitsu, CSIRO or Wi-Lan patents, and we will vigorously defend ourselves in these matters.</w:t>
      </w:r>
    </w:p>
    <w:p>
      <w:pPr>
        <w:spacing w:after="0" w:line="178"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Marvell and/or its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intellectual property indemnification practices may adversely impact our business.</w:t>
      </w:r>
    </w:p>
    <w:p>
      <w:pPr>
        <w:spacing w:after="0" w:line="225" w:lineRule="exact"/>
        <w:rPr>
          <w:sz w:val="20"/>
          <w:szCs w:val="20"/>
          <w:color w:val="auto"/>
        </w:rPr>
      </w:pPr>
    </w:p>
    <w:p>
      <w:pPr>
        <w:ind w:right="20" w:firstLine="441"/>
        <w:spacing w:after="0" w:line="270" w:lineRule="auto"/>
        <w:rPr>
          <w:sz w:val="20"/>
          <w:szCs w:val="20"/>
          <w:color w:val="auto"/>
        </w:rPr>
      </w:pPr>
      <w:r>
        <w:rPr>
          <w:rFonts w:ascii="Arial" w:cs="Arial" w:eastAsia="Arial" w:hAnsi="Arial"/>
          <w:sz w:val="17"/>
          <w:szCs w:val="17"/>
          <w:color w:val="auto"/>
        </w:rPr>
        <w:t>Some of our contracts require our subsidiaries to indemnify customers under certain circumstances for various costs and damages of intellectual property infringement. This practice may subject our subsidiaries to significant indemnification claims by our customers or others for the payment of legal expenses and damages should a court find infringement. In the past, our subsidiaries have received notice from customers informing them that they have received allegations from certain patent holders that the inclusion of our chipsets into our customer’s products requires the payment of patent license fees. We cannot assure you that such claims will not be pursued or that these claims, if pursued, would not harm our business. For example, customers have requested our subsidiaries to indemnify them in connection with a patent infringement lawsuits filed in Texas by CSIRO. Similarly, certain customers have asked one of our subsidiaries to indemnify them in connection with patent infringement lawsuits filed in Texas by Wi-Lan. In addition, NETGEAR has filed suit against one of our subsidiaries in Wisconsin demanding that its component suppliers, including one of our subsidiaries, indemnify NETGEAR for damages stemming from the patent lawsuit filed by Fujitsu.</w:t>
      </w:r>
    </w:p>
    <w:p>
      <w:pPr>
        <w:spacing w:after="0" w:line="18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78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jc w:val="both"/>
        <w:ind w:right="120" w:firstLine="243"/>
        <w:spacing w:after="0" w:line="312"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w:t>
      </w:r>
    </w:p>
    <w:p>
      <w:pPr>
        <w:sectPr>
          <w:pgSz w:w="11900" w:h="16952" w:orient="portrait"/>
          <w:cols w:equalWidth="0" w:num="1">
            <w:col w:w="11400"/>
          </w:cols>
          <w:pgMar w:left="240" w:top="341" w:right="259" w:bottom="0" w:gutter="0" w:footer="0" w:header="0"/>
        </w:sectPr>
      </w:pPr>
    </w:p>
    <w:bookmarkStart w:id="14" w:name="page15"/>
    <w:bookmarkEnd w:id="14"/>
    <w:p>
      <w:pPr>
        <w:spacing w:after="0" w:line="312" w:lineRule="auto"/>
        <w:rPr>
          <w:sz w:val="20"/>
          <w:szCs w:val="20"/>
          <w:color w:val="auto"/>
        </w:rPr>
      </w:pPr>
      <w:r>
        <w:rPr>
          <w:rFonts w:ascii="Arial" w:cs="Arial" w:eastAsia="Arial" w:hAnsi="Arial"/>
          <w:sz w:val="16"/>
          <w:szCs w:val="16"/>
          <w:color w:val="auto"/>
        </w:rPr>
        <w:t>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160" w:firstLine="243"/>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firstLine="243"/>
        <w:spacing w:after="0" w:line="302" w:lineRule="auto"/>
        <w:rPr>
          <w:sz w:val="20"/>
          <w:szCs w:val="20"/>
          <w:color w:val="auto"/>
        </w:rPr>
      </w:pPr>
      <w:r>
        <w:rPr>
          <w:rFonts w:ascii="Arial" w:cs="Arial" w:eastAsia="Arial" w:hAnsi="Arial"/>
          <w:sz w:val="16"/>
          <w:szCs w:val="16"/>
          <w:color w:val="auto"/>
        </w:rPr>
        <w:t>During fiscal 2007, our Switzerland subsidiary received from both the Swiss Federal Department of Economy and the Vaud Cantonal Tax Administration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w:t>
      </w:r>
    </w:p>
    <w:p>
      <w:pPr>
        <w:spacing w:after="0" w:line="15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540" w:firstLine="243"/>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We will not receive any of the proceeds from the sale of the Shares. All proceeds from the sale of the Shares will be for the account of the Selling Shareholders. See “Selling Shareholders” and “Plan of Distribution” described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29"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The Shares were issued or are issuable to the Selling Shareholders upon vesting of stock unit awards granted under our Amended and Restated 1995 Stock Option Plan and pursuant to the forms of Stock Unit Agreement and Notice of Stock Unit Awards for use thereunder. Our registration of the Shares does not necessarily mean that the Selling Shareholders will sell all or any of the Shares.</w:t>
      </w:r>
    </w:p>
    <w:p>
      <w:pPr>
        <w:spacing w:after="0" w:line="181" w:lineRule="exact"/>
        <w:rPr>
          <w:sz w:val="20"/>
          <w:szCs w:val="20"/>
          <w:color w:val="auto"/>
        </w:rPr>
      </w:pPr>
    </w:p>
    <w:p>
      <w:pPr>
        <w:ind w:right="20" w:firstLine="648"/>
        <w:spacing w:after="0" w:line="271" w:lineRule="auto"/>
        <w:rPr>
          <w:sz w:val="20"/>
          <w:szCs w:val="20"/>
          <w:color w:val="auto"/>
        </w:rPr>
      </w:pPr>
      <w:r>
        <w:rPr>
          <w:rFonts w:ascii="Arial" w:cs="Arial" w:eastAsia="Arial" w:hAnsi="Arial"/>
          <w:sz w:val="17"/>
          <w:szCs w:val="17"/>
          <w:color w:val="auto"/>
        </w:rPr>
        <w:t>The following table lists certain information concerning the Selling Shareholders, including the number of common shares beneficially owned by the Selling Shareholders as of May 31, 2008 and the number of Shares that the Selling Shareholders may sell under this prospectus. Beneficial ownership is determined in accordance with the rules and regulations of the SEC. In computing the number of common shares beneficially owned by a person and the percentage ownership of that person, common shares subject to options held by that person that are currently exercisable or exercisable within 60 days of May 31, 2008 are deemed outstanding, as well as stock units that may vest within 60 days of May 31, 2008. These common shares, however, are not deemed outstanding for the purposes of computing the percentage ownership of any other person. Except as indicated in the footnotes to this table and pursuant to applicable community property laws, to our knowledge, each Selling Shareholder has sole voting and investment power with respect to the common shares listed in the table below. None of the Selling Shareholders is an officer or director of us.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000" w:type="dxa"/>
            <w:vAlign w:val="bottom"/>
            <w:gridSpan w:val="5"/>
          </w:tcPr>
          <w:p>
            <w:pPr>
              <w:jc w:val="center"/>
              <w:ind w:right="240"/>
              <w:spacing w:after="0"/>
              <w:rPr>
                <w:sz w:val="20"/>
                <w:szCs w:val="20"/>
                <w:color w:val="auto"/>
              </w:rPr>
            </w:pPr>
            <w:r>
              <w:rPr>
                <w:rFonts w:ascii="Arial" w:cs="Arial" w:eastAsia="Arial" w:hAnsi="Arial"/>
                <w:sz w:val="14"/>
                <w:szCs w:val="14"/>
                <w:b w:val="1"/>
                <w:bCs w:val="1"/>
                <w:color w:val="auto"/>
                <w:w w:val="92"/>
              </w:rPr>
              <w:t>Beneficial Ownership of</w:t>
            </w:r>
          </w:p>
        </w:tc>
        <w:tc>
          <w:tcPr>
            <w:tcW w:w="27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Number of Common Shares</w:t>
            </w:r>
          </w:p>
        </w:tc>
        <w:tc>
          <w:tcPr>
            <w:tcW w:w="2980" w:type="dxa"/>
            <w:vAlign w:val="bottom"/>
            <w:gridSpan w:val="5"/>
          </w:tcPr>
          <w:p>
            <w:pPr>
              <w:jc w:val="center"/>
              <w:ind w:right="180"/>
              <w:spacing w:after="0"/>
              <w:rPr>
                <w:sz w:val="20"/>
                <w:szCs w:val="20"/>
                <w:color w:val="auto"/>
              </w:rPr>
            </w:pPr>
            <w:r>
              <w:rPr>
                <w:rFonts w:ascii="Arial" w:cs="Arial" w:eastAsia="Arial" w:hAnsi="Arial"/>
                <w:sz w:val="14"/>
                <w:szCs w:val="14"/>
                <w:b w:val="1"/>
                <w:bCs w:val="1"/>
                <w:color w:val="auto"/>
                <w:w w:val="92"/>
              </w:rPr>
              <w:t>Beneficial Ownership</w:t>
            </w:r>
          </w:p>
        </w:tc>
        <w:tc>
          <w:tcPr>
            <w:tcW w:w="0" w:type="dxa"/>
            <w:vAlign w:val="bottom"/>
          </w:tcPr>
          <w:p>
            <w:pPr>
              <w:spacing w:after="0"/>
              <w:rPr>
                <w:sz w:val="1"/>
                <w:szCs w:val="1"/>
                <w:color w:val="auto"/>
              </w:rPr>
            </w:pPr>
          </w:p>
        </w:tc>
      </w:tr>
      <w:tr>
        <w:trPr>
          <w:trHeight w:val="149"/>
        </w:trPr>
        <w:tc>
          <w:tcPr>
            <w:tcW w:w="2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000" w:type="dxa"/>
            <w:vAlign w:val="bottom"/>
            <w:gridSpan w:val="5"/>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Common Shares Prior to</w:t>
            </w:r>
          </w:p>
        </w:tc>
        <w:tc>
          <w:tcPr>
            <w:tcW w:w="2720" w:type="dxa"/>
            <w:vAlign w:val="bottom"/>
            <w:gridSpan w:val="2"/>
            <w:vMerge w:val="continue"/>
          </w:tcPr>
          <w:p>
            <w:pPr>
              <w:spacing w:after="0"/>
              <w:rPr>
                <w:sz w:val="12"/>
                <w:szCs w:val="12"/>
                <w:color w:val="auto"/>
              </w:rPr>
            </w:pPr>
          </w:p>
        </w:tc>
        <w:tc>
          <w:tcPr>
            <w:tcW w:w="2060" w:type="dxa"/>
            <w:vAlign w:val="bottom"/>
            <w:gridSpan w:val="3"/>
          </w:tcPr>
          <w:p>
            <w:pPr>
              <w:jc w:val="center"/>
              <w:ind w:left="684"/>
              <w:spacing w:after="0" w:line="149" w:lineRule="exact"/>
              <w:rPr>
                <w:sz w:val="20"/>
                <w:szCs w:val="20"/>
                <w:color w:val="auto"/>
              </w:rPr>
            </w:pPr>
            <w:r>
              <w:rPr>
                <w:rFonts w:ascii="Arial" w:cs="Arial" w:eastAsia="Arial" w:hAnsi="Arial"/>
                <w:sz w:val="14"/>
                <w:szCs w:val="14"/>
                <w:b w:val="1"/>
                <w:bCs w:val="1"/>
                <w:color w:val="auto"/>
                <w:w w:val="91"/>
              </w:rPr>
              <w:t>of Common Shares</w:t>
            </w:r>
          </w:p>
        </w:tc>
        <w:tc>
          <w:tcPr>
            <w:tcW w:w="7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7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Selling Shareholders</w:t>
            </w:r>
          </w:p>
        </w:tc>
        <w:tc>
          <w:tcPr>
            <w:tcW w:w="1880" w:type="dxa"/>
            <w:vAlign w:val="bottom"/>
            <w:gridSpan w:val="3"/>
          </w:tcPr>
          <w:p>
            <w:pPr>
              <w:jc w:val="center"/>
              <w:ind w:left="824"/>
              <w:spacing w:after="0"/>
              <w:rPr>
                <w:sz w:val="20"/>
                <w:szCs w:val="20"/>
                <w:color w:val="auto"/>
              </w:rPr>
            </w:pPr>
            <w:r>
              <w:rPr>
                <w:rFonts w:ascii="Arial" w:cs="Arial" w:eastAsia="Arial" w:hAnsi="Arial"/>
                <w:sz w:val="14"/>
                <w:szCs w:val="14"/>
                <w:b w:val="1"/>
                <w:bCs w:val="1"/>
                <w:color w:val="auto"/>
                <w:w w:val="98"/>
              </w:rPr>
              <w:t>Offering (1)</w:t>
            </w: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7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Offered</w:t>
            </w:r>
          </w:p>
        </w:tc>
        <w:tc>
          <w:tcPr>
            <w:tcW w:w="2060" w:type="dxa"/>
            <w:vAlign w:val="bottom"/>
            <w:gridSpan w:val="3"/>
          </w:tcPr>
          <w:p>
            <w:pPr>
              <w:jc w:val="center"/>
              <w:ind w:left="684"/>
              <w:spacing w:after="0"/>
              <w:rPr>
                <w:sz w:val="20"/>
                <w:szCs w:val="20"/>
                <w:color w:val="auto"/>
              </w:rPr>
            </w:pPr>
            <w:r>
              <w:rPr>
                <w:rFonts w:ascii="Arial" w:cs="Arial" w:eastAsia="Arial" w:hAnsi="Arial"/>
                <w:sz w:val="14"/>
                <w:szCs w:val="14"/>
                <w:b w:val="1"/>
                <w:bCs w:val="1"/>
                <w:color w:val="auto"/>
                <w:w w:val="97"/>
              </w:rPr>
              <w:t>After Offering (1) (2)</w:t>
            </w: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720" w:type="dxa"/>
            <w:vAlign w:val="bottom"/>
            <w:gridSpan w:val="2"/>
            <w:vMerge w:val="continue"/>
          </w:tcPr>
          <w:p>
            <w:pPr>
              <w:spacing w:after="0"/>
              <w:rPr>
                <w:sz w:val="12"/>
                <w:szCs w:val="12"/>
                <w:color w:val="auto"/>
              </w:rPr>
            </w:pPr>
          </w:p>
        </w:tc>
        <w:tc>
          <w:tcPr>
            <w:tcW w:w="1880" w:type="dxa"/>
            <w:vAlign w:val="bottom"/>
            <w:tcBorders>
              <w:top w:val="single" w:sz="8" w:color="auto"/>
            </w:tcBorders>
            <w:gridSpan w:val="3"/>
          </w:tcPr>
          <w:p>
            <w:pPr>
              <w:ind w:left="500"/>
              <w:spacing w:after="0" w:line="142" w:lineRule="exact"/>
              <w:rPr>
                <w:sz w:val="20"/>
                <w:szCs w:val="20"/>
                <w:color w:val="auto"/>
              </w:rPr>
            </w:pPr>
            <w:r>
              <w:rPr>
                <w:rFonts w:ascii="Arial" w:cs="Arial" w:eastAsia="Arial" w:hAnsi="Arial"/>
                <w:sz w:val="14"/>
                <w:szCs w:val="14"/>
                <w:b w:val="1"/>
                <w:bCs w:val="1"/>
                <w:color w:val="auto"/>
              </w:rPr>
              <w:t>Number</w:t>
            </w:r>
          </w:p>
        </w:tc>
        <w:tc>
          <w:tcPr>
            <w:tcW w:w="900" w:type="dxa"/>
            <w:vAlign w:val="bottom"/>
            <w:tcBorders>
              <w:top w:val="single" w:sz="8" w:color="auto"/>
            </w:tcBorders>
          </w:tcPr>
          <w:p>
            <w:pPr>
              <w:jc w:val="right"/>
              <w:ind w:right="219"/>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c>
          <w:tcPr>
            <w:tcW w:w="250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2060" w:type="dxa"/>
            <w:vAlign w:val="bottom"/>
            <w:tcBorders>
              <w:top w:val="single" w:sz="8" w:color="auto"/>
            </w:tcBorders>
            <w:gridSpan w:val="3"/>
          </w:tcPr>
          <w:p>
            <w:pPr>
              <w:ind w:left="520"/>
              <w:spacing w:after="0" w:line="142" w:lineRule="exact"/>
              <w:rPr>
                <w:sz w:val="20"/>
                <w:szCs w:val="20"/>
                <w:color w:val="auto"/>
              </w:rPr>
            </w:pPr>
            <w:r>
              <w:rPr>
                <w:rFonts w:ascii="Arial" w:cs="Arial" w:eastAsia="Arial" w:hAnsi="Arial"/>
                <w:sz w:val="14"/>
                <w:szCs w:val="14"/>
                <w:b w:val="1"/>
                <w:bCs w:val="1"/>
                <w:color w:val="auto"/>
              </w:rPr>
              <w:t>Number</w:t>
            </w:r>
          </w:p>
        </w:tc>
        <w:tc>
          <w:tcPr>
            <w:tcW w:w="740" w:type="dxa"/>
            <w:vAlign w:val="bottom"/>
            <w:tcBorders>
              <w:top w:val="single" w:sz="8" w:color="auto"/>
            </w:tcBorders>
          </w:tcPr>
          <w:p>
            <w:pPr>
              <w:jc w:val="right"/>
              <w:ind w:right="179"/>
              <w:spacing w:after="0" w:line="142" w:lineRule="exact"/>
              <w:rPr>
                <w:sz w:val="20"/>
                <w:szCs w:val="20"/>
                <w:color w:val="auto"/>
              </w:rPr>
            </w:pPr>
            <w:r>
              <w:rPr>
                <w:rFonts w:ascii="Arial" w:cs="Arial" w:eastAsia="Arial" w:hAnsi="Arial"/>
                <w:sz w:val="14"/>
                <w:szCs w:val="14"/>
                <w:b w:val="1"/>
                <w:bCs w:val="1"/>
                <w:color w:val="auto"/>
                <w:w w:val="89"/>
              </w:rPr>
              <w:t>Percent</w:t>
            </w:r>
          </w:p>
        </w:tc>
        <w:tc>
          <w:tcPr>
            <w:tcW w:w="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500" w:type="dxa"/>
            <w:vAlign w:val="bottom"/>
            <w:tcBorders>
              <w:top w:val="single" w:sz="8" w:color="auto"/>
            </w:tcBorders>
            <w:shd w:val="clear" w:color="auto" w:fill="CCEEFF"/>
          </w:tcPr>
          <w:p>
            <w:pPr>
              <w:ind w:left="540"/>
              <w:spacing w:after="0"/>
              <w:rPr>
                <w:sz w:val="20"/>
                <w:szCs w:val="20"/>
                <w:color w:val="auto"/>
              </w:rPr>
            </w:pPr>
            <w:r>
              <w:rPr>
                <w:rFonts w:ascii="Arial" w:cs="Arial" w:eastAsia="Arial" w:hAnsi="Arial"/>
                <w:sz w:val="18"/>
                <w:szCs w:val="18"/>
                <w:color w:val="auto"/>
                <w:w w:val="90"/>
              </w:rPr>
              <w:t>Selling Shareholders (3)(4)</w:t>
            </w:r>
          </w:p>
        </w:tc>
        <w:tc>
          <w:tcPr>
            <w:tcW w:w="220" w:type="dxa"/>
            <w:vAlign w:val="bottom"/>
            <w:tcBorders>
              <w:top w:val="single" w:sz="8" w:color="CCEEFF"/>
            </w:tcBorders>
            <w:shd w:val="clear" w:color="auto" w:fill="CCEEFF"/>
          </w:tcPr>
          <w:p>
            <w:pPr>
              <w:spacing w:after="0"/>
              <w:rPr>
                <w:sz w:val="18"/>
                <w:szCs w:val="18"/>
                <w:color w:val="auto"/>
              </w:rPr>
            </w:pPr>
          </w:p>
        </w:tc>
        <w:tc>
          <w:tcPr>
            <w:tcW w:w="1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337,295</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25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169,277</w:t>
            </w:r>
          </w:p>
        </w:tc>
        <w:tc>
          <w:tcPr>
            <w:tcW w:w="220" w:type="dxa"/>
            <w:vAlign w:val="bottom"/>
            <w:tcBorders>
              <w:top w:val="single" w:sz="8" w:color="CCEEFF"/>
            </w:tcBorders>
            <w:shd w:val="clear" w:color="auto" w:fill="CCEEFF"/>
          </w:tcPr>
          <w:p>
            <w:pPr>
              <w:spacing w:after="0"/>
              <w:rPr>
                <w:sz w:val="18"/>
                <w:szCs w:val="18"/>
                <w:color w:val="auto"/>
              </w:rPr>
            </w:pPr>
          </w:p>
        </w:tc>
        <w:tc>
          <w:tcPr>
            <w:tcW w:w="1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168,018</w:t>
            </w:r>
          </w:p>
        </w:tc>
        <w:tc>
          <w:tcPr>
            <w:tcW w:w="2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520" w:hanging="500"/>
        <w:spacing w:after="0"/>
        <w:tabs>
          <w:tab w:leader="none" w:pos="5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25" w:lineRule="exact"/>
        <w:rPr>
          <w:sz w:val="20"/>
          <w:szCs w:val="20"/>
          <w:color w:val="auto"/>
        </w:rPr>
      </w:pPr>
    </w:p>
    <w:p>
      <w:pPr>
        <w:ind w:left="740" w:hanging="720"/>
        <w:spacing w:after="0"/>
        <w:tabs>
          <w:tab w:leader="none" w:pos="7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Applicable percentage ownership is based on 604,121,515 common shares outstanding.</w:t>
      </w:r>
    </w:p>
    <w:p>
      <w:pPr>
        <w:spacing w:after="0" w:line="225" w:lineRule="exact"/>
        <w:rPr>
          <w:rFonts w:ascii="Arial" w:cs="Arial" w:eastAsia="Arial" w:hAnsi="Arial"/>
          <w:sz w:val="18"/>
          <w:szCs w:val="18"/>
          <w:color w:val="auto"/>
        </w:rPr>
      </w:pPr>
    </w:p>
    <w:p>
      <w:pPr>
        <w:ind w:left="740" w:hanging="720"/>
        <w:spacing w:after="0"/>
        <w:tabs>
          <w:tab w:leader="none" w:pos="7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Assumes that all of the Shares held by each Selling Shareholder and being offered under this prospectus are sold, and that no Selling Shareholder</w:t>
      </w:r>
    </w:p>
    <w:p>
      <w:pPr>
        <w:sectPr>
          <w:pgSz w:w="11900" w:h="16838" w:orient="portrait"/>
          <w:cols w:equalWidth="0" w:num="1">
            <w:col w:w="11420"/>
          </w:cols>
          <w:pgMar w:left="240" w:top="125" w:right="239" w:bottom="0" w:gutter="0" w:footer="0" w:header="0"/>
        </w:sectPr>
      </w:pPr>
    </w:p>
    <w:bookmarkStart w:id="15" w:name="page16"/>
    <w:bookmarkEnd w:id="15"/>
    <w:p>
      <w:pPr>
        <w:spacing w:after="0" w:line="71" w:lineRule="exact"/>
        <w:rPr>
          <w:sz w:val="20"/>
          <w:szCs w:val="20"/>
          <w:color w:val="auto"/>
        </w:rPr>
      </w:pPr>
    </w:p>
    <w:p>
      <w:pPr>
        <w:ind w:left="740"/>
        <w:spacing w:after="0"/>
        <w:rPr>
          <w:sz w:val="20"/>
          <w:szCs w:val="20"/>
          <w:color w:val="auto"/>
        </w:rPr>
      </w:pPr>
      <w:r>
        <w:rPr>
          <w:rFonts w:ascii="Arial" w:cs="Arial" w:eastAsia="Arial" w:hAnsi="Arial"/>
          <w:sz w:val="18"/>
          <w:szCs w:val="18"/>
          <w:color w:val="auto"/>
        </w:rPr>
        <w:t>will acquire additional common shares before the completion of this offering.</w:t>
      </w:r>
    </w:p>
    <w:p>
      <w:pPr>
        <w:spacing w:after="0" w:line="225" w:lineRule="exact"/>
        <w:rPr>
          <w:sz w:val="20"/>
          <w:szCs w:val="20"/>
          <w:color w:val="auto"/>
        </w:rPr>
      </w:pPr>
    </w:p>
    <w:p>
      <w:pPr>
        <w:ind w:left="740" w:right="40" w:hanging="720"/>
        <w:spacing w:after="0" w:line="276" w:lineRule="auto"/>
        <w:tabs>
          <w:tab w:leader="none" w:pos="740" w:val="left"/>
        </w:tabs>
        <w:numPr>
          <w:ilvl w:val="0"/>
          <w:numId w:val="13"/>
        </w:numPr>
        <w:rPr>
          <w:rFonts w:ascii="Arial" w:cs="Arial" w:eastAsia="Arial" w:hAnsi="Arial"/>
          <w:sz w:val="17"/>
          <w:szCs w:val="17"/>
          <w:color w:val="auto"/>
        </w:rPr>
      </w:pPr>
      <w:r>
        <w:rPr>
          <w:rFonts w:ascii="Arial" w:cs="Arial" w:eastAsia="Arial" w:hAnsi="Arial"/>
          <w:sz w:val="17"/>
          <w:szCs w:val="17"/>
          <w:color w:val="auto"/>
        </w:rPr>
        <w:t>Represents Selling Shareholders who collectively hold less than 1% of the common shares outstanding prior to the offering. Includes the following 25 named non-affiliate persons, each of whom holds or may be issued at least one thousand (1,000) Shares: Lixin Nie, Honjie Guan, Baihong Fang, Hok-Lam Kwan, Shu-Shin Chin, Chengyun Gao, Ching-Han Tsai, Shivappa Kukanur, Ping Gao, Roy Neville, Jagadish Venkataraman, Todd Sepke, Hatem Yazbek, Loc Nguyen, Xiaodong Wang, Ruoxin Jiang, Ravishankar Kalyanaraman, Zhihong Yu, Lihan Chang, Hai-Ying Yen, Jhao-Jyun Chiang, David Borland, Gang Liang, Erez Schwartz and David Ben-Eli.</w:t>
      </w:r>
    </w:p>
    <w:p>
      <w:pPr>
        <w:spacing w:after="0" w:line="172" w:lineRule="exact"/>
        <w:rPr>
          <w:rFonts w:ascii="Arial" w:cs="Arial" w:eastAsia="Arial" w:hAnsi="Arial"/>
          <w:sz w:val="17"/>
          <w:szCs w:val="17"/>
          <w:color w:val="auto"/>
        </w:rPr>
      </w:pPr>
    </w:p>
    <w:p>
      <w:pPr>
        <w:ind w:left="740" w:right="280"/>
        <w:spacing w:after="0" w:line="277" w:lineRule="auto"/>
        <w:rPr>
          <w:rFonts w:ascii="Arial" w:cs="Arial" w:eastAsia="Arial" w:hAnsi="Arial"/>
          <w:sz w:val="17"/>
          <w:szCs w:val="17"/>
          <w:color w:val="auto"/>
        </w:rPr>
      </w:pPr>
      <w:r>
        <w:rPr>
          <w:rFonts w:ascii="Arial" w:cs="Arial" w:eastAsia="Arial" w:hAnsi="Arial"/>
          <w:sz w:val="18"/>
          <w:szCs w:val="18"/>
          <w:color w:val="auto"/>
        </w:rPr>
        <w:t>Also includes approximately 19 unnamed non-affiliate persons, each of whom holds or may be issued less than one thousand (1,000) Shares and each of whom may sell up to such amount using this prospectus.</w:t>
      </w:r>
    </w:p>
    <w:p>
      <w:pPr>
        <w:spacing w:after="0" w:line="170" w:lineRule="exact"/>
        <w:rPr>
          <w:rFonts w:ascii="Arial" w:cs="Arial" w:eastAsia="Arial" w:hAnsi="Arial"/>
          <w:sz w:val="17"/>
          <w:szCs w:val="17"/>
          <w:color w:val="auto"/>
        </w:rPr>
      </w:pPr>
    </w:p>
    <w:p>
      <w:pPr>
        <w:ind w:left="740" w:right="480" w:hanging="720"/>
        <w:spacing w:after="0" w:line="277" w:lineRule="auto"/>
        <w:tabs>
          <w:tab w:leader="none" w:pos="7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Includes (a) 267,813 common shares that are exercisable as of 60 days of May 31, 2008 and (b) restricted stock units granted to employees to receive 3,429 common shares as of 60 days of May 31, 2008.</w:t>
      </w:r>
    </w:p>
    <w:p>
      <w:pPr>
        <w:spacing w:after="0" w:line="170" w:lineRule="exact"/>
        <w:rPr>
          <w:sz w:val="20"/>
          <w:szCs w:val="20"/>
          <w:color w:val="auto"/>
        </w:rPr>
      </w:pPr>
    </w:p>
    <w:p>
      <w:pPr>
        <w:ind w:right="360" w:firstLine="648"/>
        <w:spacing w:after="0" w:line="277" w:lineRule="auto"/>
        <w:rPr>
          <w:sz w:val="20"/>
          <w:szCs w:val="20"/>
          <w:color w:val="auto"/>
        </w:rPr>
      </w:pPr>
      <w:r>
        <w:rPr>
          <w:rFonts w:ascii="Arial" w:cs="Arial" w:eastAsia="Arial" w:hAnsi="Arial"/>
          <w:sz w:val="18"/>
          <w:szCs w:val="18"/>
          <w:color w:val="auto"/>
        </w:rPr>
        <w:t>We may amend or supplement this prospectus from time to time in the future to update or change this list of the Selling Shareholders and Shares which may be offered and sold.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right="400" w:firstLine="648"/>
        <w:spacing w:after="0" w:line="264" w:lineRule="auto"/>
        <w:rPr>
          <w:sz w:val="20"/>
          <w:szCs w:val="20"/>
          <w:color w:val="auto"/>
        </w:rPr>
      </w:pPr>
      <w:r>
        <w:rPr>
          <w:rFonts w:ascii="Arial" w:cs="Arial" w:eastAsia="Arial" w:hAnsi="Arial"/>
          <w:sz w:val="18"/>
          <w:szCs w:val="18"/>
          <w:color w:val="auto"/>
        </w:rPr>
        <w:t>We are registering the Shares previously issued and issuable to the Selling Shareholders to permit the resale of these Shares by the Selling Shareholders from time to time after the date of this prospectus. We will not receive any of the proceeds from the sale by the Selling Shareholders of the Shares. We will bear all fees and expenses incident to our obligation to register the Shares.</w:t>
      </w:r>
    </w:p>
    <w:p>
      <w:pPr>
        <w:spacing w:after="0" w:line="181"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The Selling Shareholders may sell all or a portion of the common shares beneficially owned by them and the Shares offered hereby from time to time directly or through broker-dealers or agents. The Selling Shareholders may also sell all or a portion of the Shares from time to time in the over-the-counter market and that sales will be made at prices prevailing in the public market at the times of such sales. Further, the Selling Shareholders may choose to dispose of the Shares by gift to a third party or as a donation to a charitable or other non-profit entity. In connection with any sales, the Selling Shareholders and any brokers participating in such sales may be deemed to be underwriters within the meaning of the Securities Act.</w:t>
      </w:r>
    </w:p>
    <w:p>
      <w:pPr>
        <w:spacing w:after="0" w:line="173" w:lineRule="exact"/>
        <w:rPr>
          <w:sz w:val="20"/>
          <w:szCs w:val="20"/>
          <w:color w:val="auto"/>
        </w:rPr>
      </w:pPr>
    </w:p>
    <w:p>
      <w:pPr>
        <w:ind w:right="20" w:firstLine="648"/>
        <w:spacing w:after="0" w:line="290" w:lineRule="auto"/>
        <w:rPr>
          <w:sz w:val="20"/>
          <w:szCs w:val="20"/>
          <w:color w:val="auto"/>
        </w:rPr>
      </w:pPr>
      <w:r>
        <w:rPr>
          <w:rFonts w:ascii="Arial" w:cs="Arial" w:eastAsia="Arial" w:hAnsi="Arial"/>
          <w:sz w:val="16"/>
          <w:szCs w:val="16"/>
          <w:color w:val="auto"/>
        </w:rPr>
        <w:t>Any broker-dealer participating in such transactions as agent may receive commissions from the Selling Shareholders (and, if such broker acts as agent for the purchaser of such Shares, from such purchaser). Usual and customary brokerage fees will be paid by the Selling Shareholders. Broker-dealers may agree with the Selling Shareholders to sell a specified number of Shares at a stipulated price per share, and, to the extent such a broker-dealer is unable to do so acting as agent for the Selling Shareholders, to purchase as principal any unsold Shares at the price required to fulfill the broker-dealer commitment to the Selling Shareholders. Broker-dealers who acquire Shares as principal may thereafter resell such Shares from time to time in transactions (which may involve crosses and block transactions and which may involve sales to and through other broker-dealers, including transactions of the nature described above) in the over the counter market, in negotiated transactions or otherwise at market prices prevailing at the time of sale or at negotiated prices, and in connection with such resales may pay to or receive from the purchasers of such Shares commissions computed as described above.</w:t>
      </w:r>
    </w:p>
    <w:p>
      <w:pPr>
        <w:spacing w:after="0" w:line="166" w:lineRule="exact"/>
        <w:rPr>
          <w:sz w:val="20"/>
          <w:szCs w:val="20"/>
          <w:color w:val="auto"/>
        </w:rPr>
      </w:pPr>
    </w:p>
    <w:p>
      <w:pPr>
        <w:ind w:right="140" w:firstLine="648"/>
        <w:spacing w:after="0" w:line="257" w:lineRule="auto"/>
        <w:rPr>
          <w:sz w:val="20"/>
          <w:szCs w:val="20"/>
          <w:color w:val="auto"/>
        </w:rPr>
      </w:pPr>
      <w:r>
        <w:rPr>
          <w:rFonts w:ascii="Arial" w:cs="Arial" w:eastAsia="Arial" w:hAnsi="Arial"/>
          <w:sz w:val="18"/>
          <w:szCs w:val="18"/>
          <w:color w:val="auto"/>
        </w:rPr>
        <w:t>Under applicable rules and regulations under the Exchange Act, any person engaged in the distribution of the resale shares may not simultaneously engage in market making activities with respect to the common shares for the applicable restricted period, as defined in Regulation M, prior to the commencement of the distribution. In addition, the Selling Shareholders will be subject to applicable provisions of the Exchange Act and the rules and regulations thereunder, including Regulation M, which may limit the timing of purchases and sales of the common shares by the Selling Shareholders or any other person.</w:t>
      </w:r>
    </w:p>
    <w:p>
      <w:pPr>
        <w:spacing w:after="0" w:line="188" w:lineRule="exact"/>
        <w:rPr>
          <w:sz w:val="20"/>
          <w:szCs w:val="20"/>
          <w:color w:val="auto"/>
        </w:rPr>
      </w:pPr>
    </w:p>
    <w:p>
      <w:pPr>
        <w:ind w:right="520" w:firstLine="648"/>
        <w:spacing w:after="0" w:line="342" w:lineRule="auto"/>
        <w:rPr>
          <w:sz w:val="20"/>
          <w:szCs w:val="20"/>
          <w:color w:val="auto"/>
        </w:rPr>
      </w:pPr>
      <w:r>
        <w:rPr>
          <w:rFonts w:ascii="Arial" w:cs="Arial" w:eastAsia="Arial" w:hAnsi="Arial"/>
          <w:sz w:val="16"/>
          <w:szCs w:val="16"/>
          <w:color w:val="auto"/>
        </w:rPr>
        <w:t>Any commissions paid or any discounts or concessions allowed to any such broker-dealers, and, if any such broker-dealers purchase Shares as principal, any profits received on the resale of such Shares, may be deemed to be underwriting discounts and commissions under the Securities Act.</w:t>
      </w:r>
    </w:p>
    <w:p>
      <w:pPr>
        <w:spacing w:after="0" w:line="124" w:lineRule="exact"/>
        <w:rPr>
          <w:sz w:val="20"/>
          <w:szCs w:val="20"/>
          <w:color w:val="auto"/>
        </w:rPr>
      </w:pPr>
    </w:p>
    <w:p>
      <w:pPr>
        <w:ind w:right="60" w:firstLine="648"/>
        <w:spacing w:after="0" w:line="255" w:lineRule="auto"/>
        <w:rPr>
          <w:sz w:val="20"/>
          <w:szCs w:val="20"/>
          <w:color w:val="auto"/>
        </w:rPr>
      </w:pPr>
      <w:r>
        <w:rPr>
          <w:rFonts w:ascii="Arial" w:cs="Arial" w:eastAsia="Arial" w:hAnsi="Arial"/>
          <w:sz w:val="18"/>
          <w:szCs w:val="18"/>
          <w:color w:val="auto"/>
        </w:rPr>
        <w:t>If applicable, upon our being notified by the Selling Shareholders that any material arrangement has been entered into with a broker-dealer for the sale of the Shares through a cross or block trade, a supplemental prospectus will be filed under Rule 424(c) under the Securities Act, setting forth the name of the participating broker-dealer(s), the number of the Shares involved, the price at which such Shares were sold by the Selling Shareholders, the commissions paid or discounts or concessions allowed by the Selling Shareholders to such broker-dealer(s), and, where applicable, that such broker-dealer(s) did not conduct any investigation to verify the information set out in this prospectus. Any securities covered by this prospectus that qualify for sale pursuant to Rule 144 under the Securities Act may be sold under that Rule rather than pursuant to this prospectus. There can be no assurance that the Selling Shareholders will sell any or all of the Shares offered hereunder.</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 * * * *</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validity of the Shares offered hereby will be passed upon by Appleby, our Bermuda counsel.</w:t>
      </w:r>
    </w:p>
    <w:p>
      <w:pPr>
        <w:spacing w:after="0" w:line="2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right="580" w:firstLine="648"/>
        <w:spacing w:after="0" w:line="291" w:lineRule="auto"/>
        <w:rPr>
          <w:sz w:val="20"/>
          <w:szCs w:val="20"/>
          <w:color w:val="auto"/>
        </w:rPr>
      </w:pPr>
      <w:r>
        <w:rPr>
          <w:rFonts w:ascii="Arial" w:cs="Arial" w:eastAsia="Arial" w:hAnsi="Arial"/>
          <w:sz w:val="16"/>
          <w:szCs w:val="16"/>
          <w:color w:val="auto"/>
        </w:rPr>
        <w:t>The consolidated financial statements and management’s assessment of the effectiveness of internal control over financial reporting (which is included in Management’s Report on Internal Control over Financial Reporting) incorporated in this Prospectus by reference to the Annual Report on</w:t>
      </w:r>
    </w:p>
    <w:p>
      <w:pPr>
        <w:ind w:right="20"/>
        <w:spacing w:after="0" w:line="255" w:lineRule="auto"/>
        <w:rPr>
          <w:sz w:val="20"/>
          <w:szCs w:val="20"/>
          <w:color w:val="auto"/>
        </w:rPr>
      </w:pPr>
      <w:r>
        <w:rPr>
          <w:rFonts w:ascii="Arial" w:cs="Arial" w:eastAsia="Arial" w:hAnsi="Arial"/>
          <w:sz w:val="18"/>
          <w:szCs w:val="18"/>
          <w:color w:val="auto"/>
        </w:rPr>
        <w:t>Form 10-K for the year ended February 2, 2008 have been so incorporated in reliance on the report (which contains an adverse opinion on the effectiveness of internal control over financial reporting) of PricewaterhouseCoopers LLP, an independent registered public accounting firm, given on the authority of said firm as experts in auditing and accounting.</w:t>
      </w:r>
    </w:p>
    <w:p>
      <w:pPr>
        <w:sectPr>
          <w:pgSz w:w="11900" w:h="16909" w:orient="portrait"/>
          <w:cols w:equalWidth="0" w:num="1">
            <w:col w:w="11420"/>
          </w:cols>
          <w:pgMar w:left="240" w:top="125" w:right="239" w:bottom="0" w:gutter="0" w:footer="0" w:header="0"/>
        </w:sectPr>
      </w:pPr>
    </w:p>
    <w:bookmarkStart w:id="16" w:name="page17"/>
    <w:bookmarkEnd w:id="16"/>
    <w:p>
      <w:pPr>
        <w:ind w:right="200" w:firstLine="648"/>
        <w:spacing w:after="0" w:line="257" w:lineRule="auto"/>
        <w:rPr>
          <w:sz w:val="20"/>
          <w:szCs w:val="20"/>
          <w:color w:val="auto"/>
        </w:rPr>
      </w:pPr>
      <w:r>
        <w:rPr>
          <w:rFonts w:ascii="Arial" w:cs="Arial" w:eastAsia="Arial" w:hAnsi="Arial"/>
          <w:sz w:val="18"/>
          <w:szCs w:val="18"/>
          <w:color w:val="auto"/>
        </w:rPr>
        <w:t>The statements of assets to be acquired and liabilities to be assumed of the Hand Held Products Group as of December 31, 2005 and December 25, 2004 and the related statements of net revenues and direct expenses for each of the three years in the period ended December 31, 2005 appearing in our Current Report on Form 8-K/A dated July 2, 2007 have been audited by Ernst &amp; Young LLP, independent auditors, as set forth in their report thereon, included therein, and incorporated herein by reference. Such financial statements are incorporated herein by reference in reliance upon such report given on the authority of such firm as experts in accounting and auditing.</w:t>
      </w:r>
    </w:p>
    <w:p>
      <w:pPr>
        <w:spacing w:after="0" w:line="18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INCORPORATED BY REFERENCE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following documents filed with the SEC are hereby incorporated by reference in this prospectus:</w:t>
      </w:r>
    </w:p>
    <w:p>
      <w:pPr>
        <w:spacing w:after="0" w:line="225"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2, 2008, filed with the SEC on March 28, 2008.</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Quarterly Report on Form 10-Q for the quarterly period ended May 3, 2008, filed with the SEC on June 6, 2008.</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Proxy Statement filed with the SEC on June 2, 2008.</w:t>
      </w:r>
    </w:p>
    <w:p>
      <w:pPr>
        <w:spacing w:after="0" w:line="225" w:lineRule="exact"/>
        <w:rPr>
          <w:rFonts w:ascii="Arial" w:cs="Arial" w:eastAsia="Arial" w:hAnsi="Arial"/>
          <w:sz w:val="18"/>
          <w:szCs w:val="18"/>
          <w:color w:val="auto"/>
        </w:rPr>
      </w:pPr>
    </w:p>
    <w:p>
      <w:pPr>
        <w:ind w:left="980" w:right="220" w:hanging="324"/>
        <w:spacing w:after="0" w:line="286" w:lineRule="auto"/>
        <w:tabs>
          <w:tab w:leader="none" w:pos="944"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Current Reports on Form 8-K filed with the SEC on February 6, 2008, March 6, 2008, April 4, 2008, May 2, 2008, May 8, 2008, May 23, 2008, May 30, 2008 and June 2, 2008 (two filings made). With respect to such Current Reports on Form 8-K, we specifically exclude from incorporation such information that has been furnished and not filed pursuant to Item 2.02, Item 7.01 and/or Item 9.01.</w:t>
      </w:r>
    </w:p>
    <w:p>
      <w:pPr>
        <w:spacing w:after="0" w:line="165" w:lineRule="exact"/>
        <w:rPr>
          <w:rFonts w:ascii="Arial" w:cs="Arial" w:eastAsia="Arial" w:hAnsi="Arial"/>
          <w:sz w:val="17"/>
          <w:szCs w:val="17"/>
          <w:color w:val="auto"/>
        </w:rPr>
      </w:pPr>
    </w:p>
    <w:p>
      <w:pPr>
        <w:ind w:left="980" w:right="180" w:hanging="324"/>
        <w:spacing w:after="0" w:line="259" w:lineRule="auto"/>
        <w:tabs>
          <w:tab w:leader="none" w:pos="944"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Audited statements of assets to be acquired and liabilities to be assumed as of December 31, 2005 and December 25, 2004 and the related statements of net revenues and direct expenses for the years ended December 31, 2005, December 25, 2004 and December 27, 2003 for the Hands Held Products Group and the related notes thereto and Report of Independent Auditors thereon included in our Current Report on Form 8-K/A filed with the SEC on July 2, 2007.</w:t>
      </w:r>
    </w:p>
    <w:p>
      <w:pPr>
        <w:spacing w:after="0" w:line="186" w:lineRule="exact"/>
        <w:rPr>
          <w:rFonts w:ascii="Arial" w:cs="Arial" w:eastAsia="Arial" w:hAnsi="Arial"/>
          <w:sz w:val="18"/>
          <w:szCs w:val="18"/>
          <w:color w:val="auto"/>
        </w:rPr>
      </w:pPr>
    </w:p>
    <w:p>
      <w:pPr>
        <w:ind w:left="980" w:hanging="324"/>
        <w:spacing w:after="0" w:line="264" w:lineRule="auto"/>
        <w:tabs>
          <w:tab w:leader="none" w:pos="944" w:val="left"/>
        </w:tabs>
        <w:numPr>
          <w:ilvl w:val="0"/>
          <w:numId w:val="14"/>
        </w:numPr>
        <w:rPr>
          <w:rFonts w:ascii="Arial" w:cs="Arial" w:eastAsia="Arial" w:hAnsi="Arial"/>
          <w:sz w:val="18"/>
          <w:szCs w:val="18"/>
          <w:color w:val="auto"/>
        </w:rPr>
      </w:pPr>
      <w:r>
        <w:rPr>
          <w:rFonts w:ascii="Arial" w:cs="Arial" w:eastAsia="Arial" w:hAnsi="Arial"/>
          <w:sz w:val="18"/>
          <w:szCs w:val="18"/>
          <w:color w:val="auto"/>
        </w:rPr>
        <w:t>Unaudited statements of assets to be acquired and liabilities to be assumed as of July 1, 2006 and the related statements of net revenues and direct expenses for the six months ended July 1, 2006 and July 2, 2005 for the Hands Held Products Group and the related notes thereto included in our Current Report on Form 8-K/A filed with the SEC on July 2, 2007.</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980" w:right="120" w:hanging="324"/>
        <w:spacing w:after="0" w:line="277" w:lineRule="auto"/>
        <w:tabs>
          <w:tab w:leader="none" w:pos="944"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as filed with the SEC on June 22, 2000 pursuant to Section 12(g) of the Exchange Act.</w:t>
      </w:r>
    </w:p>
    <w:p>
      <w:pPr>
        <w:spacing w:after="0" w:line="170" w:lineRule="exact"/>
        <w:rPr>
          <w:rFonts w:ascii="Arial" w:cs="Arial" w:eastAsia="Arial" w:hAnsi="Arial"/>
          <w:sz w:val="18"/>
          <w:szCs w:val="18"/>
          <w:color w:val="auto"/>
        </w:rPr>
      </w:pPr>
    </w:p>
    <w:p>
      <w:pPr>
        <w:ind w:left="980" w:right="180" w:hanging="324"/>
        <w:spacing w:after="0" w:line="259" w:lineRule="auto"/>
        <w:tabs>
          <w:tab w:leader="none" w:pos="94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reports and other documents subsequently filed by us pursuant to Sections 13(a), 13(c), 14 and 15(d) of the Exchange Act after the date of this prospectus and prior to the termination of this offering (excluding any portions thereof furnished but not filed under applicable rules and regulations) shall be deemed to be incorporated by reference in this prospectus and to be part hereof from the date of filing of such reports and other documents.</w:t>
      </w:r>
    </w:p>
    <w:p>
      <w:pPr>
        <w:spacing w:after="0" w:line="187"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We hereby undertake to provide without charge to each person, including any beneficial owner, to whom a copy of this prospectus is delivered, upon written or oral request of any such person, a copy of any and all of the information that has been or may be incorporated by reference in this prospectus, other than exhibits to such documents. Requests for such copies should be directed to our Legal Department, Marvell Semiconductor, Inc., 5488 Marvell Lane, Santa Clara, California 95054. Our telephone number at that location is (408) 222-2500.</w:t>
      </w:r>
    </w:p>
    <w:p>
      <w:pPr>
        <w:spacing w:after="0" w:line="187"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We file annual, quarterly and current reports and other information with the SEC. You may read and copy and documents we file at the SEC’s Public Reference Room at 100 F Street, Washington, D.C. 20549. You may also obtain copies of the documents at prescribed rates by writing to the Public Reference Section of the SEC at 100 F Street, N.E., Washington, D.C. 20549. Please call the SEC at 1-800-SEC-0330 for further information on the operation of the public reference facilities.</w:t>
      </w:r>
    </w:p>
    <w:p>
      <w:pPr>
        <w:spacing w:after="0" w:line="187" w:lineRule="exact"/>
        <w:rPr>
          <w:sz w:val="20"/>
          <w:szCs w:val="20"/>
          <w:color w:val="auto"/>
        </w:rPr>
      </w:pPr>
    </w:p>
    <w:p>
      <w:pPr>
        <w:ind w:right="20" w:firstLine="648"/>
        <w:spacing w:after="0" w:line="279" w:lineRule="auto"/>
        <w:rPr>
          <w:sz w:val="20"/>
          <w:szCs w:val="20"/>
          <w:color w:val="auto"/>
        </w:rPr>
      </w:pPr>
      <w:r>
        <w:rPr>
          <w:rFonts w:ascii="Arial" w:cs="Arial" w:eastAsia="Arial" w:hAnsi="Arial"/>
          <w:sz w:val="17"/>
          <w:szCs w:val="17"/>
          <w:color w:val="auto"/>
        </w:rPr>
        <w:t>Our Internet address is www.marvell.com and the investor relations section of our website is located at http://www.marvell.com/investors. We make available free of charge, on or through the investor relations section of our website, annual reports on Form 10-K, quarterly reports on Form 10-Q, current reports on Form 8-K and amendments to those reports filed or furnished pursuant to Section 13(a) or Section 15(d) of the Exchange Act as soon as reasonably practicable after we electronically file such material with, or furnish it to, the SEC.</w:t>
      </w:r>
    </w:p>
    <w:p>
      <w:pPr>
        <w:spacing w:after="0" w:line="171"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You should rely only on the information contained or incorporated by reference in this prospectus and in any accompanying prospectus supplement. We have not authorized anyone to provide you with information different from that contained in this prospectus. The Shares offered under this prospectus are offered only in jurisdictions where offers and sales are permitted. The information contained in this prospectus is accurate only as of the date of this prospectus, regardless of the time of delivery of this prospectus or any sale of the Shares.</w:t>
      </w:r>
    </w:p>
    <w:p>
      <w:pPr>
        <w:spacing w:after="0" w:line="187"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This prospectus constitutes a part of a Registration Statement filed by us with the SEC under the Securities Act. This prospectus does not contain all of the information set forth in the Registration Statement, certain parts of which are omitted in accordance with the rules and regulations of the SEC. For further information about us and the Shares, reference is hereby made to the Registration Statement. The Registration Statement may be inspected at the public reference facilities maintained by the SEC at the addresses set forth in the preceding paragraph. Statements contained herein concerning any document filed as an exhibit are not necessarily complete, and, in each instance, reference is made to the copy of such document filed as an exhibit to the Registration Statement. Each such statement is qualified in its entirety by such reference.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 * *</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41" w:right="239" w:bottom="532" w:gutter="0" w:footer="0" w:header="0"/>
        </w:sectPr>
      </w:pPr>
    </w:p>
    <w:bookmarkStart w:id="17" w:name="page18"/>
    <w:bookmarkEnd w:id="17"/>
    <w:p>
      <w:pPr>
        <w:ind w:right="20" w:firstLine="648"/>
        <w:spacing w:after="0" w:line="272" w:lineRule="auto"/>
        <w:rPr>
          <w:sz w:val="20"/>
          <w:szCs w:val="20"/>
          <w:color w:val="auto"/>
        </w:rPr>
      </w:pPr>
      <w:r>
        <w:rPr>
          <w:rFonts w:ascii="Arial" w:cs="Arial" w:eastAsia="Arial" w:hAnsi="Arial"/>
          <w:sz w:val="17"/>
          <w:szCs w:val="17"/>
          <w:color w:val="auto"/>
        </w:rPr>
        <w:t>No person is authorized in connection with any offering made by this prospectus to give any information or to make any representations not contained in this prospectus, and, if given or made, such information or representations must not be relied upon as having been authorized by us, any Selling Shareholders or by any other person. This prospectus does not constitute an offer to sell or a solicitation of an offer to buy any security other than the Shares offered hereby, nor does it constitute an offer to sell or a solicitation of an offer to buy any of the Shares offered hereby to any person in any jurisdiction in which it is unlawful to make such an offer or solicitation. Neither the delivery of this prospectus nor any sale of or offer to sell the Shares made hereunder shall under any circumstances create any implication that there has been no change in our affairs since the date hereof or that the information contained herein is correct as of any time subsequent to the date hereof.</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260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197485</wp:posOffset>
            </wp:positionV>
            <wp:extent cx="7246620" cy="260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325" w:lineRule="exact"/>
        <w:rPr>
          <w:sz w:val="20"/>
          <w:szCs w:val="20"/>
          <w:color w:val="auto"/>
        </w:rPr>
      </w:pPr>
    </w:p>
    <w:tbl>
      <w:tblPr>
        <w:tblLayout w:type="fixed"/>
        <w:tblInd w:w="3140" w:type="dxa"/>
        <w:tblCellMar>
          <w:top w:w="0" w:type="dxa"/>
          <w:left w:w="0" w:type="dxa"/>
          <w:bottom w:w="0" w:type="dxa"/>
          <w:right w:w="0" w:type="dxa"/>
        </w:tblCellMar>
      </w:tblPr>
      <w:tr>
        <w:trPr>
          <w:trHeight w:val="171"/>
        </w:trPr>
        <w:tc>
          <w:tcPr>
            <w:tcW w:w="2320" w:type="dxa"/>
            <w:vAlign w:val="bottom"/>
            <w:gridSpan w:val="8"/>
            <w:vMerge w:val="restart"/>
          </w:tcPr>
          <w:p>
            <w:pPr>
              <w:spacing w:after="0"/>
              <w:rPr>
                <w:rFonts w:ascii="Arial" w:cs="Arial" w:eastAsia="Arial" w:hAnsi="Arial"/>
                <w:sz w:val="18"/>
                <w:szCs w:val="18"/>
                <w:color w:val="0000EE"/>
                <w:w w:val="93"/>
              </w:rPr>
            </w:pPr>
            <w:hyperlink w:anchor="page2">
              <w:r>
                <w:rPr>
                  <w:rFonts w:ascii="Arial" w:cs="Arial" w:eastAsia="Arial" w:hAnsi="Arial"/>
                  <w:sz w:val="18"/>
                  <w:szCs w:val="18"/>
                  <w:color w:val="0000EE"/>
                  <w:w w:val="93"/>
                </w:rPr>
                <w:t>Marvell Technology Group Ltd.</w:t>
              </w:r>
            </w:hyperlink>
          </w:p>
        </w:tc>
        <w:tc>
          <w:tcPr>
            <w:tcW w:w="1840" w:type="dxa"/>
            <w:vAlign w:val="bottom"/>
            <w:gridSpan w:val="2"/>
            <w:vMerge w:val="restart"/>
          </w:tcPr>
          <w:p>
            <w:pPr>
              <w:spacing w:after="0"/>
              <w:rPr>
                <w:sz w:val="14"/>
                <w:szCs w:val="14"/>
                <w:color w:val="auto"/>
              </w:rPr>
            </w:pPr>
          </w:p>
        </w:tc>
        <w:tc>
          <w:tcPr>
            <w:tcW w:w="980" w:type="dxa"/>
            <w:vAlign w:val="bottom"/>
            <w:tcBorders>
              <w:bottom w:val="single" w:sz="8" w:color="auto"/>
            </w:tcBorders>
          </w:tcPr>
          <w:p>
            <w:pPr>
              <w:jc w:val="right"/>
              <w:ind w:right="253"/>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2320" w:type="dxa"/>
            <w:vAlign w:val="bottom"/>
            <w:tcBorders>
              <w:bottom w:val="single" w:sz="8" w:color="0000EE"/>
            </w:tcBorders>
            <w:gridSpan w:val="8"/>
            <w:vMerge w:val="continue"/>
          </w:tcPr>
          <w:p>
            <w:pPr>
              <w:spacing w:after="0"/>
              <w:rPr>
                <w:sz w:val="13"/>
                <w:szCs w:val="13"/>
                <w:color w:val="auto"/>
              </w:rPr>
            </w:pPr>
          </w:p>
        </w:tc>
        <w:tc>
          <w:tcPr>
            <w:tcW w:w="1840" w:type="dxa"/>
            <w:vAlign w:val="bottom"/>
            <w:gridSpan w:val="2"/>
            <w:vMerge w:val="continue"/>
          </w:tcPr>
          <w:p>
            <w:pPr>
              <w:spacing w:after="0"/>
              <w:rPr>
                <w:sz w:val="13"/>
                <w:szCs w:val="13"/>
                <w:color w:val="auto"/>
              </w:rPr>
            </w:pPr>
          </w:p>
        </w:tc>
        <w:tc>
          <w:tcPr>
            <w:tcW w:w="980" w:type="dxa"/>
            <w:vAlign w:val="bottom"/>
          </w:tcPr>
          <w:p>
            <w:pPr>
              <w:jc w:val="right"/>
              <w:spacing w:after="0" w:line="142" w:lineRule="exact"/>
              <w:rPr>
                <w:sz w:val="20"/>
                <w:szCs w:val="20"/>
                <w:color w:val="auto"/>
              </w:rPr>
            </w:pPr>
            <w:r>
              <w:rPr>
                <w:rFonts w:ascii="Arial" w:cs="Arial" w:eastAsia="Arial" w:hAnsi="Arial"/>
                <w:sz w:val="16"/>
                <w:szCs w:val="16"/>
                <w:color w:val="auto"/>
              </w:rPr>
              <w:t>2</w:t>
            </w:r>
          </w:p>
        </w:tc>
        <w:tc>
          <w:tcPr>
            <w:tcW w:w="0" w:type="dxa"/>
            <w:vAlign w:val="bottom"/>
          </w:tcPr>
          <w:p>
            <w:pPr>
              <w:spacing w:after="0"/>
              <w:rPr>
                <w:sz w:val="1"/>
                <w:szCs w:val="1"/>
                <w:color w:val="auto"/>
              </w:rPr>
            </w:pPr>
          </w:p>
        </w:tc>
      </w:tr>
      <w:tr>
        <w:trPr>
          <w:trHeight w:val="210"/>
        </w:trPr>
        <w:tc>
          <w:tcPr>
            <w:tcW w:w="4160" w:type="dxa"/>
            <w:vAlign w:val="bottom"/>
            <w:gridSpan w:val="1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Forward-Looking Statements</w:t>
              </w:r>
            </w:hyperlink>
          </w:p>
        </w:tc>
        <w:tc>
          <w:tcPr>
            <w:tcW w:w="9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92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9"/>
              </w:rPr>
            </w:pPr>
            <w:hyperlink w:anchor="page3">
              <w:r>
                <w:rPr>
                  <w:rFonts w:ascii="Arial" w:cs="Arial" w:eastAsia="Arial" w:hAnsi="Arial"/>
                  <w:sz w:val="18"/>
                  <w:szCs w:val="18"/>
                  <w:color w:val="0000EE"/>
                  <w:w w:val="89"/>
                </w:rPr>
                <w:t>Risk Factors</w:t>
              </w:r>
            </w:hyperlink>
          </w:p>
        </w:tc>
        <w:tc>
          <w:tcPr>
            <w:tcW w:w="1200" w:type="dxa"/>
            <w:vAlign w:val="bottom"/>
            <w:tcBorders>
              <w:top w:val="single" w:sz="8" w:color="0000EE"/>
            </w:tcBorders>
            <w:gridSpan w:val="5"/>
          </w:tcPr>
          <w:p>
            <w:pPr>
              <w:spacing w:after="0"/>
              <w:rPr>
                <w:sz w:val="17"/>
                <w:szCs w:val="17"/>
                <w:color w:val="auto"/>
              </w:rPr>
            </w:pPr>
          </w:p>
        </w:tc>
        <w:tc>
          <w:tcPr>
            <w:tcW w:w="2040" w:type="dxa"/>
            <w:vAlign w:val="bottom"/>
            <w:gridSpan w:val="3"/>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80" w:type="dxa"/>
            <w:vAlign w:val="bottom"/>
            <w:tcBorders>
              <w:bottom w:val="single" w:sz="8" w:color="0000EE"/>
            </w:tcBorders>
            <w:gridSpan w:val="4"/>
          </w:tcPr>
          <w:p>
            <w:pPr>
              <w:spacing w:after="0" w:line="196" w:lineRule="exact"/>
              <w:rPr>
                <w:rFonts w:ascii="Arial" w:cs="Arial" w:eastAsia="Arial" w:hAnsi="Arial"/>
                <w:sz w:val="18"/>
                <w:szCs w:val="18"/>
                <w:color w:val="0000EE"/>
                <w:w w:val="87"/>
              </w:rPr>
            </w:pPr>
            <w:hyperlink w:anchor="page15">
              <w:r>
                <w:rPr>
                  <w:rFonts w:ascii="Arial" w:cs="Arial" w:eastAsia="Arial" w:hAnsi="Arial"/>
                  <w:sz w:val="18"/>
                  <w:szCs w:val="18"/>
                  <w:color w:val="0000EE"/>
                  <w:w w:val="87"/>
                </w:rPr>
                <w:t>Use of Proceeds</w:t>
              </w:r>
            </w:hyperlink>
          </w:p>
        </w:tc>
        <w:tc>
          <w:tcPr>
            <w:tcW w:w="2980" w:type="dxa"/>
            <w:vAlign w:val="bottom"/>
            <w:gridSpan w:val="6"/>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196"/>
        </w:trPr>
        <w:tc>
          <w:tcPr>
            <w:tcW w:w="4160" w:type="dxa"/>
            <w:vAlign w:val="bottom"/>
            <w:gridSpan w:val="10"/>
          </w:tcPr>
          <w:p>
            <w:pPr>
              <w:spacing w:after="0" w:line="196" w:lineRule="exact"/>
              <w:rPr>
                <w:rFonts w:ascii="Arial" w:cs="Arial" w:eastAsia="Arial" w:hAnsi="Arial"/>
                <w:sz w:val="18"/>
                <w:szCs w:val="18"/>
                <w:color w:val="0000EE"/>
              </w:rPr>
            </w:pPr>
            <w:hyperlink w:anchor="page15">
              <w:r>
                <w:rPr>
                  <w:rFonts w:ascii="Arial" w:cs="Arial" w:eastAsia="Arial" w:hAnsi="Arial"/>
                  <w:sz w:val="18"/>
                  <w:szCs w:val="18"/>
                  <w:color w:val="0000EE"/>
                </w:rPr>
                <w:t>Selling Shareholders</w:t>
              </w:r>
            </w:hyperlink>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196"/>
        </w:trPr>
        <w:tc>
          <w:tcPr>
            <w:tcW w:w="1440" w:type="dxa"/>
            <w:vAlign w:val="bottom"/>
            <w:tcBorders>
              <w:top w:val="single" w:sz="8" w:color="0000EE"/>
              <w:bottom w:val="single" w:sz="8" w:color="0000EE"/>
            </w:tcBorders>
            <w:gridSpan w:val="5"/>
          </w:tcPr>
          <w:p>
            <w:pPr>
              <w:spacing w:after="0" w:line="196" w:lineRule="exact"/>
              <w:rPr>
                <w:rFonts w:ascii="Arial" w:cs="Arial" w:eastAsia="Arial" w:hAnsi="Arial"/>
                <w:sz w:val="18"/>
                <w:szCs w:val="18"/>
                <w:color w:val="0000EE"/>
                <w:w w:val="93"/>
              </w:rPr>
            </w:pPr>
            <w:hyperlink w:anchor="page16">
              <w:r>
                <w:rPr>
                  <w:rFonts w:ascii="Arial" w:cs="Arial" w:eastAsia="Arial" w:hAnsi="Arial"/>
                  <w:sz w:val="18"/>
                  <w:szCs w:val="18"/>
                  <w:color w:val="0000EE"/>
                  <w:w w:val="93"/>
                </w:rPr>
                <w:t>Plan of Distribution</w:t>
              </w:r>
            </w:hyperlink>
          </w:p>
        </w:tc>
        <w:tc>
          <w:tcPr>
            <w:tcW w:w="60" w:type="dxa"/>
            <w:vAlign w:val="bottom"/>
            <w:tcBorders>
              <w:top w:val="single" w:sz="8" w:color="0000EE"/>
            </w:tcBorders>
          </w:tcPr>
          <w:p>
            <w:pPr>
              <w:spacing w:after="0"/>
              <w:rPr>
                <w:sz w:val="17"/>
                <w:szCs w:val="17"/>
                <w:color w:val="auto"/>
              </w:rPr>
            </w:pPr>
          </w:p>
        </w:tc>
        <w:tc>
          <w:tcPr>
            <w:tcW w:w="2660" w:type="dxa"/>
            <w:vAlign w:val="bottom"/>
            <w:gridSpan w:val="4"/>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1020" w:type="dxa"/>
            <w:vAlign w:val="bottom"/>
            <w:tcBorders>
              <w:bottom w:val="single" w:sz="8" w:color="0000EE"/>
            </w:tcBorders>
            <w:gridSpan w:val="3"/>
          </w:tcPr>
          <w:p>
            <w:pPr>
              <w:spacing w:after="0" w:line="196" w:lineRule="exact"/>
              <w:rPr>
                <w:rFonts w:ascii="Arial" w:cs="Arial" w:eastAsia="Arial" w:hAnsi="Arial"/>
                <w:sz w:val="18"/>
                <w:szCs w:val="18"/>
                <w:color w:val="0000EE"/>
                <w:w w:val="91"/>
              </w:rPr>
            </w:pPr>
            <w:hyperlink w:anchor="page16">
              <w:r>
                <w:rPr>
                  <w:rFonts w:ascii="Arial" w:cs="Arial" w:eastAsia="Arial" w:hAnsi="Arial"/>
                  <w:sz w:val="18"/>
                  <w:szCs w:val="18"/>
                  <w:color w:val="0000EE"/>
                  <w:w w:val="91"/>
                </w:rPr>
                <w:t>Legal Matters</w:t>
              </w:r>
            </w:hyperlink>
          </w:p>
        </w:tc>
        <w:tc>
          <w:tcPr>
            <w:tcW w:w="3140" w:type="dxa"/>
            <w:vAlign w:val="bottom"/>
            <w:gridSpan w:val="7"/>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560" w:type="dxa"/>
            <w:vAlign w:val="bottom"/>
            <w:tcBorders>
              <w:bottom w:val="single" w:sz="8" w:color="0000EE"/>
            </w:tcBorders>
          </w:tcPr>
          <w:p>
            <w:pPr>
              <w:spacing w:after="0" w:line="196" w:lineRule="exact"/>
              <w:rPr>
                <w:rFonts w:ascii="Arial" w:cs="Arial" w:eastAsia="Arial" w:hAnsi="Arial"/>
                <w:sz w:val="18"/>
                <w:szCs w:val="18"/>
                <w:color w:val="0000EE"/>
                <w:w w:val="88"/>
              </w:rPr>
            </w:pPr>
            <w:hyperlink w:anchor="page16">
              <w:r>
                <w:rPr>
                  <w:rFonts w:ascii="Arial" w:cs="Arial" w:eastAsia="Arial" w:hAnsi="Arial"/>
                  <w:sz w:val="18"/>
                  <w:szCs w:val="18"/>
                  <w:color w:val="0000EE"/>
                  <w:w w:val="88"/>
                </w:rPr>
                <w:t>Experts</w:t>
              </w:r>
            </w:hyperlink>
          </w:p>
        </w:tc>
        <w:tc>
          <w:tcPr>
            <w:tcW w:w="3600" w:type="dxa"/>
            <w:vAlign w:val="bottom"/>
            <w:gridSpan w:val="9"/>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2840" w:type="dxa"/>
            <w:vAlign w:val="bottom"/>
            <w:tcBorders>
              <w:bottom w:val="single" w:sz="8" w:color="0000EE"/>
            </w:tcBorders>
            <w:gridSpan w:val="9"/>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Information Incorporated by Reference</w:t>
              </w:r>
            </w:hyperlink>
          </w:p>
        </w:tc>
        <w:tc>
          <w:tcPr>
            <w:tcW w:w="1320" w:type="dxa"/>
            <w:vAlign w:val="bottom"/>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bl>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169,277 Common Shares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PROSPECTUS</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June 20,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REGISTRATION STATEMENT ON FORM S-8/S-3</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140"/>
        <w:spacing w:after="0"/>
        <w:rPr>
          <w:sz w:val="20"/>
          <w:szCs w:val="20"/>
          <w:color w:val="auto"/>
        </w:rPr>
      </w:pPr>
      <w:r>
        <w:rPr>
          <w:rFonts w:ascii="Arial" w:cs="Arial" w:eastAsia="Arial" w:hAnsi="Arial"/>
          <w:sz w:val="18"/>
          <w:szCs w:val="18"/>
          <w:b w:val="1"/>
          <w:bCs w:val="1"/>
          <w:color w:val="auto"/>
        </w:rPr>
        <w:t>INFORMATION REQUIRED IN REGISTRATION STATEMENT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The following documents and information previously filed with the SEC by us are hereby incorporated by reference in this Registration Statement:</w:t>
      </w:r>
    </w:p>
    <w:p>
      <w:pPr>
        <w:spacing w:after="0" w:line="248" w:lineRule="exact"/>
        <w:rPr>
          <w:sz w:val="20"/>
          <w:szCs w:val="20"/>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2, 2008, filed with the SEC on March 28, 2008.</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Quarterly Report on Form 10-Q for the quarterly period ended May 3, 2008, filed with the SEC on June 6, 2008.</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Proxy Statement filed with the SEC on June 2, 2008.</w:t>
      </w:r>
    </w:p>
    <w:p>
      <w:pPr>
        <w:spacing w:after="0" w:line="225" w:lineRule="exact"/>
        <w:rPr>
          <w:rFonts w:ascii="Arial" w:cs="Arial" w:eastAsia="Arial" w:hAnsi="Arial"/>
          <w:sz w:val="18"/>
          <w:szCs w:val="18"/>
          <w:color w:val="auto"/>
        </w:rPr>
      </w:pPr>
    </w:p>
    <w:p>
      <w:pPr>
        <w:ind w:left="980" w:right="220" w:hanging="324"/>
        <w:spacing w:after="0" w:line="286" w:lineRule="auto"/>
        <w:tabs>
          <w:tab w:leader="none" w:pos="944" w:val="left"/>
        </w:tabs>
        <w:numPr>
          <w:ilvl w:val="0"/>
          <w:numId w:val="16"/>
        </w:numPr>
        <w:rPr>
          <w:rFonts w:ascii="Arial" w:cs="Arial" w:eastAsia="Arial" w:hAnsi="Arial"/>
          <w:sz w:val="17"/>
          <w:szCs w:val="17"/>
          <w:color w:val="auto"/>
        </w:rPr>
      </w:pPr>
      <w:r>
        <w:rPr>
          <w:rFonts w:ascii="Arial" w:cs="Arial" w:eastAsia="Arial" w:hAnsi="Arial"/>
          <w:sz w:val="17"/>
          <w:szCs w:val="17"/>
          <w:color w:val="auto"/>
        </w:rPr>
        <w:t>Our Current Reports on Form 8-K filed with the SEC on February 6, 2008, March 6, 2008, April 4, 2008, May 2, 2008, May 8, 2008, May 23, 2008, May 30, 2008 and June 2, 2008 (two filings made). With respect to such Current Reports on Form 8-K, we specifically exclude from incorporation such information that has been furnished and not filed pursuant to Item 2.02, Item 7.01 and/or Item 9.01.</w:t>
      </w:r>
    </w:p>
    <w:p>
      <w:pPr>
        <w:spacing w:after="0" w:line="165" w:lineRule="exact"/>
        <w:rPr>
          <w:rFonts w:ascii="Arial" w:cs="Arial" w:eastAsia="Arial" w:hAnsi="Arial"/>
          <w:sz w:val="17"/>
          <w:szCs w:val="17"/>
          <w:color w:val="auto"/>
        </w:rPr>
      </w:pPr>
    </w:p>
    <w:p>
      <w:pPr>
        <w:ind w:left="980" w:right="180" w:hanging="324"/>
        <w:spacing w:after="0" w:line="259" w:lineRule="auto"/>
        <w:tabs>
          <w:tab w:leader="none" w:pos="944" w:val="left"/>
        </w:tabs>
        <w:numPr>
          <w:ilvl w:val="0"/>
          <w:numId w:val="16"/>
        </w:numPr>
        <w:rPr>
          <w:rFonts w:ascii="Arial" w:cs="Arial" w:eastAsia="Arial" w:hAnsi="Arial"/>
          <w:sz w:val="18"/>
          <w:szCs w:val="18"/>
          <w:color w:val="auto"/>
        </w:rPr>
      </w:pPr>
      <w:r>
        <w:rPr>
          <w:rFonts w:ascii="Arial" w:cs="Arial" w:eastAsia="Arial" w:hAnsi="Arial"/>
          <w:sz w:val="18"/>
          <w:szCs w:val="18"/>
          <w:color w:val="auto"/>
        </w:rPr>
        <w:t>Audited statements of assets to be acquired and liabilities to be assumed as of December 31, 2005 and December 25, 2004 and the related statements of net revenues and direct expenses for the years ended December 31, 2005, December 25, 2004 and December 27, 2003 for the Hands Held Products Group and the related notes thereto and Report of Independent Auditors thereon included in our Current Report on Form 8-K/A filed with the SEC on July 2, 2007.</w:t>
      </w:r>
    </w:p>
    <w:p>
      <w:pPr>
        <w:spacing w:after="0" w:line="186" w:lineRule="exact"/>
        <w:rPr>
          <w:rFonts w:ascii="Arial" w:cs="Arial" w:eastAsia="Arial" w:hAnsi="Arial"/>
          <w:sz w:val="18"/>
          <w:szCs w:val="18"/>
          <w:color w:val="auto"/>
        </w:rPr>
      </w:pPr>
    </w:p>
    <w:p>
      <w:pPr>
        <w:ind w:left="980" w:hanging="324"/>
        <w:spacing w:after="0" w:line="264" w:lineRule="auto"/>
        <w:tabs>
          <w:tab w:leader="none" w:pos="944" w:val="left"/>
        </w:tabs>
        <w:numPr>
          <w:ilvl w:val="0"/>
          <w:numId w:val="16"/>
        </w:numPr>
        <w:rPr>
          <w:rFonts w:ascii="Arial" w:cs="Arial" w:eastAsia="Arial" w:hAnsi="Arial"/>
          <w:sz w:val="18"/>
          <w:szCs w:val="18"/>
          <w:color w:val="auto"/>
        </w:rPr>
      </w:pPr>
      <w:r>
        <w:rPr>
          <w:rFonts w:ascii="Arial" w:cs="Arial" w:eastAsia="Arial" w:hAnsi="Arial"/>
          <w:sz w:val="18"/>
          <w:szCs w:val="18"/>
          <w:color w:val="auto"/>
        </w:rPr>
        <w:t>Unaudited statements of assets to be acquired and liabilities to be assumed as of July 1, 2006 and the related statements of net revenues and direct expenses for the six months ended July 1, 2006 and July 2, 2005 for the Hands Held Products Group and the related notes thereto included in our Current Report on Form 8-K/A filed with the SEC on July 2, 2007.</w:t>
      </w:r>
    </w:p>
    <w:p>
      <w:pPr>
        <w:spacing w:after="0" w:line="181" w:lineRule="exact"/>
        <w:rPr>
          <w:rFonts w:ascii="Arial" w:cs="Arial" w:eastAsia="Arial" w:hAnsi="Arial"/>
          <w:sz w:val="18"/>
          <w:szCs w:val="18"/>
          <w:color w:val="auto"/>
        </w:rPr>
      </w:pPr>
    </w:p>
    <w:p>
      <w:pPr>
        <w:ind w:left="980" w:right="120" w:hanging="324"/>
        <w:spacing w:after="0" w:line="277" w:lineRule="auto"/>
        <w:tabs>
          <w:tab w:leader="none" w:pos="944"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as filed with the SEC on June 22, 2000 pursuant to Section 12(g) of the Exchange Act.</w:t>
      </w:r>
    </w:p>
    <w:p>
      <w:pPr>
        <w:spacing w:after="0" w:line="170" w:lineRule="exact"/>
        <w:rPr>
          <w:sz w:val="20"/>
          <w:szCs w:val="20"/>
          <w:color w:val="auto"/>
        </w:rPr>
      </w:pPr>
    </w:p>
    <w:p>
      <w:pPr>
        <w:ind w:right="100" w:firstLine="648"/>
        <w:spacing w:after="0" w:line="312" w:lineRule="auto"/>
        <w:rPr>
          <w:sz w:val="20"/>
          <w:szCs w:val="20"/>
          <w:color w:val="auto"/>
        </w:rPr>
      </w:pPr>
      <w:r>
        <w:rPr>
          <w:rFonts w:ascii="Arial" w:cs="Arial" w:eastAsia="Arial" w:hAnsi="Arial"/>
          <w:sz w:val="16"/>
          <w:szCs w:val="16"/>
          <w:color w:val="auto"/>
        </w:rPr>
        <w:t>All reports and other documents subsequently filed by us pursuant to Sections 13(a), 13(c), 14 and 15(d) of the Exchange Act after the date of this prospectus and prior to the termination of this offering (excluding any portions thereof furnished but not filed under applicable rules and regulations) shall be deemed to be incorporated by reference in this prospectus and to be part hereof from the date of filing of such reports and other documents.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4. Description of Securities.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Interests of Named Experts and Counsel.</w:t>
      </w:r>
    </w:p>
    <w:p>
      <w:pPr>
        <w:sectPr>
          <w:pgSz w:w="11900" w:h="16838" w:orient="portrait"/>
          <w:cols w:equalWidth="0" w:num="1">
            <w:col w:w="11420"/>
          </w:cols>
          <w:pgMar w:left="240" w:top="125" w:right="239" w:bottom="0" w:gutter="0" w:footer="0" w:header="0"/>
        </w:sectPr>
      </w:pPr>
    </w:p>
    <w:bookmarkStart w:id="18" w:name="page19"/>
    <w:bookmarkEnd w:id="18"/>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6. Indemnification of Directors and Officers.</w:t>
      </w:r>
    </w:p>
    <w:p>
      <w:pPr>
        <w:spacing w:after="0" w:line="229" w:lineRule="exact"/>
        <w:rPr>
          <w:sz w:val="20"/>
          <w:szCs w:val="20"/>
          <w:color w:val="auto"/>
        </w:rPr>
      </w:pPr>
    </w:p>
    <w:p>
      <w:pPr>
        <w:ind w:right="160" w:firstLine="648"/>
        <w:spacing w:after="0" w:line="279" w:lineRule="auto"/>
        <w:rPr>
          <w:sz w:val="20"/>
          <w:szCs w:val="20"/>
          <w:color w:val="auto"/>
        </w:rPr>
      </w:pPr>
      <w:r>
        <w:rPr>
          <w:rFonts w:ascii="Arial" w:cs="Arial" w:eastAsia="Arial" w:hAnsi="Arial"/>
          <w:sz w:val="17"/>
          <w:szCs w:val="17"/>
          <w:color w:val="auto"/>
        </w:rPr>
        <w:t>Set forth below is a description of certain provisions of the Companies Act of 1981 of Bermuda (the “Companies Act”), our Memorandum of Association, as presently in effect (the “Memorandum of Association”), and our Bye-laws (the “Bye-laws”), as such provisions relate to the indemnification of our directors and officers. This description is intended only as a summary and is qualified in its entirety by reference to the applicable provisions of the Companies Act, the Memorandum of Association and the Bye-laws, which are incorporated herein by reference.</w:t>
      </w:r>
    </w:p>
    <w:p>
      <w:pPr>
        <w:spacing w:after="0" w:line="171"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The Companies Act permits us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us other than in respect of his own fraud or dishonesty.</w:t>
      </w:r>
    </w:p>
    <w:p>
      <w:pPr>
        <w:spacing w:after="0" w:line="181" w:lineRule="exact"/>
        <w:rPr>
          <w:sz w:val="20"/>
          <w:szCs w:val="20"/>
          <w:color w:val="auto"/>
        </w:rPr>
      </w:pPr>
    </w:p>
    <w:p>
      <w:pPr>
        <w:ind w:right="360" w:firstLine="648"/>
        <w:spacing w:after="0" w:line="277" w:lineRule="auto"/>
        <w:rPr>
          <w:sz w:val="20"/>
          <w:szCs w:val="20"/>
          <w:color w:val="auto"/>
        </w:rPr>
      </w:pPr>
      <w:r>
        <w:rPr>
          <w:rFonts w:ascii="Arial" w:cs="Arial" w:eastAsia="Arial" w:hAnsi="Arial"/>
          <w:sz w:val="18"/>
          <w:szCs w:val="18"/>
          <w:color w:val="auto"/>
        </w:rPr>
        <w:t>Our Bye-laws provide that every director, officer, committee member and any resident representative be indemnified against any liabilities, loss, damage or expense incurred or suffered in such capacity, subject to limitations imposed in the Companies Act.</w:t>
      </w:r>
    </w:p>
    <w:p>
      <w:pPr>
        <w:spacing w:after="0" w:line="170" w:lineRule="exact"/>
        <w:rPr>
          <w:sz w:val="20"/>
          <w:szCs w:val="20"/>
          <w:color w:val="auto"/>
        </w:rPr>
      </w:pPr>
    </w:p>
    <w:p>
      <w:pPr>
        <w:jc w:val="both"/>
        <w:ind w:right="140" w:firstLine="648"/>
        <w:spacing w:after="0" w:line="312" w:lineRule="auto"/>
        <w:rPr>
          <w:sz w:val="20"/>
          <w:szCs w:val="20"/>
          <w:color w:val="auto"/>
        </w:rPr>
      </w:pPr>
      <w:r>
        <w:rPr>
          <w:rFonts w:ascii="Arial" w:cs="Arial" w:eastAsia="Arial" w:hAnsi="Arial"/>
          <w:sz w:val="16"/>
          <w:szCs w:val="16"/>
          <w:color w:val="auto"/>
        </w:rPr>
        <w:t>The Bye-laws further provide that we and each shareholder agree to waive any claim or right of action against any director or officer, in respect of any failure to act or any action taken by such director or officer in the performance of his duties with or for us. The waiver does not extend to claims arising under United States federal securities laws or any claims or rights of action arising from the fraud or dishonesty of the director or officer.</w:t>
      </w:r>
    </w:p>
    <w:p>
      <w:pPr>
        <w:spacing w:after="0" w:line="147" w:lineRule="exact"/>
        <w:rPr>
          <w:sz w:val="20"/>
          <w:szCs w:val="20"/>
          <w:color w:val="auto"/>
        </w:rPr>
      </w:pPr>
    </w:p>
    <w:p>
      <w:pPr>
        <w:ind w:firstLine="648"/>
        <w:spacing w:after="0" w:line="279" w:lineRule="auto"/>
        <w:rPr>
          <w:sz w:val="20"/>
          <w:szCs w:val="20"/>
          <w:color w:val="auto"/>
        </w:rPr>
      </w:pPr>
      <w:r>
        <w:rPr>
          <w:rFonts w:ascii="Arial" w:cs="Arial" w:eastAsia="Arial" w:hAnsi="Arial"/>
          <w:sz w:val="17"/>
          <w:szCs w:val="17"/>
          <w:color w:val="auto"/>
        </w:rPr>
        <w:t>We have agreed to indemnify certain of our current and former directors, officers and employees and our subsidiary Marvell Semiconductor, Inc. for reasonable costs and expenses incurred by such individuals in connection with certain civil actions and governmental investigations relating to our historic stock option granting practices. Our agreement to pay reasonable fees and costs is subject to each individual’s agreement to reimburse us in the event that it is subsequently determined that the individual is not entitled to indemnification under our Bye-laws or applicable law.</w:t>
      </w:r>
    </w:p>
    <w:p>
      <w:pPr>
        <w:spacing w:after="0" w:line="171"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We have entered into indemnification agreements with certain officers that may be sufficiently broad to permit indemnification of such officers for liabilities (including reimbursement of expenses incurred) arising under the Securities Act.</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Exemption from Registration Claimed.</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5"/>
          <w:szCs w:val="15"/>
          <w:color w:val="auto"/>
        </w:rPr>
        <w:t xml:space="preserve">With respect to the restricted common shares to be reoffered or resold pursuant to this Registration </w:t>
      </w:r>
      <w:r>
        <w:rPr>
          <w:rFonts w:ascii="Arial" w:cs="Arial" w:eastAsia="Arial" w:hAnsi="Arial"/>
          <w:sz w:val="12"/>
          <w:szCs w:val="12"/>
          <w:color w:val="auto"/>
        </w:rPr>
        <w:t>&lt; /font&gt;Statement, we believe that the issuance of such shares is</w:t>
      </w:r>
    </w:p>
    <w:p>
      <w:pPr>
        <w:spacing w:after="0" w:line="51" w:lineRule="exact"/>
        <w:rPr>
          <w:sz w:val="20"/>
          <w:szCs w:val="20"/>
          <w:color w:val="auto"/>
        </w:rPr>
      </w:pPr>
    </w:p>
    <w:p>
      <w:pPr>
        <w:ind w:right="60"/>
        <w:spacing w:after="0" w:line="226" w:lineRule="auto"/>
        <w:rPr>
          <w:sz w:val="20"/>
          <w:szCs w:val="20"/>
          <w:color w:val="auto"/>
        </w:rPr>
      </w:pPr>
      <w:r>
        <w:rPr>
          <w:rFonts w:ascii="Arial" w:cs="Arial" w:eastAsia="Arial" w:hAnsi="Arial"/>
          <w:sz w:val="14"/>
          <w:szCs w:val="14"/>
          <w:color w:val="auto"/>
        </w:rPr>
        <w:t>deemed to be exempt from registration in reliance upon Section 2(a)(3) of the Securities Act. The common shares were issued or are issuable to the selling shareholders upon vesting of “stock unit” awards granted under our Amended and Restated 1995 Stock Option Plan and pursuant to the forms of Stock Unit Agreement and Notice of Stock Unit Awards for use thereunder. The stock unit awards were granted for no consideration and represent our unfunded and unsecured promise to issue our common shares at a future date. When a stock unit award vests, we settle the award by the issuance to the award recipient for no consideration with one common share for each vested stock unit. We believe that, in accordance with the rules and regulations and other guidance of the SEC, the grant of the stock unit awards and the issuance of common shares upon settlement of the awards do not constitute a “sale” for purposes of the Securities Act and therefore are exempt from the registration requirements of the Securities Act.</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55880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33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2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340" w:type="dxa"/>
            <w:vAlign w:val="bottom"/>
            <w:gridSpan w:val="4"/>
          </w:tcPr>
          <w:p>
            <w:pPr>
              <w:ind w:left="20"/>
              <w:spacing w:after="0"/>
              <w:rPr>
                <w:sz w:val="20"/>
                <w:szCs w:val="20"/>
                <w:color w:val="auto"/>
              </w:rPr>
            </w:pPr>
            <w:r>
              <w:rPr>
                <w:rFonts w:ascii="Arial" w:cs="Arial" w:eastAsia="Arial" w:hAnsi="Arial"/>
                <w:sz w:val="18"/>
                <w:szCs w:val="18"/>
                <w:b w:val="1"/>
                <w:bCs w:val="1"/>
                <w:color w:val="auto"/>
              </w:rPr>
              <w:t>Exhibits.</w:t>
            </w:r>
          </w:p>
        </w:tc>
        <w:tc>
          <w:tcPr>
            <w:tcW w:w="35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700" w:type="dxa"/>
            <w:vAlign w:val="bottom"/>
          </w:tcPr>
          <w:p>
            <w:pPr>
              <w:spacing w:after="0"/>
              <w:rPr>
                <w:sz w:val="20"/>
                <w:szCs w:val="20"/>
                <w:color w:val="auto"/>
              </w:rPr>
            </w:pPr>
          </w:p>
        </w:tc>
      </w:tr>
      <w:tr>
        <w:trPr>
          <w:trHeight w:val="365"/>
        </w:trPr>
        <w:tc>
          <w:tcPr>
            <w:tcW w:w="6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760" w:type="dxa"/>
            <w:vAlign w:val="bottom"/>
            <w:tcBorders>
              <w:bottom w:val="single" w:sz="8" w:color="auto"/>
            </w:tcBorders>
            <w:gridSpan w:val="2"/>
          </w:tcPr>
          <w:p>
            <w:pPr>
              <w:ind w:left="1700"/>
              <w:spacing w:after="0"/>
              <w:rPr>
                <w:sz w:val="20"/>
                <w:szCs w:val="20"/>
                <w:color w:val="auto"/>
              </w:rPr>
            </w:pPr>
            <w:r>
              <w:rPr>
                <w:rFonts w:ascii="Arial" w:cs="Arial" w:eastAsia="Arial" w:hAnsi="Arial"/>
                <w:sz w:val="14"/>
                <w:szCs w:val="14"/>
                <w:b w:val="1"/>
                <w:bCs w:val="1"/>
                <w:color w:val="auto"/>
                <w:w w:val="93"/>
              </w:rPr>
              <w:t>Incorporated by reference herein</w:t>
            </w:r>
          </w:p>
        </w:tc>
        <w:tc>
          <w:tcPr>
            <w:tcW w:w="1700" w:type="dxa"/>
            <w:vAlign w:val="bottom"/>
            <w:tcBorders>
              <w:bottom w:val="single" w:sz="8" w:color="auto"/>
            </w:tcBorders>
          </w:tcPr>
          <w:p>
            <w:pPr>
              <w:spacing w:after="0"/>
              <w:rPr>
                <w:sz w:val="24"/>
                <w:szCs w:val="24"/>
                <w:color w:val="auto"/>
              </w:rPr>
            </w:pPr>
          </w:p>
        </w:tc>
      </w:tr>
      <w:tr>
        <w:trPr>
          <w:trHeight w:val="142"/>
        </w:trPr>
        <w:tc>
          <w:tcPr>
            <w:tcW w:w="620" w:type="dxa"/>
            <w:vAlign w:val="bottom"/>
            <w:tcBorders>
              <w:bottom w:val="single" w:sz="8" w:color="auto"/>
            </w:tcBorders>
          </w:tcPr>
          <w:p>
            <w:pPr>
              <w:spacing w:after="0" w:line="142" w:lineRule="exact"/>
              <w:rPr>
                <w:sz w:val="20"/>
                <w:szCs w:val="20"/>
                <w:color w:val="auto"/>
              </w:rPr>
            </w:pPr>
            <w:r>
              <w:rPr>
                <w:rFonts w:ascii="Arial" w:cs="Arial" w:eastAsia="Arial" w:hAnsi="Arial"/>
                <w:sz w:val="14"/>
                <w:szCs w:val="14"/>
                <w:b w:val="1"/>
                <w:bCs w:val="1"/>
                <w:color w:val="auto"/>
              </w:rPr>
              <w:t>Number</w:t>
            </w:r>
          </w:p>
        </w:tc>
        <w:tc>
          <w:tcPr>
            <w:tcW w:w="640" w:type="dxa"/>
            <w:vAlign w:val="bottom"/>
            <w:tcBorders>
              <w:bottom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4200" w:type="dxa"/>
            <w:vAlign w:val="bottom"/>
            <w:tcBorders>
              <w:bottom w:val="single" w:sz="8" w:color="auto"/>
            </w:tcBorders>
          </w:tcPr>
          <w:p>
            <w:pPr>
              <w:ind w:left="1740"/>
              <w:spacing w:after="0" w:line="142" w:lineRule="exact"/>
              <w:rPr>
                <w:sz w:val="20"/>
                <w:szCs w:val="20"/>
                <w:color w:val="auto"/>
              </w:rPr>
            </w:pPr>
            <w:r>
              <w:rPr>
                <w:rFonts w:ascii="Arial" w:cs="Arial" w:eastAsia="Arial" w:hAnsi="Arial"/>
                <w:sz w:val="14"/>
                <w:szCs w:val="14"/>
                <w:b w:val="1"/>
                <w:bCs w:val="1"/>
                <w:color w:val="auto"/>
              </w:rPr>
              <w:t>Description</w:t>
            </w:r>
          </w:p>
        </w:tc>
        <w:tc>
          <w:tcPr>
            <w:tcW w:w="260" w:type="dxa"/>
            <w:vAlign w:val="bottom"/>
          </w:tcPr>
          <w:p>
            <w:pPr>
              <w:spacing w:after="0"/>
              <w:rPr>
                <w:sz w:val="12"/>
                <w:szCs w:val="12"/>
                <w:color w:val="auto"/>
              </w:rPr>
            </w:pPr>
          </w:p>
        </w:tc>
        <w:tc>
          <w:tcPr>
            <w:tcW w:w="3520" w:type="dxa"/>
            <w:vAlign w:val="bottom"/>
            <w:tcBorders>
              <w:bottom w:val="single" w:sz="8" w:color="auto"/>
            </w:tcBorders>
          </w:tcPr>
          <w:p>
            <w:pPr>
              <w:ind w:left="1580"/>
              <w:spacing w:after="0" w:line="142" w:lineRule="exact"/>
              <w:rPr>
                <w:sz w:val="20"/>
                <w:szCs w:val="20"/>
                <w:color w:val="auto"/>
              </w:rPr>
            </w:pPr>
            <w:r>
              <w:rPr>
                <w:rFonts w:ascii="Arial" w:cs="Arial" w:eastAsia="Arial" w:hAnsi="Arial"/>
                <w:sz w:val="14"/>
                <w:szCs w:val="14"/>
                <w:b w:val="1"/>
                <w:bCs w:val="1"/>
                <w:color w:val="auto"/>
              </w:rPr>
              <w:t>Filing</w:t>
            </w:r>
          </w:p>
        </w:tc>
        <w:tc>
          <w:tcPr>
            <w:tcW w:w="240" w:type="dxa"/>
            <w:vAlign w:val="bottom"/>
          </w:tcPr>
          <w:p>
            <w:pPr>
              <w:spacing w:after="0"/>
              <w:rPr>
                <w:sz w:val="12"/>
                <w:szCs w:val="12"/>
                <w:color w:val="auto"/>
              </w:rPr>
            </w:pPr>
          </w:p>
        </w:tc>
        <w:tc>
          <w:tcPr>
            <w:tcW w:w="1700" w:type="dxa"/>
            <w:vAlign w:val="bottom"/>
            <w:tcBorders>
              <w:bottom w:val="single" w:sz="8" w:color="auto"/>
            </w:tcBorders>
          </w:tcPr>
          <w:p>
            <w:pPr>
              <w:ind w:left="700"/>
              <w:spacing w:after="0" w:line="142" w:lineRule="exact"/>
              <w:rPr>
                <w:sz w:val="20"/>
                <w:szCs w:val="20"/>
                <w:color w:val="auto"/>
              </w:rPr>
            </w:pPr>
            <w:r>
              <w:rPr>
                <w:rFonts w:ascii="Arial" w:cs="Arial" w:eastAsia="Arial" w:hAnsi="Arial"/>
                <w:sz w:val="14"/>
                <w:szCs w:val="14"/>
                <w:b w:val="1"/>
                <w:bCs w:val="1"/>
                <w:color w:val="auto"/>
              </w:rPr>
              <w:t>Date</w:t>
            </w:r>
          </w:p>
        </w:tc>
      </w:tr>
      <w:tr>
        <w:trPr>
          <w:trHeight w:val="411"/>
        </w:trPr>
        <w:tc>
          <w:tcPr>
            <w:tcW w:w="620" w:type="dxa"/>
            <w:vAlign w:val="bottom"/>
          </w:tcPr>
          <w:p>
            <w:pPr>
              <w:ind w:left="180"/>
              <w:spacing w:after="0"/>
              <w:rPr>
                <w:sz w:val="20"/>
                <w:szCs w:val="20"/>
                <w:color w:val="auto"/>
              </w:rPr>
            </w:pPr>
            <w:r>
              <w:rPr>
                <w:rFonts w:ascii="Arial" w:cs="Arial" w:eastAsia="Arial" w:hAnsi="Arial"/>
                <w:sz w:val="18"/>
                <w:szCs w:val="18"/>
                <w:color w:val="auto"/>
                <w:w w:val="93"/>
              </w:rPr>
              <w:t>10.20</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Amended and Restated 1995 Stock Option Plan</w:t>
            </w:r>
          </w:p>
        </w:tc>
        <w:tc>
          <w:tcPr>
            <w:tcW w:w="3760" w:type="dxa"/>
            <w:vAlign w:val="bottom"/>
            <w:gridSpan w:val="2"/>
          </w:tcPr>
          <w:p>
            <w:pPr>
              <w:spacing w:after="0"/>
              <w:rPr>
                <w:sz w:val="20"/>
                <w:szCs w:val="20"/>
                <w:color w:val="auto"/>
              </w:rPr>
            </w:pPr>
            <w:r>
              <w:rPr>
                <w:rFonts w:ascii="Arial" w:cs="Arial" w:eastAsia="Arial" w:hAnsi="Arial"/>
                <w:sz w:val="18"/>
                <w:szCs w:val="18"/>
                <w:color w:val="auto"/>
              </w:rPr>
              <w:t>Quarterly Report on Form 10-Q for the period</w:t>
            </w:r>
          </w:p>
        </w:tc>
        <w:tc>
          <w:tcPr>
            <w:tcW w:w="1700" w:type="dxa"/>
            <w:vAlign w:val="bottom"/>
          </w:tcPr>
          <w:p>
            <w:pPr>
              <w:spacing w:after="0"/>
              <w:rPr>
                <w:sz w:val="20"/>
                <w:szCs w:val="20"/>
                <w:color w:val="auto"/>
              </w:rPr>
            </w:pPr>
            <w:r>
              <w:rPr>
                <w:rFonts w:ascii="Arial" w:cs="Arial" w:eastAsia="Arial" w:hAnsi="Arial"/>
                <w:sz w:val="18"/>
                <w:szCs w:val="18"/>
                <w:color w:val="auto"/>
              </w:rPr>
              <w:t>September 15, 2003</w:t>
            </w:r>
          </w:p>
        </w:tc>
      </w:tr>
      <w:tr>
        <w:trPr>
          <w:trHeight w:val="216"/>
        </w:trPr>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760" w:type="dxa"/>
            <w:vAlign w:val="bottom"/>
            <w:gridSpan w:val="2"/>
          </w:tcPr>
          <w:p>
            <w:pPr>
              <w:spacing w:after="0"/>
              <w:rPr>
                <w:sz w:val="20"/>
                <w:szCs w:val="20"/>
                <w:color w:val="auto"/>
              </w:rPr>
            </w:pPr>
            <w:r>
              <w:rPr>
                <w:rFonts w:ascii="Arial" w:cs="Arial" w:eastAsia="Arial" w:hAnsi="Arial"/>
                <w:sz w:val="18"/>
                <w:szCs w:val="18"/>
                <w:color w:val="auto"/>
              </w:rPr>
              <w:t>ended August 2, 2003 (File No. 000-30877) as</w:t>
            </w:r>
          </w:p>
        </w:tc>
        <w:tc>
          <w:tcPr>
            <w:tcW w:w="1700" w:type="dxa"/>
            <w:vAlign w:val="bottom"/>
          </w:tcPr>
          <w:p>
            <w:pPr>
              <w:spacing w:after="0"/>
              <w:rPr>
                <w:sz w:val="18"/>
                <w:szCs w:val="18"/>
                <w:color w:val="auto"/>
              </w:rPr>
            </w:pPr>
          </w:p>
        </w:tc>
      </w:tr>
      <w:tr>
        <w:trPr>
          <w:trHeight w:val="230"/>
        </w:trPr>
        <w:tc>
          <w:tcPr>
            <w:tcW w:w="6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760" w:type="dxa"/>
            <w:vAlign w:val="bottom"/>
            <w:gridSpan w:val="2"/>
          </w:tcPr>
          <w:p>
            <w:pPr>
              <w:spacing w:after="0"/>
              <w:rPr>
                <w:sz w:val="20"/>
                <w:szCs w:val="20"/>
                <w:color w:val="auto"/>
              </w:rPr>
            </w:pPr>
            <w:r>
              <w:rPr>
                <w:rFonts w:ascii="Arial" w:cs="Arial" w:eastAsia="Arial" w:hAnsi="Arial"/>
                <w:sz w:val="18"/>
                <w:szCs w:val="18"/>
                <w:color w:val="auto"/>
              </w:rPr>
              <w:t>Exhibit 10.20</w:t>
            </w:r>
          </w:p>
        </w:tc>
        <w:tc>
          <w:tcPr>
            <w:tcW w:w="1700" w:type="dxa"/>
            <w:vAlign w:val="bottom"/>
          </w:tcPr>
          <w:p>
            <w:pPr>
              <w:spacing w:after="0"/>
              <w:rPr>
                <w:sz w:val="20"/>
                <w:szCs w:val="20"/>
                <w:color w:val="auto"/>
              </w:rPr>
            </w:pPr>
          </w:p>
        </w:tc>
      </w:tr>
      <w:tr>
        <w:trPr>
          <w:trHeight w:val="418"/>
        </w:trPr>
        <w:tc>
          <w:tcPr>
            <w:tcW w:w="620" w:type="dxa"/>
            <w:vAlign w:val="bottom"/>
          </w:tcPr>
          <w:p>
            <w:pPr>
              <w:ind w:left="180"/>
              <w:spacing w:after="0"/>
              <w:rPr>
                <w:sz w:val="20"/>
                <w:szCs w:val="20"/>
                <w:color w:val="auto"/>
              </w:rPr>
            </w:pPr>
            <w:r>
              <w:rPr>
                <w:rFonts w:ascii="Arial" w:cs="Arial" w:eastAsia="Arial" w:hAnsi="Arial"/>
                <w:sz w:val="18"/>
                <w:szCs w:val="18"/>
                <w:color w:val="auto"/>
                <w:w w:val="93"/>
              </w:rPr>
              <w:t>10.34</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Form of Notice of Stock Unit Award and Form of Stock</w:t>
            </w:r>
          </w:p>
        </w:tc>
        <w:tc>
          <w:tcPr>
            <w:tcW w:w="3760" w:type="dxa"/>
            <w:vAlign w:val="bottom"/>
            <w:gridSpan w:val="2"/>
          </w:tcPr>
          <w:p>
            <w:pPr>
              <w:spacing w:after="0"/>
              <w:rPr>
                <w:sz w:val="20"/>
                <w:szCs w:val="20"/>
                <w:color w:val="auto"/>
              </w:rPr>
            </w:pPr>
            <w:r>
              <w:rPr>
                <w:rFonts w:ascii="Arial" w:cs="Arial" w:eastAsia="Arial" w:hAnsi="Arial"/>
                <w:sz w:val="18"/>
                <w:szCs w:val="18"/>
                <w:color w:val="auto"/>
              </w:rPr>
              <w:t>Annual Report on Form 10-K for the fiscal year</w:t>
            </w:r>
          </w:p>
        </w:tc>
        <w:tc>
          <w:tcPr>
            <w:tcW w:w="1700" w:type="dxa"/>
            <w:vAlign w:val="bottom"/>
          </w:tcPr>
          <w:p>
            <w:pPr>
              <w:spacing w:after="0"/>
              <w:rPr>
                <w:sz w:val="20"/>
                <w:szCs w:val="20"/>
                <w:color w:val="auto"/>
              </w:rPr>
            </w:pPr>
            <w:r>
              <w:rPr>
                <w:rFonts w:ascii="Arial" w:cs="Arial" w:eastAsia="Arial" w:hAnsi="Arial"/>
                <w:sz w:val="18"/>
                <w:szCs w:val="18"/>
                <w:color w:val="auto"/>
              </w:rPr>
              <w:t>July 2, 2007</w:t>
            </w:r>
          </w:p>
        </w:tc>
      </w:tr>
      <w:tr>
        <w:trPr>
          <w:trHeight w:val="216"/>
        </w:trPr>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Unit Agreement</w:t>
            </w:r>
          </w:p>
        </w:tc>
        <w:tc>
          <w:tcPr>
            <w:tcW w:w="3760" w:type="dxa"/>
            <w:vAlign w:val="bottom"/>
            <w:gridSpan w:val="2"/>
          </w:tcPr>
          <w:p>
            <w:pPr>
              <w:spacing w:after="0"/>
              <w:rPr>
                <w:sz w:val="20"/>
                <w:szCs w:val="20"/>
                <w:color w:val="auto"/>
              </w:rPr>
            </w:pPr>
            <w:r>
              <w:rPr>
                <w:rFonts w:ascii="Arial" w:cs="Arial" w:eastAsia="Arial" w:hAnsi="Arial"/>
                <w:sz w:val="18"/>
                <w:szCs w:val="18"/>
                <w:color w:val="auto"/>
                <w:w w:val="96"/>
              </w:rPr>
              <w:t>ended January 27, 2007 (File No. 000-30877) as</w:t>
            </w:r>
          </w:p>
        </w:tc>
        <w:tc>
          <w:tcPr>
            <w:tcW w:w="1700" w:type="dxa"/>
            <w:vAlign w:val="bottom"/>
          </w:tcPr>
          <w:p>
            <w:pPr>
              <w:spacing w:after="0"/>
              <w:rPr>
                <w:sz w:val="18"/>
                <w:szCs w:val="18"/>
                <w:color w:val="auto"/>
              </w:rPr>
            </w:pPr>
          </w:p>
        </w:tc>
      </w:tr>
      <w:tr>
        <w:trPr>
          <w:trHeight w:val="230"/>
        </w:trPr>
        <w:tc>
          <w:tcPr>
            <w:tcW w:w="6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760" w:type="dxa"/>
            <w:vAlign w:val="bottom"/>
            <w:gridSpan w:val="2"/>
          </w:tcPr>
          <w:p>
            <w:pPr>
              <w:spacing w:after="0"/>
              <w:rPr>
                <w:sz w:val="20"/>
                <w:szCs w:val="20"/>
                <w:color w:val="auto"/>
              </w:rPr>
            </w:pPr>
            <w:r>
              <w:rPr>
                <w:rFonts w:ascii="Arial" w:cs="Arial" w:eastAsia="Arial" w:hAnsi="Arial"/>
                <w:sz w:val="18"/>
                <w:szCs w:val="18"/>
                <w:color w:val="auto"/>
              </w:rPr>
              <w:t>Exhibit 10.34</w:t>
            </w:r>
          </w:p>
        </w:tc>
        <w:tc>
          <w:tcPr>
            <w:tcW w:w="1700" w:type="dxa"/>
            <w:vAlign w:val="bottom"/>
          </w:tcPr>
          <w:p>
            <w:pPr>
              <w:spacing w:after="0"/>
              <w:rPr>
                <w:sz w:val="20"/>
                <w:szCs w:val="20"/>
                <w:color w:val="auto"/>
              </w:rPr>
            </w:pPr>
          </w:p>
        </w:tc>
      </w:tr>
      <w:tr>
        <w:trPr>
          <w:trHeight w:val="432"/>
        </w:trPr>
        <w:tc>
          <w:tcPr>
            <w:tcW w:w="620" w:type="dxa"/>
            <w:vAlign w:val="bottom"/>
          </w:tcPr>
          <w:p>
            <w:pPr>
              <w:ind w:left="180"/>
              <w:spacing w:after="0"/>
              <w:rPr>
                <w:sz w:val="20"/>
                <w:szCs w:val="20"/>
                <w:color w:val="auto"/>
              </w:rPr>
            </w:pPr>
            <w:r>
              <w:rPr>
                <w:rFonts w:ascii="Arial" w:cs="Arial" w:eastAsia="Arial" w:hAnsi="Arial"/>
                <w:sz w:val="18"/>
                <w:szCs w:val="18"/>
                <w:color w:val="auto"/>
              </w:rPr>
              <w:t>5.1</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Opinion of counsel</w:t>
            </w:r>
          </w:p>
        </w:tc>
        <w:tc>
          <w:tcPr>
            <w:tcW w:w="3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432"/>
        </w:trPr>
        <w:tc>
          <w:tcPr>
            <w:tcW w:w="620" w:type="dxa"/>
            <w:vAlign w:val="bottom"/>
          </w:tcPr>
          <w:p>
            <w:pPr>
              <w:ind w:left="180"/>
              <w:spacing w:after="0"/>
              <w:rPr>
                <w:sz w:val="20"/>
                <w:szCs w:val="20"/>
                <w:color w:val="auto"/>
              </w:rPr>
            </w:pPr>
            <w:r>
              <w:rPr>
                <w:rFonts w:ascii="Arial" w:cs="Arial" w:eastAsia="Arial" w:hAnsi="Arial"/>
                <w:sz w:val="18"/>
                <w:szCs w:val="18"/>
                <w:color w:val="auto"/>
              </w:rPr>
              <w:t>23.1</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Consent of counsel (contained in Exhibit 5.1)</w:t>
            </w:r>
          </w:p>
        </w:tc>
        <w:tc>
          <w:tcPr>
            <w:tcW w:w="3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418"/>
        </w:trPr>
        <w:tc>
          <w:tcPr>
            <w:tcW w:w="620" w:type="dxa"/>
            <w:vAlign w:val="bottom"/>
          </w:tcPr>
          <w:p>
            <w:pPr>
              <w:ind w:left="180"/>
              <w:spacing w:after="0"/>
              <w:rPr>
                <w:sz w:val="20"/>
                <w:szCs w:val="20"/>
                <w:color w:val="auto"/>
              </w:rPr>
            </w:pPr>
            <w:r>
              <w:rPr>
                <w:rFonts w:ascii="Arial" w:cs="Arial" w:eastAsia="Arial" w:hAnsi="Arial"/>
                <w:sz w:val="18"/>
                <w:szCs w:val="18"/>
                <w:color w:val="auto"/>
              </w:rPr>
              <w:t>23.2</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Consent of PricewaterhouseCoopers LLP, Independent</w:t>
            </w:r>
          </w:p>
        </w:tc>
        <w:tc>
          <w:tcPr>
            <w:tcW w:w="3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230"/>
        </w:trPr>
        <w:tc>
          <w:tcPr>
            <w:tcW w:w="6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Registered Public Accounting Firm</w:t>
            </w:r>
          </w:p>
        </w:tc>
        <w:tc>
          <w:tcPr>
            <w:tcW w:w="35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700" w:type="dxa"/>
            <w:vAlign w:val="bottom"/>
          </w:tcPr>
          <w:p>
            <w:pPr>
              <w:spacing w:after="0"/>
              <w:rPr>
                <w:sz w:val="20"/>
                <w:szCs w:val="20"/>
                <w:color w:val="auto"/>
              </w:rPr>
            </w:pPr>
          </w:p>
        </w:tc>
      </w:tr>
      <w:tr>
        <w:trPr>
          <w:trHeight w:val="432"/>
        </w:trPr>
        <w:tc>
          <w:tcPr>
            <w:tcW w:w="620" w:type="dxa"/>
            <w:vAlign w:val="bottom"/>
          </w:tcPr>
          <w:p>
            <w:pPr>
              <w:ind w:left="180"/>
              <w:spacing w:after="0"/>
              <w:rPr>
                <w:sz w:val="20"/>
                <w:szCs w:val="20"/>
                <w:color w:val="auto"/>
              </w:rPr>
            </w:pPr>
            <w:r>
              <w:rPr>
                <w:rFonts w:ascii="Arial" w:cs="Arial" w:eastAsia="Arial" w:hAnsi="Arial"/>
                <w:sz w:val="18"/>
                <w:szCs w:val="18"/>
                <w:color w:val="auto"/>
              </w:rPr>
              <w:t>23.3</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 xml:space="preserve">Consent of Ernst &amp; Young LLP, </w:t>
            </w:r>
            <w:r>
              <w:rPr>
                <w:rFonts w:ascii="Arial" w:cs="Arial" w:eastAsia="Arial" w:hAnsi="Arial"/>
                <w:sz w:val="17"/>
                <w:szCs w:val="17"/>
                <w:color w:val="auto"/>
              </w:rPr>
              <w:t>Independent Auditors</w:t>
            </w:r>
          </w:p>
        </w:tc>
        <w:tc>
          <w:tcPr>
            <w:tcW w:w="3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418"/>
        </w:trPr>
        <w:tc>
          <w:tcPr>
            <w:tcW w:w="620" w:type="dxa"/>
            <w:vAlign w:val="bottom"/>
          </w:tcPr>
          <w:p>
            <w:pPr>
              <w:ind w:left="180"/>
              <w:spacing w:after="0"/>
              <w:rPr>
                <w:sz w:val="20"/>
                <w:szCs w:val="20"/>
                <w:color w:val="auto"/>
              </w:rPr>
            </w:pPr>
            <w:r>
              <w:rPr>
                <w:rFonts w:ascii="Arial" w:cs="Arial" w:eastAsia="Arial" w:hAnsi="Arial"/>
                <w:sz w:val="18"/>
                <w:szCs w:val="18"/>
                <w:color w:val="auto"/>
              </w:rPr>
              <w:t>24.1</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Power of Attorney (included as part of the signature</w:t>
            </w:r>
          </w:p>
        </w:tc>
        <w:tc>
          <w:tcPr>
            <w:tcW w:w="3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230"/>
        </w:trPr>
        <w:tc>
          <w:tcPr>
            <w:tcW w:w="6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page of this registration statement)</w:t>
            </w:r>
          </w:p>
        </w:tc>
        <w:tc>
          <w:tcPr>
            <w:tcW w:w="35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700" w:type="dxa"/>
            <w:vAlign w:val="bottom"/>
          </w:tcPr>
          <w:p>
            <w:pPr>
              <w:spacing w:after="0"/>
              <w:rPr>
                <w:sz w:val="20"/>
                <w:szCs w:val="20"/>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Undertakings.</w:t>
      </w:r>
    </w:p>
    <w:p>
      <w:pPr>
        <w:spacing w:after="0" w:line="229" w:lineRule="exact"/>
        <w:rPr>
          <w:sz w:val="20"/>
          <w:szCs w:val="20"/>
          <w:color w:val="auto"/>
        </w:rPr>
      </w:pPr>
    </w:p>
    <w:p>
      <w:pPr>
        <w:ind w:left="680" w:hanging="474"/>
        <w:spacing w:after="0"/>
        <w:tabs>
          <w:tab w:leader="none" w:pos="6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25" w:lineRule="exact"/>
        <w:rPr>
          <w:rFonts w:ascii="Arial" w:cs="Arial" w:eastAsia="Arial" w:hAnsi="Arial"/>
          <w:sz w:val="18"/>
          <w:szCs w:val="18"/>
          <w:color w:val="auto"/>
        </w:rPr>
      </w:pPr>
    </w:p>
    <w:p>
      <w:pPr>
        <w:ind w:left="700" w:hanging="251"/>
        <w:spacing w:after="0"/>
        <w:tabs>
          <w:tab w:leader="none" w:pos="7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225" w:lineRule="exact"/>
        <w:rPr>
          <w:rFonts w:ascii="Arial" w:cs="Arial" w:eastAsia="Arial" w:hAnsi="Arial"/>
          <w:sz w:val="18"/>
          <w:szCs w:val="18"/>
          <w:color w:val="auto"/>
        </w:rPr>
      </w:pPr>
    </w:p>
    <w:p>
      <w:pPr>
        <w:ind w:left="700"/>
        <w:spacing w:after="0"/>
        <w:rPr>
          <w:rFonts w:ascii="Arial" w:cs="Arial" w:eastAsia="Arial" w:hAnsi="Arial"/>
          <w:sz w:val="18"/>
          <w:szCs w:val="18"/>
          <w:color w:val="auto"/>
        </w:rPr>
      </w:pPr>
      <w:r>
        <w:rPr>
          <w:rFonts w:ascii="Arial" w:cs="Arial" w:eastAsia="Arial" w:hAnsi="Arial"/>
          <w:sz w:val="18"/>
          <w:szCs w:val="18"/>
          <w:color w:val="auto"/>
        </w:rPr>
        <w:t>(i) to include any prospectus required by Section 10(a)(3) of the Securities Act;</w:t>
      </w:r>
    </w:p>
    <w:p>
      <w:pPr>
        <w:sectPr>
          <w:pgSz w:w="11900" w:h="16847" w:orient="portrait"/>
          <w:cols w:equalWidth="0" w:num="1">
            <w:col w:w="11420"/>
          </w:cols>
          <w:pgMar w:left="240" w:top="341" w:right="239" w:bottom="0" w:gutter="0" w:footer="0" w:header="0"/>
        </w:sectPr>
      </w:pPr>
    </w:p>
    <w:bookmarkStart w:id="19" w:name="page20"/>
    <w:bookmarkEnd w:id="19"/>
    <w:p>
      <w:pPr>
        <w:ind w:right="340" w:firstLine="701"/>
        <w:spacing w:after="0" w:line="342" w:lineRule="auto"/>
        <w:tabs>
          <w:tab w:leader="none" w:pos="958"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w:t>
      </w:r>
    </w:p>
    <w:p>
      <w:pPr>
        <w:spacing w:after="0" w:line="123" w:lineRule="exact"/>
        <w:rPr>
          <w:rFonts w:ascii="Arial" w:cs="Arial" w:eastAsia="Arial" w:hAnsi="Arial"/>
          <w:sz w:val="16"/>
          <w:szCs w:val="16"/>
          <w:color w:val="auto"/>
        </w:rPr>
      </w:pPr>
    </w:p>
    <w:p>
      <w:pPr>
        <w:ind w:right="580" w:firstLine="701"/>
        <w:spacing w:after="0" w:line="277" w:lineRule="auto"/>
        <w:tabs>
          <w:tab w:leader="none" w:pos="1008"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70" w:lineRule="exact"/>
        <w:rPr>
          <w:sz w:val="20"/>
          <w:szCs w:val="20"/>
          <w:color w:val="auto"/>
        </w:rPr>
      </w:pPr>
    </w:p>
    <w:p>
      <w:pPr>
        <w:jc w:val="both"/>
        <w:ind w:right="160" w:firstLine="441"/>
        <w:spacing w:after="0" w:line="264" w:lineRule="auto"/>
        <w:rPr>
          <w:sz w:val="20"/>
          <w:szCs w:val="20"/>
          <w:color w:val="auto"/>
        </w:rPr>
      </w:pPr>
      <w:r>
        <w:rPr>
          <w:rFonts w:ascii="Arial" w:cs="Arial" w:eastAsia="Arial" w:hAnsi="Arial"/>
          <w:sz w:val="18"/>
          <w:szCs w:val="18"/>
          <w:color w:val="auto"/>
        </w:rPr>
        <w:t>provided, however, that paragraphs (a)(1)(i) and (a)(1)(ii) above do not apply if the information required to be included in a post-effective amendment by those paragraphs is contained in periodic reports filed with or furnished to the SEC by registrant pursuant to Section 13 or Section 15(d) of the Exchange Act that are incorporated by reference in this Registration Statement.</w:t>
      </w:r>
    </w:p>
    <w:p>
      <w:pPr>
        <w:spacing w:after="0" w:line="181" w:lineRule="exact"/>
        <w:rPr>
          <w:sz w:val="20"/>
          <w:szCs w:val="20"/>
          <w:color w:val="auto"/>
        </w:rPr>
      </w:pPr>
    </w:p>
    <w:p>
      <w:pPr>
        <w:jc w:val="both"/>
        <w:ind w:right="140" w:firstLine="449"/>
        <w:spacing w:after="0" w:line="342" w:lineRule="auto"/>
        <w:tabs>
          <w:tab w:leader="none" w:pos="693"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bona fide offering thereof.</w:t>
      </w:r>
    </w:p>
    <w:p>
      <w:pPr>
        <w:spacing w:after="0" w:line="123" w:lineRule="exact"/>
        <w:rPr>
          <w:rFonts w:ascii="Arial" w:cs="Arial" w:eastAsia="Arial" w:hAnsi="Arial"/>
          <w:sz w:val="16"/>
          <w:szCs w:val="16"/>
          <w:color w:val="auto"/>
        </w:rPr>
      </w:pPr>
    </w:p>
    <w:p>
      <w:pPr>
        <w:ind w:right="160" w:firstLine="449"/>
        <w:spacing w:after="0" w:line="277" w:lineRule="auto"/>
        <w:tabs>
          <w:tab w:leader="none" w:pos="693"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700" w:hanging="251"/>
        <w:spacing w:after="0"/>
        <w:tabs>
          <w:tab w:leader="none" w:pos="7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225" w:lineRule="exact"/>
        <w:rPr>
          <w:rFonts w:ascii="Arial" w:cs="Arial" w:eastAsia="Arial" w:hAnsi="Arial"/>
          <w:sz w:val="18"/>
          <w:szCs w:val="18"/>
          <w:color w:val="auto"/>
        </w:rPr>
      </w:pPr>
    </w:p>
    <w:p>
      <w:pPr>
        <w:ind w:right="140" w:firstLine="701"/>
        <w:spacing w:after="0" w:line="277" w:lineRule="auto"/>
        <w:tabs>
          <w:tab w:leader="none" w:pos="908" w:val="left"/>
        </w:tabs>
        <w:numPr>
          <w:ilvl w:val="1"/>
          <w:numId w:val="19"/>
        </w:numPr>
        <w:rPr>
          <w:rFonts w:ascii="Arial" w:cs="Arial" w:eastAsia="Arial" w:hAnsi="Arial"/>
          <w:sz w:val="18"/>
          <w:szCs w:val="18"/>
          <w:color w:val="auto"/>
        </w:rPr>
      </w:pPr>
      <w:r>
        <w:rPr>
          <w:rFonts w:ascii="Arial" w:cs="Arial" w:eastAsia="Arial" w:hAnsi="Arial"/>
          <w:sz w:val="18"/>
          <w:szCs w:val="18"/>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55880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ind w:right="40" w:firstLine="701"/>
        <w:spacing w:after="0" w:line="288" w:lineRule="auto"/>
        <w:tabs>
          <w:tab w:leader="none" w:pos="958" w:val="left"/>
        </w:tabs>
        <w:numPr>
          <w:ilvl w:val="1"/>
          <w:numId w:val="20"/>
        </w:numPr>
        <w:rPr>
          <w:rFonts w:ascii="Arial" w:cs="Arial" w:eastAsia="Arial" w:hAnsi="Arial"/>
          <w:sz w:val="16"/>
          <w:szCs w:val="16"/>
          <w:color w:val="auto"/>
        </w:rPr>
      </w:pPr>
      <w:r>
        <w:rPr>
          <w:rFonts w:ascii="Arial" w:cs="Arial" w:eastAsia="Arial" w:hAnsi="Arial"/>
          <w:sz w:val="16"/>
          <w:szCs w:val="16"/>
          <w:color w:val="auto"/>
        </w:rPr>
        <w:t xml:space="preserve">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bona fide offering thereof. </w:t>
      </w:r>
      <w:r>
        <w:rPr>
          <w:rFonts w:ascii="Arial" w:cs="Arial" w:eastAsia="Arial" w:hAnsi="Arial"/>
          <w:sz w:val="16"/>
          <w:szCs w:val="16"/>
          <w:i w:val="1"/>
          <w:iCs w:val="1"/>
          <w:color w:val="auto"/>
        </w:rPr>
        <w:t>Provided, however</w:t>
      </w:r>
      <w:r>
        <w:rPr>
          <w:rFonts w:ascii="Arial" w:cs="Arial" w:eastAsia="Arial" w:hAnsi="Arial"/>
          <w:sz w:val="16"/>
          <w:szCs w:val="16"/>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169" w:lineRule="exact"/>
        <w:rPr>
          <w:rFonts w:ascii="Arial" w:cs="Arial" w:eastAsia="Arial" w:hAnsi="Arial"/>
          <w:sz w:val="16"/>
          <w:szCs w:val="16"/>
          <w:color w:val="auto"/>
        </w:rPr>
      </w:pPr>
    </w:p>
    <w:p>
      <w:pPr>
        <w:ind w:left="700" w:hanging="251"/>
        <w:spacing w:after="0"/>
        <w:tabs>
          <w:tab w:leader="none" w:pos="700"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That, for the purpose of determining liability of the registrant under the Securities Act to any purchaser in the initial distribution of the securities:</w:t>
      </w:r>
    </w:p>
    <w:p>
      <w:pPr>
        <w:spacing w:after="0" w:line="237" w:lineRule="exact"/>
        <w:rPr>
          <w:sz w:val="20"/>
          <w:szCs w:val="20"/>
          <w:color w:val="auto"/>
        </w:rPr>
      </w:pPr>
    </w:p>
    <w:p>
      <w:pPr>
        <w:ind w:right="120" w:firstLine="441"/>
        <w:spacing w:after="0" w:line="286" w:lineRule="auto"/>
        <w:rPr>
          <w:sz w:val="20"/>
          <w:szCs w:val="20"/>
          <w:color w:val="auto"/>
        </w:rPr>
      </w:pPr>
      <w:r>
        <w:rPr>
          <w:rFonts w:ascii="Arial" w:cs="Arial" w:eastAsia="Arial" w:hAnsi="Arial"/>
          <w:sz w:val="17"/>
          <w:szCs w:val="17"/>
          <w:color w:val="auto"/>
        </w:rPr>
        <w:t>The undersigned registrant undertakes that in a primary offering of securities of the registrant pursuant to this Registration Statement, regardless of the underwriting method used to sell the securities to the purchaser, if the securities are offered or sold to such purchaser by means of any of the following communications, the registrant will be a seller to the purchaser and will be considered to offer or sell such securities to such purchaser:</w:t>
      </w:r>
    </w:p>
    <w:p>
      <w:pPr>
        <w:spacing w:after="0" w:line="166" w:lineRule="exact"/>
        <w:rPr>
          <w:sz w:val="20"/>
          <w:szCs w:val="20"/>
          <w:color w:val="auto"/>
        </w:rPr>
      </w:pPr>
    </w:p>
    <w:p>
      <w:pPr>
        <w:ind w:left="900" w:hanging="199"/>
        <w:spacing w:after="0"/>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preliminary prospectus or prospectus of the registrant relating to the offering required to be filed pursuant to Rule 424;</w:t>
      </w:r>
    </w:p>
    <w:p>
      <w:pPr>
        <w:spacing w:after="0" w:line="225" w:lineRule="exact"/>
        <w:rPr>
          <w:rFonts w:ascii="Arial" w:cs="Arial" w:eastAsia="Arial" w:hAnsi="Arial"/>
          <w:sz w:val="18"/>
          <w:szCs w:val="18"/>
          <w:color w:val="auto"/>
        </w:rPr>
      </w:pPr>
    </w:p>
    <w:p>
      <w:pPr>
        <w:ind w:left="960" w:hanging="259"/>
        <w:spacing w:after="0"/>
        <w:tabs>
          <w:tab w:leader="none" w:pos="960" w:val="left"/>
        </w:tabs>
        <w:numPr>
          <w:ilvl w:val="1"/>
          <w:numId w:val="22"/>
        </w:numPr>
        <w:rPr>
          <w:rFonts w:ascii="Arial" w:cs="Arial" w:eastAsia="Arial" w:hAnsi="Arial"/>
          <w:sz w:val="17"/>
          <w:szCs w:val="17"/>
          <w:color w:val="auto"/>
        </w:rPr>
      </w:pPr>
      <w:r>
        <w:rPr>
          <w:rFonts w:ascii="Arial" w:cs="Arial" w:eastAsia="Arial" w:hAnsi="Arial"/>
          <w:sz w:val="17"/>
          <w:szCs w:val="17"/>
          <w:color w:val="auto"/>
        </w:rPr>
        <w:t>Any free writing prospectus relating to the offering prepared by or on behalf of the Registrant or used or referred to by the undersigned</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registrant;</w:t>
      </w:r>
    </w:p>
    <w:p>
      <w:pPr>
        <w:spacing w:after="0" w:line="210" w:lineRule="exact"/>
        <w:rPr>
          <w:rFonts w:ascii="Arial" w:cs="Arial" w:eastAsia="Arial" w:hAnsi="Arial"/>
          <w:sz w:val="17"/>
          <w:szCs w:val="17"/>
          <w:color w:val="auto"/>
        </w:rPr>
      </w:pPr>
    </w:p>
    <w:p>
      <w:pPr>
        <w:ind w:right="380" w:firstLine="701"/>
        <w:spacing w:after="0" w:line="277" w:lineRule="auto"/>
        <w:tabs>
          <w:tab w:leader="none" w:pos="1005"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registrant or its securities provided by or on behalf of the registrant; and</w:t>
      </w:r>
    </w:p>
    <w:p>
      <w:pPr>
        <w:spacing w:after="0" w:line="170" w:lineRule="exact"/>
        <w:rPr>
          <w:rFonts w:ascii="Arial" w:cs="Arial" w:eastAsia="Arial" w:hAnsi="Arial"/>
          <w:sz w:val="18"/>
          <w:szCs w:val="18"/>
          <w:color w:val="auto"/>
        </w:rPr>
      </w:pPr>
    </w:p>
    <w:p>
      <w:pPr>
        <w:ind w:left="1000" w:hanging="299"/>
        <w:spacing w:after="0"/>
        <w:tabs>
          <w:tab w:leader="none" w:pos="10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registrant to the purchaser.</w:t>
      </w:r>
    </w:p>
    <w:p>
      <w:pPr>
        <w:spacing w:after="0" w:line="225" w:lineRule="exact"/>
        <w:rPr>
          <w:rFonts w:ascii="Arial" w:cs="Arial" w:eastAsia="Arial" w:hAnsi="Arial"/>
          <w:sz w:val="18"/>
          <w:szCs w:val="18"/>
          <w:color w:val="auto"/>
        </w:rPr>
      </w:pPr>
    </w:p>
    <w:p>
      <w:pPr>
        <w:ind w:right="160" w:firstLine="206"/>
        <w:spacing w:after="0" w:line="302" w:lineRule="auto"/>
        <w:tabs>
          <w:tab w:leader="none" w:pos="678"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undersigned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54" w:lineRule="exact"/>
        <w:rPr>
          <w:rFonts w:ascii="Arial" w:cs="Arial" w:eastAsia="Arial" w:hAnsi="Arial"/>
          <w:sz w:val="16"/>
          <w:szCs w:val="16"/>
          <w:color w:val="auto"/>
        </w:rPr>
      </w:pPr>
    </w:p>
    <w:p>
      <w:pPr>
        <w:ind w:firstLine="206"/>
        <w:spacing w:after="0" w:line="291" w:lineRule="auto"/>
        <w:tabs>
          <w:tab w:leader="none" w:pos="668" w:val="left"/>
        </w:tabs>
        <w:numPr>
          <w:ilvl w:val="0"/>
          <w:numId w:val="23"/>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55880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3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740" w:firstLine="648"/>
        <w:spacing w:after="0" w:line="269" w:lineRule="auto"/>
        <w:rPr>
          <w:sz w:val="20"/>
          <w:szCs w:val="20"/>
          <w:color w:val="auto"/>
        </w:rPr>
      </w:pPr>
      <w:r>
        <w:rPr>
          <w:rFonts w:ascii="Arial" w:cs="Arial" w:eastAsia="Arial" w:hAnsi="Arial"/>
          <w:sz w:val="18"/>
          <w:szCs w:val="18"/>
          <w:color w:val="auto"/>
        </w:rPr>
        <w:t>Pursuant to the requirements of the Securities Act, the registrant certifies that it has reasonable grounds to believe that it meets all of the requirements for filing on Form S-8/S-3 and has duly caused this registration statement to be signed on its behalf by the undersigned, thereunto duly authorized, in the City of Santa Clara, State of California, on this 20</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day of June 2008.</w:t>
      </w:r>
    </w:p>
    <w:p>
      <w:pPr>
        <w:spacing w:after="0" w:line="54"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20"/>
          </w:cols>
          <w:pgMar w:left="240" w:top="341" w:right="239" w:bottom="0" w:gutter="0" w:footer="0" w:header="0"/>
        </w:sectPr>
      </w:pPr>
    </w:p>
    <w:bookmarkStart w:id="20" w:name="page21"/>
    <w:bookmarkEnd w:id="20"/>
    <w:p>
      <w:pPr>
        <w:ind w:left="5780"/>
        <w:spacing w:after="0"/>
        <w:tabs>
          <w:tab w:leader="none" w:pos="6260" w:val="left"/>
        </w:tabs>
        <w:rPr>
          <w:sz w:val="20"/>
          <w:szCs w:val="20"/>
          <w:color w:val="auto"/>
        </w:rPr>
      </w:pPr>
      <w:r>
        <w:rPr>
          <w:rFonts w:ascii="Arial" w:cs="Arial" w:eastAsia="Arial" w:hAnsi="Arial"/>
          <w:sz w:val="18"/>
          <w:szCs w:val="18"/>
          <w:color w:val="auto"/>
        </w:rPr>
        <w:t>By:</w:t>
        <w:tab/>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Name: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-130810</wp:posOffset>
            </wp:positionV>
            <wp:extent cx="325882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 xml:space="preserve">Title: </w:t>
      </w:r>
      <w:r>
        <w:rPr>
          <w:rFonts w:ascii="Arial" w:cs="Arial" w:eastAsia="Arial" w:hAnsi="Arial"/>
          <w:sz w:val="18"/>
          <w:szCs w:val="18"/>
          <w:i w:val="1"/>
          <w:iCs w:val="1"/>
          <w:color w:val="auto"/>
        </w:rPr>
        <w:t>President and Chief Executive Officer</w:t>
      </w:r>
    </w:p>
    <w:p>
      <w:pPr>
        <w:spacing w:after="0" w:line="20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140" w:firstLine="648"/>
        <w:spacing w:after="0" w:line="257" w:lineRule="auto"/>
        <w:rPr>
          <w:sz w:val="20"/>
          <w:szCs w:val="20"/>
          <w:color w:val="auto"/>
        </w:rPr>
      </w:pPr>
      <w:r>
        <w:rPr>
          <w:rFonts w:ascii="Arial" w:cs="Arial" w:eastAsia="Arial" w:hAnsi="Arial"/>
          <w:sz w:val="18"/>
          <w:szCs w:val="18"/>
          <w:color w:val="auto"/>
        </w:rPr>
        <w:t>KNOW ALL PERSONS BY THESE PRESENTS, that each person whose signature appears below hereby constitutes and appoints Dr. Sehat Sutardja and George de Urioste, and each of them acting individually, as his attorney in fact, each with full power of substitution, for him in any and all capacities, to sign any and all amendments to this Registration Statement on Form S-8/S-3, and to file the same, with exhibits thereto and other documents in connection therewith, with the Securities and Exchange Commission, hereby ratifying and confirming all that said attorney-in-fact, or his or her substitutes, may do or cause to be done by virtue hereof.</w:t>
      </w:r>
    </w:p>
    <w:p>
      <w:pPr>
        <w:spacing w:after="0" w:line="188"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Signature</w:t>
            </w:r>
          </w:p>
        </w:tc>
        <w:tc>
          <w:tcPr>
            <w:tcW w:w="240" w:type="dxa"/>
            <w:vAlign w:val="bottom"/>
          </w:tcPr>
          <w:p>
            <w:pPr>
              <w:spacing w:after="0"/>
              <w:rPr>
                <w:sz w:val="14"/>
                <w:szCs w:val="14"/>
                <w:color w:val="auto"/>
              </w:rPr>
            </w:pPr>
          </w:p>
        </w:tc>
        <w:tc>
          <w:tcPr>
            <w:tcW w:w="51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20" w:type="dxa"/>
            <w:vAlign w:val="bottom"/>
          </w:tcPr>
          <w:p>
            <w:pPr>
              <w:spacing w:after="0"/>
              <w:rPr>
                <w:sz w:val="14"/>
                <w:szCs w:val="14"/>
                <w:color w:val="auto"/>
              </w:rPr>
            </w:pPr>
          </w:p>
        </w:tc>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Date</w:t>
            </w:r>
          </w:p>
        </w:tc>
        <w:tc>
          <w:tcPr>
            <w:tcW w:w="40" w:type="dxa"/>
            <w:vAlign w:val="bottom"/>
          </w:tcPr>
          <w:p>
            <w:pPr>
              <w:spacing w:after="0"/>
              <w:rPr>
                <w:sz w:val="14"/>
                <w:szCs w:val="14"/>
                <w:color w:val="auto"/>
              </w:rPr>
            </w:pPr>
          </w:p>
        </w:tc>
      </w:tr>
      <w:tr>
        <w:trPr>
          <w:trHeight w:val="411"/>
        </w:trPr>
        <w:tc>
          <w:tcPr>
            <w:tcW w:w="3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340" w:type="dxa"/>
            <w:vAlign w:val="bottom"/>
            <w:gridSpan w:val="2"/>
          </w:tcPr>
          <w:p>
            <w:pPr>
              <w:jc w:val="center"/>
              <w:ind w:right="240"/>
              <w:spacing w:after="0"/>
              <w:rPr>
                <w:sz w:val="20"/>
                <w:szCs w:val="20"/>
                <w:color w:val="auto"/>
              </w:rPr>
            </w:pPr>
            <w:r>
              <w:rPr>
                <w:rFonts w:ascii="Arial" w:cs="Arial" w:eastAsia="Arial" w:hAnsi="Arial"/>
                <w:sz w:val="18"/>
                <w:szCs w:val="18"/>
                <w:color w:val="auto"/>
                <w:w w:val="90"/>
              </w:rPr>
              <w:t>Chairman of the Board, President</w:t>
            </w:r>
          </w:p>
        </w:tc>
        <w:tc>
          <w:tcPr>
            <w:tcW w:w="2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30"/>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w:t>
            </w:r>
          </w:p>
        </w:tc>
        <w:tc>
          <w:tcPr>
            <w:tcW w:w="240" w:type="dxa"/>
            <w:vAlign w:val="bottom"/>
          </w:tcPr>
          <w:p>
            <w:pPr>
              <w:spacing w:after="0"/>
              <w:rPr>
                <w:sz w:val="20"/>
                <w:szCs w:val="20"/>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3"/>
              </w:rPr>
              <w:t>and Chief Executive Officer</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c>
          <w:tcPr>
            <w:tcW w:w="40" w:type="dxa"/>
            <w:vAlign w:val="bottom"/>
          </w:tcPr>
          <w:p>
            <w:pPr>
              <w:spacing w:after="0"/>
              <w:rPr>
                <w:sz w:val="20"/>
                <w:szCs w:val="20"/>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240" w:type="dxa"/>
            <w:vAlign w:val="bottom"/>
          </w:tcPr>
          <w:p>
            <w:pPr>
              <w:spacing w:after="0"/>
              <w:rPr>
                <w:sz w:val="19"/>
                <w:szCs w:val="19"/>
                <w:color w:val="auto"/>
              </w:rPr>
            </w:pPr>
          </w:p>
        </w:tc>
        <w:tc>
          <w:tcPr>
            <w:tcW w:w="5340" w:type="dxa"/>
            <w:vAlign w:val="bottom"/>
            <w:gridSpan w:val="2"/>
          </w:tcPr>
          <w:p>
            <w:pPr>
              <w:jc w:val="center"/>
              <w:ind w:right="240"/>
              <w:spacing w:after="0"/>
              <w:rPr>
                <w:sz w:val="20"/>
                <w:szCs w:val="20"/>
                <w:color w:val="auto"/>
              </w:rPr>
            </w:pPr>
            <w:r>
              <w:rPr>
                <w:rFonts w:ascii="Arial" w:cs="Arial" w:eastAsia="Arial" w:hAnsi="Arial"/>
                <w:sz w:val="18"/>
                <w:szCs w:val="18"/>
                <w:color w:val="auto"/>
                <w:w w:val="94"/>
              </w:rPr>
              <w:t>(</w:t>
            </w:r>
            <w:r>
              <w:rPr>
                <w:rFonts w:ascii="Arial" w:cs="Arial" w:eastAsia="Arial" w:hAnsi="Arial"/>
                <w:sz w:val="18"/>
                <w:szCs w:val="18"/>
                <w:i w:val="1"/>
                <w:iCs w:val="1"/>
                <w:color w:val="auto"/>
                <w:w w:val="94"/>
              </w:rPr>
              <w:t>Principal Executive Officer)</w:t>
            </w: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04"/>
        </w:trPr>
        <w:tc>
          <w:tcPr>
            <w:tcW w:w="3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4"/>
              </w:rPr>
              <w:t>Interim Chief Financial Officer</w:t>
            </w:r>
          </w:p>
        </w:tc>
        <w:tc>
          <w:tcPr>
            <w:tcW w:w="2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30"/>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George de Urioste</w:t>
            </w:r>
          </w:p>
        </w:tc>
        <w:tc>
          <w:tcPr>
            <w:tcW w:w="240" w:type="dxa"/>
            <w:vAlign w:val="bottom"/>
          </w:tcPr>
          <w:p>
            <w:pPr>
              <w:spacing w:after="0"/>
              <w:rPr>
                <w:sz w:val="20"/>
                <w:szCs w:val="20"/>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i w:val="1"/>
                <w:iCs w:val="1"/>
                <w:color w:val="auto"/>
                <w:w w:val="95"/>
              </w:rPr>
              <w:t>Principal Financial and Accounting Officer)</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c>
          <w:tcPr>
            <w:tcW w:w="40" w:type="dxa"/>
            <w:vAlign w:val="bottom"/>
          </w:tcPr>
          <w:p>
            <w:pPr>
              <w:spacing w:after="0"/>
              <w:rPr>
                <w:sz w:val="20"/>
                <w:szCs w:val="20"/>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89"/>
              </w:rPr>
              <w:t>George de Urioste</w:t>
            </w:r>
          </w:p>
        </w:tc>
        <w:tc>
          <w:tcPr>
            <w:tcW w:w="240" w:type="dxa"/>
            <w:vAlign w:val="bottom"/>
          </w:tcPr>
          <w:p>
            <w:pPr>
              <w:spacing w:after="0"/>
              <w:rPr>
                <w:sz w:val="19"/>
                <w:szCs w:val="19"/>
                <w:color w:val="auto"/>
              </w:rPr>
            </w:pPr>
          </w:p>
        </w:tc>
        <w:tc>
          <w:tcPr>
            <w:tcW w:w="5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04"/>
        </w:trPr>
        <w:tc>
          <w:tcPr>
            <w:tcW w:w="3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1"/>
              </w:rPr>
              <w:t>Director, Vice President, Chief Technology</w:t>
            </w:r>
          </w:p>
        </w:tc>
        <w:tc>
          <w:tcPr>
            <w:tcW w:w="2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30"/>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6"/>
              </w:rPr>
              <w:t>/s/ Pantas Sutardja</w:t>
            </w:r>
          </w:p>
        </w:tc>
        <w:tc>
          <w:tcPr>
            <w:tcW w:w="240" w:type="dxa"/>
            <w:vAlign w:val="bottom"/>
          </w:tcPr>
          <w:p>
            <w:pPr>
              <w:spacing w:after="0"/>
              <w:rPr>
                <w:sz w:val="20"/>
                <w:szCs w:val="20"/>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3"/>
              </w:rPr>
              <w:t>Officer, Acting Chief Operating Officer and</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c>
          <w:tcPr>
            <w:tcW w:w="40" w:type="dxa"/>
            <w:vAlign w:val="bottom"/>
          </w:tcPr>
          <w:p>
            <w:pPr>
              <w:spacing w:after="0"/>
              <w:rPr>
                <w:sz w:val="20"/>
                <w:szCs w:val="20"/>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240" w:type="dxa"/>
            <w:vAlign w:val="bottom"/>
          </w:tcPr>
          <w:p>
            <w:pPr>
              <w:spacing w:after="0"/>
              <w:rPr>
                <w:sz w:val="19"/>
                <w:szCs w:val="19"/>
                <w:color w:val="auto"/>
              </w:rPr>
            </w:pPr>
          </w:p>
        </w:tc>
        <w:tc>
          <w:tcPr>
            <w:tcW w:w="5340" w:type="dxa"/>
            <w:vAlign w:val="bottom"/>
            <w:gridSpan w:val="2"/>
          </w:tcPr>
          <w:p>
            <w:pPr>
              <w:jc w:val="center"/>
              <w:ind w:right="240"/>
              <w:spacing w:after="0"/>
              <w:rPr>
                <w:sz w:val="20"/>
                <w:szCs w:val="20"/>
                <w:color w:val="auto"/>
              </w:rPr>
            </w:pPr>
            <w:r>
              <w:rPr>
                <w:rFonts w:ascii="Arial" w:cs="Arial" w:eastAsia="Arial" w:hAnsi="Arial"/>
                <w:sz w:val="18"/>
                <w:szCs w:val="18"/>
                <w:color w:val="auto"/>
                <w:w w:val="90"/>
              </w:rPr>
              <w:t>Chief Research and Development Officer</w:t>
            </w: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Herbert Chang</w:t>
            </w:r>
          </w:p>
        </w:tc>
        <w:tc>
          <w:tcPr>
            <w:tcW w:w="240" w:type="dxa"/>
            <w:vAlign w:val="bottom"/>
          </w:tcPr>
          <w:p>
            <w:pPr>
              <w:spacing w:after="0"/>
              <w:rPr>
                <w:sz w:val="24"/>
                <w:szCs w:val="24"/>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5"/>
              </w:rPr>
              <w:t>Director</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c>
          <w:tcPr>
            <w:tcW w:w="40" w:type="dxa"/>
            <w:vAlign w:val="bottom"/>
          </w:tcPr>
          <w:p>
            <w:pPr>
              <w:spacing w:after="0"/>
              <w:rPr>
                <w:sz w:val="24"/>
                <w:szCs w:val="24"/>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240" w:type="dxa"/>
            <w:vAlign w:val="bottom"/>
          </w:tcPr>
          <w:p>
            <w:pPr>
              <w:spacing w:after="0"/>
              <w:rPr>
                <w:sz w:val="19"/>
                <w:szCs w:val="19"/>
                <w:color w:val="auto"/>
              </w:rPr>
            </w:pPr>
          </w:p>
        </w:tc>
        <w:tc>
          <w:tcPr>
            <w:tcW w:w="5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Juergen Gromer</w:t>
            </w:r>
          </w:p>
        </w:tc>
        <w:tc>
          <w:tcPr>
            <w:tcW w:w="240" w:type="dxa"/>
            <w:vAlign w:val="bottom"/>
          </w:tcPr>
          <w:p>
            <w:pPr>
              <w:spacing w:after="0"/>
              <w:rPr>
                <w:sz w:val="24"/>
                <w:szCs w:val="24"/>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5"/>
              </w:rPr>
              <w:t>Director</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c>
          <w:tcPr>
            <w:tcW w:w="40" w:type="dxa"/>
            <w:vAlign w:val="bottom"/>
          </w:tcPr>
          <w:p>
            <w:pPr>
              <w:spacing w:after="0"/>
              <w:rPr>
                <w:sz w:val="24"/>
                <w:szCs w:val="24"/>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89"/>
              </w:rPr>
              <w:t>Dr. Juergen Gromer</w:t>
            </w:r>
          </w:p>
        </w:tc>
        <w:tc>
          <w:tcPr>
            <w:tcW w:w="240" w:type="dxa"/>
            <w:vAlign w:val="bottom"/>
          </w:tcPr>
          <w:p>
            <w:pPr>
              <w:spacing w:after="0"/>
              <w:rPr>
                <w:sz w:val="19"/>
                <w:szCs w:val="19"/>
                <w:color w:val="auto"/>
              </w:rPr>
            </w:pPr>
          </w:p>
        </w:tc>
        <w:tc>
          <w:tcPr>
            <w:tcW w:w="5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3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Arturo Krueger</w:t>
            </w:r>
          </w:p>
        </w:tc>
        <w:tc>
          <w:tcPr>
            <w:tcW w:w="240" w:type="dxa"/>
            <w:vAlign w:val="bottom"/>
          </w:tcPr>
          <w:p>
            <w:pPr>
              <w:spacing w:after="0"/>
              <w:rPr>
                <w:sz w:val="24"/>
                <w:szCs w:val="24"/>
                <w:color w:val="auto"/>
              </w:rPr>
            </w:pPr>
          </w:p>
        </w:tc>
        <w:tc>
          <w:tcPr>
            <w:tcW w:w="5340" w:type="dxa"/>
            <w:vAlign w:val="bottom"/>
            <w:gridSpan w:val="2"/>
          </w:tcPr>
          <w:p>
            <w:pPr>
              <w:jc w:val="center"/>
              <w:ind w:right="220"/>
              <w:spacing w:after="0"/>
              <w:rPr>
                <w:sz w:val="20"/>
                <w:szCs w:val="20"/>
                <w:color w:val="auto"/>
              </w:rPr>
            </w:pPr>
            <w:r>
              <w:rPr>
                <w:rFonts w:ascii="Arial" w:cs="Arial" w:eastAsia="Arial" w:hAnsi="Arial"/>
                <w:sz w:val="18"/>
                <w:szCs w:val="18"/>
                <w:color w:val="auto"/>
                <w:w w:val="95"/>
              </w:rPr>
              <w:t>Director</w:t>
            </w:r>
          </w:p>
        </w:tc>
        <w:tc>
          <w:tcPr>
            <w:tcW w:w="2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c>
          <w:tcPr>
            <w:tcW w:w="40" w:type="dxa"/>
            <w:vAlign w:val="bottom"/>
          </w:tcPr>
          <w:p>
            <w:pPr>
              <w:spacing w:after="0"/>
              <w:rPr>
                <w:sz w:val="24"/>
                <w:szCs w:val="24"/>
                <w:color w:val="auto"/>
              </w:rPr>
            </w:pPr>
          </w:p>
        </w:tc>
      </w:tr>
      <w:tr>
        <w:trPr>
          <w:trHeight w:val="224"/>
        </w:trPr>
        <w:tc>
          <w:tcPr>
            <w:tcW w:w="3580" w:type="dxa"/>
            <w:vAlign w:val="bottom"/>
          </w:tcPr>
          <w:p>
            <w:pPr>
              <w:jc w:val="center"/>
              <w:spacing w:after="0"/>
              <w:rPr>
                <w:sz w:val="20"/>
                <w:szCs w:val="20"/>
                <w:color w:val="auto"/>
              </w:rPr>
            </w:pPr>
            <w:r>
              <w:rPr>
                <w:rFonts w:ascii="Arial" w:cs="Arial" w:eastAsia="Arial" w:hAnsi="Arial"/>
                <w:sz w:val="18"/>
                <w:szCs w:val="18"/>
                <w:color w:val="auto"/>
                <w:w w:val="94"/>
              </w:rPr>
              <w:t>Arturo Krueger</w:t>
            </w:r>
          </w:p>
        </w:tc>
        <w:tc>
          <w:tcPr>
            <w:tcW w:w="240" w:type="dxa"/>
            <w:vAlign w:val="bottom"/>
          </w:tcPr>
          <w:p>
            <w:pPr>
              <w:spacing w:after="0"/>
              <w:rPr>
                <w:sz w:val="19"/>
                <w:szCs w:val="19"/>
                <w:color w:val="auto"/>
              </w:rPr>
            </w:pPr>
          </w:p>
        </w:tc>
        <w:tc>
          <w:tcPr>
            <w:tcW w:w="5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418"/>
        </w:trPr>
        <w:tc>
          <w:tcPr>
            <w:tcW w:w="3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340" w:type="dxa"/>
            <w:vAlign w:val="bottom"/>
            <w:gridSpan w:val="2"/>
          </w:tcPr>
          <w:p>
            <w:pPr>
              <w:ind w:left="1760"/>
              <w:spacing w:after="0"/>
              <w:rPr>
                <w:sz w:val="20"/>
                <w:szCs w:val="20"/>
                <w:color w:val="auto"/>
              </w:rPr>
            </w:pPr>
            <w:r>
              <w:rPr>
                <w:rFonts w:ascii="Arial" w:cs="Arial" w:eastAsia="Arial" w:hAnsi="Arial"/>
                <w:sz w:val="18"/>
                <w:szCs w:val="18"/>
                <w:color w:val="auto"/>
              </w:rPr>
              <w:t>II-5</w:t>
            </w:r>
          </w:p>
        </w:tc>
        <w:tc>
          <w:tcPr>
            <w:tcW w:w="2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05"/>
        </w:trPr>
        <w:tc>
          <w:tcPr>
            <w:tcW w:w="3580" w:type="dxa"/>
            <w:vAlign w:val="bottom"/>
            <w:tcBorders>
              <w:bottom w:val="single" w:sz="8" w:color="010101"/>
            </w:tcBorders>
          </w:tcPr>
          <w:p>
            <w:pPr>
              <w:spacing w:after="0"/>
              <w:rPr>
                <w:sz w:val="9"/>
                <w:szCs w:val="9"/>
                <w:color w:val="auto"/>
              </w:rPr>
            </w:pPr>
          </w:p>
        </w:tc>
        <w:tc>
          <w:tcPr>
            <w:tcW w:w="240" w:type="dxa"/>
            <w:vAlign w:val="bottom"/>
            <w:tcBorders>
              <w:bottom w:val="single" w:sz="8" w:color="010101"/>
            </w:tcBorders>
          </w:tcPr>
          <w:p>
            <w:pPr>
              <w:spacing w:after="0"/>
              <w:rPr>
                <w:sz w:val="9"/>
                <w:szCs w:val="9"/>
                <w:color w:val="auto"/>
              </w:rPr>
            </w:pPr>
          </w:p>
        </w:tc>
        <w:tc>
          <w:tcPr>
            <w:tcW w:w="5120" w:type="dxa"/>
            <w:vAlign w:val="bottom"/>
            <w:tcBorders>
              <w:bottom w:val="single" w:sz="8" w:color="010101"/>
            </w:tcBorders>
          </w:tcPr>
          <w:p>
            <w:pPr>
              <w:spacing w:after="0"/>
              <w:rPr>
                <w:sz w:val="9"/>
                <w:szCs w:val="9"/>
                <w:color w:val="auto"/>
              </w:rPr>
            </w:pPr>
          </w:p>
        </w:tc>
        <w:tc>
          <w:tcPr>
            <w:tcW w:w="220" w:type="dxa"/>
            <w:vAlign w:val="bottom"/>
            <w:tcBorders>
              <w:bottom w:val="single" w:sz="8" w:color="010101"/>
            </w:tcBorders>
          </w:tcPr>
          <w:p>
            <w:pPr>
              <w:spacing w:after="0"/>
              <w:rPr>
                <w:sz w:val="9"/>
                <w:szCs w:val="9"/>
                <w:color w:val="auto"/>
              </w:rPr>
            </w:pPr>
          </w:p>
        </w:tc>
        <w:tc>
          <w:tcPr>
            <w:tcW w:w="2260" w:type="dxa"/>
            <w:vAlign w:val="bottom"/>
            <w:tcBorders>
              <w:bottom w:val="single" w:sz="8" w:color="010101"/>
            </w:tcBorders>
          </w:tcPr>
          <w:p>
            <w:pPr>
              <w:spacing w:after="0"/>
              <w:rPr>
                <w:sz w:val="9"/>
                <w:szCs w:val="9"/>
                <w:color w:val="auto"/>
              </w:rPr>
            </w:pPr>
          </w:p>
        </w:tc>
        <w:tc>
          <w:tcPr>
            <w:tcW w:w="40" w:type="dxa"/>
            <w:vAlign w:val="bottom"/>
            <w:tcBorders>
              <w:bottom w:val="single" w:sz="8" w:color="010101"/>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9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REGISTRATION STATEMENT ON FORM S-8/S-3</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INDEX TO EXHIBITS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4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60" w:type="dxa"/>
            <w:vAlign w:val="bottom"/>
          </w:tcPr>
          <w:p>
            <w:pPr>
              <w:spacing w:after="0"/>
              <w:rPr>
                <w:sz w:val="14"/>
                <w:szCs w:val="14"/>
                <w:color w:val="auto"/>
              </w:rPr>
            </w:pPr>
          </w:p>
        </w:tc>
        <w:tc>
          <w:tcPr>
            <w:tcW w:w="4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60" w:type="dxa"/>
            <w:vAlign w:val="bottom"/>
            <w:gridSpan w:val="2"/>
          </w:tcPr>
          <w:p>
            <w:pPr>
              <w:ind w:left="1780"/>
              <w:spacing w:after="0"/>
              <w:rPr>
                <w:sz w:val="20"/>
                <w:szCs w:val="20"/>
                <w:color w:val="auto"/>
              </w:rPr>
            </w:pPr>
            <w:r>
              <w:rPr>
                <w:rFonts w:ascii="Arial" w:cs="Arial" w:eastAsia="Arial" w:hAnsi="Arial"/>
                <w:sz w:val="14"/>
                <w:szCs w:val="14"/>
                <w:b w:val="1"/>
                <w:bCs w:val="1"/>
                <w:color w:val="auto"/>
                <w:w w:val="94"/>
              </w:rPr>
              <w:t>Incorporated by reference herein</w:t>
            </w:r>
          </w:p>
        </w:tc>
        <w:tc>
          <w:tcPr>
            <w:tcW w:w="1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3"/>
        </w:trPr>
        <w:tc>
          <w:tcPr>
            <w:tcW w:w="1040" w:type="dxa"/>
            <w:vAlign w:val="bottom"/>
            <w:vMerge w:val="restart"/>
          </w:tcPr>
          <w:p>
            <w:pPr>
              <w:spacing w:after="0"/>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line="20" w:lineRule="exact"/>
              <w:rPr>
                <w:sz w:val="1"/>
                <w:szCs w:val="1"/>
                <w:color w:val="auto"/>
              </w:rPr>
            </w:pPr>
          </w:p>
        </w:tc>
        <w:tc>
          <w:tcPr>
            <w:tcW w:w="4260" w:type="dxa"/>
            <w:vAlign w:val="bottom"/>
            <w:vMerge w:val="restart"/>
          </w:tcPr>
          <w:p>
            <w:pPr>
              <w:ind w:left="1760"/>
              <w:spacing w:after="0"/>
              <w:rPr>
                <w:sz w:val="20"/>
                <w:szCs w:val="20"/>
                <w:color w:val="auto"/>
              </w:rPr>
            </w:pPr>
            <w:r>
              <w:rPr>
                <w:rFonts w:ascii="Arial" w:cs="Arial" w:eastAsia="Arial" w:hAnsi="Arial"/>
                <w:sz w:val="14"/>
                <w:szCs w:val="14"/>
                <w:b w:val="1"/>
                <w:bCs w:val="1"/>
                <w:color w:val="auto"/>
              </w:rPr>
              <w:t>Description</w:t>
            </w:r>
          </w:p>
        </w:tc>
        <w:tc>
          <w:tcPr>
            <w:tcW w:w="260" w:type="dxa"/>
            <w:vAlign w:val="bottom"/>
          </w:tcPr>
          <w:p>
            <w:pPr>
              <w:spacing w:after="0" w:line="20" w:lineRule="exact"/>
              <w:rPr>
                <w:sz w:val="1"/>
                <w:szCs w:val="1"/>
                <w:color w:val="auto"/>
              </w:rPr>
            </w:pPr>
          </w:p>
        </w:tc>
        <w:tc>
          <w:tcPr>
            <w:tcW w:w="3860" w:type="dxa"/>
            <w:vAlign w:val="bottom"/>
            <w:tcBorders>
              <w:bottom w:val="single" w:sz="8" w:color="auto"/>
            </w:tcBorders>
            <w:gridSpan w:val="2"/>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2"/>
        </w:trPr>
        <w:tc>
          <w:tcPr>
            <w:tcW w:w="1040" w:type="dxa"/>
            <w:vAlign w:val="bottom"/>
            <w:tcBorders>
              <w:bottom w:val="single" w:sz="8" w:color="auto"/>
            </w:tcBorders>
            <w:vMerge w:val="continue"/>
          </w:tcPr>
          <w:p>
            <w:pPr>
              <w:spacing w:after="0"/>
              <w:rPr>
                <w:sz w:val="12"/>
                <w:szCs w:val="12"/>
                <w:color w:val="auto"/>
              </w:rPr>
            </w:pPr>
          </w:p>
        </w:tc>
        <w:tc>
          <w:tcPr>
            <w:tcW w:w="260" w:type="dxa"/>
            <w:vAlign w:val="bottom"/>
          </w:tcPr>
          <w:p>
            <w:pPr>
              <w:spacing w:after="0"/>
              <w:rPr>
                <w:sz w:val="12"/>
                <w:szCs w:val="12"/>
                <w:color w:val="auto"/>
              </w:rPr>
            </w:pPr>
          </w:p>
        </w:tc>
        <w:tc>
          <w:tcPr>
            <w:tcW w:w="4260" w:type="dxa"/>
            <w:vAlign w:val="bottom"/>
            <w:tcBorders>
              <w:bottom w:val="single" w:sz="8" w:color="auto"/>
            </w:tcBorders>
            <w:vMerge w:val="continue"/>
          </w:tcPr>
          <w:p>
            <w:pPr>
              <w:spacing w:after="0"/>
              <w:rPr>
                <w:sz w:val="12"/>
                <w:szCs w:val="12"/>
                <w:color w:val="auto"/>
              </w:rPr>
            </w:pPr>
          </w:p>
        </w:tc>
        <w:tc>
          <w:tcPr>
            <w:tcW w:w="260" w:type="dxa"/>
            <w:vAlign w:val="bottom"/>
          </w:tcPr>
          <w:p>
            <w:pPr>
              <w:spacing w:after="0"/>
              <w:rPr>
                <w:sz w:val="12"/>
                <w:szCs w:val="12"/>
                <w:color w:val="auto"/>
              </w:rPr>
            </w:pPr>
          </w:p>
        </w:tc>
        <w:tc>
          <w:tcPr>
            <w:tcW w:w="3600" w:type="dxa"/>
            <w:vAlign w:val="bottom"/>
            <w:tcBorders>
              <w:bottom w:val="single" w:sz="8" w:color="auto"/>
            </w:tcBorders>
          </w:tcPr>
          <w:p>
            <w:pPr>
              <w:ind w:left="1620"/>
              <w:spacing w:after="0" w:line="142" w:lineRule="exact"/>
              <w:rPr>
                <w:sz w:val="20"/>
                <w:szCs w:val="20"/>
                <w:color w:val="auto"/>
              </w:rPr>
            </w:pPr>
            <w:r>
              <w:rPr>
                <w:rFonts w:ascii="Arial" w:cs="Arial" w:eastAsia="Arial" w:hAnsi="Arial"/>
                <w:sz w:val="14"/>
                <w:szCs w:val="14"/>
                <w:b w:val="1"/>
                <w:bCs w:val="1"/>
                <w:color w:val="auto"/>
              </w:rPr>
              <w:t>Filing</w:t>
            </w:r>
          </w:p>
        </w:tc>
        <w:tc>
          <w:tcPr>
            <w:tcW w:w="260" w:type="dxa"/>
            <w:vAlign w:val="bottom"/>
          </w:tcPr>
          <w:p>
            <w:pPr>
              <w:spacing w:after="0"/>
              <w:rPr>
                <w:sz w:val="12"/>
                <w:szCs w:val="12"/>
                <w:color w:val="auto"/>
              </w:rPr>
            </w:pPr>
          </w:p>
        </w:tc>
        <w:tc>
          <w:tcPr>
            <w:tcW w:w="1740" w:type="dxa"/>
            <w:vAlign w:val="bottom"/>
            <w:tcBorders>
              <w:bottom w:val="single" w:sz="8" w:color="auto"/>
            </w:tcBorders>
          </w:tcPr>
          <w:p>
            <w:pPr>
              <w:ind w:left="720"/>
              <w:spacing w:after="0" w:line="142" w:lineRule="exact"/>
              <w:rPr>
                <w:sz w:val="20"/>
                <w:szCs w:val="20"/>
                <w:color w:val="auto"/>
              </w:rPr>
            </w:pPr>
            <w:r>
              <w:rPr>
                <w:rFonts w:ascii="Arial" w:cs="Arial" w:eastAsia="Arial" w:hAnsi="Arial"/>
                <w:sz w:val="14"/>
                <w:szCs w:val="14"/>
                <w:b w:val="1"/>
                <w:bCs w:val="1"/>
                <w:color w:val="auto"/>
              </w:rPr>
              <w:t>Date</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11"/>
        </w:trPr>
        <w:tc>
          <w:tcPr>
            <w:tcW w:w="1040" w:type="dxa"/>
            <w:vAlign w:val="bottom"/>
          </w:tcPr>
          <w:p>
            <w:pPr>
              <w:ind w:left="180"/>
              <w:spacing w:after="0"/>
              <w:rPr>
                <w:sz w:val="20"/>
                <w:szCs w:val="20"/>
                <w:color w:val="auto"/>
              </w:rPr>
            </w:pPr>
            <w:r>
              <w:rPr>
                <w:rFonts w:ascii="Arial" w:cs="Arial" w:eastAsia="Arial" w:hAnsi="Arial"/>
                <w:sz w:val="18"/>
                <w:szCs w:val="18"/>
                <w:color w:val="auto"/>
              </w:rPr>
              <w:t>10.20</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Amended and Restated 1995 Stock Option Plan</w:t>
            </w: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rPr>
              <w:t>Quarterly Report on Form 10-Q for the period</w:t>
            </w:r>
          </w:p>
        </w:tc>
        <w:tc>
          <w:tcPr>
            <w:tcW w:w="1740" w:type="dxa"/>
            <w:vAlign w:val="bottom"/>
          </w:tcPr>
          <w:p>
            <w:pPr>
              <w:spacing w:after="0"/>
              <w:rPr>
                <w:sz w:val="20"/>
                <w:szCs w:val="20"/>
                <w:color w:val="auto"/>
              </w:rPr>
            </w:pPr>
            <w:r>
              <w:rPr>
                <w:rFonts w:ascii="Arial" w:cs="Arial" w:eastAsia="Arial" w:hAnsi="Arial"/>
                <w:sz w:val="18"/>
                <w:szCs w:val="18"/>
                <w:color w:val="auto"/>
              </w:rPr>
              <w:t>September 15, 2003</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60" w:type="dxa"/>
            <w:vAlign w:val="bottom"/>
          </w:tcPr>
          <w:p>
            <w:pPr>
              <w:spacing w:after="0"/>
              <w:rPr>
                <w:sz w:val="18"/>
                <w:szCs w:val="18"/>
                <w:color w:val="auto"/>
              </w:rPr>
            </w:pP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rPr>
              <w:t>ended August 2, 2003 (File No. 000-30877) as</w:t>
            </w:r>
          </w:p>
        </w:tc>
        <w:tc>
          <w:tcPr>
            <w:tcW w:w="17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60" w:type="dxa"/>
            <w:vAlign w:val="bottom"/>
          </w:tcPr>
          <w:p>
            <w:pPr>
              <w:spacing w:after="0"/>
              <w:rPr>
                <w:sz w:val="20"/>
                <w:szCs w:val="20"/>
                <w:color w:val="auto"/>
              </w:rPr>
            </w:pP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rPr>
              <w:t>Exhibit 10.20</w:t>
            </w:r>
          </w:p>
        </w:tc>
        <w:tc>
          <w:tcPr>
            <w:tcW w:w="17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1040" w:type="dxa"/>
            <w:vAlign w:val="bottom"/>
          </w:tcPr>
          <w:p>
            <w:pPr>
              <w:ind w:left="180"/>
              <w:spacing w:after="0"/>
              <w:rPr>
                <w:sz w:val="20"/>
                <w:szCs w:val="20"/>
                <w:color w:val="auto"/>
              </w:rPr>
            </w:pPr>
            <w:r>
              <w:rPr>
                <w:rFonts w:ascii="Arial" w:cs="Arial" w:eastAsia="Arial" w:hAnsi="Arial"/>
                <w:sz w:val="18"/>
                <w:szCs w:val="18"/>
                <w:color w:val="auto"/>
              </w:rPr>
              <w:t>10.34</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w w:val="97"/>
              </w:rPr>
              <w:t>Form of Notice of Stock Unit Award and Form of Stock</w:t>
            </w: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rPr>
              <w:t>Annual Report on Form 10-K for the fiscal year</w:t>
            </w:r>
          </w:p>
        </w:tc>
        <w:tc>
          <w:tcPr>
            <w:tcW w:w="1740" w:type="dxa"/>
            <w:vAlign w:val="bottom"/>
          </w:tcPr>
          <w:p>
            <w:pPr>
              <w:spacing w:after="0"/>
              <w:rPr>
                <w:sz w:val="20"/>
                <w:szCs w:val="20"/>
                <w:color w:val="auto"/>
              </w:rPr>
            </w:pPr>
            <w:r>
              <w:rPr>
                <w:rFonts w:ascii="Arial" w:cs="Arial" w:eastAsia="Arial" w:hAnsi="Arial"/>
                <w:sz w:val="18"/>
                <w:szCs w:val="18"/>
                <w:color w:val="auto"/>
              </w:rPr>
              <w:t>July 2, 2007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Unit Agreement</w:t>
            </w: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w w:val="98"/>
              </w:rPr>
              <w:t>ended January 27, 2007 (File No. 000-30877) as</w:t>
            </w:r>
          </w:p>
        </w:tc>
        <w:tc>
          <w:tcPr>
            <w:tcW w:w="17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60" w:type="dxa"/>
            <w:vAlign w:val="bottom"/>
          </w:tcPr>
          <w:p>
            <w:pPr>
              <w:spacing w:after="0"/>
              <w:rPr>
                <w:sz w:val="20"/>
                <w:szCs w:val="20"/>
                <w:color w:val="auto"/>
              </w:rPr>
            </w:pPr>
          </w:p>
        </w:tc>
        <w:tc>
          <w:tcPr>
            <w:tcW w:w="4120" w:type="dxa"/>
            <w:vAlign w:val="bottom"/>
            <w:gridSpan w:val="3"/>
          </w:tcPr>
          <w:p>
            <w:pPr>
              <w:ind w:left="260"/>
              <w:spacing w:after="0"/>
              <w:rPr>
                <w:sz w:val="20"/>
                <w:szCs w:val="20"/>
                <w:color w:val="auto"/>
              </w:rPr>
            </w:pPr>
            <w:r>
              <w:rPr>
                <w:rFonts w:ascii="Arial" w:cs="Arial" w:eastAsia="Arial" w:hAnsi="Arial"/>
                <w:sz w:val="18"/>
                <w:szCs w:val="18"/>
                <w:color w:val="auto"/>
              </w:rPr>
              <w:t>Exhibit 10.34</w:t>
            </w:r>
          </w:p>
        </w:tc>
        <w:tc>
          <w:tcPr>
            <w:tcW w:w="17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040" w:type="dxa"/>
            <w:vAlign w:val="bottom"/>
          </w:tcPr>
          <w:p>
            <w:pPr>
              <w:ind w:left="180"/>
              <w:spacing w:after="0"/>
              <w:rPr>
                <w:sz w:val="20"/>
                <w:szCs w:val="20"/>
                <w:color w:val="auto"/>
              </w:rPr>
            </w:pPr>
            <w:r>
              <w:rPr>
                <w:rFonts w:ascii="Arial" w:cs="Arial" w:eastAsia="Arial" w:hAnsi="Arial"/>
                <w:sz w:val="18"/>
                <w:szCs w:val="18"/>
                <w:color w:val="auto"/>
              </w:rPr>
              <w:t>5.1</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Opinion of counsel</w:t>
            </w:r>
          </w:p>
        </w:tc>
        <w:tc>
          <w:tcPr>
            <w:tcW w:w="2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040" w:type="dxa"/>
            <w:vAlign w:val="bottom"/>
          </w:tcPr>
          <w:p>
            <w:pPr>
              <w:ind w:left="180"/>
              <w:spacing w:after="0"/>
              <w:rPr>
                <w:sz w:val="20"/>
                <w:szCs w:val="20"/>
                <w:color w:val="auto"/>
              </w:rPr>
            </w:pPr>
            <w:r>
              <w:rPr>
                <w:rFonts w:ascii="Arial" w:cs="Arial" w:eastAsia="Arial" w:hAnsi="Arial"/>
                <w:sz w:val="18"/>
                <w:szCs w:val="18"/>
                <w:color w:val="auto"/>
              </w:rPr>
              <w:t>23.1</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Consent of counsel (contained in Exhibit 5.1)</w:t>
            </w:r>
          </w:p>
        </w:tc>
        <w:tc>
          <w:tcPr>
            <w:tcW w:w="2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8"/>
        </w:trPr>
        <w:tc>
          <w:tcPr>
            <w:tcW w:w="1040" w:type="dxa"/>
            <w:vAlign w:val="bottom"/>
          </w:tcPr>
          <w:p>
            <w:pPr>
              <w:ind w:left="180"/>
              <w:spacing w:after="0"/>
              <w:rPr>
                <w:sz w:val="20"/>
                <w:szCs w:val="20"/>
                <w:color w:val="auto"/>
              </w:rPr>
            </w:pPr>
            <w:r>
              <w:rPr>
                <w:rFonts w:ascii="Arial" w:cs="Arial" w:eastAsia="Arial" w:hAnsi="Arial"/>
                <w:sz w:val="18"/>
                <w:szCs w:val="18"/>
                <w:color w:val="auto"/>
              </w:rPr>
              <w:t>23.2</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w w:val="96"/>
              </w:rPr>
              <w:t>Consent of PricewaterhouseCoopers LLP, Independent</w:t>
            </w:r>
          </w:p>
        </w:tc>
        <w:tc>
          <w:tcPr>
            <w:tcW w:w="2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Registered Public Accounting Firm</w:t>
            </w:r>
          </w:p>
        </w:tc>
        <w:tc>
          <w:tcPr>
            <w:tcW w:w="260" w:type="dxa"/>
            <w:vAlign w:val="bottom"/>
          </w:tcPr>
          <w:p>
            <w:pPr>
              <w:spacing w:after="0"/>
              <w:rPr>
                <w:sz w:val="20"/>
                <w:szCs w:val="20"/>
                <w:color w:val="auto"/>
              </w:rPr>
            </w:pPr>
          </w:p>
        </w:tc>
        <w:tc>
          <w:tcPr>
            <w:tcW w:w="3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040" w:type="dxa"/>
            <w:vAlign w:val="bottom"/>
          </w:tcPr>
          <w:p>
            <w:pPr>
              <w:ind w:left="180"/>
              <w:spacing w:after="0"/>
              <w:rPr>
                <w:sz w:val="20"/>
                <w:szCs w:val="20"/>
                <w:color w:val="auto"/>
              </w:rPr>
            </w:pPr>
            <w:r>
              <w:rPr>
                <w:rFonts w:ascii="Arial" w:cs="Arial" w:eastAsia="Arial" w:hAnsi="Arial"/>
                <w:sz w:val="18"/>
                <w:szCs w:val="18"/>
                <w:color w:val="auto"/>
              </w:rPr>
              <w:t>23.3</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 xml:space="preserve">Consent of Ernst &amp; Young LLP, </w:t>
            </w:r>
            <w:r>
              <w:rPr>
                <w:rFonts w:ascii="Arial" w:cs="Arial" w:eastAsia="Arial" w:hAnsi="Arial"/>
                <w:sz w:val="17"/>
                <w:szCs w:val="17"/>
                <w:color w:val="auto"/>
              </w:rPr>
              <w:t>Independent Auditors</w:t>
            </w:r>
          </w:p>
        </w:tc>
        <w:tc>
          <w:tcPr>
            <w:tcW w:w="2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8"/>
        </w:trPr>
        <w:tc>
          <w:tcPr>
            <w:tcW w:w="1040" w:type="dxa"/>
            <w:vAlign w:val="bottom"/>
          </w:tcPr>
          <w:p>
            <w:pPr>
              <w:ind w:left="180"/>
              <w:spacing w:after="0"/>
              <w:rPr>
                <w:sz w:val="20"/>
                <w:szCs w:val="20"/>
                <w:color w:val="auto"/>
              </w:rPr>
            </w:pPr>
            <w:r>
              <w:rPr>
                <w:rFonts w:ascii="Arial" w:cs="Arial" w:eastAsia="Arial" w:hAnsi="Arial"/>
                <w:sz w:val="18"/>
                <w:szCs w:val="18"/>
                <w:color w:val="auto"/>
              </w:rPr>
              <w:t>24.1</w:t>
            </w: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Power of Attorney (included as part of the signature</w:t>
            </w:r>
          </w:p>
        </w:tc>
        <w:tc>
          <w:tcPr>
            <w:tcW w:w="2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4520" w:type="dxa"/>
            <w:vAlign w:val="bottom"/>
            <w:gridSpan w:val="2"/>
          </w:tcPr>
          <w:p>
            <w:pPr>
              <w:ind w:left="260"/>
              <w:spacing w:after="0"/>
              <w:rPr>
                <w:sz w:val="20"/>
                <w:szCs w:val="20"/>
                <w:color w:val="auto"/>
              </w:rPr>
            </w:pPr>
            <w:r>
              <w:rPr>
                <w:rFonts w:ascii="Arial" w:cs="Arial" w:eastAsia="Arial" w:hAnsi="Arial"/>
                <w:sz w:val="18"/>
                <w:szCs w:val="18"/>
                <w:color w:val="auto"/>
              </w:rPr>
              <w:t>page of this registration statement)</w:t>
            </w:r>
          </w:p>
        </w:tc>
        <w:tc>
          <w:tcPr>
            <w:tcW w:w="260" w:type="dxa"/>
            <w:vAlign w:val="bottom"/>
          </w:tcPr>
          <w:p>
            <w:pPr>
              <w:spacing w:after="0"/>
              <w:rPr>
                <w:sz w:val="20"/>
                <w:szCs w:val="20"/>
                <w:color w:val="auto"/>
              </w:rPr>
            </w:pPr>
          </w:p>
        </w:tc>
        <w:tc>
          <w:tcPr>
            <w:tcW w:w="3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7"/>
        </w:trPr>
        <w:tc>
          <w:tcPr>
            <w:tcW w:w="104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426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360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7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41" w:right="199" w:bottom="627" w:gutter="0" w:footer="0" w:header="0"/>
        </w:sectPr>
      </w:pPr>
    </w:p>
    <w:bookmarkStart w:id="21" w:name="page22"/>
    <w:bookmarkEnd w:id="21"/>
    <w:tbl>
      <w:tblPr>
        <w:tblLayout w:type="fixed"/>
        <w:tblInd w:w="0" w:type="dxa"/>
        <w:tblCellMar>
          <w:top w:w="0" w:type="dxa"/>
          <w:left w:w="0" w:type="dxa"/>
          <w:bottom w:w="0" w:type="dxa"/>
          <w:right w:w="0" w:type="dxa"/>
        </w:tblCellMar>
      </w:tblPr>
      <w:tr>
        <w:trPr>
          <w:trHeight w:val="234"/>
        </w:trPr>
        <w:tc>
          <w:tcPr>
            <w:tcW w:w="7860" w:type="dxa"/>
            <w:vAlign w:val="bottom"/>
          </w:tcPr>
          <w:p>
            <w:pPr>
              <w:spacing w:after="0"/>
              <w:rPr>
                <w:sz w:val="20"/>
                <w:szCs w:val="20"/>
                <w:color w:val="auto"/>
              </w:rPr>
            </w:pP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18"/>
        </w:trPr>
        <w:tc>
          <w:tcPr>
            <w:tcW w:w="7860" w:type="dxa"/>
            <w:vAlign w:val="bottom"/>
          </w:tcPr>
          <w:p>
            <w:pPr>
              <w:spacing w:after="0"/>
              <w:rPr>
                <w:sz w:val="24"/>
                <w:szCs w:val="24"/>
                <w:color w:val="auto"/>
              </w:rPr>
            </w:pP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30"/>
        </w:trPr>
        <w:tc>
          <w:tcPr>
            <w:tcW w:w="7860" w:type="dxa"/>
            <w:vAlign w:val="bottom"/>
          </w:tcPr>
          <w:p>
            <w:pPr>
              <w:spacing w:after="0"/>
              <w:rPr>
                <w:sz w:val="20"/>
                <w:szCs w:val="20"/>
                <w:color w:val="auto"/>
              </w:rPr>
            </w:pPr>
          </w:p>
        </w:tc>
        <w:tc>
          <w:tcPr>
            <w:tcW w:w="3560" w:type="dxa"/>
            <w:vAlign w:val="bottom"/>
          </w:tcPr>
          <w:p>
            <w:pPr>
              <w:jc w:val="right"/>
              <w:spacing w:after="0"/>
              <w:rPr>
                <w:sz w:val="20"/>
                <w:szCs w:val="20"/>
                <w:color w:val="auto"/>
              </w:rPr>
            </w:pPr>
            <w:r>
              <w:rPr>
                <w:rFonts w:ascii="Arial" w:cs="Arial" w:eastAsia="Arial" w:hAnsi="Arial"/>
                <w:sz w:val="18"/>
                <w:szCs w:val="18"/>
                <w:color w:val="auto"/>
              </w:rPr>
              <w:t>mjones@applebyglobal.com</w:t>
            </w:r>
          </w:p>
        </w:tc>
        <w:tc>
          <w:tcPr>
            <w:tcW w:w="0" w:type="dxa"/>
            <w:vAlign w:val="bottom"/>
          </w:tcPr>
          <w:p>
            <w:pPr>
              <w:spacing w:after="0"/>
              <w:rPr>
                <w:sz w:val="1"/>
                <w:szCs w:val="1"/>
                <w:color w:val="auto"/>
              </w:rPr>
            </w:pPr>
          </w:p>
        </w:tc>
      </w:tr>
      <w:tr>
        <w:trPr>
          <w:trHeight w:val="414"/>
        </w:trPr>
        <w:tc>
          <w:tcPr>
            <w:tcW w:w="786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Argyle House</w:t>
            </w: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3223</w:t>
            </w:r>
          </w:p>
        </w:tc>
        <w:tc>
          <w:tcPr>
            <w:tcW w:w="0" w:type="dxa"/>
            <w:vAlign w:val="bottom"/>
          </w:tcPr>
          <w:p>
            <w:pPr>
              <w:spacing w:after="0"/>
              <w:rPr>
                <w:sz w:val="1"/>
                <w:szCs w:val="1"/>
                <w:color w:val="auto"/>
              </w:rPr>
            </w:pPr>
          </w:p>
        </w:tc>
      </w:tr>
      <w:tr>
        <w:trPr>
          <w:trHeight w:val="220"/>
        </w:trPr>
        <w:tc>
          <w:tcPr>
            <w:tcW w:w="7860" w:type="dxa"/>
            <w:vAlign w:val="bottom"/>
          </w:tcPr>
          <w:p>
            <w:pPr>
              <w:spacing w:after="0"/>
              <w:rPr>
                <w:sz w:val="20"/>
                <w:szCs w:val="20"/>
                <w:color w:val="auto"/>
              </w:rPr>
            </w:pPr>
            <w:r>
              <w:rPr>
                <w:rFonts w:ascii="Arial" w:cs="Arial" w:eastAsia="Arial" w:hAnsi="Arial"/>
                <w:sz w:val="18"/>
                <w:szCs w:val="18"/>
                <w:color w:val="auto"/>
              </w:rPr>
              <w:t>41A Cedar Avenue</w:t>
            </w: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3479</w:t>
            </w:r>
          </w:p>
        </w:tc>
        <w:tc>
          <w:tcPr>
            <w:tcW w:w="0" w:type="dxa"/>
            <w:vAlign w:val="bottom"/>
          </w:tcPr>
          <w:p>
            <w:pPr>
              <w:spacing w:after="0"/>
              <w:rPr>
                <w:sz w:val="1"/>
                <w:szCs w:val="1"/>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Hamilton HM 12</w:t>
            </w:r>
          </w:p>
        </w:tc>
        <w:tc>
          <w:tcPr>
            <w:tcW w:w="356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30"/>
        </w:trPr>
        <w:tc>
          <w:tcPr>
            <w:tcW w:w="7860" w:type="dxa"/>
            <w:vAlign w:val="bottom"/>
          </w:tcPr>
          <w:p>
            <w:pPr>
              <w:spacing w:after="0"/>
              <w:rPr>
                <w:sz w:val="20"/>
                <w:szCs w:val="20"/>
                <w:color w:val="auto"/>
              </w:rPr>
            </w:pPr>
            <w:r>
              <w:rPr>
                <w:rFonts w:ascii="Arial" w:cs="Arial" w:eastAsia="Arial" w:hAnsi="Arial"/>
                <w:sz w:val="18"/>
                <w:szCs w:val="18"/>
                <w:color w:val="auto"/>
              </w:rPr>
              <w:t>Bermuda</w:t>
            </w:r>
          </w:p>
        </w:tc>
        <w:tc>
          <w:tcPr>
            <w:tcW w:w="356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7860" w:type="dxa"/>
            <w:vAlign w:val="bottom"/>
          </w:tcPr>
          <w:p>
            <w:pPr>
              <w:spacing w:after="0"/>
              <w:rPr>
                <w:sz w:val="24"/>
                <w:szCs w:val="24"/>
                <w:color w:val="auto"/>
              </w:rPr>
            </w:pPr>
          </w:p>
        </w:tc>
        <w:tc>
          <w:tcPr>
            <w:tcW w:w="356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30"/>
        </w:trPr>
        <w:tc>
          <w:tcPr>
            <w:tcW w:w="7860" w:type="dxa"/>
            <w:vAlign w:val="bottom"/>
          </w:tcPr>
          <w:p>
            <w:pPr>
              <w:spacing w:after="0"/>
              <w:rPr>
                <w:sz w:val="20"/>
                <w:szCs w:val="20"/>
                <w:color w:val="auto"/>
              </w:rPr>
            </w:pPr>
          </w:p>
        </w:tc>
        <w:tc>
          <w:tcPr>
            <w:tcW w:w="3560" w:type="dxa"/>
            <w:vAlign w:val="bottom"/>
          </w:tcPr>
          <w:p>
            <w:pPr>
              <w:jc w:val="right"/>
              <w:spacing w:after="0"/>
              <w:rPr>
                <w:sz w:val="20"/>
                <w:szCs w:val="20"/>
                <w:color w:val="auto"/>
              </w:rPr>
            </w:pPr>
            <w:r>
              <w:rPr>
                <w:rFonts w:ascii="Arial" w:cs="Arial" w:eastAsia="Arial" w:hAnsi="Arial"/>
                <w:sz w:val="18"/>
                <w:szCs w:val="18"/>
                <w:color w:val="auto"/>
              </w:rPr>
              <w:t>MJ/jr/124194.30</w:t>
            </w:r>
          </w:p>
        </w:tc>
        <w:tc>
          <w:tcPr>
            <w:tcW w:w="0" w:type="dxa"/>
            <w:vAlign w:val="bottom"/>
          </w:tcPr>
          <w:p>
            <w:pPr>
              <w:spacing w:after="0"/>
              <w:rPr>
                <w:sz w:val="1"/>
                <w:szCs w:val="1"/>
                <w:color w:val="auto"/>
              </w:rPr>
            </w:pPr>
          </w:p>
        </w:tc>
      </w:tr>
      <w:tr>
        <w:trPr>
          <w:trHeight w:val="432"/>
        </w:trPr>
        <w:tc>
          <w:tcPr>
            <w:tcW w:w="7860" w:type="dxa"/>
            <w:vAlign w:val="bottom"/>
          </w:tcPr>
          <w:p>
            <w:pPr>
              <w:spacing w:after="0"/>
              <w:rPr>
                <w:sz w:val="20"/>
                <w:szCs w:val="20"/>
                <w:color w:val="auto"/>
              </w:rPr>
            </w:pPr>
            <w:r>
              <w:rPr>
                <w:rFonts w:ascii="Arial" w:cs="Arial" w:eastAsia="Arial" w:hAnsi="Arial"/>
                <w:sz w:val="18"/>
                <w:szCs w:val="18"/>
                <w:color w:val="auto"/>
              </w:rPr>
              <w:t>Dear Sirs</w:t>
            </w:r>
          </w:p>
        </w:tc>
        <w:tc>
          <w:tcPr>
            <w:tcW w:w="3560" w:type="dxa"/>
            <w:vAlign w:val="bottom"/>
          </w:tcPr>
          <w:p>
            <w:pPr>
              <w:jc w:val="right"/>
              <w:spacing w:after="0"/>
              <w:rPr>
                <w:sz w:val="20"/>
                <w:szCs w:val="20"/>
                <w:color w:val="auto"/>
              </w:rPr>
            </w:pPr>
            <w:r>
              <w:rPr>
                <w:rFonts w:ascii="Arial" w:cs="Arial" w:eastAsia="Arial" w:hAnsi="Arial"/>
                <w:sz w:val="18"/>
                <w:szCs w:val="18"/>
                <w:color w:val="auto"/>
              </w:rPr>
              <w:t>20 June 2008</w:t>
            </w:r>
          </w:p>
        </w:tc>
        <w:tc>
          <w:tcPr>
            <w:tcW w:w="0" w:type="dxa"/>
            <w:vAlign w:val="bottom"/>
          </w:tcPr>
          <w:p>
            <w:pPr>
              <w:spacing w:after="0"/>
              <w:rPr>
                <w:sz w:val="1"/>
                <w:szCs w:val="1"/>
                <w:color w:val="auto"/>
              </w:rPr>
            </w:pPr>
          </w:p>
        </w:tc>
      </w:tr>
      <w:tr>
        <w:trPr>
          <w:trHeight w:val="432"/>
        </w:trPr>
        <w:tc>
          <w:tcPr>
            <w:tcW w:w="7860" w:type="dxa"/>
            <w:vAlign w:val="bottom"/>
          </w:tcPr>
          <w:p>
            <w:pPr>
              <w:spacing w:after="0"/>
              <w:rPr>
                <w:sz w:val="20"/>
                <w:szCs w:val="20"/>
                <w:color w:val="auto"/>
              </w:rPr>
            </w:pPr>
            <w:r>
              <w:rPr>
                <w:rFonts w:ascii="Arial" w:cs="Arial" w:eastAsia="Arial" w:hAnsi="Arial"/>
                <w:sz w:val="18"/>
                <w:szCs w:val="18"/>
                <w:b w:val="1"/>
                <w:bCs w:val="1"/>
                <w:color w:val="auto"/>
              </w:rPr>
              <w:t>U.S. Securities and Exchange Commission Registration Statement on Form S-8/S-3</w:t>
            </w:r>
          </w:p>
        </w:tc>
        <w:tc>
          <w:tcPr>
            <w:tcW w:w="35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We have acted as attorneys in Bermuda for Marvell Technology Group Ltd., a Bermuda company (the “Company”), in connection with its filing with the United States Securities and Exchange Commission of a Registration Statement on Form S-8/S-3 (the “Registration Statement”) with respect to up to 169,277 of the Company’s common shares, par value US$0.002 per share (the “Common Shares”), issued and to be issued pursuant to the terms of the Marvell Technology Group Ltd. Amended and Restated 1995 Stock Option Plan (as amended through May 7, 2003) (the “Plan”), including registration of such Common Shares for resale by the selling shareholders named in the Registration Statement (the “Selling Shareholders”), by means of a reoffer prospectus.</w:t>
      </w:r>
    </w:p>
    <w:p>
      <w:pPr>
        <w:spacing w:after="0" w:line="158"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jc w:val="both"/>
        <w:ind w:left="660" w:right="720" w:hanging="652"/>
        <w:spacing w:after="0" w:line="264" w:lineRule="auto"/>
        <w:tabs>
          <w:tab w:leader="none" w:pos="63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181" w:lineRule="exact"/>
        <w:rPr>
          <w:rFonts w:ascii="Arial" w:cs="Arial" w:eastAsia="Arial" w:hAnsi="Arial"/>
          <w:sz w:val="18"/>
          <w:szCs w:val="18"/>
          <w:color w:val="auto"/>
        </w:rPr>
      </w:pPr>
    </w:p>
    <w:p>
      <w:pPr>
        <w:ind w:left="640" w:hanging="632"/>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660" w:right="340" w:hanging="652"/>
        <w:spacing w:after="0" w:line="277" w:lineRule="auto"/>
        <w:tabs>
          <w:tab w:leader="none" w:pos="63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170" w:lineRule="exact"/>
        <w:rPr>
          <w:rFonts w:ascii="Arial" w:cs="Arial" w:eastAsia="Arial" w:hAnsi="Arial"/>
          <w:sz w:val="18"/>
          <w:szCs w:val="18"/>
          <w:color w:val="auto"/>
        </w:rPr>
      </w:pPr>
    </w:p>
    <w:p>
      <w:pPr>
        <w:ind w:left="660" w:right="540" w:hanging="652"/>
        <w:spacing w:after="0" w:line="277" w:lineRule="auto"/>
        <w:tabs>
          <w:tab w:leader="none" w:pos="64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170" w:lineRule="exact"/>
        <w:rPr>
          <w:rFonts w:ascii="Arial" w:cs="Arial" w:eastAsia="Arial" w:hAnsi="Arial"/>
          <w:sz w:val="18"/>
          <w:szCs w:val="18"/>
          <w:color w:val="auto"/>
        </w:rPr>
      </w:pPr>
    </w:p>
    <w:p>
      <w:pPr>
        <w:ind w:left="660" w:right="460" w:hanging="652"/>
        <w:spacing w:after="0" w:line="277" w:lineRule="auto"/>
        <w:tabs>
          <w:tab w:leader="none" w:pos="63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 and the Resolutions, other than as to the laws of Bermuda, are true, accurate and complete in all material respects;</w:t>
      </w:r>
    </w:p>
    <w:p>
      <w:pPr>
        <w:spacing w:after="0" w:line="170" w:lineRule="exact"/>
        <w:rPr>
          <w:rFonts w:ascii="Arial" w:cs="Arial" w:eastAsia="Arial" w:hAnsi="Arial"/>
          <w:sz w:val="18"/>
          <w:szCs w:val="18"/>
          <w:color w:val="auto"/>
        </w:rPr>
      </w:pPr>
    </w:p>
    <w:p>
      <w:pPr>
        <w:ind w:left="660" w:right="20" w:hanging="652"/>
        <w:spacing w:after="0" w:line="255" w:lineRule="auto"/>
        <w:tabs>
          <w:tab w:leader="none" w:pos="651"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189" w:lineRule="exact"/>
        <w:rPr>
          <w:rFonts w:ascii="Arial" w:cs="Arial" w:eastAsia="Arial" w:hAnsi="Arial"/>
          <w:sz w:val="18"/>
          <w:szCs w:val="18"/>
          <w:color w:val="auto"/>
        </w:rPr>
      </w:pPr>
    </w:p>
    <w:p>
      <w:pPr>
        <w:ind w:left="660" w:right="500" w:hanging="652"/>
        <w:spacing w:after="0" w:line="277" w:lineRule="auto"/>
        <w:tabs>
          <w:tab w:leader="none" w:pos="64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any awards granted under the Plan relevant to this opinion (each an “Award” and collectively, the “Awards”) constitute the legal, valid and binding obligations of the parties thereto, other than the Company;</w:t>
      </w:r>
    </w:p>
    <w:p>
      <w:pPr>
        <w:spacing w:after="0" w:line="170" w:lineRule="exact"/>
        <w:rPr>
          <w:rFonts w:ascii="Arial" w:cs="Arial" w:eastAsia="Arial" w:hAnsi="Arial"/>
          <w:sz w:val="18"/>
          <w:szCs w:val="18"/>
          <w:color w:val="auto"/>
        </w:rPr>
      </w:pPr>
    </w:p>
    <w:p>
      <w:pPr>
        <w:ind w:left="660" w:right="160" w:hanging="652"/>
        <w:spacing w:after="0" w:line="277" w:lineRule="auto"/>
        <w:tabs>
          <w:tab w:leader="none" w:pos="64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170" w:lineRule="exact"/>
        <w:rPr>
          <w:rFonts w:ascii="Arial" w:cs="Arial" w:eastAsia="Arial" w:hAnsi="Arial"/>
          <w:sz w:val="18"/>
          <w:szCs w:val="18"/>
          <w:color w:val="auto"/>
        </w:rPr>
      </w:pPr>
    </w:p>
    <w:p>
      <w:pPr>
        <w:ind w:left="660" w:hanging="652"/>
        <w:spacing w:after="0" w:line="308" w:lineRule="auto"/>
        <w:tabs>
          <w:tab w:leader="none" w:pos="641"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that the Company has entered into its obligations under the Plan in good faith for the purpose of carrying on its business and that, at the time it did so, there were reasonable grounds for believing that the transactions contemplated in the Plan would benefit the Company;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86" w:lineRule="exact"/>
        <w:rPr>
          <w:rFonts w:ascii="Arial" w:cs="Arial" w:eastAsia="Arial" w:hAnsi="Arial"/>
          <w:sz w:val="17"/>
          <w:szCs w:val="17"/>
          <w:color w:val="auto"/>
        </w:rPr>
      </w:pPr>
    </w:p>
    <w:p>
      <w:pPr>
        <w:ind w:left="660" w:right="160" w:hanging="652"/>
        <w:spacing w:after="0" w:line="312" w:lineRule="auto"/>
        <w:tabs>
          <w:tab w:leader="none" w:pos="641"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that at the time of issue by the Executive Compensation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w:t>
      </w:r>
    </w:p>
    <w:p>
      <w:pPr>
        <w:spacing w:after="0" w:line="146" w:lineRule="exact"/>
        <w:rPr>
          <w:rFonts w:ascii="Arial" w:cs="Arial" w:eastAsia="Arial" w:hAnsi="Arial"/>
          <w:sz w:val="16"/>
          <w:szCs w:val="16"/>
          <w:color w:val="auto"/>
        </w:rPr>
      </w:pPr>
    </w:p>
    <w:p>
      <w:pPr>
        <w:ind w:left="660" w:right="40" w:hanging="652"/>
        <w:spacing w:after="0" w:line="259" w:lineRule="auto"/>
        <w:tabs>
          <w:tab w:leader="none" w:pos="642"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that the approval of the issue of any Award and of any Common Shares issued pursuant to any such Award was, or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-5327650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-1408430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bookmarkStart w:id="22" w:name="page23"/>
    <w:bookmarkEnd w:id="22"/>
    <w:p>
      <w:pPr>
        <w:ind w:left="660" w:right="440" w:hanging="652"/>
        <w:spacing w:after="0" w:line="264" w:lineRule="auto"/>
        <w:tabs>
          <w:tab w:leader="none" w:pos="641"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 was or is authorised, the issue price was, or will not be, less than the par value of the Common Shares and that the Company had, or will have sufficient authorised share capital to effect such issue and will continue to hold the necessary permission from the Bermuda Monetary Authority for such share issue;</w:t>
      </w:r>
    </w:p>
    <w:p>
      <w:pPr>
        <w:spacing w:after="0" w:line="181" w:lineRule="exact"/>
        <w:rPr>
          <w:rFonts w:ascii="Arial" w:cs="Arial" w:eastAsia="Arial" w:hAnsi="Arial"/>
          <w:sz w:val="18"/>
          <w:szCs w:val="18"/>
          <w:color w:val="auto"/>
        </w:rPr>
      </w:pPr>
    </w:p>
    <w:p>
      <w:pPr>
        <w:ind w:left="660" w:hanging="652"/>
        <w:spacing w:after="0" w:line="259" w:lineRule="auto"/>
        <w:tabs>
          <w:tab w:leader="none" w:pos="654"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that in any case where Common Shares have been, or are, issued by the Company pursuant to the Plan on the terms of an Award that does not require the allottee to pay to the Company a cash subscription price for such Common Shares, the Company has received, or will receive, prior to the allotment of shares either a transfer to it of assets or the provision of services by the allottee with a fair value at least equivalent to the aggregate par value of the Common Shares issued to him pursuant to that Award;</w:t>
      </w:r>
    </w:p>
    <w:p>
      <w:pPr>
        <w:spacing w:after="0" w:line="186" w:lineRule="exact"/>
        <w:rPr>
          <w:rFonts w:ascii="Arial" w:cs="Arial" w:eastAsia="Arial" w:hAnsi="Arial"/>
          <w:sz w:val="18"/>
          <w:szCs w:val="18"/>
          <w:color w:val="auto"/>
        </w:rPr>
      </w:pPr>
    </w:p>
    <w:p>
      <w:pPr>
        <w:ind w:left="660" w:right="100" w:hanging="652"/>
        <w:spacing w:after="0" w:line="277" w:lineRule="auto"/>
        <w:tabs>
          <w:tab w:leader="none" w:pos="642"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that in the resale of the Common Shares, the Selling Shareholders will not carry on, in or from Bermuda, investment business as that term is defined in the Investment Business Act 2003;</w:t>
      </w:r>
    </w:p>
    <w:p>
      <w:pPr>
        <w:spacing w:after="0" w:line="170" w:lineRule="exact"/>
        <w:rPr>
          <w:rFonts w:ascii="Arial" w:cs="Arial" w:eastAsia="Arial" w:hAnsi="Arial"/>
          <w:sz w:val="18"/>
          <w:szCs w:val="18"/>
          <w:color w:val="auto"/>
        </w:rPr>
      </w:pPr>
    </w:p>
    <w:p>
      <w:pPr>
        <w:ind w:left="660" w:right="160" w:hanging="652"/>
        <w:spacing w:after="0" w:line="277" w:lineRule="auto"/>
        <w:tabs>
          <w:tab w:leader="none" w:pos="642"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that when filed with the United States Securities and Exchange Commission, the Registration Statement will not differ in any material respect from the draft referred to in paragraph 1 of the Schedule;</w:t>
      </w:r>
    </w:p>
    <w:p>
      <w:pPr>
        <w:spacing w:after="0" w:line="170" w:lineRule="exact"/>
        <w:rPr>
          <w:rFonts w:ascii="Arial" w:cs="Arial" w:eastAsia="Arial" w:hAnsi="Arial"/>
          <w:sz w:val="18"/>
          <w:szCs w:val="18"/>
          <w:color w:val="auto"/>
        </w:rPr>
      </w:pPr>
    </w:p>
    <w:p>
      <w:pPr>
        <w:ind w:left="660" w:right="140" w:hanging="652"/>
        <w:spacing w:after="0" w:line="277" w:lineRule="auto"/>
        <w:tabs>
          <w:tab w:leader="none" w:pos="642"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that the records which were the subject of the Company Search were complete and accurate at the time of such search and disclosed all information which is material for</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24"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the purposes of this opinion and such information has not since the date of the Company Search been materially altered; and</w:t>
      </w:r>
    </w:p>
    <w:p>
      <w:pPr>
        <w:spacing w:after="0" w:line="225" w:lineRule="exact"/>
        <w:rPr>
          <w:rFonts w:ascii="Arial" w:cs="Arial" w:eastAsia="Arial" w:hAnsi="Arial"/>
          <w:sz w:val="18"/>
          <w:szCs w:val="18"/>
          <w:color w:val="auto"/>
        </w:rPr>
      </w:pPr>
    </w:p>
    <w:p>
      <w:pPr>
        <w:ind w:left="660" w:right="140" w:hanging="652"/>
        <w:spacing w:after="0" w:line="342" w:lineRule="auto"/>
        <w:tabs>
          <w:tab w:leader="none" w:pos="642"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-908685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0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248" w:lineRule="exact"/>
        <w:rPr>
          <w:sz w:val="20"/>
          <w:szCs w:val="20"/>
          <w:color w:val="auto"/>
        </w:rPr>
      </w:pPr>
    </w:p>
    <w:p>
      <w:pPr>
        <w:ind w:left="660" w:right="260" w:hanging="652"/>
        <w:spacing w:after="0" w:line="277" w:lineRule="auto"/>
        <w:tabs>
          <w:tab w:leader="none" w:pos="642"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170" w:lineRule="exact"/>
        <w:rPr>
          <w:rFonts w:ascii="Arial" w:cs="Arial" w:eastAsia="Arial" w:hAnsi="Arial"/>
          <w:sz w:val="18"/>
          <w:szCs w:val="18"/>
          <w:color w:val="auto"/>
        </w:rPr>
      </w:pPr>
    </w:p>
    <w:p>
      <w:pPr>
        <w:ind w:left="660" w:right="140" w:hanging="652"/>
        <w:spacing w:after="0" w:line="312" w:lineRule="auto"/>
        <w:tabs>
          <w:tab w:leader="none" w:pos="642" w:val="left"/>
        </w:tabs>
        <w:numPr>
          <w:ilvl w:val="0"/>
          <w:numId w:val="26"/>
        </w:numPr>
        <w:rPr>
          <w:rFonts w:ascii="Arial" w:cs="Arial" w:eastAsia="Arial" w:hAnsi="Arial"/>
          <w:sz w:val="16"/>
          <w:szCs w:val="16"/>
          <w:color w:val="auto"/>
        </w:rPr>
      </w:pPr>
      <w:r>
        <w:rPr>
          <w:rFonts w:ascii="Arial" w:cs="Arial" w:eastAsia="Arial" w:hAnsi="Arial"/>
          <w:sz w:val="16"/>
          <w:szCs w:val="16"/>
          <w:color w:val="auto"/>
        </w:rPr>
        <w:t>When issued pursuant to the applicable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146" w:lineRule="exact"/>
        <w:rPr>
          <w:rFonts w:ascii="Arial" w:cs="Arial" w:eastAsia="Arial" w:hAnsi="Arial"/>
          <w:sz w:val="16"/>
          <w:szCs w:val="16"/>
          <w:color w:val="auto"/>
        </w:rPr>
      </w:pPr>
    </w:p>
    <w:p>
      <w:pPr>
        <w:ind w:left="660" w:right="160" w:hanging="652"/>
        <w:spacing w:after="0" w:line="257" w:lineRule="auto"/>
        <w:tabs>
          <w:tab w:leader="none" w:pos="642" w:val="left"/>
        </w:tabs>
        <w:numPr>
          <w:ilvl w:val="0"/>
          <w:numId w:val="26"/>
        </w:numPr>
        <w:rPr>
          <w:rFonts w:ascii="Arial" w:cs="Arial" w:eastAsia="Arial" w:hAnsi="Arial"/>
          <w:sz w:val="18"/>
          <w:szCs w:val="18"/>
          <w:color w:val="auto"/>
        </w:rPr>
      </w:pPr>
      <w:r>
        <w:rPr>
          <w:rFonts w:ascii="Arial" w:cs="Arial" w:eastAsia="Arial" w:hAnsi="Arial"/>
          <w:sz w:val="18"/>
          <w:szCs w:val="18"/>
          <w:color w:val="auto"/>
        </w:rPr>
        <w:t>Common Shares which have been issued or are to be issued to the Selling Shareholders, upon the vesting of any Award granted under the Plan, and respectively have been or will be paid for pursuant to and in accordance with the terms and conditions referred to or summarized in the applicable Resolutions and the Plan, may be offered by the Selling Shareholders pursuant to the terms, under the caption “Plan of Distribution”, of the Registration Statement and will be (or to the extent heretofore issued, are) validly issued, fully paid and non-assessable shares in the capital of the Company.</w:t>
      </w:r>
    </w:p>
    <w:p>
      <w:pPr>
        <w:spacing w:after="0" w:line="188" w:lineRule="exact"/>
        <w:rPr>
          <w:rFonts w:ascii="Arial" w:cs="Arial" w:eastAsia="Arial" w:hAnsi="Arial"/>
          <w:sz w:val="18"/>
          <w:szCs w:val="18"/>
          <w:color w:val="auto"/>
        </w:rPr>
      </w:pPr>
    </w:p>
    <w:p>
      <w:pPr>
        <w:ind w:left="660" w:right="60" w:hanging="652"/>
        <w:spacing w:after="0" w:line="277" w:lineRule="auto"/>
        <w:tabs>
          <w:tab w:leader="none" w:pos="642"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158115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240" w:hanging="652"/>
        <w:spacing w:after="0" w:line="264" w:lineRule="auto"/>
        <w:tabs>
          <w:tab w:leader="none" w:pos="632" w:val="left"/>
        </w:tabs>
        <w:numPr>
          <w:ilvl w:val="0"/>
          <w:numId w:val="27"/>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rFonts w:ascii="Arial" w:cs="Arial" w:eastAsia="Arial" w:hAnsi="Arial"/>
          <w:sz w:val="18"/>
          <w:szCs w:val="18"/>
          <w:color w:val="auto"/>
        </w:rPr>
      </w:pPr>
    </w:p>
    <w:p>
      <w:pPr>
        <w:ind w:left="660" w:right="160" w:hanging="652"/>
        <w:spacing w:after="0" w:line="257" w:lineRule="auto"/>
        <w:tabs>
          <w:tab w:leader="none" w:pos="642"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460" w:hanging="652"/>
        <w:spacing w:after="0" w:line="277" w:lineRule="auto"/>
        <w:tabs>
          <w:tab w:leader="none" w:pos="632" w:val="left"/>
        </w:tabs>
        <w:numPr>
          <w:ilvl w:val="0"/>
          <w:numId w:val="27"/>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70" w:lineRule="exact"/>
        <w:rPr>
          <w:rFonts w:ascii="Arial" w:cs="Arial" w:eastAsia="Arial" w:hAnsi="Arial"/>
          <w:sz w:val="18"/>
          <w:szCs w:val="18"/>
          <w:color w:val="auto"/>
        </w:rPr>
      </w:pPr>
    </w:p>
    <w:p>
      <w:pPr>
        <w:ind w:left="1300" w:right="420" w:hanging="644"/>
        <w:spacing w:after="0" w:line="312" w:lineRule="auto"/>
        <w:tabs>
          <w:tab w:leader="none" w:pos="1281" w:val="left"/>
        </w:tabs>
        <w:numPr>
          <w:ilvl w:val="1"/>
          <w:numId w:val="27"/>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46" w:lineRule="exact"/>
        <w:rPr>
          <w:rFonts w:ascii="Arial" w:cs="Arial" w:eastAsia="Arial" w:hAnsi="Arial"/>
          <w:sz w:val="16"/>
          <w:szCs w:val="16"/>
          <w:color w:val="auto"/>
        </w:rPr>
      </w:pPr>
    </w:p>
    <w:p>
      <w:pPr>
        <w:ind w:left="1300" w:right="740" w:hanging="644"/>
        <w:spacing w:after="0" w:line="277" w:lineRule="auto"/>
        <w:tabs>
          <w:tab w:leader="none" w:pos="1292"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registration but have not been lodged for registration at the date the search is concluded.</w:t>
      </w:r>
    </w:p>
    <w:p>
      <w:pPr>
        <w:spacing w:after="0" w:line="170" w:lineRule="exact"/>
        <w:rPr>
          <w:rFonts w:ascii="Arial" w:cs="Arial" w:eastAsia="Arial" w:hAnsi="Arial"/>
          <w:sz w:val="18"/>
          <w:szCs w:val="18"/>
          <w:color w:val="auto"/>
        </w:rPr>
      </w:pPr>
    </w:p>
    <w:p>
      <w:pPr>
        <w:ind w:left="660" w:right="520" w:hanging="652"/>
        <w:spacing w:after="0" w:line="277" w:lineRule="auto"/>
        <w:tabs>
          <w:tab w:leader="none" w:pos="642" w:val="left"/>
        </w:tabs>
        <w:numPr>
          <w:ilvl w:val="0"/>
          <w:numId w:val="27"/>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4 and 5 of the Schedule and have not enquired as to whether there has been any change since the date of the Searches.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167005</wp:posOffset>
            </wp:positionV>
            <wp:extent cx="7267575" cy="2921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210"/>
                    </a:xfrm>
                    <a:prstGeom prst="rect">
                      <a:avLst/>
                    </a:prstGeom>
                    <a:noFill/>
                  </pic:spPr>
                </pic:pic>
              </a:graphicData>
            </a:graphic>
          </wp:anchor>
        </w:drawing>
      </w:r>
    </w:p>
    <w:p>
      <w:pPr>
        <w:sectPr>
          <w:pgSz w:w="11900" w:h="16838" w:orient="portrait"/>
          <w:cols w:equalWidth="0" w:num="1">
            <w:col w:w="11400"/>
          </w:cols>
          <w:pgMar w:left="240" w:top="341" w:right="259" w:bottom="0" w:gutter="0" w:footer="0" w:header="0"/>
        </w:sectPr>
      </w:pPr>
    </w:p>
    <w:bookmarkStart w:id="23" w:name="page24"/>
    <w:bookmarkEnd w:id="23"/>
    <w:p>
      <w:pPr>
        <w:ind w:left="660" w:right="160" w:hanging="652"/>
        <w:spacing w:after="0" w:line="277" w:lineRule="auto"/>
        <w:tabs>
          <w:tab w:leader="none" w:pos="671"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opinion paragraph (1) above the term “good standing” means that the Company has received a Certificate of Compliance issued by the Registrar of Companies.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229"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Appleby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362775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62775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192405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SCHEDULE</w:t>
      </w:r>
    </w:p>
    <w:p>
      <w:pPr>
        <w:spacing w:after="0" w:line="229" w:lineRule="exact"/>
        <w:rPr>
          <w:sz w:val="20"/>
          <w:szCs w:val="20"/>
          <w:color w:val="auto"/>
        </w:rPr>
      </w:pPr>
    </w:p>
    <w:p>
      <w:pPr>
        <w:ind w:left="500" w:right="280" w:hanging="492"/>
        <w:spacing w:after="0" w:line="277" w:lineRule="auto"/>
        <w:tabs>
          <w:tab w:leader="none" w:pos="493"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 electronic copy of the draft Form S-8/S-3 Registration Statement received on 10 June 2008 (excluding the exhibits and excluding the documents incorporated by reference) in an email from Michael Post of Marvell Semiconductor, Inc.</w:t>
      </w:r>
    </w:p>
    <w:p>
      <w:pPr>
        <w:spacing w:after="0" w:line="170" w:lineRule="exact"/>
        <w:rPr>
          <w:rFonts w:ascii="Arial" w:cs="Arial" w:eastAsia="Arial" w:hAnsi="Arial"/>
          <w:sz w:val="18"/>
          <w:szCs w:val="18"/>
          <w:color w:val="auto"/>
        </w:rPr>
      </w:pPr>
    </w:p>
    <w:p>
      <w:pPr>
        <w:ind w:left="480" w:hanging="472"/>
        <w:spacing w:after="0"/>
        <w:tabs>
          <w:tab w:leader="none" w:pos="480" w:val="left"/>
        </w:tabs>
        <w:numPr>
          <w:ilvl w:val="0"/>
          <w:numId w:val="29"/>
        </w:numPr>
        <w:rPr>
          <w:rFonts w:ascii="Arial" w:cs="Arial" w:eastAsia="Arial" w:hAnsi="Arial"/>
          <w:sz w:val="17"/>
          <w:szCs w:val="17"/>
          <w:color w:val="auto"/>
        </w:rPr>
      </w:pPr>
      <w:r>
        <w:rPr>
          <w:rFonts w:ascii="Arial" w:cs="Arial" w:eastAsia="Arial" w:hAnsi="Arial"/>
          <w:sz w:val="17"/>
          <w:szCs w:val="17"/>
          <w:color w:val="auto"/>
        </w:rPr>
        <w:t>An electronic copy of the Marvell Technology Group Ltd. Amended and Restated 1995 Stock Option Plan (as amended through May 7, 2003).</w:t>
      </w:r>
    </w:p>
    <w:p>
      <w:pPr>
        <w:spacing w:after="0" w:line="236" w:lineRule="exact"/>
        <w:rPr>
          <w:rFonts w:ascii="Arial" w:cs="Arial" w:eastAsia="Arial" w:hAnsi="Arial"/>
          <w:sz w:val="17"/>
          <w:szCs w:val="17"/>
          <w:color w:val="auto"/>
        </w:rPr>
      </w:pPr>
    </w:p>
    <w:p>
      <w:pPr>
        <w:ind w:left="500" w:hanging="492"/>
        <w:spacing w:after="0" w:line="285" w:lineRule="auto"/>
        <w:tabs>
          <w:tab w:leader="none" w:pos="493" w:val="left"/>
        </w:tabs>
        <w:numPr>
          <w:ilvl w:val="0"/>
          <w:numId w:val="29"/>
        </w:numPr>
        <w:rPr>
          <w:rFonts w:ascii="Arial" w:cs="Arial" w:eastAsia="Arial" w:hAnsi="Arial"/>
          <w:sz w:val="16"/>
          <w:szCs w:val="16"/>
          <w:color w:val="auto"/>
        </w:rPr>
      </w:pPr>
      <w:r>
        <w:rPr>
          <w:rFonts w:ascii="Arial" w:cs="Arial" w:eastAsia="Arial" w:hAnsi="Arial"/>
          <w:sz w:val="16"/>
          <w:szCs w:val="16"/>
          <w:color w:val="auto"/>
        </w:rPr>
        <w:t>Copies of the Written Resolution of the Board of Directors of the Company effective on 18 April 1995, the Minutes of the Meeting of the Board of Directors of the Company held on 28 January 1997,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Written Resolutions of the Board of Directors of the Company effective on 1</w:t>
      </w:r>
    </w:p>
    <w:p>
      <w:pPr>
        <w:spacing w:after="0" w:line="2" w:lineRule="exact"/>
        <w:rPr>
          <w:rFonts w:ascii="Arial" w:cs="Arial" w:eastAsia="Arial" w:hAnsi="Arial"/>
          <w:sz w:val="16"/>
          <w:szCs w:val="16"/>
          <w:color w:val="auto"/>
        </w:rPr>
      </w:pPr>
    </w:p>
    <w:p>
      <w:pPr>
        <w:ind w:left="500" w:right="200"/>
        <w:spacing w:after="0" w:line="253" w:lineRule="auto"/>
        <w:rPr>
          <w:rFonts w:ascii="Arial" w:cs="Arial" w:eastAsia="Arial" w:hAnsi="Arial"/>
          <w:sz w:val="16"/>
          <w:szCs w:val="16"/>
          <w:color w:val="auto"/>
        </w:rPr>
      </w:pPr>
      <w:r>
        <w:rPr>
          <w:rFonts w:ascii="Arial" w:cs="Arial" w:eastAsia="Arial" w:hAnsi="Arial"/>
          <w:sz w:val="18"/>
          <w:szCs w:val="18"/>
          <w:color w:val="auto"/>
        </w:rPr>
        <w:t>June 2007 and the Minutes of the Meeting of the Board of Directors of the Company held on 21 March 2008 (the “Board Resolutions”), the Written Resolution of the Members of the Company effective 11 April 1995, the Minutes of the Meeting of the Members of the Company held on 5 August 1997,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the “Resolutions”).</w:t>
      </w:r>
    </w:p>
    <w:p>
      <w:pPr>
        <w:spacing w:after="0" w:line="191" w:lineRule="exact"/>
        <w:rPr>
          <w:rFonts w:ascii="Arial" w:cs="Arial" w:eastAsia="Arial" w:hAnsi="Arial"/>
          <w:sz w:val="16"/>
          <w:szCs w:val="16"/>
          <w:color w:val="auto"/>
        </w:rPr>
      </w:pPr>
    </w:p>
    <w:p>
      <w:pPr>
        <w:ind w:left="500" w:right="520" w:hanging="492"/>
        <w:spacing w:after="0" w:line="308" w:lineRule="auto"/>
        <w:tabs>
          <w:tab w:leader="none" w:pos="493" w:val="left"/>
        </w:tabs>
        <w:numPr>
          <w:ilvl w:val="0"/>
          <w:numId w:val="29"/>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done on 20 June 2008 (the “Company Search”).</w:t>
      </w:r>
    </w:p>
    <w:p>
      <w:pPr>
        <w:spacing w:after="0" w:line="146" w:lineRule="exact"/>
        <w:rPr>
          <w:rFonts w:ascii="Arial" w:cs="Arial" w:eastAsia="Arial" w:hAnsi="Arial"/>
          <w:sz w:val="17"/>
          <w:szCs w:val="17"/>
          <w:color w:val="auto"/>
        </w:rPr>
      </w:pPr>
    </w:p>
    <w:p>
      <w:pPr>
        <w:ind w:left="500" w:right="560" w:hanging="492"/>
        <w:spacing w:after="0" w:line="277" w:lineRule="auto"/>
        <w:tabs>
          <w:tab w:leader="none" w:pos="493"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20 June 2008 (the “Litigation Search”).</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10"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rFonts w:ascii="Arial" w:cs="Arial" w:eastAsia="Arial" w:hAnsi="Arial"/>
          <w:sz w:val="18"/>
          <w:szCs w:val="18"/>
          <w:color w:val="auto"/>
        </w:rPr>
      </w:pPr>
    </w:p>
    <w:p>
      <w:pPr>
        <w:ind w:left="500" w:right="120" w:hanging="492"/>
        <w:spacing w:after="0" w:line="286" w:lineRule="auto"/>
        <w:tabs>
          <w:tab w:leader="none" w:pos="493" w:val="left"/>
        </w:tabs>
        <w:numPr>
          <w:ilvl w:val="0"/>
          <w:numId w:val="29"/>
        </w:numPr>
        <w:rPr>
          <w:rFonts w:ascii="Arial" w:cs="Arial" w:eastAsia="Arial" w:hAnsi="Arial"/>
          <w:sz w:val="17"/>
          <w:szCs w:val="17"/>
          <w:color w:val="auto"/>
        </w:rPr>
      </w:pPr>
      <w:r>
        <w:rPr>
          <w:rFonts w:ascii="Arial" w:cs="Arial" w:eastAsia="Arial" w:hAnsi="Arial"/>
          <w:sz w:val="17"/>
          <w:szCs w:val="17"/>
          <w:color w:val="auto"/>
        </w:rPr>
        <w:t>An electronic copy of an Officer’s Certificate dated 20 June 2008 signed by Eric Janofsky, Acting Secretary of Marvell Technology Group Ltd. attaching true and correct copies of the Certificate of Incorporation, Memorandum of Association and the Second Amended and Restated Bye-laws of the Company incorporating all amendments to 21 June 2001 (collectively referred to as the “Constitutional Documents”).</w:t>
      </w:r>
    </w:p>
    <w:p>
      <w:pPr>
        <w:spacing w:after="0" w:line="165" w:lineRule="exact"/>
        <w:rPr>
          <w:rFonts w:ascii="Arial" w:cs="Arial" w:eastAsia="Arial" w:hAnsi="Arial"/>
          <w:sz w:val="17"/>
          <w:szCs w:val="17"/>
          <w:color w:val="auto"/>
        </w:rPr>
      </w:pPr>
    </w:p>
    <w:p>
      <w:pPr>
        <w:ind w:left="500" w:right="820" w:hanging="492"/>
        <w:spacing w:after="0" w:line="277" w:lineRule="auto"/>
        <w:tabs>
          <w:tab w:leader="none" w:pos="493"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170" w:lineRule="exact"/>
        <w:rPr>
          <w:rFonts w:ascii="Arial" w:cs="Arial" w:eastAsia="Arial" w:hAnsi="Arial"/>
          <w:sz w:val="18"/>
          <w:szCs w:val="18"/>
          <w:color w:val="auto"/>
        </w:rPr>
      </w:pPr>
    </w:p>
    <w:p>
      <w:pPr>
        <w:ind w:left="500" w:right="320" w:hanging="492"/>
        <w:spacing w:after="0" w:line="259" w:lineRule="auto"/>
        <w:tabs>
          <w:tab w:leader="none" w:pos="493"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186" w:lineRule="exact"/>
        <w:rPr>
          <w:rFonts w:ascii="Arial" w:cs="Arial" w:eastAsia="Arial" w:hAnsi="Arial"/>
          <w:sz w:val="18"/>
          <w:szCs w:val="18"/>
          <w:color w:val="auto"/>
        </w:rPr>
      </w:pPr>
    </w:p>
    <w:p>
      <w:pPr>
        <w:ind w:left="480" w:hanging="472"/>
        <w:spacing w:after="0"/>
        <w:tabs>
          <w:tab w:leader="none" w:pos="4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20 June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-2345055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201295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490" w:right="239" w:bottom="1440" w:gutter="0" w:footer="0" w:header="0"/>
        </w:sectPr>
      </w:pPr>
    </w:p>
    <w:bookmarkStart w:id="24" w:name="page25"/>
    <w:bookmarkEnd w:id="24"/>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180" w:firstLine="648"/>
        <w:spacing w:after="0" w:line="312" w:lineRule="auto"/>
        <w:rPr>
          <w:sz w:val="20"/>
          <w:szCs w:val="20"/>
          <w:color w:val="auto"/>
        </w:rPr>
      </w:pPr>
      <w:r>
        <w:rPr>
          <w:rFonts w:ascii="Arial" w:cs="Arial" w:eastAsia="Arial" w:hAnsi="Arial"/>
          <w:sz w:val="16"/>
          <w:szCs w:val="16"/>
          <w:color w:val="auto"/>
        </w:rPr>
        <w:t>We hereby consent to the incorporation by reference in this Registration Statement on Form S-8/S-3 of our report dated March 26, 2008 relating to the financial statements and the effectiveness of internal control over financial reporting, which appears in Marvell Technology Group Ltd.’s Annual Report on Form 10-K for the year ended February 2, 2008. We also consent to the reference to us under the heading “Experts” in such Registration Statement.</w:t>
      </w:r>
    </w:p>
    <w:p>
      <w:pPr>
        <w:spacing w:after="0" w:line="36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20,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183515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25" w:name="page26"/>
    <w:bookmarkEnd w:id="25"/>
    <w:p>
      <w:pPr>
        <w:jc w:val="right"/>
        <w:spacing w:after="0"/>
        <w:rPr>
          <w:sz w:val="20"/>
          <w:szCs w:val="20"/>
          <w:color w:val="auto"/>
        </w:rPr>
      </w:pPr>
      <w:r>
        <w:rPr>
          <w:rFonts w:ascii="Arial" w:cs="Arial" w:eastAsia="Arial" w:hAnsi="Arial"/>
          <w:sz w:val="18"/>
          <w:szCs w:val="18"/>
          <w:b w:val="1"/>
          <w:bCs w:val="1"/>
          <w:color w:val="auto"/>
        </w:rPr>
        <w:t>Exhibit 23.3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Auditors</w:t>
      </w:r>
    </w:p>
    <w:p>
      <w:pPr>
        <w:spacing w:after="0" w:line="229" w:lineRule="exact"/>
        <w:rPr>
          <w:sz w:val="20"/>
          <w:szCs w:val="20"/>
          <w:color w:val="auto"/>
        </w:rPr>
      </w:pPr>
    </w:p>
    <w:p>
      <w:pPr>
        <w:ind w:right="120"/>
        <w:spacing w:after="0" w:line="297" w:lineRule="auto"/>
        <w:rPr>
          <w:sz w:val="20"/>
          <w:szCs w:val="20"/>
          <w:color w:val="auto"/>
        </w:rPr>
      </w:pPr>
      <w:r>
        <w:rPr>
          <w:rFonts w:ascii="Arial" w:cs="Arial" w:eastAsia="Arial" w:hAnsi="Arial"/>
          <w:sz w:val="16"/>
          <w:szCs w:val="16"/>
          <w:color w:val="auto"/>
        </w:rPr>
        <w:t>We consent to the reference to our firm under the caption “Experts” in the Registration Statement (Form S-8/S-3) and related Prospectus of Marvell Technology Group Ltd. for the registration of 169,277 common shares issued or to be issued pursuant to stock units granted under the Marvell Technology Group Ltd. Amended and Restated 1995 Stock Option Plan and to the incorporation by reference therein of our report dated November 2, 2006, with respect to the Statements of Assets to Be Acquired and Liabilities to Be Assumed and Statements of Net Revenues and Direct Expenses of the Hand Held Products Group included in Marvell Technology Group Ltd.’s Current Report on Form 8-K/A dated July 2, 2007, filed with the Securities and Exchange Commission.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 Ernst &amp; Young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June 20,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193040</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BEFD79F"/>
    <w:multiLevelType w:val="hybridMultilevel"/>
    <w:lvl w:ilvl="0">
      <w:lvlJc w:val="left"/>
      <w:lvlText w:val="(%1)"/>
      <w:numFmt w:val="decimal"/>
      <w:start w:val="1"/>
    </w:lvl>
  </w:abstractNum>
  <w:abstractNum w:abstractNumId="1">
    <w:nsid w:val="41A7C4C9"/>
    <w:multiLevelType w:val="hybridMultilevel"/>
    <w:lvl w:ilvl="0">
      <w:lvlJc w:val="left"/>
      <w:lvlText w:val="·"/>
      <w:numFmt w:val="bullet"/>
      <w:start w:val="1"/>
    </w:lvl>
  </w:abstractNum>
  <w:abstractNum w:abstractNumId="2">
    <w:nsid w:val="6B68079A"/>
    <w:multiLevelType w:val="hybridMultilevel"/>
    <w:lvl w:ilvl="0">
      <w:lvlJc w:val="left"/>
      <w:lvlText w:val="·"/>
      <w:numFmt w:val="bullet"/>
      <w:start w:val="1"/>
    </w:lvl>
  </w:abstractNum>
  <w:abstractNum w:abstractNumId="3">
    <w:nsid w:val="4E6AFB66"/>
    <w:multiLevelType w:val="hybridMultilevel"/>
    <w:lvl w:ilvl="0">
      <w:lvlJc w:val="left"/>
      <w:lvlText w:val="·"/>
      <w:numFmt w:val="bullet"/>
      <w:start w:val="1"/>
    </w:lvl>
  </w:abstractNum>
  <w:abstractNum w:abstractNumId="4">
    <w:nsid w:val="25E45D32"/>
    <w:multiLevelType w:val="hybridMultilevel"/>
    <w:lvl w:ilvl="0">
      <w:lvlJc w:val="left"/>
      <w:lvlText w:val="·"/>
      <w:numFmt w:val="bullet"/>
      <w:start w:val="1"/>
    </w:lvl>
  </w:abstractNum>
  <w:abstractNum w:abstractNumId="5">
    <w:nsid w:val="519B500D"/>
    <w:multiLevelType w:val="hybridMultilevel"/>
    <w:lvl w:ilvl="0">
      <w:lvlJc w:val="left"/>
      <w:lvlText w:val="·"/>
      <w:numFmt w:val="bullet"/>
      <w:start w:val="1"/>
    </w:lvl>
  </w:abstractNum>
  <w:abstractNum w:abstractNumId="6">
    <w:nsid w:val="431BD7B7"/>
    <w:multiLevelType w:val="hybridMultilevel"/>
    <w:lvl w:ilvl="0">
      <w:lvlJc w:val="left"/>
      <w:lvlText w:val="·"/>
      <w:numFmt w:val="bullet"/>
      <w:start w:val="1"/>
    </w:lvl>
  </w:abstractNum>
  <w:abstractNum w:abstractNumId="7">
    <w:nsid w:val="3F2DBA31"/>
    <w:multiLevelType w:val="hybridMultilevel"/>
    <w:lvl w:ilvl="0">
      <w:lvlJc w:val="left"/>
      <w:lvlText w:val="·"/>
      <w:numFmt w:val="bullet"/>
      <w:start w:val="1"/>
    </w:lvl>
  </w:abstractNum>
  <w:abstractNum w:abstractNumId="8">
    <w:nsid w:val="7C83E458"/>
    <w:multiLevelType w:val="hybridMultilevel"/>
    <w:lvl w:ilvl="0">
      <w:lvlJc w:val="left"/>
      <w:lvlText w:val="·"/>
      <w:numFmt w:val="bullet"/>
      <w:start w:val="1"/>
    </w:lvl>
  </w:abstractNum>
  <w:abstractNum w:abstractNumId="9">
    <w:nsid w:val="257130A3"/>
    <w:multiLevelType w:val="hybridMultilevel"/>
    <w:lvl w:ilvl="0">
      <w:lvlJc w:val="left"/>
      <w:lvlText w:val="·"/>
      <w:numFmt w:val="bullet"/>
      <w:start w:val="1"/>
    </w:lvl>
  </w:abstractNum>
  <w:abstractNum w:abstractNumId="10">
    <w:nsid w:val="62BBD95A"/>
    <w:multiLevelType w:val="hybridMultilevel"/>
    <w:lvl w:ilvl="0">
      <w:lvlJc w:val="left"/>
      <w:lvlText w:val="*"/>
      <w:numFmt w:val="bullet"/>
      <w:start w:val="1"/>
    </w:lvl>
  </w:abstractNum>
  <w:abstractNum w:abstractNumId="11">
    <w:nsid w:val="436C6125"/>
    <w:multiLevelType w:val="hybridMultilevel"/>
    <w:lvl w:ilvl="0">
      <w:lvlJc w:val="left"/>
      <w:lvlText w:val="(%1)"/>
      <w:numFmt w:val="decimal"/>
      <w:start w:val="1"/>
    </w:lvl>
  </w:abstractNum>
  <w:abstractNum w:abstractNumId="12">
    <w:nsid w:val="628C895D"/>
    <w:multiLevelType w:val="hybridMultilevel"/>
    <w:lvl w:ilvl="0">
      <w:lvlJc w:val="left"/>
      <w:lvlText w:val="(%1)"/>
      <w:numFmt w:val="decimal"/>
      <w:start w:val="3"/>
    </w:lvl>
  </w:abstractNum>
  <w:abstractNum w:abstractNumId="13">
    <w:nsid w:val="333AB105"/>
    <w:multiLevelType w:val="hybridMultilevel"/>
    <w:lvl w:ilvl="0">
      <w:lvlJc w:val="left"/>
      <w:lvlText w:val="·"/>
      <w:numFmt w:val="bullet"/>
      <w:start w:val="1"/>
    </w:lvl>
  </w:abstractNum>
  <w:abstractNum w:abstractNumId="14">
    <w:nsid w:val="721DA317"/>
    <w:multiLevelType w:val="hybridMultilevel"/>
    <w:lvl w:ilvl="0">
      <w:lvlJc w:val="left"/>
      <w:lvlText w:val="·"/>
      <w:numFmt w:val="bullet"/>
      <w:start w:val="1"/>
    </w:lvl>
  </w:abstractNum>
  <w:abstractNum w:abstractNumId="15">
    <w:nsid w:val="2443A858"/>
    <w:multiLevelType w:val="hybridMultilevel"/>
    <w:lvl w:ilvl="0">
      <w:lvlJc w:val="left"/>
      <w:lvlText w:val="·"/>
      <w:numFmt w:val="bullet"/>
      <w:start w:val="1"/>
    </w:lvl>
  </w:abstractNum>
  <w:abstractNum w:abstractNumId="16">
    <w:nsid w:val="2D1D5AE9"/>
    <w:multiLevelType w:val="hybridMultilevel"/>
    <w:lvl w:ilvl="0">
      <w:lvlJc w:val="left"/>
      <w:lvlText w:val="(%1)"/>
      <w:numFmt w:val="lowerLetter"/>
      <w:start w:val="1"/>
    </w:lvl>
    <w:lvl w:ilvl="1">
      <w:lvlJc w:val="left"/>
      <w:lvlText w:val="(%2)"/>
      <w:numFmt w:val="decimal"/>
      <w:start w:val="1"/>
    </w:lvl>
  </w:abstractNum>
  <w:abstractNum w:abstractNumId="17">
    <w:nsid w:val="6763845E"/>
    <w:multiLevelType w:val="hybridMultilevel"/>
    <w:lvl w:ilvl="0">
      <w:lvlJc w:val="left"/>
      <w:lvlText w:val="(%1)"/>
      <w:numFmt w:val="lowerRoman"/>
      <w:start w:val="2"/>
    </w:lvl>
  </w:abstractNum>
  <w:abstractNum w:abstractNumId="18">
    <w:nsid w:val="75A2A8D4"/>
    <w:multiLevelType w:val="hybridMultilevel"/>
    <w:lvl w:ilvl="0">
      <w:lvlJc w:val="left"/>
      <w:lvlText w:val="(%1)"/>
      <w:numFmt w:val="decimal"/>
      <w:start w:val="2"/>
    </w:lvl>
    <w:lvl w:ilvl="1">
      <w:lvlJc w:val="left"/>
      <w:lvlText w:val="(%2)"/>
      <w:numFmt w:val="lowerRoman"/>
      <w:start w:val="1"/>
    </w:lvl>
  </w:abstractNum>
  <w:abstractNum w:abstractNumId="19">
    <w:nsid w:val="8EDBDAB"/>
    <w:multiLevelType w:val="hybridMultilevel"/>
    <w:lvl w:ilvl="0">
      <w:lvlJc w:val="left"/>
      <w:lvlText w:val="%1"/>
      <w:numFmt w:val="decimal"/>
      <w:start w:val="1"/>
    </w:lvl>
    <w:lvl w:ilvl="1">
      <w:lvlJc w:val="left"/>
      <w:lvlText w:val="(%2)"/>
      <w:numFmt w:val="lowerRoman"/>
      <w:start w:val="2"/>
    </w:lvl>
  </w:abstractNum>
  <w:abstractNum w:abstractNumId="20">
    <w:nsid w:val="79838CB2"/>
    <w:multiLevelType w:val="hybridMultilevel"/>
    <w:lvl w:ilvl="0">
      <w:lvlJc w:val="left"/>
      <w:lvlText w:val="(%1)"/>
      <w:numFmt w:val="decimal"/>
      <w:start w:val="5"/>
    </w:lvl>
    <w:lvl w:ilvl="1">
      <w:lvlJc w:val="left"/>
      <w:lvlText w:val="%2"/>
      <w:numFmt w:val="lowerRoman"/>
      <w:start w:val="1"/>
    </w:lvl>
  </w:abstractNum>
  <w:abstractNum w:abstractNumId="21">
    <w:nsid w:val="4353D0CD"/>
    <w:multiLevelType w:val="hybridMultilevel"/>
    <w:lvl w:ilvl="0">
      <w:lvlJc w:val="left"/>
      <w:lvlText w:val="%1"/>
      <w:numFmt w:val="lowerLetter"/>
      <w:start w:val="1"/>
    </w:lvl>
    <w:lvl w:ilvl="1">
      <w:lvlJc w:val="left"/>
      <w:lvlText w:val="(%2)"/>
      <w:numFmt w:val="lowerRoman"/>
      <w:start w:val="1"/>
    </w:lvl>
  </w:abstractNum>
  <w:abstractNum w:abstractNumId="22">
    <w:nsid w:val="B03E0C6"/>
    <w:multiLevelType w:val="hybridMultilevel"/>
    <w:lvl w:ilvl="0">
      <w:lvlJc w:val="left"/>
      <w:lvlText w:val="(%1)"/>
      <w:numFmt w:val="lowerLetter"/>
      <w:start w:val="2"/>
    </w:lvl>
    <w:lvl w:ilvl="1">
      <w:lvlJc w:val="left"/>
      <w:lvlText w:val="%2"/>
      <w:numFmt w:val="lowerRoman"/>
      <w:start w:val="1"/>
    </w:lvl>
  </w:abstractNum>
  <w:abstractNum w:abstractNumId="23">
    <w:nsid w:val="189A769B"/>
    <w:multiLevelType w:val="hybridMultilevel"/>
    <w:lvl w:ilvl="0">
      <w:lvlJc w:val="left"/>
      <w:lvlText w:val="(%1)"/>
      <w:numFmt w:val="lowerLetter"/>
      <w:start w:val="1"/>
    </w:lvl>
  </w:abstractNum>
  <w:abstractNum w:abstractNumId="24">
    <w:nsid w:val="54E49EB4"/>
    <w:multiLevelType w:val="hybridMultilevel"/>
    <w:lvl w:ilvl="0">
      <w:lvlJc w:val="left"/>
      <w:lvlText w:val="(%1)"/>
      <w:numFmt w:val="lowerLetter"/>
      <w:start w:val="12"/>
    </w:lvl>
  </w:abstractNum>
  <w:abstractNum w:abstractNumId="25">
    <w:nsid w:val="71F32454"/>
    <w:multiLevelType w:val="hybridMultilevel"/>
    <w:lvl w:ilvl="0">
      <w:lvlJc w:val="left"/>
      <w:lvlText w:val="(%1)"/>
      <w:numFmt w:val="decimal"/>
      <w:start w:val="1"/>
    </w:lvl>
  </w:abstractNum>
  <w:abstractNum w:abstractNumId="26">
    <w:nsid w:val="2CA88611"/>
    <w:multiLevelType w:val="hybridMultilevel"/>
    <w:lvl w:ilvl="0">
      <w:lvlJc w:val="left"/>
      <w:lvlText w:val="(%1)"/>
      <w:numFmt w:val="lowerLetter"/>
      <w:start w:val="1"/>
    </w:lvl>
    <w:lvl w:ilvl="1">
      <w:lvlJc w:val="left"/>
      <w:lvlText w:val="(%2)"/>
      <w:numFmt w:val="lowerRoman"/>
      <w:start w:val="1"/>
    </w:lvl>
  </w:abstractNum>
  <w:abstractNum w:abstractNumId="27">
    <w:nsid w:val="836C40E"/>
    <w:multiLevelType w:val="hybridMultilevel"/>
    <w:lvl w:ilvl="0">
      <w:lvlJc w:val="left"/>
      <w:lvlText w:val="(%1)"/>
      <w:numFmt w:val="lowerLetter"/>
      <w:start w:val="5"/>
    </w:lvl>
  </w:abstractNum>
  <w:abstractNum w:abstractNumId="28">
    <w:nsid w:val="2901D82"/>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2019-12-14T19:22:30Z</dcterms:created>
  <dcterms:modified xsi:type="dcterms:W3CDTF">2019-12-14T19:22:30Z</dcterms:modified>
</cp:coreProperties>
</file>