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7" w:lineRule="exact"/>
        <w:rPr>
          <w:sz w:val="24"/>
          <w:szCs w:val="24"/>
          <w:color w:val="auto"/>
        </w:rPr>
      </w:pPr>
    </w:p>
    <w:p>
      <w:pPr>
        <w:ind w:left="38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-239395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0"/>
        </w:trPr>
        <w:tc>
          <w:tcPr>
            <w:tcW w:w="652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 w:line="1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-641985</wp:posOffset>
            </wp:positionV>
            <wp:extent cx="59055" cy="6553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4123055</wp:posOffset>
            </wp:positionH>
            <wp:positionV relativeFrom="paragraph">
              <wp:posOffset>-641985</wp:posOffset>
            </wp:positionV>
            <wp:extent cx="59055" cy="6553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45700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457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HOSEIN CLYDE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spacing w:after="0" w:line="245" w:lineRule="auto"/>
        <w:rPr>
          <w:rFonts w:ascii="Arial" w:cs="Arial" w:eastAsia="Arial" w:hAnsi="Arial"/>
          <w:sz w:val="21"/>
          <w:szCs w:val="21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19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06/30/2008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-9" w:right="680" w:firstLine="9"/>
        <w:spacing w:after="0" w:line="246" w:lineRule="auto"/>
        <w:tabs>
          <w:tab w:leader="none" w:pos="138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4" w:lineRule="exact"/>
        <w:rPr>
          <w:sz w:val="24"/>
          <w:szCs w:val="24"/>
          <w:color w:val="auto"/>
        </w:rPr>
      </w:pPr>
    </w:p>
    <w:tbl>
      <w:tblPr>
        <w:tblLayout w:type="fixed"/>
        <w:tblInd w:w="211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8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jc w:val="center"/>
        <w:ind w:right="16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Chief Financial Officer</w:t>
      </w: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860" w:space="129"/>
            <w:col w:w="3471"/>
          </w:cols>
          <w:pgMar w:left="240" w:top="224" w:right="13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3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00"/>
        <w:spacing w:after="0" w:line="227" w:lineRule="auto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60"/>
            <w:col w:w="746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4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450,000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17.66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9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06/30/2008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450,000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06/30/2018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ind w:left="2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450,000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40" w:right="140" w:firstLine="6"/>
        <w:spacing w:after="0" w:line="259" w:lineRule="auto"/>
        <w:tabs>
          <w:tab w:leader="none" w:pos="17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Option vests at the rate of 1/5th of the shares on the first anniversary of June 23, 2008, the vesting commencement date, and 1/60th of the shares after the completion of each additional month of employment with Marvell Technology Group, Ltd. thereafter over the next four years.</w:t>
      </w:r>
    </w:p>
    <w:p>
      <w:pPr>
        <w:spacing w:after="0" w:line="33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Clyde Hosein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07/01/2008</w:t>
            </w:r>
          </w:p>
        </w:tc>
      </w:tr>
      <w:tr>
        <w:trPr>
          <w:trHeight w:val="20"/>
        </w:trPr>
        <w:tc>
          <w:tcPr>
            <w:tcW w:w="11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jc w:val="both"/>
        <w:ind w:left="40" w:right="3840" w:firstLine="6"/>
        <w:spacing w:after="0" w:line="316" w:lineRule="auto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230185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2019-12-16T21:25:33Z</dcterms:created>
  <dcterms:modified xsi:type="dcterms:W3CDTF">2019-12-16T21:25:33Z</dcterms:modified>
</cp:coreProperties>
</file>