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28,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44"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44"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44"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80" w:hanging="172"/>
        <w:spacing w:after="0"/>
        <w:tabs>
          <w:tab w:leader="none" w:pos="1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Item 2.02 </w:t>
      </w:r>
      <w:r>
        <w:rPr>
          <w:rFonts w:ascii="Arial" w:cs="Arial" w:eastAsia="Arial" w:hAnsi="Arial"/>
          <w:sz w:val="17"/>
          <w:szCs w:val="17"/>
          <w:b w:val="1"/>
          <w:bCs w:val="1"/>
          <w:color w:val="auto"/>
        </w:rPr>
        <w:t>Results of Operations and Financial Condition.</w:t>
      </w:r>
    </w:p>
    <w:p>
      <w:pPr>
        <w:spacing w:after="0" w:line="229" w:lineRule="exact"/>
        <w:rPr>
          <w:sz w:val="24"/>
          <w:szCs w:val="24"/>
          <w:color w:val="auto"/>
        </w:rPr>
      </w:pPr>
    </w:p>
    <w:p>
      <w:pPr>
        <w:ind w:right="4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4"/>
          <w:szCs w:val="24"/>
          <w:color w:val="auto"/>
        </w:rPr>
      </w:pPr>
    </w:p>
    <w:p>
      <w:pPr>
        <w:ind w:right="240" w:firstLine="648"/>
        <w:spacing w:after="0" w:line="308" w:lineRule="auto"/>
        <w:rPr>
          <w:sz w:val="20"/>
          <w:szCs w:val="20"/>
          <w:color w:val="auto"/>
        </w:rPr>
      </w:pPr>
      <w:r>
        <w:rPr>
          <w:rFonts w:ascii="Arial" w:cs="Arial" w:eastAsia="Arial" w:hAnsi="Arial"/>
          <w:sz w:val="17"/>
          <w:szCs w:val="17"/>
          <w:color w:val="auto"/>
        </w:rPr>
        <w:t>On August 28, 2008, Marvell Technology Group Ltd. (“Marvell”) issued a press release regarding its financial results for its second fiscal quarter ended August 2, 2008. A copy of the press release is furnished herewith as Exhibit 99.1 and is incorporated by reference herein.</w:t>
      </w:r>
    </w:p>
    <w:p>
      <w:pPr>
        <w:spacing w:after="0" w:line="14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4"/>
          <w:szCs w:val="24"/>
          <w:color w:val="auto"/>
        </w:rPr>
      </w:pPr>
    </w:p>
    <w:p>
      <w:pPr>
        <w:ind w:right="180" w:firstLine="648"/>
        <w:spacing w:after="0" w:line="264" w:lineRule="auto"/>
        <w:rPr>
          <w:sz w:val="20"/>
          <w:szCs w:val="20"/>
          <w:color w:val="auto"/>
        </w:rPr>
      </w:pPr>
      <w:r>
        <w:rPr>
          <w:rFonts w:ascii="Arial" w:cs="Arial" w:eastAsia="Arial" w:hAnsi="Arial"/>
          <w:sz w:val="18"/>
          <w:szCs w:val="18"/>
          <w:color w:val="auto"/>
        </w:rPr>
        <w:t>In addition to disclosing financial results calculated in accordance with GAAP, Marvell also reports adjusted net income and net income per share, referred to respectively as “non-GAAP net income” and “non-GAAP net income per share.” Non-GAAP measures exclude the effect of stock-based compensation, amortization of acquired intangible assets and restructuring costs.</w:t>
      </w:r>
    </w:p>
    <w:p>
      <w:pPr>
        <w:spacing w:after="0" w:line="181" w:lineRule="exact"/>
        <w:rPr>
          <w:sz w:val="24"/>
          <w:szCs w:val="24"/>
          <w:color w:val="auto"/>
        </w:rPr>
      </w:pPr>
    </w:p>
    <w:p>
      <w:pPr>
        <w:ind w:right="300" w:firstLine="648"/>
        <w:spacing w:after="0" w:line="272" w:lineRule="auto"/>
        <w:rPr>
          <w:sz w:val="20"/>
          <w:szCs w:val="20"/>
          <w:color w:val="auto"/>
        </w:rPr>
      </w:pPr>
      <w:r>
        <w:rPr>
          <w:rFonts w:ascii="Arial" w:cs="Arial" w:eastAsia="Arial" w:hAnsi="Arial"/>
          <w:sz w:val="17"/>
          <w:szCs w:val="17"/>
          <w:color w:val="auto"/>
        </w:rPr>
        <w:t>Non-GAAP net income consists of net income (loss) excluding stock-based compensation expense as well as charges related to acquisitions and other charges and gains that are driven primarily by discrete events that management does not consider to be directly related to Marvell’s core operating performance. Non-GAAP net earnings per share is calculated by dividing non-GAAP net income by adjusted 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warrants, common stock options and restricted stock.</w:t>
      </w:r>
    </w:p>
    <w:p>
      <w:pPr>
        <w:sectPr>
          <w:pgSz w:w="11900" w:h="16838" w:orient="portrait"/>
          <w:cols w:equalWidth="0" w:num="1">
            <w:col w:w="11380"/>
          </w:cols>
          <w:pgMar w:left="240" w:top="544" w:right="279" w:bottom="0" w:gutter="0" w:footer="0" w:header="0"/>
          <w:type w:val="continuous"/>
        </w:sectPr>
      </w:pPr>
    </w:p>
    <w:bookmarkStart w:id="1" w:name="page2"/>
    <w:bookmarkEnd w:id="1"/>
    <w:p>
      <w:pPr>
        <w:ind w:right="60" w:firstLine="648"/>
        <w:spacing w:after="0" w:line="284" w:lineRule="auto"/>
        <w:rPr>
          <w:sz w:val="20"/>
          <w:szCs w:val="20"/>
          <w:color w:val="auto"/>
        </w:rPr>
      </w:pPr>
      <w:r>
        <w:rPr>
          <w:rFonts w:ascii="Arial" w:cs="Arial" w:eastAsia="Arial" w:hAnsi="Arial"/>
          <w:sz w:val="16"/>
          <w:szCs w:val="16"/>
          <w:color w:val="auto"/>
        </w:rPr>
        <w:t>Marvell believes that the presentation of non-GAAP net income and non-GAAP net income per share provides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w:t>
      </w:r>
    </w:p>
    <w:p>
      <w:pPr>
        <w:spacing w:after="0" w:line="3" w:lineRule="exact"/>
        <w:rPr>
          <w:sz w:val="20"/>
          <w:szCs w:val="20"/>
          <w:color w:val="auto"/>
        </w:rPr>
      </w:pPr>
    </w:p>
    <w:p>
      <w:pPr>
        <w:ind w:right="260"/>
        <w:spacing w:after="0" w:line="261" w:lineRule="auto"/>
        <w:rPr>
          <w:sz w:val="20"/>
          <w:szCs w:val="20"/>
          <w:color w:val="auto"/>
        </w:rPr>
      </w:pPr>
      <w:r>
        <w:rPr>
          <w:rFonts w:ascii="Arial" w:cs="Arial" w:eastAsia="Arial" w:hAnsi="Arial"/>
          <w:sz w:val="18"/>
          <w:szCs w:val="18"/>
          <w:color w:val="auto"/>
        </w:rPr>
        <w:t>internally. Management also believes that these non-GAAP financial measures may be used to facilitate comparisons of Marvell’s results with that of other companies in its industry.</w:t>
      </w:r>
    </w:p>
    <w:p>
      <w:pPr>
        <w:spacing w:after="0" w:line="184" w:lineRule="exact"/>
        <w:rPr>
          <w:sz w:val="20"/>
          <w:szCs w:val="20"/>
          <w:color w:val="auto"/>
        </w:rPr>
      </w:pPr>
    </w:p>
    <w:p>
      <w:pPr>
        <w:ind w:right="520" w:firstLine="648"/>
        <w:spacing w:after="0" w:line="264" w:lineRule="auto"/>
        <w:rPr>
          <w:sz w:val="20"/>
          <w:szCs w:val="20"/>
          <w:color w:val="auto"/>
        </w:rPr>
      </w:pPr>
      <w:r>
        <w:rPr>
          <w:rFonts w:ascii="Arial" w:cs="Arial" w:eastAsia="Arial" w:hAnsi="Arial"/>
          <w:sz w:val="18"/>
          <w:szCs w:val="18"/>
          <w:color w:val="auto"/>
        </w:rPr>
        <w:t>Externally, management believes that investors may find Marvell’s non-GAAP net income information useful in their assessment of Marvell’s operating performance and the valuation of Marvell. Internally, Marvell’s non-GAAP net income and non-GAAP net income per share are used by management in the following areas:</w:t>
      </w:r>
    </w:p>
    <w:p>
      <w:pPr>
        <w:spacing w:after="0" w:line="181" w:lineRule="exact"/>
        <w:rPr>
          <w:sz w:val="20"/>
          <w:szCs w:val="20"/>
          <w:color w:val="auto"/>
        </w:rPr>
      </w:pPr>
    </w:p>
    <w:p>
      <w:pPr>
        <w:ind w:left="1260" w:hanging="280"/>
        <w:spacing w:after="0"/>
        <w:tabs>
          <w:tab w:leader="none" w:pos="12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pro forma EPS target-based stock-based bonus compensation for Marvell’s executive officers;</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Non-GAAP net income reflects net income adjusted by the exclusion of the following items:</w:t>
      </w:r>
    </w:p>
    <w:p>
      <w:pPr>
        <w:spacing w:after="0" w:line="225" w:lineRule="exact"/>
        <w:rPr>
          <w:sz w:val="20"/>
          <w:szCs w:val="20"/>
          <w:color w:val="auto"/>
        </w:rPr>
      </w:pPr>
    </w:p>
    <w:p>
      <w:pPr>
        <w:ind w:left="1300" w:hanging="320"/>
        <w:spacing w:after="0" w:line="259" w:lineRule="auto"/>
        <w:tabs>
          <w:tab w:leader="none" w:pos="1264"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86" w:lineRule="exact"/>
        <w:rPr>
          <w:rFonts w:ascii="Arial" w:cs="Arial" w:eastAsia="Arial" w:hAnsi="Arial"/>
          <w:sz w:val="18"/>
          <w:szCs w:val="18"/>
          <w:color w:val="auto"/>
        </w:rPr>
      </w:pPr>
    </w:p>
    <w:p>
      <w:pPr>
        <w:ind w:left="1300" w:right="260" w:hanging="320"/>
        <w:spacing w:after="0" w:line="264" w:lineRule="auto"/>
        <w:tabs>
          <w:tab w:leader="none" w:pos="1264"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181" w:lineRule="exact"/>
        <w:rPr>
          <w:rFonts w:ascii="Arial" w:cs="Arial" w:eastAsia="Arial" w:hAnsi="Arial"/>
          <w:sz w:val="18"/>
          <w:szCs w:val="18"/>
          <w:color w:val="auto"/>
        </w:rPr>
      </w:pPr>
    </w:p>
    <w:p>
      <w:pPr>
        <w:ind w:left="1300" w:right="80" w:hanging="320"/>
        <w:spacing w:after="0" w:line="302" w:lineRule="auto"/>
        <w:tabs>
          <w:tab w:leader="none" w:pos="1264"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charges/losses that are not directly related to Marvell’s ongoing or core business results.</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 against the performance of other companies without this variability.</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225" w:lineRule="exact"/>
        <w:rPr>
          <w:sz w:val="20"/>
          <w:szCs w:val="20"/>
          <w:color w:val="auto"/>
        </w:rPr>
      </w:pPr>
    </w:p>
    <w:p>
      <w:pPr>
        <w:ind w:left="1300" w:right="240" w:hanging="320"/>
        <w:spacing w:after="0" w:line="291" w:lineRule="auto"/>
        <w:tabs>
          <w:tab w:leader="none" w:pos="1264" w:val="left"/>
        </w:tabs>
        <w:numPr>
          <w:ilvl w:val="0"/>
          <w:numId w:val="4"/>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SFAS 123R compensation costs expected to be incurred in future periods but not yet recognized in the financial statements. The expected compensation costs are treated as proceeds assumed to be used to repurchase shares under the GAAP treasury stock method. GAAP weighted average shares outstanding (diluted) also includes the dilutive/antidilutive effects of warrants, common stock options and restricted stock. Since Marvell’s non-GAAP net income does not reflect the effects of these compensation costs, management believes these amounts should not be applied to the repurchase of shares in calculating non-GAAP net income per share.</w:t>
      </w:r>
    </w:p>
    <w:p>
      <w:pPr>
        <w:spacing w:after="0" w:line="167" w:lineRule="exact"/>
        <w:rPr>
          <w:sz w:val="20"/>
          <w:szCs w:val="20"/>
          <w:color w:val="auto"/>
        </w:rPr>
      </w:pPr>
    </w:p>
    <w:p>
      <w:pPr>
        <w:ind w:right="100" w:firstLine="648"/>
        <w:spacing w:after="0" w:line="293" w:lineRule="auto"/>
        <w:rPr>
          <w:sz w:val="20"/>
          <w:szCs w:val="20"/>
          <w:color w:val="auto"/>
        </w:rPr>
      </w:pPr>
      <w:r>
        <w:rPr>
          <w:rFonts w:ascii="Arial" w:cs="Arial" w:eastAsia="Arial" w:hAnsi="Arial"/>
          <w:sz w:val="16"/>
          <w:szCs w:val="16"/>
          <w:color w:val="auto"/>
        </w:rPr>
        <w:t>Non-GAAP net income and non-GAAP net income per share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 Some of the limitations in relying on non-GAAP net income and non-GAAP net income per share are:</w:t>
      </w:r>
    </w:p>
    <w:p>
      <w:pPr>
        <w:spacing w:after="0" w:line="165" w:lineRule="exact"/>
        <w:rPr>
          <w:sz w:val="20"/>
          <w:szCs w:val="20"/>
          <w:color w:val="auto"/>
        </w:rPr>
      </w:pPr>
    </w:p>
    <w:p>
      <w:pPr>
        <w:ind w:left="1300" w:right="320" w:hanging="320"/>
        <w:spacing w:after="0" w:line="257" w:lineRule="auto"/>
        <w:tabs>
          <w:tab w:leader="none" w:pos="1264"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net income does not account for stock compensation expense related to equity awards granted to Marvell’s employees. Marvell’s stock incentive plans are important components of its employee incentive compensation arrangements and are reflected as expenses in Marvell’s GAAP results under SFAS 123R, effective as of January 29, 2006. Prior to the adoption of SFAS 123R, Marvell’s GAAP results reflect stock compensation expense under Accounting Principles Board Opinion No. 25, “Accounting for Stock Issued to Employees” and related guidance.</w:t>
      </w:r>
    </w:p>
    <w:p>
      <w:pPr>
        <w:spacing w:after="0" w:line="188" w:lineRule="exact"/>
        <w:rPr>
          <w:rFonts w:ascii="Arial" w:cs="Arial" w:eastAsia="Arial" w:hAnsi="Arial"/>
          <w:sz w:val="18"/>
          <w:szCs w:val="18"/>
          <w:color w:val="auto"/>
        </w:rPr>
      </w:pPr>
    </w:p>
    <w:p>
      <w:pPr>
        <w:ind w:left="1300" w:right="180" w:hanging="320"/>
        <w:spacing w:after="0" w:line="302" w:lineRule="auto"/>
        <w:tabs>
          <w:tab w:leader="none" w:pos="1264" w:val="left"/>
        </w:tabs>
        <w:numPr>
          <w:ilvl w:val="0"/>
          <w:numId w:val="5"/>
        </w:numPr>
        <w:rPr>
          <w:rFonts w:ascii="Arial" w:cs="Arial" w:eastAsia="Arial" w:hAnsi="Arial"/>
          <w:sz w:val="16"/>
          <w:szCs w:val="16"/>
          <w:color w:val="auto"/>
        </w:rPr>
      </w:pPr>
      <w:r>
        <w:rPr>
          <w:rFonts w:ascii="Arial" w:cs="Arial" w:eastAsia="Arial" w:hAnsi="Arial"/>
          <w:sz w:val="16"/>
          <w:szCs w:val="16"/>
          <w:color w:val="auto"/>
        </w:rPr>
        <w:t>While amortization of purchased intangible assets does not directly affect Marvell’s current cash position, such expense represents the declining value of the technology and other intangible assets that Marvell has acquired over their respective expected economic lives. The expense associated with this decline in value is excluded from the non-GAAP net income presentation, and therefore non-GAAP net income does not reflect the costs of acquired intangible assets that supplement Marvell’s research and development efforts.</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ectPr>
          <w:pgSz w:w="11900" w:h="16838" w:orient="portrait"/>
          <w:cols w:equalWidth="0" w:num="1">
            <w:col w:w="11420"/>
          </w:cols>
          <w:pgMar w:left="240" w:top="125" w:right="239" w:bottom="0" w:gutter="0" w:footer="0" w:header="0"/>
        </w:sectPr>
      </w:pPr>
    </w:p>
    <w:bookmarkStart w:id="2" w:name="page3"/>
    <w:bookmarkEnd w:id="2"/>
    <w:p>
      <w:pPr>
        <w:ind w:left="1280" w:hanging="624"/>
        <w:spacing w:after="0"/>
        <w:tabs>
          <w:tab w:leader="none" w:pos="128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August 28,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28, 2008</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60" w:type="dxa"/>
            <w:vAlign w:val="bottom"/>
            <w:gridSpan w:val="2"/>
          </w:tcPr>
          <w:p>
            <w:pPr>
              <w:ind w:left="4360"/>
              <w:spacing w:after="0"/>
              <w:rPr>
                <w:sz w:val="20"/>
                <w:szCs w:val="20"/>
                <w:color w:val="auto"/>
              </w:rPr>
            </w:pPr>
            <w:r>
              <w:rPr>
                <w:rFonts w:ascii="Arial" w:cs="Arial" w:eastAsia="Arial" w:hAnsi="Arial"/>
                <w:sz w:val="18"/>
                <w:szCs w:val="18"/>
                <w:color w:val="auto"/>
              </w:rPr>
              <w:t>MARVELL TECHNOLOGY GROUP LTD.</w:t>
            </w:r>
          </w:p>
        </w:tc>
        <w:tc>
          <w:tcPr>
            <w:tcW w:w="40" w:type="dxa"/>
            <w:vAlign w:val="bottom"/>
          </w:tcPr>
          <w:p>
            <w:pPr>
              <w:spacing w:after="0"/>
              <w:rPr>
                <w:sz w:val="20"/>
                <w:szCs w:val="20"/>
                <w:color w:val="auto"/>
              </w:rPr>
            </w:pPr>
          </w:p>
        </w:tc>
      </w:tr>
      <w:tr>
        <w:trPr>
          <w:trHeight w:val="648"/>
        </w:trPr>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60" w:type="dxa"/>
            <w:vAlign w:val="bottom"/>
            <w:gridSpan w:val="2"/>
          </w:tcPr>
          <w:p>
            <w:pPr>
              <w:ind w:left="4360"/>
              <w:spacing w:after="0"/>
              <w:rPr>
                <w:sz w:val="20"/>
                <w:szCs w:val="20"/>
                <w:color w:val="auto"/>
              </w:rPr>
            </w:pPr>
            <w:r>
              <w:rPr>
                <w:rFonts w:ascii="Arial" w:cs="Arial" w:eastAsia="Arial" w:hAnsi="Arial"/>
                <w:sz w:val="18"/>
                <w:szCs w:val="18"/>
                <w:color w:val="auto"/>
              </w:rPr>
              <w:t>By:  /s/ Clyde Hosein</w:t>
            </w:r>
          </w:p>
        </w:tc>
        <w:tc>
          <w:tcPr>
            <w:tcW w:w="40" w:type="dxa"/>
            <w:vAlign w:val="bottom"/>
          </w:tcPr>
          <w:p>
            <w:pPr>
              <w:spacing w:after="0"/>
              <w:rPr>
                <w:sz w:val="24"/>
                <w:szCs w:val="24"/>
                <w:color w:val="auto"/>
              </w:rPr>
            </w:pPr>
          </w:p>
        </w:tc>
      </w:tr>
      <w:tr>
        <w:trPr>
          <w:trHeight w:val="182"/>
        </w:trPr>
        <w:tc>
          <w:tcPr>
            <w:tcW w:w="9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5260" w:type="dxa"/>
            <w:vAlign w:val="bottom"/>
            <w:tcBorders>
              <w:top w:val="single" w:sz="8" w:color="auto"/>
            </w:tcBorders>
          </w:tcPr>
          <w:p>
            <w:pPr>
              <w:jc w:val="center"/>
              <w:ind w:right="350"/>
              <w:spacing w:after="0" w:line="182" w:lineRule="exact"/>
              <w:rPr>
                <w:sz w:val="20"/>
                <w:szCs w:val="20"/>
                <w:color w:val="auto"/>
              </w:rPr>
            </w:pPr>
            <w:r>
              <w:rPr>
                <w:rFonts w:ascii="Arial" w:cs="Arial" w:eastAsia="Arial" w:hAnsi="Arial"/>
                <w:sz w:val="18"/>
                <w:szCs w:val="18"/>
                <w:color w:val="auto"/>
                <w:w w:val="91"/>
              </w:rPr>
              <w:t>Clyde Hosein</w:t>
            </w:r>
          </w:p>
        </w:tc>
        <w:tc>
          <w:tcPr>
            <w:tcW w:w="40" w:type="dxa"/>
            <w:vAlign w:val="bottom"/>
          </w:tcPr>
          <w:p>
            <w:pPr>
              <w:spacing w:after="0"/>
              <w:rPr>
                <w:sz w:val="15"/>
                <w:szCs w:val="15"/>
                <w:color w:val="auto"/>
              </w:rPr>
            </w:pPr>
          </w:p>
        </w:tc>
      </w:tr>
      <w:tr>
        <w:trPr>
          <w:trHeight w:val="230"/>
        </w:trPr>
        <w:tc>
          <w:tcPr>
            <w:tcW w:w="9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4800" w:type="dxa"/>
            <w:vAlign w:val="bottom"/>
          </w:tcPr>
          <w:p>
            <w:pPr>
              <w:spacing w:after="0"/>
              <w:rPr>
                <w:sz w:val="20"/>
                <w:szCs w:val="20"/>
                <w:color w:val="auto"/>
              </w:rPr>
            </w:pPr>
          </w:p>
        </w:tc>
        <w:tc>
          <w:tcPr>
            <w:tcW w:w="5260" w:type="dxa"/>
            <w:vAlign w:val="bottom"/>
          </w:tcPr>
          <w:p>
            <w:pPr>
              <w:jc w:val="center"/>
              <w:ind w:right="350"/>
              <w:spacing w:after="0"/>
              <w:rPr>
                <w:sz w:val="20"/>
                <w:szCs w:val="20"/>
                <w:color w:val="auto"/>
              </w:rPr>
            </w:pPr>
            <w:r>
              <w:rPr>
                <w:rFonts w:ascii="Arial" w:cs="Arial" w:eastAsia="Arial" w:hAnsi="Arial"/>
                <w:sz w:val="18"/>
                <w:szCs w:val="18"/>
                <w:color w:val="auto"/>
                <w:w w:val="93"/>
              </w:rPr>
              <w:t>Chief Financial Officer</w:t>
            </w:r>
          </w:p>
        </w:tc>
        <w:tc>
          <w:tcPr>
            <w:tcW w:w="40" w:type="dxa"/>
            <w:vAlign w:val="bottom"/>
          </w:tcPr>
          <w:p>
            <w:pPr>
              <w:spacing w:after="0"/>
              <w:rPr>
                <w:sz w:val="20"/>
                <w:szCs w:val="20"/>
                <w:color w:val="auto"/>
              </w:rPr>
            </w:pPr>
          </w:p>
        </w:tc>
      </w:tr>
      <w:tr>
        <w:trPr>
          <w:trHeight w:val="432"/>
        </w:trPr>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800" w:type="dxa"/>
            <w:vAlign w:val="bottom"/>
          </w:tcPr>
          <w:p>
            <w:pPr>
              <w:jc w:val="right"/>
              <w:ind w:right="313"/>
              <w:spacing w:after="0"/>
              <w:rPr>
                <w:sz w:val="20"/>
                <w:szCs w:val="20"/>
                <w:color w:val="auto"/>
              </w:rPr>
            </w:pPr>
            <w:r>
              <w:rPr>
                <w:rFonts w:ascii="Arial" w:cs="Arial" w:eastAsia="Arial" w:hAnsi="Arial"/>
                <w:sz w:val="18"/>
                <w:szCs w:val="18"/>
                <w:color w:val="auto"/>
              </w:rPr>
              <w:t>5</w:t>
            </w:r>
          </w:p>
        </w:tc>
        <w:tc>
          <w:tcPr>
            <w:tcW w:w="52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980" w:type="dxa"/>
            <w:vAlign w:val="bottom"/>
            <w:tcBorders>
              <w:bottom w:val="single" w:sz="8" w:color="010101"/>
            </w:tcBorders>
          </w:tcPr>
          <w:p>
            <w:pPr>
              <w:spacing w:after="0"/>
              <w:rPr>
                <w:sz w:val="11"/>
                <w:szCs w:val="11"/>
                <w:color w:val="auto"/>
              </w:rPr>
            </w:pPr>
          </w:p>
        </w:tc>
        <w:tc>
          <w:tcPr>
            <w:tcW w:w="380" w:type="dxa"/>
            <w:vAlign w:val="bottom"/>
            <w:tcBorders>
              <w:bottom w:val="single" w:sz="8" w:color="010101"/>
            </w:tcBorders>
          </w:tcPr>
          <w:p>
            <w:pPr>
              <w:spacing w:after="0"/>
              <w:rPr>
                <w:sz w:val="11"/>
                <w:szCs w:val="11"/>
                <w:color w:val="auto"/>
              </w:rPr>
            </w:pPr>
          </w:p>
        </w:tc>
        <w:tc>
          <w:tcPr>
            <w:tcW w:w="10060" w:type="dxa"/>
            <w:vAlign w:val="bottom"/>
            <w:tcBorders>
              <w:bottom w:val="single" w:sz="8" w:color="010101"/>
            </w:tcBorders>
            <w:gridSpan w:val="2"/>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9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60" w:type="dxa"/>
            <w:vAlign w:val="bottom"/>
            <w:gridSpan w:val="2"/>
          </w:tcPr>
          <w:p>
            <w:pPr>
              <w:jc w:val="center"/>
              <w:ind w:right="125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r>
      <w:tr>
        <w:trPr>
          <w:trHeight w:val="365"/>
        </w:trPr>
        <w:tc>
          <w:tcPr>
            <w:tcW w:w="136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10060" w:type="dxa"/>
            <w:vAlign w:val="bottom"/>
            <w:gridSpan w:val="2"/>
          </w:tcPr>
          <w:p>
            <w:pPr>
              <w:ind w:left="46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980" w:type="dxa"/>
            <w:vAlign w:val="bottom"/>
            <w:tcBorders>
              <w:top w:val="single" w:sz="8" w:color="auto"/>
            </w:tcBorders>
          </w:tcPr>
          <w:p>
            <w:pPr>
              <w:jc w:val="right"/>
              <w:ind w:right="239"/>
              <w:spacing w:after="0"/>
              <w:rPr>
                <w:sz w:val="20"/>
                <w:szCs w:val="20"/>
                <w:color w:val="auto"/>
              </w:rPr>
            </w:pPr>
            <w:r>
              <w:rPr>
                <w:rFonts w:ascii="Arial" w:cs="Arial" w:eastAsia="Arial" w:hAnsi="Arial"/>
                <w:sz w:val="18"/>
                <w:szCs w:val="18"/>
                <w:color w:val="auto"/>
              </w:rPr>
              <w:t>99.1</w:t>
            </w:r>
          </w:p>
        </w:tc>
        <w:tc>
          <w:tcPr>
            <w:tcW w:w="380" w:type="dxa"/>
            <w:vAlign w:val="bottom"/>
          </w:tcPr>
          <w:p>
            <w:pPr>
              <w:spacing w:after="0"/>
              <w:rPr>
                <w:sz w:val="24"/>
                <w:szCs w:val="24"/>
                <w:color w:val="auto"/>
              </w:rPr>
            </w:pPr>
          </w:p>
        </w:tc>
        <w:tc>
          <w:tcPr>
            <w:tcW w:w="1006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rPr>
              <w:t>Press Release dated August 28, 2008.</w:t>
            </w:r>
          </w:p>
        </w:tc>
        <w:tc>
          <w:tcPr>
            <w:tcW w:w="40" w:type="dxa"/>
            <w:vAlign w:val="bottom"/>
          </w:tcPr>
          <w:p>
            <w:pPr>
              <w:spacing w:after="0"/>
              <w:rPr>
                <w:sz w:val="24"/>
                <w:szCs w:val="24"/>
                <w:color w:val="auto"/>
              </w:rPr>
            </w:pPr>
          </w:p>
        </w:tc>
      </w:tr>
      <w:tr>
        <w:trPr>
          <w:trHeight w:val="348"/>
        </w:trPr>
        <w:tc>
          <w:tcPr>
            <w:tcW w:w="980" w:type="dxa"/>
            <w:vAlign w:val="bottom"/>
            <w:tcBorders>
              <w:bottom w:val="single" w:sz="8" w:color="010101"/>
            </w:tcBorders>
          </w:tcPr>
          <w:p>
            <w:pPr>
              <w:spacing w:after="0"/>
              <w:rPr>
                <w:sz w:val="24"/>
                <w:szCs w:val="24"/>
                <w:color w:val="auto"/>
              </w:rPr>
            </w:pPr>
          </w:p>
        </w:tc>
        <w:tc>
          <w:tcPr>
            <w:tcW w:w="380" w:type="dxa"/>
            <w:vAlign w:val="bottom"/>
            <w:tcBorders>
              <w:bottom w:val="single" w:sz="8" w:color="010101"/>
            </w:tcBorders>
          </w:tcPr>
          <w:p>
            <w:pPr>
              <w:spacing w:after="0"/>
              <w:rPr>
                <w:sz w:val="24"/>
                <w:szCs w:val="24"/>
                <w:color w:val="auto"/>
              </w:rPr>
            </w:pPr>
          </w:p>
        </w:tc>
        <w:tc>
          <w:tcPr>
            <w:tcW w:w="4800" w:type="dxa"/>
            <w:vAlign w:val="bottom"/>
            <w:tcBorders>
              <w:bottom w:val="single" w:sz="8" w:color="010101"/>
            </w:tcBorders>
          </w:tcPr>
          <w:p>
            <w:pPr>
              <w:spacing w:after="0"/>
              <w:rPr>
                <w:sz w:val="24"/>
                <w:szCs w:val="24"/>
                <w:color w:val="auto"/>
              </w:rPr>
            </w:pPr>
          </w:p>
        </w:tc>
        <w:tc>
          <w:tcPr>
            <w:tcW w:w="52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-1272540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-1272540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3" w:name="page4"/>
    <w:bookmarkEnd w:id="3"/>
    <w:p>
      <w:pPr>
        <w:ind w:left="10480"/>
        <w:spacing w:after="0"/>
        <w:rPr>
          <w:sz w:val="20"/>
          <w:szCs w:val="20"/>
          <w:color w:val="auto"/>
        </w:rPr>
      </w:pPr>
      <w:r>
        <w:rPr>
          <w:rFonts w:ascii="Arial" w:cs="Arial" w:eastAsia="Arial" w:hAnsi="Arial"/>
          <w:sz w:val="16"/>
          <w:szCs w:val="16"/>
          <w:b w:val="1"/>
          <w:bCs w:val="1"/>
          <w:color w:val="auto"/>
        </w:rPr>
        <w:t>Exhibit 99.1</w:t>
      </w:r>
    </w:p>
    <w:p>
      <w:pPr>
        <w:sectPr>
          <w:pgSz w:w="11900" w:h="16838" w:orient="portrait"/>
          <w:cols w:equalWidth="0" w:num="1">
            <w:col w:w="11420"/>
          </w:cols>
          <w:pgMar w:left="240" w:top="121" w:right="239" w:bottom="0" w:gutter="0" w:footer="0" w:header="0"/>
        </w:sectPr>
      </w:pPr>
    </w:p>
    <w:p>
      <w:pPr>
        <w:spacing w:after="0" w:line="248" w:lineRule="exact"/>
        <w:rPr>
          <w:sz w:val="20"/>
          <w:szCs w:val="20"/>
          <w:color w:val="auto"/>
        </w:rPr>
      </w:pPr>
    </w:p>
    <w:p>
      <w:pPr>
        <w:ind w:left="20"/>
        <w:spacing w:after="0"/>
        <w:rPr>
          <w:sz w:val="20"/>
          <w:szCs w:val="20"/>
          <w:color w:val="auto"/>
        </w:rPr>
      </w:pPr>
      <w:r>
        <w:rPr>
          <w:rFonts w:ascii="Arial" w:cs="Arial" w:eastAsia="Arial" w:hAnsi="Arial"/>
          <w:sz w:val="16"/>
          <w:szCs w:val="16"/>
          <w:b w:val="1"/>
          <w:bCs w:val="1"/>
          <w:color w:val="auto"/>
        </w:rPr>
        <w:t>For further information, contact:</w:t>
      </w:r>
    </w:p>
    <w:p>
      <w:pPr>
        <w:spacing w:after="0" w:line="50" w:lineRule="exact"/>
        <w:rPr>
          <w:sz w:val="20"/>
          <w:szCs w:val="20"/>
          <w:color w:val="auto"/>
        </w:rPr>
      </w:pPr>
    </w:p>
    <w:p>
      <w:pPr>
        <w:ind w:left="20"/>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jpalmer@marvell.com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Louise Kehoe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Ogilvy PR/ Marvell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louise.kehoe@ogilvypr.com</w:t>
      </w:r>
    </w:p>
    <w:p>
      <w:pPr>
        <w:spacing w:after="0" w:line="222" w:lineRule="exact"/>
        <w:rPr>
          <w:sz w:val="20"/>
          <w:szCs w:val="20"/>
          <w:color w:val="auto"/>
        </w:rPr>
      </w:pPr>
    </w:p>
    <w:p>
      <w:pPr>
        <w:sectPr>
          <w:pgSz w:w="11900" w:h="16838" w:orient="portrait"/>
          <w:cols w:equalWidth="0" w:num="2">
            <w:col w:w="8140" w:space="720"/>
            <w:col w:w="2560"/>
          </w:cols>
          <w:pgMar w:left="240" w:top="121" w:right="239" w:bottom="0" w:gutter="0" w:footer="0" w:header="0"/>
          <w:type w:val="continuous"/>
        </w:sectPr>
      </w:pPr>
    </w:p>
    <w:p>
      <w:pPr>
        <w:spacing w:after="0" w:line="7"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Marvell Technology Reports Fiscal Second Quarter Results</w:t>
      </w:r>
    </w:p>
    <w:p>
      <w:pPr>
        <w:sectPr>
          <w:pgSz w:w="11900" w:h="16838" w:orient="portrait"/>
          <w:cols w:equalWidth="0" w:num="1">
            <w:col w:w="11420"/>
          </w:cols>
          <w:pgMar w:left="240" w:top="121" w:right="239" w:bottom="0" w:gutter="0" w:footer="0" w:header="0"/>
          <w:type w:val="continuous"/>
        </w:sectPr>
      </w:pPr>
    </w:p>
    <w:p>
      <w:pPr>
        <w:spacing w:after="0" w:line="248" w:lineRule="exact"/>
        <w:rPr>
          <w:sz w:val="20"/>
          <w:szCs w:val="20"/>
          <w:color w:val="auto"/>
        </w:rPr>
      </w:pPr>
    </w:p>
    <w:p>
      <w:pPr>
        <w:ind w:left="620" w:hanging="288"/>
        <w:spacing w:after="0"/>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F2Q09 Revenue: $843 Million, up 28% Year-on-Year</w:t>
      </w:r>
    </w:p>
    <w:p>
      <w:pPr>
        <w:spacing w:after="0" w:line="27" w:lineRule="exact"/>
        <w:rPr>
          <w:rFonts w:ascii="Arial" w:cs="Arial" w:eastAsia="Arial" w:hAnsi="Arial"/>
          <w:sz w:val="18"/>
          <w:szCs w:val="18"/>
          <w:color w:val="auto"/>
        </w:rPr>
      </w:pPr>
    </w:p>
    <w:p>
      <w:pPr>
        <w:ind w:left="620" w:hanging="288"/>
        <w:spacing w:after="0"/>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F2Q09 Net Income: $71 Million (GAAP), $154 Million (non-GAAP)</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F2Q09 EPS: $0.11 (GAAP), $0.24 (non-GAAP)</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F2Q09 Free Cash Flow: $167 Million</w:t>
      </w:r>
    </w:p>
    <w:p>
      <w:pPr>
        <w:spacing w:after="0" w:line="207" w:lineRule="exact"/>
        <w:rPr>
          <w:sz w:val="20"/>
          <w:szCs w:val="20"/>
          <w:color w:val="auto"/>
        </w:rPr>
      </w:pPr>
    </w:p>
    <w:p>
      <w:pPr>
        <w:ind w:right="400"/>
        <w:spacing w:after="0" w:line="282" w:lineRule="auto"/>
        <w:rPr>
          <w:sz w:val="20"/>
          <w:szCs w:val="20"/>
          <w:color w:val="auto"/>
        </w:rPr>
      </w:pPr>
      <w:r>
        <w:rPr>
          <w:rFonts w:ascii="Arial" w:cs="Arial" w:eastAsia="Arial" w:hAnsi="Arial"/>
          <w:sz w:val="18"/>
          <w:szCs w:val="18"/>
          <w:b w:val="1"/>
          <w:bCs w:val="1"/>
          <w:color w:val="auto"/>
        </w:rPr>
        <w:t xml:space="preserve">Santa Clara, California (August 28, 2008) </w:t>
      </w:r>
      <w:r>
        <w:rPr>
          <w:rFonts w:ascii="Arial" w:cs="Arial" w:eastAsia="Arial" w:hAnsi="Arial"/>
          <w:sz w:val="18"/>
          <w:szCs w:val="18"/>
          <w:color w:val="auto"/>
        </w:rPr>
        <w:t>— Marvell Technology Group Ltd. (NASDAQ: MRVL), a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second quarter of fiscal year 2009, ended August 2, 2008.</w:t>
      </w:r>
    </w:p>
    <w:p>
      <w:pPr>
        <w:spacing w:after="0" w:line="166" w:lineRule="exact"/>
        <w:rPr>
          <w:sz w:val="20"/>
          <w:szCs w:val="20"/>
          <w:color w:val="auto"/>
        </w:rPr>
      </w:pPr>
    </w:p>
    <w:p>
      <w:pPr>
        <w:ind w:right="460"/>
        <w:spacing w:after="0" w:line="308" w:lineRule="auto"/>
        <w:rPr>
          <w:sz w:val="20"/>
          <w:szCs w:val="20"/>
          <w:color w:val="auto"/>
        </w:rPr>
      </w:pPr>
      <w:r>
        <w:rPr>
          <w:rFonts w:ascii="Arial" w:cs="Arial" w:eastAsia="Arial" w:hAnsi="Arial"/>
          <w:sz w:val="17"/>
          <w:szCs w:val="17"/>
          <w:color w:val="auto"/>
        </w:rPr>
        <w:t>Net revenue for the second quarter of fiscal 2009 was $842.6 million, an increase of 28 percent over $656.7 million in the second quarter of fiscal 2008, ended July 28, 2007, and a 4.8 percent sequential increase from $804 million in the first quarter of fiscal 2009, ended May 3, 2008.</w:t>
      </w:r>
    </w:p>
    <w:p>
      <w:pPr>
        <w:spacing w:after="0" w:line="147"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“The results for our second quarter were better than we had anticipated. We demonstrated significant year over year revenue growth, sustained profitability and excellent free cash flow generation,” said Dr. Sehat Sutardja, Marvell Chairman and Chief Executive Officer. “We also continued to realize recurring benefits from our improved efficiency which combined with our revenue performance enabled us to achieve increased sequential growth in gross and operating margins.”</w:t>
      </w:r>
    </w:p>
    <w:p>
      <w:pPr>
        <w:spacing w:after="0" w:line="187" w:lineRule="exact"/>
        <w:rPr>
          <w:sz w:val="20"/>
          <w:szCs w:val="20"/>
          <w:color w:val="auto"/>
        </w:rPr>
      </w:pPr>
    </w:p>
    <w:p>
      <w:pPr>
        <w:jc w:val="both"/>
        <w:ind w:right="20"/>
        <w:spacing w:after="0" w:line="259" w:lineRule="auto"/>
        <w:rPr>
          <w:sz w:val="20"/>
          <w:szCs w:val="20"/>
          <w:color w:val="auto"/>
        </w:rPr>
      </w:pPr>
      <w:r>
        <w:rPr>
          <w:rFonts w:ascii="Arial" w:cs="Arial" w:eastAsia="Arial" w:hAnsi="Arial"/>
          <w:sz w:val="18"/>
          <w:szCs w:val="18"/>
          <w:color w:val="auto"/>
        </w:rPr>
        <w:t>Marvell reports net income (loss), basic and diluted net income (loss) per share in accordance with U.S. generally accepted accounting principles (GAAP) and on a non-GAAP basis as outlined below. Reconciliations of GAAP net income (loss) to non-GAAP net income for the three and six months ended August 2, 2008 and July 28, 2007 appear in the financial statements below. Non-GAAP net income, where applicable, excludes the effect of stock-based compensation, amortization and write-offs of acquired intangible assets and restructuring costs.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194310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GAAP net income was $71.4 million, or $0.11 per share (diluted), for the second quarter of fiscal 2009, compared with a GAAP net loss of $56.5 million, or a loss of $0.10 per share for the second quarter of fiscal 2008. In the first quarter of fiscal 2009 GAAP net income was $69.9 million, or $0.11 per share (diluted).</w:t>
      </w:r>
    </w:p>
    <w:p>
      <w:pPr>
        <w:spacing w:after="0" w:line="18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Non-GAAP net income increased to $154 million, or $0.24 per share (diluted) for the second quarter of fiscal 2009, a 288 percent increase compared with non-GAAP net income of $39.7 million, or $0.06 per share (diluted) for the second quarter of fiscal 2008 and an increase of 2 percent from non-GAAP net income of $150.4 million, or $0.24 per share (diluted) for the first quarter of fiscal 2009. Results for the first fiscal quarter of 2009 included one time benefits of $14.5 million, or approximately $0.02 per share.</w:t>
      </w:r>
    </w:p>
    <w:p>
      <w:pPr>
        <w:spacing w:after="0" w:line="18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Non-GAAP gross margin for the second quarter of fiscal 2009 was 52.3 percent, compared to non-GAAP gross margin of 52.0 percent for the first quarter of fiscal 2009 and non-GAAP gross margin of 49.4 percent for the second quarter of fiscal 2008.</w:t>
      </w:r>
    </w:p>
    <w:p>
      <w:pPr>
        <w:spacing w:after="0" w:line="17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Shares used to compute GAAP net income per share, for the second quarter of fiscal 2009 were 638 million shares (diluted), compared with 588 million shares in the second quarter of fiscal 2008 and 624 million shares (diluted) in the first quarter of fiscal 2009. Shares used to compute non-GAAP net income per diluted share for the second quarter of fiscal 2009 were 640 million shares compared with 630 million shares for the second quarter of fiscal 2008 and 624 million shares for the first quarter of fiscal 2009.</w:t>
      </w:r>
    </w:p>
    <w:p>
      <w:pPr>
        <w:spacing w:after="0" w:line="187" w:lineRule="exact"/>
        <w:rPr>
          <w:sz w:val="20"/>
          <w:szCs w:val="20"/>
          <w:color w:val="auto"/>
        </w:rPr>
      </w:pPr>
    </w:p>
    <w:p>
      <w:pPr>
        <w:jc w:val="both"/>
        <w:ind w:right="100"/>
        <w:spacing w:after="0" w:line="264" w:lineRule="auto"/>
        <w:rPr>
          <w:sz w:val="20"/>
          <w:szCs w:val="20"/>
          <w:color w:val="auto"/>
        </w:rPr>
      </w:pPr>
      <w:r>
        <w:rPr>
          <w:rFonts w:ascii="Arial" w:cs="Arial" w:eastAsia="Arial" w:hAnsi="Arial"/>
          <w:sz w:val="18"/>
          <w:szCs w:val="18"/>
          <w:color w:val="auto"/>
        </w:rPr>
        <w:t>Cash flow from operations for the second quarter of fiscal 2009 was $183 million, up 40% sequentially from the $130 million reported in the first quarter of fiscal 2009. Free cash, defined as cash flow from operations, less investments in property, plant and equipment, was $167 million, up 67% sequentially from the $100 million reported in the first quarter of fiscal 2009.</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22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will be conducting a conference call on August 28, 2008 at 1:45 p.m. PDT to discuss its second quarter of fiscal 2009 financial performance. The call is being webcast by Thomson/CCBN and can be accessed at Marvell’s web site at www.marvell.com. The conference call will also be available via the web at www.marvell.com. Please visit Marvell’s website, under the Investor Events section of the Investor Relations page. Replay on the Internet will be available until September 4, 2009.</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Non-GAAP net income consists of net income excluding stock-based compensation expense as well as charges related to acquisitions and other charges and gains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warrants, common stock options and restricted stock.</w:t>
      </w:r>
    </w:p>
    <w:p>
      <w:pPr>
        <w:sectPr>
          <w:pgSz w:w="11900" w:h="16838" w:orient="portrait"/>
          <w:cols w:equalWidth="0" w:num="1">
            <w:col w:w="11420"/>
          </w:cols>
          <w:pgMar w:left="240" w:top="121" w:right="239" w:bottom="0" w:gutter="0" w:footer="0" w:header="0"/>
          <w:type w:val="continuous"/>
        </w:sectPr>
      </w:pPr>
    </w:p>
    <w:bookmarkStart w:id="4" w:name="page5"/>
    <w:bookmarkEnd w:id="4"/>
    <w:p>
      <w:pPr>
        <w:ind w:right="20"/>
        <w:spacing w:after="0" w:line="289" w:lineRule="auto"/>
        <w:rPr>
          <w:sz w:val="20"/>
          <w:szCs w:val="20"/>
          <w:color w:val="auto"/>
        </w:rPr>
      </w:pPr>
      <w:r>
        <w:rPr>
          <w:rFonts w:ascii="Arial" w:cs="Arial" w:eastAsia="Arial" w:hAnsi="Arial"/>
          <w:sz w:val="16"/>
          <w:szCs w:val="16"/>
          <w:color w:val="auto"/>
        </w:rPr>
        <w:t xml:space="preserve">Marvell believes that the presentation of non-GAAP net income and non-GAAP net income per share provides important supplemental information to management and investors regarding financial and business trends relating to the company’s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b w:val="1"/>
          <w:bCs w:val="1"/>
          <w:color w:val="auto"/>
        </w:rPr>
        <w:t>www.sec.gov</w:t>
      </w:r>
      <w:r>
        <w:rPr>
          <w:rFonts w:ascii="Arial" w:cs="Arial" w:eastAsia="Arial" w:hAnsi="Arial"/>
          <w:sz w:val="16"/>
          <w:szCs w:val="16"/>
          <w:color w:val="auto"/>
        </w:rPr>
        <w:t xml:space="preserve"> as well as on the Marvell website in the Investor Relations section at www.marvell.com.</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480"/>
        <w:spacing w:after="0" w:line="259" w:lineRule="auto"/>
        <w:rPr>
          <w:sz w:val="20"/>
          <w:szCs w:val="20"/>
          <w:color w:val="auto"/>
        </w:rPr>
      </w:pPr>
      <w:r>
        <w:rPr>
          <w:rFonts w:ascii="Arial" w:cs="Arial" w:eastAsia="Arial" w:hAnsi="Arial"/>
          <w:sz w:val="18"/>
          <w:szCs w:val="18"/>
          <w:color w:val="auto"/>
        </w:rPr>
        <w:t>Marvell Technology (NASDAQ: MRVL) is a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www.marvell.com</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160"/>
        <w:spacing w:after="0" w:line="269" w:lineRule="auto"/>
        <w:rPr>
          <w:sz w:val="20"/>
          <w:szCs w:val="20"/>
          <w:color w:val="auto"/>
        </w:rPr>
      </w:pPr>
      <w:r>
        <w:rPr>
          <w:rFonts w:ascii="Arial" w:cs="Arial" w:eastAsia="Arial" w:hAnsi="Arial"/>
          <w:sz w:val="17"/>
          <w:szCs w:val="17"/>
          <w:color w:val="auto"/>
        </w:rPr>
        <w:t>This press release contains forward-looking statements that involve risks and uncertainties concerning the Company’s use of non-GAAP net income and net income per share as important supplemental information. Actual events or results may differ materially from those described in this document due to a number of risks and uncertainties. These statements are not guarantees of results and are subject to risks and uncertainties that could cause actual results to differ materially from those anticipated in the forward-looking statements, including the Company’s reliance on major customers and suppliers; market acceptance of new products; and other risks detailed in Marvell’s SEC filings. When Marvell files its Form 10-Q for the second quarter of fiscal 2009,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8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95"/>
              </w:rPr>
              <w:t>Three Months Ended</w:t>
            </w:r>
          </w:p>
        </w:tc>
        <w:tc>
          <w:tcPr>
            <w:tcW w:w="2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8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10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right"/>
              <w:ind w:right="400"/>
              <w:spacing w:after="0" w:line="119" w:lineRule="exact"/>
              <w:rPr>
                <w:sz w:val="20"/>
                <w:szCs w:val="20"/>
                <w:color w:val="auto"/>
              </w:rPr>
            </w:pPr>
            <w:r>
              <w:rPr>
                <w:rFonts w:ascii="Arial" w:cs="Arial" w:eastAsia="Arial" w:hAnsi="Arial"/>
                <w:sz w:val="13"/>
                <w:szCs w:val="13"/>
                <w:b w:val="1"/>
                <w:bCs w:val="1"/>
                <w:color w:val="auto"/>
              </w:rPr>
              <w:t>August 2,</w:t>
            </w:r>
          </w:p>
        </w:tc>
        <w:tc>
          <w:tcPr>
            <w:tcW w:w="16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center"/>
              <w:ind w:right="500"/>
              <w:spacing w:after="0" w:line="119" w:lineRule="exact"/>
              <w:rPr>
                <w:sz w:val="20"/>
                <w:szCs w:val="20"/>
                <w:color w:val="auto"/>
              </w:rPr>
            </w:pPr>
            <w:r>
              <w:rPr>
                <w:rFonts w:ascii="Arial" w:cs="Arial" w:eastAsia="Arial" w:hAnsi="Arial"/>
                <w:sz w:val="13"/>
                <w:szCs w:val="13"/>
                <w:b w:val="1"/>
                <w:bCs w:val="1"/>
                <w:color w:val="auto"/>
              </w:rPr>
              <w:t>May 3,</w:t>
            </w:r>
          </w:p>
        </w:tc>
        <w:tc>
          <w:tcPr>
            <w:tcW w:w="22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tcPr>
          <w:p>
            <w:pPr>
              <w:jc w:val="right"/>
              <w:ind w:right="252"/>
              <w:spacing w:after="0" w:line="119" w:lineRule="exact"/>
              <w:rPr>
                <w:sz w:val="20"/>
                <w:szCs w:val="20"/>
                <w:color w:val="auto"/>
              </w:rPr>
            </w:pPr>
            <w:r>
              <w:rPr>
                <w:rFonts w:ascii="Arial" w:cs="Arial" w:eastAsia="Arial" w:hAnsi="Arial"/>
                <w:sz w:val="13"/>
                <w:szCs w:val="13"/>
                <w:b w:val="1"/>
                <w:bCs w:val="1"/>
                <w:color w:val="auto"/>
              </w:rPr>
              <w:t>July 28,</w:t>
            </w: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August 2,</w:t>
            </w:r>
          </w:p>
        </w:tc>
        <w:tc>
          <w:tcPr>
            <w:tcW w:w="120" w:type="dxa"/>
            <w:vAlign w:val="bottom"/>
            <w:tcBorders>
              <w:top w:val="single" w:sz="8" w:color="auto"/>
            </w:tcBorders>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252"/>
              <w:spacing w:after="0" w:line="119" w:lineRule="exact"/>
              <w:rPr>
                <w:sz w:val="20"/>
                <w:szCs w:val="20"/>
                <w:color w:val="auto"/>
              </w:rPr>
            </w:pPr>
            <w:r>
              <w:rPr>
                <w:rFonts w:ascii="Arial" w:cs="Arial" w:eastAsia="Arial" w:hAnsi="Arial"/>
                <w:sz w:val="13"/>
                <w:szCs w:val="13"/>
                <w:b w:val="1"/>
                <w:bCs w:val="1"/>
                <w:color w:val="auto"/>
              </w:rPr>
              <w:t>July 28,</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52"/>
              <w:spacing w:after="0"/>
              <w:rPr>
                <w:sz w:val="20"/>
                <w:szCs w:val="20"/>
                <w:color w:val="auto"/>
              </w:rPr>
            </w:pPr>
            <w:r>
              <w:rPr>
                <w:rFonts w:ascii="Arial" w:cs="Arial" w:eastAsia="Arial" w:hAnsi="Arial"/>
                <w:sz w:val="14"/>
                <w:szCs w:val="14"/>
                <w:b w:val="1"/>
                <w:bCs w:val="1"/>
                <w:color w:val="auto"/>
              </w:rPr>
              <w:t>2008</w:t>
            </w: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center"/>
              <w:ind w:right="132"/>
              <w:spacing w:after="0"/>
              <w:rPr>
                <w:sz w:val="20"/>
                <w:szCs w:val="20"/>
                <w:color w:val="auto"/>
              </w:rPr>
            </w:pPr>
            <w:r>
              <w:rPr>
                <w:rFonts w:ascii="Arial" w:cs="Arial" w:eastAsia="Arial" w:hAnsi="Arial"/>
                <w:sz w:val="14"/>
                <w:szCs w:val="14"/>
                <w:b w:val="1"/>
                <w:bCs w:val="1"/>
                <w:color w:val="auto"/>
                <w:w w:val="96"/>
              </w:rPr>
              <w:t>2008</w:t>
            </w:r>
          </w:p>
        </w:tc>
        <w:tc>
          <w:tcPr>
            <w:tcW w:w="28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332"/>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52"/>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4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54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842,575</w:t>
            </w:r>
          </w:p>
        </w:tc>
        <w:tc>
          <w:tcPr>
            <w:tcW w:w="3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804,075</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656,711</w:t>
            </w:r>
          </w:p>
        </w:tc>
        <w:tc>
          <w:tcPr>
            <w:tcW w:w="300" w:type="dxa"/>
            <w:vAlign w:val="bottom"/>
            <w:gridSpan w:val="2"/>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1,646,650</w:t>
            </w:r>
          </w:p>
        </w:tc>
        <w:tc>
          <w:tcPr>
            <w:tcW w:w="16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1,291,761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Cost of goods sold</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405,913</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388,842</w:t>
            </w:r>
          </w:p>
        </w:tc>
        <w:tc>
          <w:tcPr>
            <w:tcW w:w="2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335,530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794,755</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662,947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3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436,662</w:t>
            </w: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415,233</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321,181</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851,895</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628,814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Operating expenses:</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 and other</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249,714</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238,475</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236,194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488,189</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470,327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ind w:left="160"/>
              <w:spacing w:after="0"/>
              <w:rPr>
                <w:sz w:val="20"/>
                <w:szCs w:val="20"/>
                <w:color w:val="auto"/>
              </w:rPr>
            </w:pPr>
            <w:r>
              <w:rPr>
                <w:rFonts w:ascii="Arial" w:cs="Arial" w:eastAsia="Arial" w:hAnsi="Arial"/>
                <w:sz w:val="18"/>
                <w:szCs w:val="18"/>
                <w:color w:val="auto"/>
              </w:rPr>
              <w:t>Selling and marketing</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41,834</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46,088</w:t>
            </w:r>
          </w:p>
        </w:tc>
        <w:tc>
          <w:tcPr>
            <w:tcW w:w="220" w:type="dxa"/>
            <w:vAlign w:val="bottom"/>
          </w:tcPr>
          <w:p>
            <w:pPr>
              <w:spacing w:after="0"/>
              <w:rPr>
                <w:sz w:val="18"/>
                <w:szCs w:val="18"/>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53,942</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87,922</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104,334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30,989</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12,951</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33,775</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43,940</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3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34,988</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35,247</w:t>
            </w:r>
          </w:p>
        </w:tc>
        <w:tc>
          <w:tcPr>
            <w:tcW w:w="220" w:type="dxa"/>
            <w:vAlign w:val="bottom"/>
          </w:tcPr>
          <w:p>
            <w:pPr>
              <w:spacing w:after="0"/>
              <w:rPr>
                <w:sz w:val="18"/>
                <w:szCs w:val="18"/>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37,293</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70,235</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74,613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Borders>
              <w:top w:val="single" w:sz="8" w:color="CCEEFF"/>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operating expenses</w:t>
            </w:r>
          </w:p>
        </w:tc>
        <w:tc>
          <w:tcPr>
            <w:tcW w:w="3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357,525</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332,761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361,204</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690,286</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707,037</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vMerge w:val="restart"/>
          </w:tcPr>
          <w:p>
            <w:pPr>
              <w:spacing w:after="0"/>
              <w:rPr>
                <w:sz w:val="20"/>
                <w:szCs w:val="20"/>
                <w:color w:val="auto"/>
              </w:rPr>
            </w:pPr>
            <w:r>
              <w:rPr>
                <w:rFonts w:ascii="Arial" w:cs="Arial" w:eastAsia="Arial" w:hAnsi="Arial"/>
                <w:sz w:val="18"/>
                <w:szCs w:val="18"/>
                <w:color w:val="auto"/>
              </w:rPr>
              <w:t>Operating income (loss)</w:t>
            </w:r>
          </w:p>
        </w:tc>
        <w:tc>
          <w:tcPr>
            <w:tcW w:w="3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80" w:type="dxa"/>
            <w:vAlign w:val="bottom"/>
            <w:vMerge w:val="restart"/>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4100" w:type="dxa"/>
            <w:vAlign w:val="bottom"/>
            <w:vMerge w:val="continue"/>
          </w:tcPr>
          <w:p>
            <w:pPr>
              <w:spacing w:after="0"/>
              <w:rPr>
                <w:sz w:val="17"/>
                <w:szCs w:val="17"/>
                <w:color w:val="auto"/>
              </w:rPr>
            </w:pPr>
          </w:p>
        </w:tc>
        <w:tc>
          <w:tcPr>
            <w:tcW w:w="3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79,137</w:t>
            </w:r>
          </w:p>
        </w:tc>
        <w:tc>
          <w:tcPr>
            <w:tcW w:w="120" w:type="dxa"/>
            <w:vAlign w:val="bottom"/>
            <w:vMerge w:val="continue"/>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82,472</w:t>
            </w:r>
          </w:p>
        </w:tc>
        <w:tc>
          <w:tcPr>
            <w:tcW w:w="280" w:type="dxa"/>
            <w:vAlign w:val="bottom"/>
            <w:vMerge w:val="continue"/>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(40,023)</w:t>
            </w:r>
          </w:p>
        </w:tc>
        <w:tc>
          <w:tcPr>
            <w:tcW w:w="16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60" w:type="dxa"/>
            <w:vAlign w:val="bottom"/>
          </w:tcPr>
          <w:p>
            <w:pPr>
              <w:jc w:val="right"/>
              <w:spacing w:after="0" w:line="196" w:lineRule="exact"/>
              <w:rPr>
                <w:sz w:val="20"/>
                <w:szCs w:val="20"/>
                <w:color w:val="auto"/>
              </w:rPr>
            </w:pPr>
            <w:r>
              <w:rPr>
                <w:rFonts w:ascii="Arial" w:cs="Arial" w:eastAsia="Arial" w:hAnsi="Arial"/>
                <w:sz w:val="18"/>
                <w:szCs w:val="18"/>
                <w:color w:val="auto"/>
              </w:rPr>
              <w:t>161,609</w:t>
            </w:r>
          </w:p>
        </w:tc>
        <w:tc>
          <w:tcPr>
            <w:tcW w:w="16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(78,223)</w:t>
            </w:r>
          </w:p>
        </w:tc>
        <w:tc>
          <w:tcPr>
            <w:tcW w:w="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(2,690)</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(3,959)</w:t>
            </w:r>
          </w:p>
        </w:tc>
        <w:tc>
          <w:tcPr>
            <w:tcW w:w="2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(6,814)</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(6,649)</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(15,470)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Income (loss) before income taxes</w:t>
            </w:r>
          </w:p>
        </w:tc>
        <w:tc>
          <w:tcPr>
            <w:tcW w:w="3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bottom w:val="single" w:sz="8" w:color="CCEEFF"/>
            </w:tcBorders>
            <w:vMerge w:val="restart"/>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bottom w:val="single" w:sz="8" w:color="CCEEFF"/>
            </w:tcBorders>
            <w:vMerge w:val="restart"/>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bottom w:val="single" w:sz="8" w:color="CCEEFF"/>
            </w:tcBorders>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tcPr>
          <w:p>
            <w:pPr>
              <w:spacing w:after="0"/>
              <w:rPr>
                <w:sz w:val="17"/>
                <w:szCs w:val="17"/>
                <w:color w:val="auto"/>
              </w:rPr>
            </w:pPr>
          </w:p>
        </w:tc>
        <w:tc>
          <w:tcPr>
            <w:tcW w:w="4100" w:type="dxa"/>
            <w:vAlign w:val="bottom"/>
            <w:vMerge w:val="continue"/>
          </w:tcPr>
          <w:p>
            <w:pPr>
              <w:spacing w:after="0"/>
              <w:rPr>
                <w:sz w:val="17"/>
                <w:szCs w:val="17"/>
                <w:color w:val="auto"/>
              </w:rPr>
            </w:pPr>
          </w:p>
        </w:tc>
        <w:tc>
          <w:tcPr>
            <w:tcW w:w="3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76,447</w:t>
            </w:r>
          </w:p>
        </w:tc>
        <w:tc>
          <w:tcPr>
            <w:tcW w:w="120" w:type="dxa"/>
            <w:vAlign w:val="bottom"/>
            <w:vMerge w:val="continue"/>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78,513</w:t>
            </w:r>
          </w:p>
        </w:tc>
        <w:tc>
          <w:tcPr>
            <w:tcW w:w="280" w:type="dxa"/>
            <w:vAlign w:val="bottom"/>
            <w:vMerge w:val="continue"/>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jc w:val="right"/>
              <w:spacing w:after="0" w:line="196" w:lineRule="exact"/>
              <w:rPr>
                <w:sz w:val="20"/>
                <w:szCs w:val="20"/>
                <w:color w:val="auto"/>
              </w:rPr>
            </w:pPr>
            <w:r>
              <w:rPr>
                <w:rFonts w:ascii="Arial" w:cs="Arial" w:eastAsia="Arial" w:hAnsi="Arial"/>
                <w:sz w:val="18"/>
                <w:szCs w:val="18"/>
                <w:color w:val="auto"/>
              </w:rPr>
              <w:t>(46,837)</w:t>
            </w:r>
          </w:p>
        </w:tc>
        <w:tc>
          <w:tcPr>
            <w:tcW w:w="16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60" w:type="dxa"/>
            <w:vAlign w:val="bottom"/>
          </w:tcPr>
          <w:p>
            <w:pPr>
              <w:jc w:val="right"/>
              <w:spacing w:after="0" w:line="196" w:lineRule="exact"/>
              <w:rPr>
                <w:sz w:val="20"/>
                <w:szCs w:val="20"/>
                <w:color w:val="auto"/>
              </w:rPr>
            </w:pPr>
            <w:r>
              <w:rPr>
                <w:rFonts w:ascii="Arial" w:cs="Arial" w:eastAsia="Arial" w:hAnsi="Arial"/>
                <w:sz w:val="18"/>
                <w:szCs w:val="18"/>
                <w:color w:val="auto"/>
              </w:rPr>
              <w:t>154,960</w:t>
            </w:r>
          </w:p>
        </w:tc>
        <w:tc>
          <w:tcPr>
            <w:tcW w:w="16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40" w:type="dxa"/>
            <w:vAlign w:val="bottom"/>
          </w:tcPr>
          <w:p>
            <w:pPr>
              <w:jc w:val="right"/>
              <w:spacing w:after="0" w:line="196" w:lineRule="exact"/>
              <w:rPr>
                <w:sz w:val="20"/>
                <w:szCs w:val="20"/>
                <w:color w:val="auto"/>
              </w:rPr>
            </w:pPr>
            <w:r>
              <w:rPr>
                <w:rFonts w:ascii="Arial" w:cs="Arial" w:eastAsia="Arial" w:hAnsi="Arial"/>
                <w:sz w:val="18"/>
                <w:szCs w:val="18"/>
                <w:color w:val="auto"/>
              </w:rPr>
              <w:t>(93,693)</w:t>
            </w:r>
          </w:p>
        </w:tc>
        <w:tc>
          <w:tcPr>
            <w:tcW w:w="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5,080</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8,574</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13,654</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15,591</w:t>
            </w: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41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36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71,367</w:t>
            </w:r>
          </w:p>
        </w:tc>
        <w:tc>
          <w:tcPr>
            <w:tcW w:w="120" w:type="dxa"/>
            <w:vAlign w:val="bottom"/>
            <w:tcBorders>
              <w:bottom w:val="single" w:sz="8" w:color="CCEEFF"/>
            </w:tcBorders>
          </w:tcPr>
          <w:p>
            <w:pPr>
              <w:spacing w:after="0"/>
              <w:rPr>
                <w:sz w:val="21"/>
                <w:szCs w:val="21"/>
                <w:color w:val="auto"/>
              </w:rPr>
            </w:pPr>
          </w:p>
        </w:tc>
        <w:tc>
          <w:tcPr>
            <w:tcW w:w="160" w:type="dxa"/>
            <w:vAlign w:val="bottom"/>
            <w:tcBorders>
              <w:bottom w:val="single" w:sz="8" w:color="CCEEFF"/>
            </w:tcBorders>
          </w:tcPr>
          <w:p>
            <w:pPr>
              <w:spacing w:after="0"/>
              <w:rPr>
                <w:sz w:val="21"/>
                <w:szCs w:val="21"/>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69,939</w:t>
            </w:r>
          </w:p>
        </w:tc>
        <w:tc>
          <w:tcPr>
            <w:tcW w:w="280" w:type="dxa"/>
            <w:vAlign w:val="bottom"/>
            <w:tcBorders>
              <w:bottom w:val="single" w:sz="8" w:color="CCEEFF"/>
            </w:tcBorders>
          </w:tcPr>
          <w:p>
            <w:pPr>
              <w:spacing w:after="0"/>
              <w:rPr>
                <w:sz w:val="21"/>
                <w:szCs w:val="21"/>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(56,456)</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spacing w:after="0"/>
              <w:rPr>
                <w:sz w:val="21"/>
                <w:szCs w:val="21"/>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141,306</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spacing w:after="0"/>
              <w:rPr>
                <w:sz w:val="21"/>
                <w:szCs w:val="21"/>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(109,284)</w:t>
            </w:r>
          </w:p>
        </w:tc>
        <w:tc>
          <w:tcPr>
            <w:tcW w:w="10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410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0" w:type="dxa"/>
            <w:vAlign w:val="bottom"/>
            <w:vMerge w:val="continue"/>
          </w:tcPr>
          <w:p>
            <w:pPr>
              <w:spacing w:after="0"/>
              <w:rPr>
                <w:sz w:val="22"/>
                <w:szCs w:val="22"/>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Basic net income (loss) per share</w:t>
            </w:r>
          </w:p>
        </w:tc>
        <w:tc>
          <w:tcPr>
            <w:tcW w:w="54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0.12</w:t>
            </w:r>
          </w:p>
        </w:tc>
        <w:tc>
          <w:tcPr>
            <w:tcW w:w="38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0.12</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100"/>
              <w:spacing w:after="0"/>
              <w:rPr>
                <w:sz w:val="20"/>
                <w:szCs w:val="20"/>
                <w:color w:val="auto"/>
              </w:rPr>
            </w:pPr>
            <w:r>
              <w:rPr>
                <w:rFonts w:ascii="Arial" w:cs="Arial" w:eastAsia="Arial" w:hAnsi="Arial"/>
                <w:sz w:val="18"/>
                <w:szCs w:val="18"/>
                <w:color w:val="auto"/>
              </w:rPr>
              <w:t>(0.10)</w:t>
            </w:r>
          </w:p>
        </w:tc>
        <w:tc>
          <w:tcPr>
            <w:tcW w:w="30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0.23</w:t>
            </w:r>
          </w:p>
        </w:tc>
        <w:tc>
          <w:tcPr>
            <w:tcW w:w="32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197"/>
        </w:trPr>
        <w:tc>
          <w:tcPr>
            <w:tcW w:w="20" w:type="dxa"/>
            <w:vAlign w:val="bottom"/>
          </w:tcPr>
          <w:p>
            <w:pPr>
              <w:spacing w:after="0"/>
              <w:rPr>
                <w:sz w:val="17"/>
                <w:szCs w:val="17"/>
                <w:color w:val="auto"/>
              </w:rPr>
            </w:pPr>
          </w:p>
        </w:tc>
        <w:tc>
          <w:tcPr>
            <w:tcW w:w="410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Diluted net income (loss) per share</w:t>
            </w:r>
          </w:p>
        </w:tc>
        <w:tc>
          <w:tcPr>
            <w:tcW w:w="36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280" w:type="dxa"/>
            <w:vAlign w:val="bottom"/>
            <w:tcBorders>
              <w:top w:val="single" w:sz="8" w:color="CCEEFF"/>
              <w:bottom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(0.10)</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0.22</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(0.19)</w:t>
            </w: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41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w w:val="99"/>
              </w:rPr>
              <w:t>Shares used in computing basic earnings per share</w:t>
            </w:r>
          </w:p>
        </w:tc>
        <w:tc>
          <w:tcPr>
            <w:tcW w:w="3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606,860</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601,222</w:t>
            </w: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587,534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604,041</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587,480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100" w:type="dxa"/>
            <w:vAlign w:val="bottom"/>
          </w:tcPr>
          <w:p>
            <w:pPr>
              <w:spacing w:after="0"/>
              <w:rPr>
                <w:sz w:val="20"/>
                <w:szCs w:val="20"/>
                <w:color w:val="auto"/>
              </w:rPr>
            </w:pPr>
            <w:r>
              <w:rPr>
                <w:rFonts w:ascii="Arial" w:cs="Arial" w:eastAsia="Arial" w:hAnsi="Arial"/>
                <w:sz w:val="18"/>
                <w:szCs w:val="18"/>
                <w:color w:val="auto"/>
                <w:w w:val="96"/>
              </w:rPr>
              <w:t>Shares used in computing diluted earnings per share</w:t>
            </w:r>
          </w:p>
        </w:tc>
        <w:tc>
          <w:tcPr>
            <w:tcW w:w="3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637,832</w:t>
            </w: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624,351</w:t>
            </w:r>
          </w:p>
        </w:tc>
        <w:tc>
          <w:tcPr>
            <w:tcW w:w="2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587,534</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631,091</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587,480</w:t>
            </w:r>
          </w:p>
        </w:tc>
        <w:tc>
          <w:tcPr>
            <w:tcW w:w="0" w:type="dxa"/>
            <w:vAlign w:val="bottom"/>
          </w:tcPr>
          <w:p>
            <w:pPr>
              <w:spacing w:after="0"/>
              <w:rPr>
                <w:sz w:val="1"/>
                <w:szCs w:val="1"/>
                <w:color w:val="auto"/>
              </w:rPr>
            </w:pPr>
          </w:p>
        </w:tc>
      </w:tr>
    </w:tbl>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Non-GAAP Adjustments</w:t>
      </w:r>
    </w:p>
    <w:p>
      <w:pPr>
        <w:sectPr>
          <w:pgSz w:w="11900" w:h="16838" w:orient="portrait"/>
          <w:cols w:equalWidth="0" w:num="1">
            <w:col w:w="11420"/>
          </w:cols>
          <w:pgMar w:left="240" w:top="125" w:right="239" w:bottom="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t>(Unaudited)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40" w:type="dxa"/>
            <w:vAlign w:val="bottom"/>
            <w:gridSpan w:val="6"/>
          </w:tcPr>
          <w:p>
            <w:pPr>
              <w:jc w:val="center"/>
              <w:ind w:right="210"/>
              <w:spacing w:after="0"/>
              <w:rPr>
                <w:sz w:val="20"/>
                <w:szCs w:val="20"/>
                <w:color w:val="auto"/>
              </w:rPr>
            </w:pPr>
            <w:r>
              <w:rPr>
                <w:rFonts w:ascii="Arial" w:cs="Arial" w:eastAsia="Arial" w:hAnsi="Arial"/>
                <w:sz w:val="14"/>
                <w:szCs w:val="14"/>
                <w:b w:val="1"/>
                <w:bCs w:val="1"/>
                <w:color w:val="auto"/>
                <w:w w:val="93"/>
              </w:rPr>
              <w:t>Three Months Ended</w:t>
            </w: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60" w:type="dxa"/>
            <w:vAlign w:val="bottom"/>
            <w:gridSpan w:val="6"/>
          </w:tcPr>
          <w:p>
            <w:pPr>
              <w:jc w:val="center"/>
              <w:ind w:right="170"/>
              <w:spacing w:after="0"/>
              <w:rPr>
                <w:sz w:val="20"/>
                <w:szCs w:val="20"/>
                <w:color w:val="auto"/>
              </w:rPr>
            </w:pPr>
            <w:r>
              <w:rPr>
                <w:rFonts w:ascii="Arial" w:cs="Arial" w:eastAsia="Arial" w:hAnsi="Arial"/>
                <w:sz w:val="14"/>
                <w:szCs w:val="14"/>
                <w:b w:val="1"/>
                <w:bCs w:val="1"/>
                <w:color w:val="auto"/>
                <w:w w:val="93"/>
              </w:rPr>
              <w:t>Three Months Ended</w:t>
            </w:r>
          </w:p>
        </w:tc>
        <w:tc>
          <w:tcPr>
            <w:tcW w:w="8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gridSpan w:val="3"/>
          </w:tcPr>
          <w:p>
            <w:pPr>
              <w:jc w:val="center"/>
              <w:ind w:right="60"/>
              <w:spacing w:after="0"/>
              <w:rPr>
                <w:sz w:val="20"/>
                <w:szCs w:val="20"/>
                <w:color w:val="auto"/>
              </w:rPr>
            </w:pPr>
            <w:r>
              <w:rPr>
                <w:rFonts w:ascii="Arial" w:cs="Arial" w:eastAsia="Arial" w:hAnsi="Arial"/>
                <w:sz w:val="14"/>
                <w:szCs w:val="14"/>
                <w:b w:val="1"/>
                <w:bCs w:val="1"/>
                <w:color w:val="auto"/>
                <w:w w:val="91"/>
              </w:rPr>
              <w:t>August 2, 2008</w:t>
            </w:r>
          </w:p>
        </w:tc>
        <w:tc>
          <w:tcPr>
            <w:tcW w:w="3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3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gridSpan w:val="3"/>
          </w:tcPr>
          <w:p>
            <w:pPr>
              <w:jc w:val="center"/>
              <w:ind w:right="40"/>
              <w:spacing w:after="0"/>
              <w:rPr>
                <w:sz w:val="20"/>
                <w:szCs w:val="20"/>
                <w:color w:val="auto"/>
              </w:rPr>
            </w:pPr>
            <w:r>
              <w:rPr>
                <w:rFonts w:ascii="Arial" w:cs="Arial" w:eastAsia="Arial" w:hAnsi="Arial"/>
                <w:sz w:val="14"/>
                <w:szCs w:val="14"/>
                <w:b w:val="1"/>
                <w:bCs w:val="1"/>
                <w:color w:val="auto"/>
                <w:w w:val="94"/>
              </w:rPr>
              <w:t>July 28, 2007</w:t>
            </w: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60" w:type="dxa"/>
            <w:vAlign w:val="bottom"/>
            <w:gridSpan w:val="2"/>
          </w:tcPr>
          <w:p>
            <w:pPr>
              <w:jc w:val="right"/>
              <w:ind w:right="460"/>
              <w:spacing w:after="0" w:line="142" w:lineRule="exact"/>
              <w:rPr>
                <w:sz w:val="20"/>
                <w:szCs w:val="20"/>
                <w:color w:val="auto"/>
              </w:rPr>
            </w:pPr>
            <w:r>
              <w:rPr>
                <w:rFonts w:ascii="Arial" w:cs="Arial" w:eastAsia="Arial" w:hAnsi="Arial"/>
                <w:sz w:val="14"/>
                <w:szCs w:val="14"/>
                <w:b w:val="1"/>
                <w:bCs w:val="1"/>
                <w:color w:val="auto"/>
              </w:rPr>
              <w:t>GAAP</w:t>
            </w:r>
          </w:p>
        </w:tc>
        <w:tc>
          <w:tcPr>
            <w:tcW w:w="200" w:type="dxa"/>
            <w:vAlign w:val="bottom"/>
          </w:tcPr>
          <w:p>
            <w:pPr>
              <w:spacing w:after="0"/>
              <w:rPr>
                <w:sz w:val="12"/>
                <w:szCs w:val="12"/>
                <w:color w:val="auto"/>
              </w:rPr>
            </w:pPr>
          </w:p>
        </w:tc>
        <w:tc>
          <w:tcPr>
            <w:tcW w:w="1000" w:type="dxa"/>
            <w:vAlign w:val="bottom"/>
            <w:gridSpan w:val="3"/>
          </w:tcPr>
          <w:p>
            <w:pPr>
              <w:jc w:val="center"/>
              <w:ind w:right="60"/>
              <w:spacing w:after="0" w:line="142" w:lineRule="exact"/>
              <w:rPr>
                <w:sz w:val="20"/>
                <w:szCs w:val="20"/>
                <w:color w:val="auto"/>
              </w:rPr>
            </w:pPr>
            <w:r>
              <w:rPr>
                <w:rFonts w:ascii="Arial" w:cs="Arial" w:eastAsia="Arial" w:hAnsi="Arial"/>
                <w:sz w:val="14"/>
                <w:szCs w:val="14"/>
                <w:b w:val="1"/>
                <w:bCs w:val="1"/>
                <w:color w:val="auto"/>
                <w:w w:val="91"/>
              </w:rPr>
              <w:t>Adjustments</w:t>
            </w: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tcPr>
          <w:p>
            <w:pPr>
              <w:jc w:val="right"/>
              <w:ind w:right="31"/>
              <w:spacing w:after="0" w:line="142" w:lineRule="exact"/>
              <w:rPr>
                <w:sz w:val="20"/>
                <w:szCs w:val="20"/>
                <w:color w:val="auto"/>
              </w:rPr>
            </w:pPr>
            <w:r>
              <w:rPr>
                <w:rFonts w:ascii="Arial" w:cs="Arial" w:eastAsia="Arial" w:hAnsi="Arial"/>
                <w:sz w:val="14"/>
                <w:szCs w:val="14"/>
                <w:b w:val="1"/>
                <w:bCs w:val="1"/>
                <w:color w:val="auto"/>
                <w:w w:val="99"/>
              </w:rPr>
              <w:t>Non-GAAP</w:t>
            </w:r>
          </w:p>
        </w:tc>
        <w:tc>
          <w:tcPr>
            <w:tcW w:w="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40" w:type="dxa"/>
            <w:vAlign w:val="bottom"/>
            <w:gridSpan w:val="2"/>
          </w:tcPr>
          <w:p>
            <w:pPr>
              <w:jc w:val="right"/>
              <w:ind w:right="360"/>
              <w:spacing w:after="0" w:line="142" w:lineRule="exact"/>
              <w:rPr>
                <w:sz w:val="20"/>
                <w:szCs w:val="20"/>
                <w:color w:val="auto"/>
              </w:rPr>
            </w:pPr>
            <w:r>
              <w:rPr>
                <w:rFonts w:ascii="Arial" w:cs="Arial" w:eastAsia="Arial" w:hAnsi="Arial"/>
                <w:sz w:val="14"/>
                <w:szCs w:val="14"/>
                <w:b w:val="1"/>
                <w:bCs w:val="1"/>
                <w:color w:val="auto"/>
              </w:rPr>
              <w:t>GAAP</w:t>
            </w:r>
          </w:p>
        </w:tc>
        <w:tc>
          <w:tcPr>
            <w:tcW w:w="180" w:type="dxa"/>
            <w:vAlign w:val="bottom"/>
          </w:tcPr>
          <w:p>
            <w:pPr>
              <w:spacing w:after="0"/>
              <w:rPr>
                <w:sz w:val="12"/>
                <w:szCs w:val="12"/>
                <w:color w:val="auto"/>
              </w:rPr>
            </w:pPr>
          </w:p>
        </w:tc>
        <w:tc>
          <w:tcPr>
            <w:tcW w:w="980" w:type="dxa"/>
            <w:vAlign w:val="bottom"/>
            <w:gridSpan w:val="3"/>
          </w:tcPr>
          <w:p>
            <w:pPr>
              <w:jc w:val="center"/>
              <w:ind w:right="40"/>
              <w:spacing w:after="0" w:line="142" w:lineRule="exact"/>
              <w:rPr>
                <w:sz w:val="20"/>
                <w:szCs w:val="20"/>
                <w:color w:val="auto"/>
              </w:rPr>
            </w:pPr>
            <w:r>
              <w:rPr>
                <w:rFonts w:ascii="Arial" w:cs="Arial" w:eastAsia="Arial" w:hAnsi="Arial"/>
                <w:sz w:val="14"/>
                <w:szCs w:val="14"/>
                <w:b w:val="1"/>
                <w:bCs w:val="1"/>
                <w:color w:val="auto"/>
                <w:w w:val="91"/>
              </w:rPr>
              <w:t>Adjustments</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tcPr>
          <w:p>
            <w:pPr>
              <w:jc w:val="right"/>
              <w:ind w:right="31"/>
              <w:spacing w:after="0" w:line="142" w:lineRule="exact"/>
              <w:rPr>
                <w:sz w:val="20"/>
                <w:szCs w:val="20"/>
                <w:color w:val="auto"/>
              </w:rPr>
            </w:pPr>
            <w:r>
              <w:rPr>
                <w:rFonts w:ascii="Arial" w:cs="Arial" w:eastAsia="Arial" w:hAnsi="Arial"/>
                <w:sz w:val="14"/>
                <w:szCs w:val="14"/>
                <w:b w:val="1"/>
                <w:bCs w:val="1"/>
                <w:color w:val="auto"/>
                <w:w w:val="99"/>
              </w:rPr>
              <w:t>Non-GAAP</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70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80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70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842,575</w:t>
            </w:r>
          </w:p>
        </w:tc>
        <w:tc>
          <w:tcPr>
            <w:tcW w:w="460" w:type="dxa"/>
            <w:vAlign w:val="bottom"/>
            <w:gridSpan w:val="2"/>
            <w:shd w:val="clear" w:color="auto" w:fill="CCEEFF"/>
          </w:tcPr>
          <w:p>
            <w:pPr>
              <w:jc w:val="right"/>
              <w:ind w:right="107"/>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842,575</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656,711</w:t>
            </w:r>
          </w:p>
        </w:tc>
        <w:tc>
          <w:tcPr>
            <w:tcW w:w="440" w:type="dxa"/>
            <w:vAlign w:val="bottom"/>
            <w:gridSpan w:val="2"/>
            <w:shd w:val="clear" w:color="auto" w:fill="CCEEFF"/>
          </w:tcPr>
          <w:p>
            <w:pPr>
              <w:jc w:val="right"/>
              <w:ind w:right="107"/>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656,711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Cost of goods sold</w:t>
            </w:r>
          </w:p>
        </w:tc>
        <w:tc>
          <w:tcPr>
            <w:tcW w:w="20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405,913</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3,755</w:t>
            </w:r>
          </w:p>
        </w:tc>
        <w:tc>
          <w:tcPr>
            <w:tcW w:w="44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402,158</w:t>
            </w:r>
          </w:p>
        </w:tc>
        <w:tc>
          <w:tcPr>
            <w:tcW w:w="18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335,530</w:t>
            </w: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3,275</w:t>
            </w:r>
          </w:p>
        </w:tc>
        <w:tc>
          <w:tcPr>
            <w:tcW w:w="40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332,255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0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436,662</w:t>
            </w:r>
          </w:p>
        </w:tc>
        <w:tc>
          <w:tcPr>
            <w:tcW w:w="1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3,755</w:t>
            </w:r>
          </w:p>
        </w:tc>
        <w:tc>
          <w:tcPr>
            <w:tcW w:w="4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440,417</w:t>
            </w:r>
          </w:p>
        </w:tc>
        <w:tc>
          <w:tcPr>
            <w:tcW w:w="3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321,181</w:t>
            </w:r>
          </w:p>
        </w:tc>
        <w:tc>
          <w:tcPr>
            <w:tcW w:w="1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3,275</w:t>
            </w:r>
          </w:p>
        </w:tc>
        <w:tc>
          <w:tcPr>
            <w:tcW w:w="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324,456</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ind w:left="160"/>
              <w:spacing w:after="0"/>
              <w:rPr>
                <w:sz w:val="20"/>
                <w:szCs w:val="20"/>
                <w:color w:val="auto"/>
              </w:rPr>
            </w:pPr>
            <w:r>
              <w:rPr>
                <w:rFonts w:ascii="Arial" w:cs="Arial" w:eastAsia="Arial" w:hAnsi="Arial"/>
                <w:sz w:val="18"/>
                <w:szCs w:val="18"/>
                <w:color w:val="auto"/>
              </w:rPr>
              <w:t>Gross margin</w:t>
            </w:r>
          </w:p>
        </w:tc>
        <w:tc>
          <w:tcPr>
            <w:tcW w:w="20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51.8%</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180"/>
              <w:spacing w:after="0"/>
              <w:rPr>
                <w:sz w:val="20"/>
                <w:szCs w:val="20"/>
                <w:color w:val="auto"/>
              </w:rPr>
            </w:pPr>
            <w:r>
              <w:rPr>
                <w:rFonts w:ascii="Arial" w:cs="Arial" w:eastAsia="Arial" w:hAnsi="Arial"/>
                <w:sz w:val="18"/>
                <w:szCs w:val="18"/>
                <w:color w:val="auto"/>
              </w:rPr>
              <w:t>52.3%</w:t>
            </w:r>
          </w:p>
        </w:tc>
        <w:tc>
          <w:tcPr>
            <w:tcW w:w="180" w:type="dxa"/>
            <w:vAlign w:val="bottom"/>
          </w:tcPr>
          <w:p>
            <w:pPr>
              <w:spacing w:after="0"/>
              <w:rPr>
                <w:sz w:val="18"/>
                <w:szCs w:val="18"/>
                <w:color w:val="auto"/>
              </w:rPr>
            </w:pP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48.9%</w:t>
            </w: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2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ind w:left="160"/>
              <w:spacing w:after="0"/>
              <w:rPr>
                <w:sz w:val="20"/>
                <w:szCs w:val="20"/>
                <w:color w:val="auto"/>
              </w:rPr>
            </w:pPr>
            <w:r>
              <w:rPr>
                <w:rFonts w:ascii="Arial" w:cs="Arial" w:eastAsia="Arial" w:hAnsi="Arial"/>
                <w:sz w:val="18"/>
                <w:szCs w:val="18"/>
                <w:color w:val="auto"/>
              </w:rPr>
              <w:t>Research and development and other</w:t>
            </w:r>
          </w:p>
        </w:tc>
        <w:tc>
          <w:tcPr>
            <w:tcW w:w="20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249,714</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32,998</w:t>
            </w:r>
          </w:p>
        </w:tc>
        <w:tc>
          <w:tcPr>
            <w:tcW w:w="44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216,716</w:t>
            </w:r>
          </w:p>
        </w:tc>
        <w:tc>
          <w:tcPr>
            <w:tcW w:w="18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236,194</w:t>
            </w: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34,591</w:t>
            </w:r>
          </w:p>
        </w:tc>
        <w:tc>
          <w:tcPr>
            <w:tcW w:w="40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201,603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41,834</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6,159</w:t>
            </w:r>
          </w:p>
        </w:tc>
        <w:tc>
          <w:tcPr>
            <w:tcW w:w="44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(a)</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35,675</w:t>
            </w:r>
          </w:p>
        </w:tc>
        <w:tc>
          <w:tcPr>
            <w:tcW w:w="1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53,942</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10,977</w:t>
            </w:r>
          </w:p>
        </w:tc>
        <w:tc>
          <w:tcPr>
            <w:tcW w:w="4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(a)</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42,965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20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30,989</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4,715</w:t>
            </w:r>
          </w:p>
        </w:tc>
        <w:tc>
          <w:tcPr>
            <w:tcW w:w="44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26,274</w:t>
            </w:r>
          </w:p>
        </w:tc>
        <w:tc>
          <w:tcPr>
            <w:tcW w:w="18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33,775</w:t>
            </w: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10,033</w:t>
            </w:r>
          </w:p>
        </w:tc>
        <w:tc>
          <w:tcPr>
            <w:tcW w:w="40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23,742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34,988</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34,988</w:t>
            </w:r>
          </w:p>
        </w:tc>
        <w:tc>
          <w:tcPr>
            <w:tcW w:w="44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(b)</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37,293</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37,293</w:t>
            </w:r>
          </w:p>
        </w:tc>
        <w:tc>
          <w:tcPr>
            <w:tcW w:w="4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(b)</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200" w:type="dxa"/>
            <w:vAlign w:val="bottom"/>
            <w:tcBorders>
              <w:top w:val="single" w:sz="8" w:color="auto"/>
              <w:bottom w:val="single" w:sz="8" w:color="auto"/>
            </w:tcBorders>
          </w:tcPr>
          <w:p>
            <w:pPr>
              <w:spacing w:after="0"/>
              <w:rPr>
                <w:sz w:val="18"/>
                <w:szCs w:val="18"/>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357,525</w:t>
            </w:r>
          </w:p>
        </w:tc>
        <w:tc>
          <w:tcPr>
            <w:tcW w:w="16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78,860</w:t>
            </w:r>
          </w:p>
        </w:tc>
        <w:tc>
          <w:tcPr>
            <w:tcW w:w="40" w:type="dxa"/>
            <w:vAlign w:val="bottom"/>
            <w:tcBorders>
              <w:bottom w:val="single" w:sz="8" w:color="CCEEFF"/>
            </w:tcBorders>
          </w:tcPr>
          <w:p>
            <w:pPr>
              <w:spacing w:after="0"/>
              <w:rPr>
                <w:sz w:val="18"/>
                <w:szCs w:val="18"/>
                <w:color w:val="auto"/>
              </w:rPr>
            </w:pPr>
          </w:p>
        </w:tc>
        <w:tc>
          <w:tcPr>
            <w:tcW w:w="34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278,665</w:t>
            </w:r>
          </w:p>
        </w:tc>
        <w:tc>
          <w:tcPr>
            <w:tcW w:w="34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361,204</w:t>
            </w:r>
          </w:p>
        </w:tc>
        <w:tc>
          <w:tcPr>
            <w:tcW w:w="16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92,894</w:t>
            </w:r>
          </w:p>
        </w:tc>
        <w:tc>
          <w:tcPr>
            <w:tcW w:w="40" w:type="dxa"/>
            <w:vAlign w:val="bottom"/>
            <w:tcBorders>
              <w:bottom w:val="single" w:sz="8" w:color="CCEEFF"/>
            </w:tcBorders>
          </w:tcPr>
          <w:p>
            <w:pPr>
              <w:spacing w:after="0"/>
              <w:rPr>
                <w:sz w:val="18"/>
                <w:szCs w:val="18"/>
                <w:color w:val="auto"/>
              </w:rPr>
            </w:pPr>
          </w:p>
        </w:tc>
        <w:tc>
          <w:tcPr>
            <w:tcW w:w="30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268,310</w:t>
            </w:r>
          </w:p>
        </w:tc>
        <w:tc>
          <w:tcPr>
            <w:tcW w:w="1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79,137</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82,615</w:t>
            </w: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161,752</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(40,023)</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96,169</w:t>
            </w:r>
          </w:p>
        </w:tc>
        <w:tc>
          <w:tcPr>
            <w:tcW w:w="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56,146</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20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(2,690)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(2,690)</w:t>
            </w:r>
          </w:p>
        </w:tc>
        <w:tc>
          <w:tcPr>
            <w:tcW w:w="18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(6,814)</w:t>
            </w: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(6,814)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0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76,447</w:t>
            </w:r>
          </w:p>
        </w:tc>
        <w:tc>
          <w:tcPr>
            <w:tcW w:w="1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82,615</w:t>
            </w:r>
          </w:p>
        </w:tc>
        <w:tc>
          <w:tcPr>
            <w:tcW w:w="4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159,062</w:t>
            </w:r>
          </w:p>
        </w:tc>
        <w:tc>
          <w:tcPr>
            <w:tcW w:w="3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(46,837)</w:t>
            </w:r>
          </w:p>
        </w:tc>
        <w:tc>
          <w:tcPr>
            <w:tcW w:w="1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96,169</w:t>
            </w:r>
          </w:p>
        </w:tc>
        <w:tc>
          <w:tcPr>
            <w:tcW w:w="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49,332</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5,080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5,080</w:t>
            </w:r>
          </w:p>
        </w:tc>
        <w:tc>
          <w:tcPr>
            <w:tcW w:w="18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9,619</w:t>
            </w: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9,619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71,367</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107"/>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82,615</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153,982</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(56,456</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260" w:type="dxa"/>
            <w:vAlign w:val="bottom"/>
            <w:tcBorders>
              <w:top w:val="single" w:sz="8" w:color="auto"/>
              <w:bottom w:val="single" w:sz="8" w:color="auto"/>
            </w:tcBorders>
            <w:shd w:val="clear" w:color="auto" w:fill="CCEEFF"/>
          </w:tcPr>
          <w:p>
            <w:pPr>
              <w:jc w:val="right"/>
              <w:ind w:right="107"/>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96,169</w:t>
            </w: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30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39,713</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3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0.12</w:t>
            </w:r>
          </w:p>
        </w:tc>
        <w:tc>
          <w:tcPr>
            <w:tcW w:w="2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0.25</w:t>
            </w:r>
          </w:p>
        </w:tc>
        <w:tc>
          <w:tcPr>
            <w:tcW w:w="180" w:type="dxa"/>
            <w:vAlign w:val="bottom"/>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(0.10)</w:t>
            </w:r>
          </w:p>
        </w:tc>
        <w:tc>
          <w:tcPr>
            <w:tcW w:w="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0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CCEEFF"/>
              <w:bottom w:val="single" w:sz="8" w:color="CCEEFF"/>
            </w:tcBorders>
            <w:vMerge w:val="restart"/>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3700" w:type="dxa"/>
            <w:vAlign w:val="bottom"/>
            <w:vMerge w:val="continue"/>
          </w:tcPr>
          <w:p>
            <w:pPr>
              <w:spacing w:after="0"/>
              <w:rPr>
                <w:sz w:val="20"/>
                <w:szCs w:val="20"/>
                <w:color w:val="auto"/>
              </w:rPr>
            </w:pPr>
          </w:p>
        </w:tc>
        <w:tc>
          <w:tcPr>
            <w:tcW w:w="200" w:type="dxa"/>
            <w:vAlign w:val="bottom"/>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line="196" w:lineRule="exact"/>
              <w:rPr>
                <w:sz w:val="20"/>
                <w:szCs w:val="20"/>
                <w:color w:val="auto"/>
              </w:rPr>
            </w:pPr>
            <w:r>
              <w:rPr>
                <w:rFonts w:ascii="Arial" w:cs="Arial" w:eastAsia="Arial" w:hAnsi="Arial"/>
                <w:sz w:val="18"/>
                <w:szCs w:val="18"/>
                <w:color w:val="auto"/>
              </w:rPr>
              <w:t>0.11</w:t>
            </w:r>
          </w:p>
        </w:tc>
        <w:tc>
          <w:tcPr>
            <w:tcW w:w="160" w:type="dxa"/>
            <w:vAlign w:val="bottom"/>
            <w:vMerge w:val="continue"/>
          </w:tcPr>
          <w:p>
            <w:pPr>
              <w:spacing w:after="0"/>
              <w:rPr>
                <w:sz w:val="20"/>
                <w:szCs w:val="20"/>
                <w:color w:val="auto"/>
              </w:rPr>
            </w:pP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 w:type="dxa"/>
            <w:vAlign w:val="bottom"/>
            <w:vMerge w:val="continue"/>
          </w:tcPr>
          <w:p>
            <w:pPr>
              <w:spacing w:after="0"/>
              <w:rPr>
                <w:sz w:val="20"/>
                <w:szCs w:val="20"/>
                <w:color w:val="auto"/>
              </w:rPr>
            </w:pPr>
          </w:p>
        </w:tc>
        <w:tc>
          <w:tcPr>
            <w:tcW w:w="100" w:type="dxa"/>
            <w:vAlign w:val="bottom"/>
          </w:tcPr>
          <w:p>
            <w:pPr>
              <w:spacing w:after="0" w:line="196" w:lineRule="exact"/>
              <w:rPr>
                <w:sz w:val="20"/>
                <w:szCs w:val="20"/>
                <w:color w:val="auto"/>
              </w:rPr>
            </w:pPr>
            <w:r>
              <w:rPr>
                <w:rFonts w:ascii="Arial" w:cs="Arial" w:eastAsia="Arial" w:hAnsi="Arial"/>
                <w:sz w:val="18"/>
                <w:szCs w:val="18"/>
                <w:color w:val="auto"/>
                <w:w w:val="79"/>
              </w:rPr>
              <w:t>$</w:t>
            </w: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0.24</w:t>
            </w:r>
          </w:p>
        </w:tc>
        <w:tc>
          <w:tcPr>
            <w:tcW w:w="340" w:type="dxa"/>
            <w:vAlign w:val="bottom"/>
            <w:vMerge w:val="continue"/>
          </w:tcPr>
          <w:p>
            <w:pPr>
              <w:spacing w:after="0"/>
              <w:rPr>
                <w:sz w:val="20"/>
                <w:szCs w:val="20"/>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(0.10)</w:t>
            </w:r>
          </w:p>
        </w:tc>
        <w:tc>
          <w:tcPr>
            <w:tcW w:w="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00" w:type="dxa"/>
            <w:vAlign w:val="bottom"/>
            <w:vMerge w:val="continue"/>
          </w:tcPr>
          <w:p>
            <w:pPr>
              <w:spacing w:after="0"/>
              <w:rPr>
                <w:sz w:val="20"/>
                <w:szCs w:val="20"/>
                <w:color w:val="auto"/>
              </w:rPr>
            </w:pPr>
          </w:p>
        </w:tc>
        <w:tc>
          <w:tcPr>
            <w:tcW w:w="100" w:type="dxa"/>
            <w:vAlign w:val="bottom"/>
          </w:tcPr>
          <w:p>
            <w:pPr>
              <w:spacing w:after="0" w:line="196" w:lineRule="exact"/>
              <w:rPr>
                <w:sz w:val="20"/>
                <w:szCs w:val="20"/>
                <w:color w:val="auto"/>
              </w:rPr>
            </w:pPr>
            <w:r>
              <w:rPr>
                <w:rFonts w:ascii="Arial" w:cs="Arial" w:eastAsia="Arial" w:hAnsi="Arial"/>
                <w:sz w:val="18"/>
                <w:szCs w:val="18"/>
                <w:color w:val="auto"/>
                <w:w w:val="79"/>
              </w:rPr>
              <w:t>$</w:t>
            </w: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0.06</w:t>
            </w:r>
          </w:p>
        </w:tc>
        <w:tc>
          <w:tcPr>
            <w:tcW w:w="16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37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70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3700" w:type="dxa"/>
            <w:vAlign w:val="bottom"/>
          </w:tcPr>
          <w:p>
            <w:pPr>
              <w:spacing w:after="0" w:line="201" w:lineRule="exact"/>
              <w:rPr>
                <w:sz w:val="20"/>
                <w:szCs w:val="20"/>
                <w:color w:val="auto"/>
              </w:rPr>
            </w:pPr>
            <w:r>
              <w:rPr>
                <w:rFonts w:ascii="Arial" w:cs="Arial" w:eastAsia="Arial" w:hAnsi="Arial"/>
                <w:sz w:val="18"/>
                <w:szCs w:val="18"/>
                <w:color w:val="auto"/>
              </w:rPr>
              <w:t>Shares used in computing basic earnings per</w:t>
            </w:r>
          </w:p>
        </w:tc>
        <w:tc>
          <w:tcPr>
            <w:tcW w:w="2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00" w:type="dxa"/>
            <w:vAlign w:val="bottom"/>
          </w:tcPr>
          <w:p>
            <w:pPr>
              <w:ind w:left="160"/>
              <w:spacing w:after="0"/>
              <w:rPr>
                <w:sz w:val="20"/>
                <w:szCs w:val="20"/>
                <w:color w:val="auto"/>
              </w:rPr>
            </w:pPr>
            <w:r>
              <w:rPr>
                <w:rFonts w:ascii="Arial" w:cs="Arial" w:eastAsia="Arial" w:hAnsi="Arial"/>
                <w:sz w:val="18"/>
                <w:szCs w:val="18"/>
                <w:color w:val="auto"/>
              </w:rPr>
              <w:t>share</w:t>
            </w:r>
          </w:p>
        </w:tc>
        <w:tc>
          <w:tcPr>
            <w:tcW w:w="200" w:type="dxa"/>
            <w:vAlign w:val="bottom"/>
          </w:tcPr>
          <w:p>
            <w:pPr>
              <w:spacing w:after="0"/>
              <w:rPr>
                <w:sz w:val="20"/>
                <w:szCs w:val="20"/>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606,860</w:t>
            </w:r>
          </w:p>
        </w:tc>
        <w:tc>
          <w:tcPr>
            <w:tcW w:w="2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606,860</w:t>
            </w:r>
          </w:p>
        </w:tc>
        <w:tc>
          <w:tcPr>
            <w:tcW w:w="180" w:type="dxa"/>
            <w:vAlign w:val="bottom"/>
          </w:tcPr>
          <w:p>
            <w:pPr>
              <w:spacing w:after="0"/>
              <w:rPr>
                <w:sz w:val="20"/>
                <w:szCs w:val="20"/>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587,534</w:t>
            </w:r>
          </w:p>
        </w:tc>
        <w:tc>
          <w:tcPr>
            <w:tcW w:w="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587,534</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70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9"/>
              </w:rPr>
              <w:t>Shares used in computing diluted earnings per</w:t>
            </w:r>
          </w:p>
        </w:tc>
        <w:tc>
          <w:tcPr>
            <w:tcW w:w="20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share</w:t>
            </w:r>
          </w:p>
        </w:tc>
        <w:tc>
          <w:tcPr>
            <w:tcW w:w="20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637,832</w:t>
            </w:r>
          </w:p>
        </w:tc>
        <w:tc>
          <w:tcPr>
            <w:tcW w:w="20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70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640,147</w:t>
            </w:r>
          </w:p>
        </w:tc>
        <w:tc>
          <w:tcPr>
            <w:tcW w:w="180" w:type="dxa"/>
            <w:vAlign w:val="bottom"/>
            <w:shd w:val="clear" w:color="auto" w:fill="CCEEFF"/>
          </w:tcPr>
          <w:p>
            <w:pPr>
              <w:spacing w:after="0"/>
              <w:rPr>
                <w:sz w:val="20"/>
                <w:szCs w:val="20"/>
                <w:color w:val="auto"/>
              </w:rPr>
            </w:pPr>
          </w:p>
        </w:tc>
        <w:tc>
          <w:tcPr>
            <w:tcW w:w="9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587,534</w:t>
            </w:r>
          </w:p>
        </w:tc>
        <w:tc>
          <w:tcPr>
            <w:tcW w:w="18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680" w:type="dxa"/>
            <w:vAlign w:val="bottom"/>
            <w:shd w:val="clear" w:color="auto" w:fill="CCEEFF"/>
          </w:tcPr>
          <w:p>
            <w:pPr>
              <w:spacing w:after="0"/>
              <w:rPr>
                <w:sz w:val="20"/>
                <w:szCs w:val="20"/>
                <w:color w:val="auto"/>
              </w:rPr>
            </w:pPr>
          </w:p>
        </w:tc>
        <w:tc>
          <w:tcPr>
            <w:tcW w:w="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630,258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20"/>
        <w:spacing w:after="0"/>
        <w:rPr>
          <w:sz w:val="20"/>
          <w:szCs w:val="20"/>
          <w:color w:val="auto"/>
        </w:rPr>
      </w:pPr>
      <w:r>
        <w:rPr>
          <w:rFonts w:ascii="Arial" w:cs="Arial" w:eastAsia="Arial" w:hAnsi="Arial"/>
          <w:sz w:val="18"/>
          <w:szCs w:val="18"/>
          <w:color w:val="auto"/>
        </w:rPr>
        <w:t>(a) Consists of</w:t>
      </w:r>
    </w:p>
    <w:p>
      <w:pPr>
        <w:spacing w:after="0" w:line="23" w:lineRule="exact"/>
        <w:rPr>
          <w:sz w:val="20"/>
          <w:szCs w:val="20"/>
          <w:color w:val="auto"/>
        </w:rPr>
      </w:pPr>
    </w:p>
    <w:p>
      <w:pPr>
        <w:ind w:left="800" w:right="2240"/>
        <w:spacing w:after="0" w:line="323" w:lineRule="auto"/>
        <w:rPr>
          <w:sz w:val="20"/>
          <w:szCs w:val="20"/>
          <w:color w:val="auto"/>
        </w:rPr>
      </w:pPr>
      <w:r>
        <w:rPr>
          <w:rFonts w:ascii="Arial" w:cs="Arial" w:eastAsia="Arial" w:hAnsi="Arial"/>
          <w:sz w:val="16"/>
          <w:szCs w:val="16"/>
          <w:color w:val="auto"/>
        </w:rPr>
        <w:t>For three months ending August 2, 2008, employee stock-based compensation expense of $3,755 cost of goods sold, $32,998 research and development, $6,159 selling and marketing and $4,715 general and administrative</w:t>
      </w:r>
    </w:p>
    <w:p>
      <w:pPr>
        <w:spacing w:after="0" w:line="139" w:lineRule="exact"/>
        <w:rPr>
          <w:sz w:val="20"/>
          <w:szCs w:val="20"/>
          <w:color w:val="auto"/>
        </w:rPr>
      </w:pPr>
    </w:p>
    <w:p>
      <w:pPr>
        <w:ind w:left="800" w:right="2360"/>
        <w:spacing w:after="0" w:line="342" w:lineRule="auto"/>
        <w:rPr>
          <w:sz w:val="20"/>
          <w:szCs w:val="20"/>
          <w:color w:val="auto"/>
        </w:rPr>
      </w:pPr>
      <w:r>
        <w:rPr>
          <w:rFonts w:ascii="Arial" w:cs="Arial" w:eastAsia="Arial" w:hAnsi="Arial"/>
          <w:sz w:val="16"/>
          <w:szCs w:val="16"/>
          <w:color w:val="auto"/>
        </w:rPr>
        <w:t>For three months ending July 28, 2007, employee stock-based compensation expense of $3,275 cost of goods sold, $34,591 research and development, $10,977 selling and marketing and $10,033 general and administrative</w:t>
      </w:r>
    </w:p>
    <w:p>
      <w:pPr>
        <w:spacing w:after="0" w:line="124" w:lineRule="exact"/>
        <w:rPr>
          <w:sz w:val="20"/>
          <w:szCs w:val="20"/>
          <w:color w:val="auto"/>
        </w:rPr>
      </w:pPr>
    </w:p>
    <w:p>
      <w:pPr>
        <w:ind w:left="20"/>
        <w:spacing w:after="0"/>
        <w:rPr>
          <w:sz w:val="20"/>
          <w:szCs w:val="20"/>
          <w:color w:val="auto"/>
        </w:rPr>
      </w:pPr>
      <w:r>
        <w:rPr>
          <w:rFonts w:ascii="Arial" w:cs="Arial" w:eastAsia="Arial" w:hAnsi="Arial"/>
          <w:sz w:val="18"/>
          <w:szCs w:val="18"/>
          <w:color w:val="auto"/>
        </w:rPr>
        <w:t>(b) Consists of</w:t>
      </w:r>
    </w:p>
    <w:p>
      <w:pPr>
        <w:spacing w:after="0" w:line="23" w:lineRule="exact"/>
        <w:rPr>
          <w:sz w:val="20"/>
          <w:szCs w:val="20"/>
          <w:color w:val="auto"/>
        </w:rPr>
      </w:pPr>
    </w:p>
    <w:p>
      <w:pPr>
        <w:ind w:left="760" w:right="2120"/>
        <w:spacing w:after="0" w:line="323" w:lineRule="auto"/>
        <w:rPr>
          <w:sz w:val="20"/>
          <w:szCs w:val="20"/>
          <w:color w:val="auto"/>
        </w:rPr>
      </w:pPr>
      <w:r>
        <w:rPr>
          <w:rFonts w:ascii="Arial" w:cs="Arial" w:eastAsia="Arial" w:hAnsi="Arial"/>
          <w:sz w:val="16"/>
          <w:szCs w:val="16"/>
          <w:color w:val="auto"/>
        </w:rPr>
        <w:t>For three months ending August 2, 2008, amortization of intangible assets of $34,988 resulting from prior acquisitions For three months ending July 28, 2007, amortization of intangible assets of $37,293 resulting from prior acquisitions</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w w:val="97"/>
              </w:rPr>
              <w:t>Six Months Ended</w:t>
            </w:r>
          </w:p>
        </w:tc>
        <w:tc>
          <w:tcPr>
            <w:tcW w:w="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00" w:type="dxa"/>
            <w:vAlign w:val="bottom"/>
            <w:gridSpan w:val="3"/>
          </w:tcPr>
          <w:p>
            <w:pPr>
              <w:jc w:val="center"/>
              <w:spacing w:after="0"/>
              <w:rPr>
                <w:sz w:val="20"/>
                <w:szCs w:val="20"/>
                <w:color w:val="auto"/>
              </w:rPr>
            </w:pPr>
            <w:r>
              <w:rPr>
                <w:rFonts w:ascii="Arial" w:cs="Arial" w:eastAsia="Arial" w:hAnsi="Arial"/>
                <w:sz w:val="14"/>
                <w:szCs w:val="14"/>
                <w:b w:val="1"/>
                <w:bCs w:val="1"/>
                <w:color w:val="auto"/>
                <w:w w:val="92"/>
              </w:rPr>
              <w:t>Six Months Ended</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w w:val="93"/>
              </w:rPr>
              <w:t>August 2, 2008</w:t>
            </w:r>
          </w:p>
        </w:tc>
        <w:tc>
          <w:tcPr>
            <w:tcW w:w="3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gridSpan w:val="2"/>
          </w:tcPr>
          <w:p>
            <w:pPr>
              <w:jc w:val="center"/>
              <w:ind w:right="100"/>
              <w:spacing w:after="0"/>
              <w:rPr>
                <w:sz w:val="20"/>
                <w:szCs w:val="20"/>
                <w:color w:val="auto"/>
              </w:rPr>
            </w:pPr>
            <w:r>
              <w:rPr>
                <w:rFonts w:ascii="Arial" w:cs="Arial" w:eastAsia="Arial" w:hAnsi="Arial"/>
                <w:sz w:val="14"/>
                <w:szCs w:val="14"/>
                <w:b w:val="1"/>
                <w:bCs w:val="1"/>
                <w:color w:val="auto"/>
                <w:w w:val="92"/>
              </w:rPr>
              <w:t>July 28, 2007</w:t>
            </w:r>
          </w:p>
        </w:tc>
        <w:tc>
          <w:tcPr>
            <w:tcW w:w="3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gridSpan w:val="2"/>
          </w:tcPr>
          <w:p>
            <w:pPr>
              <w:jc w:val="right"/>
              <w:ind w:right="600"/>
              <w:spacing w:after="0" w:line="142" w:lineRule="exact"/>
              <w:rPr>
                <w:sz w:val="20"/>
                <w:szCs w:val="20"/>
                <w:color w:val="auto"/>
              </w:rPr>
            </w:pPr>
            <w:r>
              <w:rPr>
                <w:rFonts w:ascii="Arial" w:cs="Arial" w:eastAsia="Arial" w:hAnsi="Arial"/>
                <w:sz w:val="14"/>
                <w:szCs w:val="14"/>
                <w:b w:val="1"/>
                <w:bCs w:val="1"/>
                <w:color w:val="auto"/>
              </w:rPr>
              <w:t>GAAP</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80" w:type="dxa"/>
            <w:vAlign w:val="bottom"/>
            <w:gridSpan w:val="2"/>
          </w:tcPr>
          <w:p>
            <w:pPr>
              <w:jc w:val="right"/>
              <w:ind w:right="240"/>
              <w:spacing w:after="0" w:line="142" w:lineRule="exact"/>
              <w:rPr>
                <w:sz w:val="20"/>
                <w:szCs w:val="20"/>
                <w:color w:val="auto"/>
              </w:rPr>
            </w:pPr>
            <w:r>
              <w:rPr>
                <w:rFonts w:ascii="Arial" w:cs="Arial" w:eastAsia="Arial" w:hAnsi="Arial"/>
                <w:sz w:val="14"/>
                <w:szCs w:val="14"/>
                <w:b w:val="1"/>
                <w:bCs w:val="1"/>
                <w:color w:val="auto"/>
                <w:w w:val="96"/>
              </w:rPr>
              <w:t>Adjustments</w:t>
            </w:r>
          </w:p>
        </w:tc>
        <w:tc>
          <w:tcPr>
            <w:tcW w:w="3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tcPr>
          <w:p>
            <w:pPr>
              <w:jc w:val="right"/>
              <w:ind w:right="131"/>
              <w:spacing w:after="0" w:line="142" w:lineRule="exact"/>
              <w:rPr>
                <w:sz w:val="20"/>
                <w:szCs w:val="20"/>
                <w:color w:val="auto"/>
              </w:rPr>
            </w:pPr>
            <w:r>
              <w:rPr>
                <w:rFonts w:ascii="Arial" w:cs="Arial" w:eastAsia="Arial" w:hAnsi="Arial"/>
                <w:sz w:val="14"/>
                <w:szCs w:val="14"/>
                <w:b w:val="1"/>
                <w:bCs w:val="1"/>
                <w:color w:val="auto"/>
              </w:rPr>
              <w:t>Non-GAAP</w:t>
            </w:r>
          </w:p>
        </w:tc>
        <w:tc>
          <w:tcPr>
            <w:tcW w:w="2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gridSpan w:val="2"/>
          </w:tcPr>
          <w:p>
            <w:pPr>
              <w:jc w:val="right"/>
              <w:ind w:right="680"/>
              <w:spacing w:after="0" w:line="142" w:lineRule="exact"/>
              <w:rPr>
                <w:sz w:val="20"/>
                <w:szCs w:val="20"/>
                <w:color w:val="auto"/>
              </w:rPr>
            </w:pPr>
            <w:r>
              <w:rPr>
                <w:rFonts w:ascii="Arial" w:cs="Arial" w:eastAsia="Arial" w:hAnsi="Arial"/>
                <w:sz w:val="14"/>
                <w:szCs w:val="14"/>
                <w:b w:val="1"/>
                <w:bCs w:val="1"/>
                <w:color w:val="auto"/>
              </w:rPr>
              <w:t>GAAP</w:t>
            </w:r>
          </w:p>
        </w:tc>
        <w:tc>
          <w:tcPr>
            <w:tcW w:w="140" w:type="dxa"/>
            <w:vAlign w:val="bottom"/>
          </w:tcPr>
          <w:p>
            <w:pPr>
              <w:spacing w:after="0"/>
              <w:rPr>
                <w:sz w:val="12"/>
                <w:szCs w:val="12"/>
                <w:color w:val="auto"/>
              </w:rPr>
            </w:pPr>
          </w:p>
        </w:tc>
        <w:tc>
          <w:tcPr>
            <w:tcW w:w="1060" w:type="dxa"/>
            <w:vAlign w:val="bottom"/>
            <w:gridSpan w:val="2"/>
          </w:tcPr>
          <w:p>
            <w:pPr>
              <w:ind w:left="40"/>
              <w:spacing w:after="0" w:line="142" w:lineRule="exact"/>
              <w:rPr>
                <w:sz w:val="20"/>
                <w:szCs w:val="20"/>
                <w:color w:val="auto"/>
              </w:rPr>
            </w:pPr>
            <w:r>
              <w:rPr>
                <w:rFonts w:ascii="Arial" w:cs="Arial" w:eastAsia="Arial" w:hAnsi="Arial"/>
                <w:sz w:val="14"/>
                <w:szCs w:val="14"/>
                <w:b w:val="1"/>
                <w:bCs w:val="1"/>
                <w:color w:val="auto"/>
              </w:rPr>
              <w:t>Adjustments</w:t>
            </w: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80" w:type="dxa"/>
            <w:vAlign w:val="bottom"/>
          </w:tcPr>
          <w:p>
            <w:pPr>
              <w:jc w:val="right"/>
              <w:ind w:right="131"/>
              <w:spacing w:after="0" w:line="142" w:lineRule="exact"/>
              <w:rPr>
                <w:sz w:val="20"/>
                <w:szCs w:val="20"/>
                <w:color w:val="auto"/>
              </w:rPr>
            </w:pPr>
            <w:r>
              <w:rPr>
                <w:rFonts w:ascii="Arial" w:cs="Arial" w:eastAsia="Arial" w:hAnsi="Arial"/>
                <w:sz w:val="14"/>
                <w:szCs w:val="14"/>
                <w:b w:val="1"/>
                <w:bCs w:val="1"/>
                <w:color w:val="auto"/>
              </w:rPr>
              <w:t>Non-GAAP</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74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1,646,650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1,646,650</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1,291,761</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1,291,761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tcPr>
          <w:p>
            <w:pPr>
              <w:spacing w:after="0"/>
              <w:rPr>
                <w:sz w:val="20"/>
                <w:szCs w:val="20"/>
                <w:color w:val="auto"/>
              </w:rPr>
            </w:pPr>
            <w:r>
              <w:rPr>
                <w:rFonts w:ascii="Arial" w:cs="Arial" w:eastAsia="Arial" w:hAnsi="Arial"/>
                <w:sz w:val="18"/>
                <w:szCs w:val="18"/>
                <w:color w:val="auto"/>
              </w:rPr>
              <w:t>Cost of goods sold</w:t>
            </w:r>
          </w:p>
        </w:tc>
        <w:tc>
          <w:tcPr>
            <w:tcW w:w="220" w:type="dxa"/>
            <w:vAlign w:val="bottom"/>
          </w:tcPr>
          <w:p>
            <w:pPr>
              <w:spacing w:after="0"/>
              <w:rPr>
                <w:sz w:val="18"/>
                <w:szCs w:val="18"/>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794,755</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6,828</w:t>
            </w:r>
          </w:p>
        </w:tc>
        <w:tc>
          <w:tcPr>
            <w:tcW w:w="500" w:type="dxa"/>
            <w:vAlign w:val="bottom"/>
            <w:gridSpan w:val="2"/>
          </w:tcPr>
          <w:p>
            <w:pPr>
              <w:ind w:left="60"/>
              <w:spacing w:after="0"/>
              <w:rPr>
                <w:sz w:val="20"/>
                <w:szCs w:val="20"/>
                <w:color w:val="auto"/>
              </w:rPr>
            </w:pPr>
            <w:r>
              <w:rPr>
                <w:rFonts w:ascii="Arial" w:cs="Arial" w:eastAsia="Arial" w:hAnsi="Arial"/>
                <w:sz w:val="18"/>
                <w:szCs w:val="18"/>
                <w:color w:val="auto"/>
              </w:rPr>
              <w:t>(a)</w:t>
            </w:r>
          </w:p>
        </w:tc>
        <w:tc>
          <w:tcPr>
            <w:tcW w:w="1000" w:type="dxa"/>
            <w:vAlign w:val="bottom"/>
          </w:tcPr>
          <w:p>
            <w:pPr>
              <w:jc w:val="right"/>
              <w:spacing w:after="0"/>
              <w:rPr>
                <w:sz w:val="20"/>
                <w:szCs w:val="20"/>
                <w:color w:val="auto"/>
              </w:rPr>
            </w:pPr>
            <w:r>
              <w:rPr>
                <w:rFonts w:ascii="Arial" w:cs="Arial" w:eastAsia="Arial" w:hAnsi="Arial"/>
                <w:sz w:val="18"/>
                <w:szCs w:val="18"/>
                <w:color w:val="auto"/>
              </w:rPr>
              <w:t>787,927</w:t>
            </w:r>
          </w:p>
        </w:tc>
        <w:tc>
          <w:tcPr>
            <w:tcW w:w="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662,947</w:t>
            </w: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6,293</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656,654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7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851,895</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6,828</w:t>
            </w:r>
          </w:p>
        </w:tc>
        <w:tc>
          <w:tcPr>
            <w:tcW w:w="6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858,723</w:t>
            </w:r>
          </w:p>
        </w:tc>
        <w:tc>
          <w:tcPr>
            <w:tcW w:w="2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628,814</w:t>
            </w:r>
          </w:p>
        </w:tc>
        <w:tc>
          <w:tcPr>
            <w:tcW w:w="3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6,293</w:t>
            </w:r>
          </w:p>
        </w:tc>
        <w:tc>
          <w:tcPr>
            <w:tcW w:w="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635,107</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tcPr>
          <w:p>
            <w:pPr>
              <w:ind w:left="160"/>
              <w:spacing w:after="0"/>
              <w:rPr>
                <w:sz w:val="20"/>
                <w:szCs w:val="20"/>
                <w:color w:val="auto"/>
              </w:rPr>
            </w:pPr>
            <w:r>
              <w:rPr>
                <w:rFonts w:ascii="Arial" w:cs="Arial" w:eastAsia="Arial" w:hAnsi="Arial"/>
                <w:sz w:val="18"/>
                <w:szCs w:val="18"/>
                <w:color w:val="auto"/>
              </w:rPr>
              <w:t>Gross margin</w:t>
            </w: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51.7%</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52.1%</w:t>
            </w:r>
          </w:p>
        </w:tc>
        <w:tc>
          <w:tcPr>
            <w:tcW w:w="220" w:type="dxa"/>
            <w:vAlign w:val="bottom"/>
          </w:tcPr>
          <w:p>
            <w:pPr>
              <w:spacing w:after="0"/>
              <w:rPr>
                <w:sz w:val="18"/>
                <w:szCs w:val="18"/>
                <w:color w:val="auto"/>
              </w:rPr>
            </w:pPr>
          </w:p>
        </w:tc>
        <w:tc>
          <w:tcPr>
            <w:tcW w:w="1200" w:type="dxa"/>
            <w:vAlign w:val="bottom"/>
            <w:gridSpan w:val="2"/>
          </w:tcPr>
          <w:p>
            <w:pPr>
              <w:jc w:val="right"/>
              <w:ind w:right="200"/>
              <w:spacing w:after="0"/>
              <w:rPr>
                <w:sz w:val="20"/>
                <w:szCs w:val="20"/>
                <w:color w:val="auto"/>
              </w:rPr>
            </w:pPr>
            <w:r>
              <w:rPr>
                <w:rFonts w:ascii="Arial" w:cs="Arial" w:eastAsia="Arial" w:hAnsi="Arial"/>
                <w:sz w:val="18"/>
                <w:szCs w:val="18"/>
                <w:color w:val="auto"/>
              </w:rPr>
              <w:t>48.7%</w:t>
            </w: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40" w:type="dxa"/>
            <w:vAlign w:val="bottom"/>
            <w:gridSpan w:val="2"/>
          </w:tcPr>
          <w:p>
            <w:pPr>
              <w:jc w:val="right"/>
              <w:ind w:right="20"/>
              <w:spacing w:after="0"/>
              <w:rPr>
                <w:sz w:val="20"/>
                <w:szCs w:val="20"/>
                <w:color w:val="auto"/>
              </w:rPr>
            </w:pPr>
            <w:r>
              <w:rPr>
                <w:rFonts w:ascii="Arial" w:cs="Arial" w:eastAsia="Arial" w:hAnsi="Arial"/>
                <w:sz w:val="18"/>
                <w:szCs w:val="18"/>
                <w:color w:val="auto"/>
              </w:rPr>
              <w:t>49.2%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740" w:type="dxa"/>
            <w:vAlign w:val="bottom"/>
          </w:tcPr>
          <w:p>
            <w:pPr>
              <w:ind w:left="160"/>
              <w:spacing w:after="0" w:line="201" w:lineRule="exact"/>
              <w:rPr>
                <w:sz w:val="20"/>
                <w:szCs w:val="20"/>
                <w:color w:val="auto"/>
              </w:rPr>
            </w:pPr>
            <w:r>
              <w:rPr>
                <w:rFonts w:ascii="Arial" w:cs="Arial" w:eastAsia="Arial" w:hAnsi="Arial"/>
                <w:sz w:val="18"/>
                <w:szCs w:val="18"/>
                <w:color w:val="auto"/>
              </w:rPr>
              <w:t>Research and development and</w:t>
            </w:r>
          </w:p>
        </w:tc>
        <w:tc>
          <w:tcPr>
            <w:tcW w:w="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740" w:type="dxa"/>
            <w:vAlign w:val="bottom"/>
          </w:tcPr>
          <w:p>
            <w:pPr>
              <w:ind w:left="340"/>
              <w:spacing w:after="0"/>
              <w:rPr>
                <w:sz w:val="20"/>
                <w:szCs w:val="20"/>
                <w:color w:val="auto"/>
              </w:rPr>
            </w:pPr>
            <w:r>
              <w:rPr>
                <w:rFonts w:ascii="Arial" w:cs="Arial" w:eastAsia="Arial" w:hAnsi="Arial"/>
                <w:sz w:val="18"/>
                <w:szCs w:val="18"/>
                <w:color w:val="auto"/>
              </w:rPr>
              <w:t>other</w:t>
            </w:r>
          </w:p>
        </w:tc>
        <w:tc>
          <w:tcPr>
            <w:tcW w:w="220" w:type="dxa"/>
            <w:vAlign w:val="bottom"/>
          </w:tcPr>
          <w:p>
            <w:pPr>
              <w:spacing w:after="0"/>
              <w:rPr>
                <w:sz w:val="20"/>
                <w:szCs w:val="20"/>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488,189</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62,930</w:t>
            </w:r>
          </w:p>
        </w:tc>
        <w:tc>
          <w:tcPr>
            <w:tcW w:w="50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000" w:type="dxa"/>
            <w:vAlign w:val="bottom"/>
          </w:tcPr>
          <w:p>
            <w:pPr>
              <w:jc w:val="right"/>
              <w:spacing w:after="0"/>
              <w:rPr>
                <w:sz w:val="20"/>
                <w:szCs w:val="20"/>
                <w:color w:val="auto"/>
              </w:rPr>
            </w:pPr>
            <w:r>
              <w:rPr>
                <w:rFonts w:ascii="Arial" w:cs="Arial" w:eastAsia="Arial" w:hAnsi="Arial"/>
                <w:sz w:val="18"/>
                <w:szCs w:val="18"/>
                <w:color w:val="auto"/>
              </w:rPr>
              <w:t>425,259</w:t>
            </w:r>
          </w:p>
        </w:tc>
        <w:tc>
          <w:tcPr>
            <w:tcW w:w="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470,327</w:t>
            </w:r>
          </w:p>
        </w:tc>
        <w:tc>
          <w:tcPr>
            <w:tcW w:w="14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66,633</w:t>
            </w:r>
          </w:p>
        </w:tc>
        <w:tc>
          <w:tcPr>
            <w:tcW w:w="480" w:type="dxa"/>
            <w:vAlign w:val="bottom"/>
            <w:gridSpan w:val="2"/>
          </w:tcPr>
          <w:p>
            <w:pPr>
              <w:ind w:left="20"/>
              <w:spacing w:after="0"/>
              <w:rPr>
                <w:sz w:val="20"/>
                <w:szCs w:val="20"/>
                <w:color w:val="auto"/>
              </w:rPr>
            </w:pPr>
            <w:r>
              <w:rPr>
                <w:rFonts w:ascii="Arial" w:cs="Arial" w:eastAsia="Arial" w:hAnsi="Arial"/>
                <w:sz w:val="18"/>
                <w:szCs w:val="18"/>
                <w:color w:val="auto"/>
              </w:rPr>
              <w:t>(a)</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403,694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87,922</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13,507</w:t>
            </w:r>
          </w:p>
        </w:tc>
        <w:tc>
          <w:tcPr>
            <w:tcW w:w="5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(a)</w:t>
            </w:r>
          </w:p>
        </w:tc>
        <w:tc>
          <w:tcPr>
            <w:tcW w:w="12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74,415</w:t>
            </w: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104,334</w:t>
            </w:r>
          </w:p>
        </w:tc>
        <w:tc>
          <w:tcPr>
            <w:tcW w:w="1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18,148</w:t>
            </w:r>
          </w:p>
        </w:tc>
        <w:tc>
          <w:tcPr>
            <w:tcW w:w="4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(a)</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86,186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220" w:type="dxa"/>
            <w:vAlign w:val="bottom"/>
          </w:tcPr>
          <w:p>
            <w:pPr>
              <w:spacing w:after="0"/>
              <w:rPr>
                <w:sz w:val="18"/>
                <w:szCs w:val="18"/>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43,940</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9,588</w:t>
            </w:r>
          </w:p>
        </w:tc>
        <w:tc>
          <w:tcPr>
            <w:tcW w:w="500" w:type="dxa"/>
            <w:vAlign w:val="bottom"/>
            <w:gridSpan w:val="2"/>
          </w:tcPr>
          <w:p>
            <w:pPr>
              <w:ind w:left="40"/>
              <w:spacing w:after="0"/>
              <w:rPr>
                <w:sz w:val="20"/>
                <w:szCs w:val="20"/>
                <w:color w:val="auto"/>
              </w:rPr>
            </w:pPr>
            <w:r>
              <w:rPr>
                <w:rFonts w:ascii="Arial" w:cs="Arial" w:eastAsia="Arial" w:hAnsi="Arial"/>
                <w:sz w:val="18"/>
                <w:szCs w:val="18"/>
                <w:color w:val="auto"/>
              </w:rPr>
              <w:t>(a)</w:t>
            </w:r>
          </w:p>
        </w:tc>
        <w:tc>
          <w:tcPr>
            <w:tcW w:w="1240" w:type="dxa"/>
            <w:vAlign w:val="bottom"/>
            <w:gridSpan w:val="2"/>
          </w:tcPr>
          <w:p>
            <w:pPr>
              <w:jc w:val="right"/>
              <w:ind w:right="240"/>
              <w:spacing w:after="0"/>
              <w:rPr>
                <w:sz w:val="20"/>
                <w:szCs w:val="20"/>
                <w:color w:val="auto"/>
              </w:rPr>
            </w:pPr>
            <w:r>
              <w:rPr>
                <w:rFonts w:ascii="Arial" w:cs="Arial" w:eastAsia="Arial" w:hAnsi="Arial"/>
                <w:sz w:val="18"/>
                <w:szCs w:val="18"/>
                <w:color w:val="auto"/>
              </w:rPr>
              <w:t>34,352</w:t>
            </w:r>
          </w:p>
        </w:tc>
        <w:tc>
          <w:tcPr>
            <w:tcW w:w="220" w:type="dxa"/>
            <w:vAlign w:val="bottom"/>
          </w:tcPr>
          <w:p>
            <w:pPr>
              <w:spacing w:after="0"/>
              <w:rPr>
                <w:sz w:val="18"/>
                <w:szCs w:val="18"/>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57,763</w:t>
            </w:r>
          </w:p>
        </w:tc>
        <w:tc>
          <w:tcPr>
            <w:tcW w:w="14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14,590</w:t>
            </w:r>
          </w:p>
        </w:tc>
        <w:tc>
          <w:tcPr>
            <w:tcW w:w="480" w:type="dxa"/>
            <w:vAlign w:val="bottom"/>
            <w:gridSpan w:val="2"/>
          </w:tcPr>
          <w:p>
            <w:pPr>
              <w:ind w:left="20"/>
              <w:spacing w:after="0"/>
              <w:rPr>
                <w:sz w:val="20"/>
                <w:szCs w:val="20"/>
                <w:color w:val="auto"/>
              </w:rPr>
            </w:pPr>
            <w:r>
              <w:rPr>
                <w:rFonts w:ascii="Arial" w:cs="Arial" w:eastAsia="Arial" w:hAnsi="Arial"/>
                <w:sz w:val="18"/>
                <w:szCs w:val="18"/>
                <w:color w:val="auto"/>
              </w:rPr>
              <w:t>(a)</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43,173</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740" w:type="dxa"/>
            <w:vAlign w:val="bottom"/>
            <w:shd w:val="clear" w:color="auto" w:fill="CCEEFF"/>
          </w:tcPr>
          <w:p>
            <w:pPr>
              <w:ind w:left="160"/>
              <w:spacing w:after="0" w:line="201" w:lineRule="exact"/>
              <w:rPr>
                <w:sz w:val="20"/>
                <w:szCs w:val="20"/>
                <w:color w:val="auto"/>
              </w:rPr>
            </w:pPr>
            <w:r>
              <w:rPr>
                <w:rFonts w:ascii="Arial" w:cs="Arial" w:eastAsia="Arial" w:hAnsi="Arial"/>
                <w:sz w:val="18"/>
                <w:szCs w:val="18"/>
                <w:color w:val="auto"/>
              </w:rPr>
              <w:t>Amortization of acquired</w:t>
            </w:r>
          </w:p>
        </w:tc>
        <w:tc>
          <w:tcPr>
            <w:tcW w:w="2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7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intangible assets</w:t>
            </w:r>
          </w:p>
        </w:tc>
        <w:tc>
          <w:tcPr>
            <w:tcW w:w="22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70,235</w:t>
            </w:r>
          </w:p>
        </w:tc>
        <w:tc>
          <w:tcPr>
            <w:tcW w:w="1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70,235</w:t>
            </w:r>
          </w:p>
        </w:tc>
        <w:tc>
          <w:tcPr>
            <w:tcW w:w="50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(b)</w:t>
            </w:r>
          </w:p>
        </w:tc>
        <w:tc>
          <w:tcPr>
            <w:tcW w:w="12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74,613</w:t>
            </w:r>
          </w:p>
        </w:tc>
        <w:tc>
          <w:tcPr>
            <w:tcW w:w="14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74,613</w:t>
            </w:r>
          </w:p>
        </w:tc>
        <w:tc>
          <w:tcPr>
            <w:tcW w:w="4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(b)</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7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22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690,286</w:t>
            </w:r>
          </w:p>
        </w:tc>
        <w:tc>
          <w:tcPr>
            <w:tcW w:w="2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156,260</w:t>
            </w:r>
          </w:p>
        </w:tc>
        <w:tc>
          <w:tcPr>
            <w:tcW w:w="60" w:type="dxa"/>
            <w:vAlign w:val="bottom"/>
            <w:tcBorders>
              <w:bottom w:val="single" w:sz="8" w:color="CCEEFF"/>
            </w:tcBorders>
          </w:tcPr>
          <w:p>
            <w:pPr>
              <w:spacing w:after="0"/>
              <w:rPr>
                <w:sz w:val="18"/>
                <w:szCs w:val="18"/>
                <w:color w:val="auto"/>
              </w:rPr>
            </w:pPr>
          </w:p>
        </w:tc>
        <w:tc>
          <w:tcPr>
            <w:tcW w:w="34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534,026</w:t>
            </w:r>
          </w:p>
        </w:tc>
        <w:tc>
          <w:tcPr>
            <w:tcW w:w="240" w:type="dxa"/>
            <w:vAlign w:val="bottom"/>
            <w:tcBorders>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707,037</w:t>
            </w:r>
          </w:p>
        </w:tc>
        <w:tc>
          <w:tcPr>
            <w:tcW w:w="34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173,984</w:t>
            </w:r>
          </w:p>
        </w:tc>
        <w:tc>
          <w:tcPr>
            <w:tcW w:w="60" w:type="dxa"/>
            <w:vAlign w:val="bottom"/>
            <w:tcBorders>
              <w:bottom w:val="single" w:sz="8" w:color="CCEEFF"/>
            </w:tcBorders>
          </w:tcPr>
          <w:p>
            <w:pPr>
              <w:spacing w:after="0"/>
              <w:rPr>
                <w:sz w:val="18"/>
                <w:szCs w:val="18"/>
                <w:color w:val="auto"/>
              </w:rPr>
            </w:pPr>
          </w:p>
        </w:tc>
        <w:tc>
          <w:tcPr>
            <w:tcW w:w="32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533,053</w:t>
            </w:r>
          </w:p>
        </w:tc>
        <w:tc>
          <w:tcPr>
            <w:tcW w:w="1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161,609</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163,088</w:t>
            </w:r>
          </w:p>
        </w:tc>
        <w:tc>
          <w:tcPr>
            <w:tcW w:w="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324,697</w:t>
            </w:r>
          </w:p>
        </w:tc>
        <w:tc>
          <w:tcPr>
            <w:tcW w:w="2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(78,223)</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180,277</w:t>
            </w: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102,054</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2740" w:type="dxa"/>
            <w:vAlign w:val="bottom"/>
          </w:tcPr>
          <w:p>
            <w:pPr>
              <w:spacing w:after="0" w:line="201" w:lineRule="exact"/>
              <w:rPr>
                <w:sz w:val="20"/>
                <w:szCs w:val="20"/>
                <w:color w:val="auto"/>
              </w:rPr>
            </w:pPr>
            <w:r>
              <w:rPr>
                <w:rFonts w:ascii="Arial" w:cs="Arial" w:eastAsia="Arial" w:hAnsi="Arial"/>
                <w:sz w:val="18"/>
                <w:szCs w:val="18"/>
                <w:color w:val="auto"/>
              </w:rPr>
              <w:t>Interest and other income</w:t>
            </w:r>
          </w:p>
        </w:tc>
        <w:tc>
          <w:tcPr>
            <w:tcW w:w="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740" w:type="dxa"/>
            <w:vAlign w:val="bottom"/>
          </w:tcPr>
          <w:p>
            <w:pPr>
              <w:ind w:left="160"/>
              <w:spacing w:after="0"/>
              <w:rPr>
                <w:sz w:val="20"/>
                <w:szCs w:val="20"/>
                <w:color w:val="auto"/>
              </w:rPr>
            </w:pPr>
            <w:r>
              <w:rPr>
                <w:rFonts w:ascii="Arial" w:cs="Arial" w:eastAsia="Arial" w:hAnsi="Arial"/>
                <w:sz w:val="18"/>
                <w:szCs w:val="18"/>
                <w:color w:val="auto"/>
              </w:rPr>
              <w:t>(expense), net</w:t>
            </w:r>
          </w:p>
        </w:tc>
        <w:tc>
          <w:tcPr>
            <w:tcW w:w="220" w:type="dxa"/>
            <w:vAlign w:val="bottom"/>
          </w:tcPr>
          <w:p>
            <w:pPr>
              <w:spacing w:after="0"/>
              <w:rPr>
                <w:sz w:val="20"/>
                <w:szCs w:val="20"/>
                <w:color w:val="auto"/>
              </w:rPr>
            </w:pPr>
          </w:p>
        </w:tc>
        <w:tc>
          <w:tcPr>
            <w:tcW w:w="1140" w:type="dxa"/>
            <w:vAlign w:val="bottom"/>
            <w:gridSpan w:val="2"/>
          </w:tcPr>
          <w:p>
            <w:pPr>
              <w:jc w:val="right"/>
              <w:ind w:right="180"/>
              <w:spacing w:after="0"/>
              <w:rPr>
                <w:sz w:val="20"/>
                <w:szCs w:val="20"/>
                <w:color w:val="auto"/>
              </w:rPr>
            </w:pPr>
            <w:r>
              <w:rPr>
                <w:rFonts w:ascii="Arial" w:cs="Arial" w:eastAsia="Arial" w:hAnsi="Arial"/>
                <w:sz w:val="18"/>
                <w:szCs w:val="18"/>
                <w:color w:val="auto"/>
              </w:rPr>
              <w:t>(6,649)</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(6,649)</w:t>
            </w:r>
          </w:p>
        </w:tc>
        <w:tc>
          <w:tcPr>
            <w:tcW w:w="220" w:type="dxa"/>
            <w:vAlign w:val="bottom"/>
          </w:tcPr>
          <w:p>
            <w:pPr>
              <w:spacing w:after="0"/>
              <w:rPr>
                <w:sz w:val="20"/>
                <w:szCs w:val="20"/>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(15,470)</w:t>
            </w:r>
          </w:p>
        </w:tc>
        <w:tc>
          <w:tcPr>
            <w:tcW w:w="14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(15,470)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7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w w:val="98"/>
              </w:rPr>
              <w:t>Income (loss) before income taxes</w:t>
            </w: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154,960</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163,088</w:t>
            </w:r>
          </w:p>
        </w:tc>
        <w:tc>
          <w:tcPr>
            <w:tcW w:w="6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318,048</w:t>
            </w:r>
          </w:p>
        </w:tc>
        <w:tc>
          <w:tcPr>
            <w:tcW w:w="2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(93,693)</w:t>
            </w:r>
          </w:p>
        </w:tc>
        <w:tc>
          <w:tcPr>
            <w:tcW w:w="3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180,277</w:t>
            </w:r>
          </w:p>
        </w:tc>
        <w:tc>
          <w:tcPr>
            <w:tcW w:w="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86,584</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20" w:type="dxa"/>
            <w:vAlign w:val="bottom"/>
          </w:tcPr>
          <w:p>
            <w:pPr>
              <w:spacing w:after="0"/>
              <w:rPr>
                <w:sz w:val="18"/>
                <w:szCs w:val="18"/>
                <w:color w:val="auto"/>
              </w:rPr>
            </w:pPr>
          </w:p>
        </w:tc>
        <w:tc>
          <w:tcPr>
            <w:tcW w:w="1140" w:type="dxa"/>
            <w:vAlign w:val="bottom"/>
            <w:gridSpan w:val="2"/>
          </w:tcPr>
          <w:p>
            <w:pPr>
              <w:jc w:val="right"/>
              <w:ind w:right="240"/>
              <w:spacing w:after="0"/>
              <w:rPr>
                <w:sz w:val="20"/>
                <w:szCs w:val="20"/>
                <w:color w:val="auto"/>
              </w:rPr>
            </w:pPr>
            <w:r>
              <w:rPr>
                <w:rFonts w:ascii="Arial" w:cs="Arial" w:eastAsia="Arial" w:hAnsi="Arial"/>
                <w:sz w:val="18"/>
                <w:szCs w:val="18"/>
                <w:color w:val="auto"/>
              </w:rPr>
              <w:t>13,654</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40" w:type="dxa"/>
            <w:vAlign w:val="bottom"/>
            <w:gridSpan w:val="2"/>
          </w:tcPr>
          <w:p>
            <w:pPr>
              <w:jc w:val="right"/>
              <w:ind w:right="240"/>
              <w:spacing w:after="0"/>
              <w:rPr>
                <w:sz w:val="20"/>
                <w:szCs w:val="20"/>
                <w:color w:val="auto"/>
              </w:rPr>
            </w:pPr>
            <w:r>
              <w:rPr>
                <w:rFonts w:ascii="Arial" w:cs="Arial" w:eastAsia="Arial" w:hAnsi="Arial"/>
                <w:sz w:val="18"/>
                <w:szCs w:val="18"/>
                <w:color w:val="auto"/>
              </w:rPr>
              <w:t>13,654</w:t>
            </w:r>
          </w:p>
        </w:tc>
        <w:tc>
          <w:tcPr>
            <w:tcW w:w="220" w:type="dxa"/>
            <w:vAlign w:val="bottom"/>
          </w:tcPr>
          <w:p>
            <w:pPr>
              <w:spacing w:after="0"/>
              <w:rPr>
                <w:sz w:val="18"/>
                <w:szCs w:val="18"/>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15,591</w:t>
            </w:r>
          </w:p>
        </w:tc>
        <w:tc>
          <w:tcPr>
            <w:tcW w:w="14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15,591</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7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141,306</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163,088</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304,394</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(109,284)</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180,277</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3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70,993</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7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2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0.23</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0.50</w:t>
            </w: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(0.19)</w:t>
            </w: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00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121" w:right="239" w:bottom="0" w:gutter="0" w:footer="0" w:header="0"/>
        </w:sectPr>
      </w:pPr>
    </w:p>
    <w:bookmarkStart w:id="6" w:name="page7"/>
    <w:bookmarkEnd w:id="6"/>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3060" w:type="dxa"/>
            <w:vAlign w:val="bottom"/>
            <w:gridSpan w:val="3"/>
          </w:tcPr>
          <w:p>
            <w:pPr>
              <w:spacing w:after="0"/>
              <w:rPr>
                <w:sz w:val="20"/>
                <w:szCs w:val="20"/>
                <w:color w:val="auto"/>
              </w:rPr>
            </w:pPr>
            <w:r>
              <w:rPr>
                <w:rFonts w:ascii="Arial" w:cs="Arial" w:eastAsia="Arial" w:hAnsi="Arial"/>
                <w:sz w:val="18"/>
                <w:szCs w:val="18"/>
                <w:color w:val="auto"/>
                <w:w w:val="99"/>
              </w:rPr>
              <w:t>Diluted net income (loss) per share   $</w:t>
            </w:r>
          </w:p>
        </w:tc>
        <w:tc>
          <w:tcPr>
            <w:tcW w:w="1760" w:type="dxa"/>
            <w:vAlign w:val="bottom"/>
            <w:gridSpan w:val="2"/>
          </w:tcPr>
          <w:p>
            <w:pPr>
              <w:jc w:val="right"/>
              <w:ind w:right="940"/>
              <w:spacing w:after="0"/>
              <w:rPr>
                <w:sz w:val="20"/>
                <w:szCs w:val="20"/>
                <w:color w:val="auto"/>
              </w:rPr>
            </w:pPr>
            <w:r>
              <w:rPr>
                <w:rFonts w:ascii="Arial" w:cs="Arial" w:eastAsia="Arial" w:hAnsi="Arial"/>
                <w:sz w:val="18"/>
                <w:szCs w:val="18"/>
                <w:color w:val="auto"/>
              </w:rPr>
              <w:t>0.22</w:t>
            </w: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0.48</w:t>
            </w:r>
          </w:p>
        </w:tc>
        <w:tc>
          <w:tcPr>
            <w:tcW w:w="300" w:type="dxa"/>
            <w:vAlign w:val="bottom"/>
          </w:tcPr>
          <w:p>
            <w:pPr>
              <w:jc w:val="right"/>
              <w:ind w:right="145"/>
              <w:spacing w:after="0"/>
              <w:rPr>
                <w:sz w:val="20"/>
                <w:szCs w:val="20"/>
                <w:color w:val="auto"/>
              </w:rPr>
            </w:pPr>
            <w:r>
              <w:rPr>
                <w:rFonts w:ascii="Arial" w:cs="Arial" w:eastAsia="Arial" w:hAnsi="Arial"/>
                <w:sz w:val="15"/>
                <w:szCs w:val="15"/>
                <w:color w:val="auto"/>
                <w:w w:val="71"/>
              </w:rPr>
              <w:t>$</w:t>
            </w:r>
          </w:p>
        </w:tc>
        <w:tc>
          <w:tcPr>
            <w:tcW w:w="1740" w:type="dxa"/>
            <w:vAlign w:val="bottom"/>
            <w:gridSpan w:val="2"/>
          </w:tcPr>
          <w:p>
            <w:pPr>
              <w:jc w:val="right"/>
              <w:ind w:right="900"/>
              <w:spacing w:after="0"/>
              <w:rPr>
                <w:sz w:val="20"/>
                <w:szCs w:val="20"/>
                <w:color w:val="auto"/>
              </w:rPr>
            </w:pPr>
            <w:r>
              <w:rPr>
                <w:rFonts w:ascii="Arial" w:cs="Arial" w:eastAsia="Arial" w:hAnsi="Arial"/>
                <w:sz w:val="18"/>
                <w:szCs w:val="18"/>
                <w:color w:val="auto"/>
              </w:rPr>
              <w:t>(0.19)</w:t>
            </w: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16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274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94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8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3040" w:type="dxa"/>
            <w:vAlign w:val="bottom"/>
            <w:gridSpan w:val="2"/>
          </w:tcPr>
          <w:p>
            <w:pPr>
              <w:spacing w:after="0" w:line="201" w:lineRule="exact"/>
              <w:rPr>
                <w:sz w:val="20"/>
                <w:szCs w:val="20"/>
                <w:color w:val="auto"/>
              </w:rPr>
            </w:pPr>
            <w:r>
              <w:rPr>
                <w:rFonts w:ascii="Arial" w:cs="Arial" w:eastAsia="Arial" w:hAnsi="Arial"/>
                <w:sz w:val="18"/>
                <w:szCs w:val="18"/>
                <w:color w:val="auto"/>
              </w:rPr>
              <w:t>Shares used in computing basic</w:t>
            </w:r>
          </w:p>
        </w:tc>
        <w:tc>
          <w:tcPr>
            <w:tcW w:w="8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040" w:type="dxa"/>
            <w:vAlign w:val="bottom"/>
            <w:gridSpan w:val="2"/>
          </w:tcPr>
          <w:p>
            <w:pPr>
              <w:ind w:left="160"/>
              <w:spacing w:after="0"/>
              <w:rPr>
                <w:sz w:val="20"/>
                <w:szCs w:val="20"/>
                <w:color w:val="auto"/>
              </w:rPr>
            </w:pPr>
            <w:r>
              <w:rPr>
                <w:rFonts w:ascii="Arial" w:cs="Arial" w:eastAsia="Arial" w:hAnsi="Arial"/>
                <w:sz w:val="18"/>
                <w:szCs w:val="18"/>
                <w:color w:val="auto"/>
              </w:rPr>
              <w:t>earnings per share</w:t>
            </w:r>
          </w:p>
        </w:tc>
        <w:tc>
          <w:tcPr>
            <w:tcW w:w="1760" w:type="dxa"/>
            <w:vAlign w:val="bottom"/>
            <w:gridSpan w:val="2"/>
          </w:tcPr>
          <w:p>
            <w:pPr>
              <w:jc w:val="right"/>
              <w:ind w:right="940"/>
              <w:spacing w:after="0"/>
              <w:rPr>
                <w:sz w:val="20"/>
                <w:szCs w:val="20"/>
                <w:color w:val="auto"/>
              </w:rPr>
            </w:pPr>
            <w:r>
              <w:rPr>
                <w:rFonts w:ascii="Arial" w:cs="Arial" w:eastAsia="Arial" w:hAnsi="Arial"/>
                <w:sz w:val="18"/>
                <w:szCs w:val="18"/>
                <w:color w:val="auto"/>
              </w:rPr>
              <w:t>604,041</w:t>
            </w:r>
          </w:p>
        </w:tc>
        <w:tc>
          <w:tcPr>
            <w:tcW w:w="9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604,041</w:t>
            </w:r>
          </w:p>
        </w:tc>
        <w:tc>
          <w:tcPr>
            <w:tcW w:w="2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740" w:type="dxa"/>
            <w:vAlign w:val="bottom"/>
            <w:gridSpan w:val="2"/>
          </w:tcPr>
          <w:p>
            <w:pPr>
              <w:jc w:val="right"/>
              <w:ind w:right="960"/>
              <w:spacing w:after="0"/>
              <w:rPr>
                <w:sz w:val="20"/>
                <w:szCs w:val="20"/>
                <w:color w:val="auto"/>
              </w:rPr>
            </w:pPr>
            <w:r>
              <w:rPr>
                <w:rFonts w:ascii="Arial" w:cs="Arial" w:eastAsia="Arial" w:hAnsi="Arial"/>
                <w:sz w:val="18"/>
                <w:szCs w:val="18"/>
                <w:color w:val="auto"/>
              </w:rPr>
              <w:t>587,480</w:t>
            </w:r>
          </w:p>
        </w:tc>
        <w:tc>
          <w:tcPr>
            <w:tcW w:w="9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80" w:type="dxa"/>
            <w:vAlign w:val="bottom"/>
            <w:gridSpan w:val="2"/>
          </w:tcPr>
          <w:p>
            <w:pPr>
              <w:jc w:val="right"/>
              <w:ind w:right="160"/>
              <w:spacing w:after="0"/>
              <w:rPr>
                <w:sz w:val="20"/>
                <w:szCs w:val="20"/>
                <w:color w:val="auto"/>
              </w:rPr>
            </w:pPr>
            <w:r>
              <w:rPr>
                <w:rFonts w:ascii="Arial" w:cs="Arial" w:eastAsia="Arial" w:hAnsi="Arial"/>
                <w:sz w:val="18"/>
                <w:szCs w:val="18"/>
                <w:color w:val="auto"/>
              </w:rPr>
              <w:t>587,480</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04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Shares used in computing diluted</w:t>
            </w:r>
          </w:p>
        </w:tc>
        <w:tc>
          <w:tcPr>
            <w:tcW w:w="8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0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earnings per share</w:t>
            </w:r>
          </w:p>
        </w:tc>
        <w:tc>
          <w:tcPr>
            <w:tcW w:w="1760" w:type="dxa"/>
            <w:vAlign w:val="bottom"/>
            <w:gridSpan w:val="2"/>
            <w:shd w:val="clear" w:color="auto" w:fill="CCEEFF"/>
          </w:tcPr>
          <w:p>
            <w:pPr>
              <w:jc w:val="right"/>
              <w:ind w:right="940"/>
              <w:spacing w:after="0"/>
              <w:rPr>
                <w:sz w:val="20"/>
                <w:szCs w:val="20"/>
                <w:color w:val="auto"/>
              </w:rPr>
            </w:pPr>
            <w:r>
              <w:rPr>
                <w:rFonts w:ascii="Arial" w:cs="Arial" w:eastAsia="Arial" w:hAnsi="Arial"/>
                <w:sz w:val="18"/>
                <w:szCs w:val="18"/>
                <w:color w:val="auto"/>
              </w:rPr>
              <w:t>631,091</w:t>
            </w:r>
          </w:p>
        </w:tc>
        <w:tc>
          <w:tcPr>
            <w:tcW w:w="96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632,294</w:t>
            </w:r>
          </w:p>
        </w:tc>
        <w:tc>
          <w:tcPr>
            <w:tcW w:w="2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74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587,480</w:t>
            </w:r>
          </w:p>
        </w:tc>
        <w:tc>
          <w:tcPr>
            <w:tcW w:w="9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632,010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20"/>
        <w:spacing w:after="0"/>
        <w:rPr>
          <w:sz w:val="20"/>
          <w:szCs w:val="20"/>
          <w:color w:val="auto"/>
        </w:rPr>
      </w:pPr>
      <w:r>
        <w:rPr>
          <w:rFonts w:ascii="Arial" w:cs="Arial" w:eastAsia="Arial" w:hAnsi="Arial"/>
          <w:sz w:val="18"/>
          <w:szCs w:val="18"/>
          <w:color w:val="auto"/>
        </w:rPr>
        <w:t>(a) Consists of</w:t>
      </w:r>
    </w:p>
    <w:p>
      <w:pPr>
        <w:spacing w:after="0" w:line="23" w:lineRule="exact"/>
        <w:rPr>
          <w:sz w:val="20"/>
          <w:szCs w:val="20"/>
          <w:color w:val="auto"/>
        </w:rPr>
      </w:pPr>
    </w:p>
    <w:p>
      <w:pPr>
        <w:ind w:left="580" w:right="2620"/>
        <w:spacing w:after="0" w:line="323" w:lineRule="auto"/>
        <w:rPr>
          <w:sz w:val="20"/>
          <w:szCs w:val="20"/>
          <w:color w:val="auto"/>
        </w:rPr>
      </w:pPr>
      <w:r>
        <w:rPr>
          <w:rFonts w:ascii="Arial" w:cs="Arial" w:eastAsia="Arial" w:hAnsi="Arial"/>
          <w:sz w:val="16"/>
          <w:szCs w:val="16"/>
          <w:color w:val="auto"/>
        </w:rPr>
        <w:t>For six months ending August 2, 2008, employee stock-based compensation expense of $6,828 cost of goods sold, $62,930 research and development, $13,507 selling and marketing and $9,588 general and administrative</w:t>
      </w:r>
    </w:p>
    <w:p>
      <w:pPr>
        <w:spacing w:after="0" w:line="139" w:lineRule="exact"/>
        <w:rPr>
          <w:sz w:val="20"/>
          <w:szCs w:val="20"/>
          <w:color w:val="auto"/>
        </w:rPr>
      </w:pPr>
    </w:p>
    <w:p>
      <w:pPr>
        <w:ind w:left="580" w:right="2760"/>
        <w:spacing w:after="0" w:line="342" w:lineRule="auto"/>
        <w:rPr>
          <w:sz w:val="20"/>
          <w:szCs w:val="20"/>
          <w:color w:val="auto"/>
        </w:rPr>
      </w:pPr>
      <w:r>
        <w:rPr>
          <w:rFonts w:ascii="Arial" w:cs="Arial" w:eastAsia="Arial" w:hAnsi="Arial"/>
          <w:sz w:val="16"/>
          <w:szCs w:val="16"/>
          <w:color w:val="auto"/>
        </w:rPr>
        <w:t>For six months ending July 28, 2007, employee stock-based compensation expense of $6,293 cost of goods sold, $66,633 research and development, $18,148 selling and marketing and $14,590 general and administrative</w:t>
      </w:r>
    </w:p>
    <w:p>
      <w:pPr>
        <w:spacing w:after="0" w:line="124" w:lineRule="exact"/>
        <w:rPr>
          <w:sz w:val="20"/>
          <w:szCs w:val="20"/>
          <w:color w:val="auto"/>
        </w:rPr>
      </w:pPr>
    </w:p>
    <w:p>
      <w:pPr>
        <w:ind w:left="20"/>
        <w:spacing w:after="0"/>
        <w:rPr>
          <w:sz w:val="20"/>
          <w:szCs w:val="20"/>
          <w:color w:val="auto"/>
        </w:rPr>
      </w:pPr>
      <w:r>
        <w:rPr>
          <w:rFonts w:ascii="Arial" w:cs="Arial" w:eastAsia="Arial" w:hAnsi="Arial"/>
          <w:sz w:val="18"/>
          <w:szCs w:val="18"/>
          <w:color w:val="auto"/>
        </w:rPr>
        <w:t>(b) Consists of</w:t>
      </w:r>
    </w:p>
    <w:p>
      <w:pPr>
        <w:spacing w:after="0" w:line="23" w:lineRule="exact"/>
        <w:rPr>
          <w:sz w:val="20"/>
          <w:szCs w:val="20"/>
          <w:color w:val="auto"/>
        </w:rPr>
      </w:pPr>
    </w:p>
    <w:p>
      <w:pPr>
        <w:ind w:left="540" w:right="2520"/>
        <w:spacing w:after="0" w:line="323" w:lineRule="auto"/>
        <w:rPr>
          <w:sz w:val="20"/>
          <w:szCs w:val="20"/>
          <w:color w:val="auto"/>
        </w:rPr>
      </w:pPr>
      <w:r>
        <w:rPr>
          <w:rFonts w:ascii="Arial" w:cs="Arial" w:eastAsia="Arial" w:hAnsi="Arial"/>
          <w:sz w:val="16"/>
          <w:szCs w:val="16"/>
          <w:color w:val="auto"/>
        </w:rPr>
        <w:t>For six months ending August 2, 2008, amortization of intangible assets of $70,235 resulting from prior acquisitions For six months ending July 28, 2007, amortization of intangible assets of $74,613 resulting from prior acquisitions</w:t>
      </w:r>
    </w:p>
    <w:p>
      <w:pPr>
        <w:spacing w:after="0" w:line="13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2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rPr>
              <w:t>August 2,</w:t>
            </w:r>
          </w:p>
        </w:tc>
        <w:tc>
          <w:tcPr>
            <w:tcW w:w="200" w:type="dxa"/>
            <w:vAlign w:val="bottom"/>
          </w:tcPr>
          <w:p>
            <w:pPr>
              <w:spacing w:after="0"/>
              <w:rPr>
                <w:sz w:val="14"/>
                <w:szCs w:val="14"/>
                <w:color w:val="auto"/>
              </w:rPr>
            </w:pPr>
          </w:p>
        </w:tc>
        <w:tc>
          <w:tcPr>
            <w:tcW w:w="12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February 2,</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20" w:type="dxa"/>
            <w:vAlign w:val="bottom"/>
            <w:tcBorders>
              <w:bottom w:val="single" w:sz="8" w:color="CCEEFF"/>
            </w:tcBorders>
          </w:tcPr>
          <w:p>
            <w:pPr>
              <w:spacing w:after="0"/>
              <w:rPr>
                <w:sz w:val="14"/>
                <w:szCs w:val="14"/>
                <w:color w:val="auto"/>
              </w:rPr>
            </w:pPr>
          </w:p>
        </w:tc>
        <w:tc>
          <w:tcPr>
            <w:tcW w:w="356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7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35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Current assets: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cash equivalents and short-term investments</w:t>
            </w:r>
          </w:p>
        </w:tc>
        <w:tc>
          <w:tcPr>
            <w:tcW w:w="380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888,898</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630,903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Accounts receivable, net</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470,646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332,020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Inventory</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326,924</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419,493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94,103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121,325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35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1,780,571</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1,503,741</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412,988</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416,241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40,293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45,628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2,357,606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2,427,877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132,627</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157,107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47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3560" w:type="dxa"/>
            <w:vAlign w:val="bottom"/>
            <w:tcBorders>
              <w:bottom w:val="single" w:sz="8" w:color="CCEEFF"/>
            </w:tcBorders>
          </w:tcPr>
          <w:p>
            <w:pPr>
              <w:spacing w:after="0"/>
              <w:rPr>
                <w:sz w:val="21"/>
                <w:szCs w:val="21"/>
                <w:color w:val="auto"/>
              </w:rPr>
            </w:pP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4,724,085</w:t>
            </w:r>
          </w:p>
        </w:tc>
        <w:tc>
          <w:tcPr>
            <w:tcW w:w="28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4720" w:type="dxa"/>
            <w:vAlign w:val="bottom"/>
            <w:shd w:val="clear" w:color="auto" w:fill="CCEEFF"/>
          </w:tcPr>
          <w:p>
            <w:pPr>
              <w:spacing w:after="0"/>
              <w:rPr>
                <w:sz w:val="17"/>
                <w:szCs w:val="17"/>
                <w:color w:val="auto"/>
              </w:rPr>
            </w:pPr>
          </w:p>
        </w:tc>
        <w:tc>
          <w:tcPr>
            <w:tcW w:w="35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3800" w:type="dxa"/>
            <w:vAlign w:val="bottom"/>
            <w:gridSpan w:val="2"/>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237,039</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231,135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217,629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241,062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Income taxes payable</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37,008</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39,132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62,005</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69,420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1,933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2,463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liabilities</w:t>
            </w:r>
          </w:p>
        </w:tc>
        <w:tc>
          <w:tcPr>
            <w:tcW w:w="35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555,614</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583,212</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3,363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4,238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288,750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390,750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169,666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160,875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w:t>
            </w:r>
          </w:p>
        </w:tc>
        <w:tc>
          <w:tcPr>
            <w:tcW w:w="35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1,017,393</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35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4720" w:type="dxa"/>
            <w:vAlign w:val="bottom"/>
          </w:tcPr>
          <w:p>
            <w:pPr>
              <w:spacing w:after="0"/>
              <w:rPr>
                <w:sz w:val="17"/>
                <w:szCs w:val="17"/>
                <w:color w:val="auto"/>
              </w:rPr>
            </w:pPr>
          </w:p>
        </w:tc>
        <w:tc>
          <w:tcPr>
            <w:tcW w:w="35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Common stock</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80"/>
              <w:spacing w:after="0"/>
              <w:rPr>
                <w:sz w:val="20"/>
                <w:szCs w:val="20"/>
                <w:color w:val="auto"/>
              </w:rPr>
            </w:pPr>
            <w:r>
              <w:rPr>
                <w:rFonts w:ascii="Arial" w:cs="Arial" w:eastAsia="Arial" w:hAnsi="Arial"/>
                <w:sz w:val="18"/>
                <w:szCs w:val="18"/>
                <w:color w:val="auto"/>
              </w:rPr>
              <w:t>1,221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4,256,384</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4,100,659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Accumulated other comprehensive income (loss)</w:t>
            </w:r>
          </w:p>
        </w:tc>
        <w:tc>
          <w:tcPr>
            <w:tcW w:w="3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(1,264)</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615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35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(549,649)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(690,955)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356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3,706,692</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356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4,724,085</w:t>
            </w:r>
          </w:p>
        </w:tc>
        <w:tc>
          <w:tcPr>
            <w:tcW w:w="2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3560" w:type="dxa"/>
            <w:vAlign w:val="bottom"/>
            <w:vMerge w:val="restart"/>
          </w:tcPr>
          <w:p>
            <w:pPr>
              <w:jc w:val="right"/>
              <w:ind w:right="2450"/>
              <w:spacing w:after="0"/>
              <w:rPr>
                <w:sz w:val="20"/>
                <w:szCs w:val="20"/>
                <w:color w:val="auto"/>
              </w:rPr>
            </w:pPr>
            <w:r>
              <w:rPr>
                <w:rFonts w:ascii="Arial" w:cs="Arial" w:eastAsia="Arial" w:hAnsi="Arial"/>
                <w:sz w:val="18"/>
                <w:szCs w:val="18"/>
                <w:color w:val="auto"/>
              </w:rPr>
              <w:t>8</w:t>
            </w:r>
          </w:p>
        </w:tc>
        <w:tc>
          <w:tcPr>
            <w:tcW w:w="2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20" w:type="dxa"/>
            <w:vAlign w:val="bottom"/>
          </w:tcPr>
          <w:p>
            <w:pPr>
              <w:spacing w:after="0"/>
              <w:rPr>
                <w:sz w:val="24"/>
                <w:szCs w:val="24"/>
                <w:color w:val="auto"/>
              </w:rPr>
            </w:pPr>
          </w:p>
        </w:tc>
        <w:tc>
          <w:tcPr>
            <w:tcW w:w="4720" w:type="dxa"/>
            <w:vAlign w:val="bottom"/>
          </w:tcPr>
          <w:p>
            <w:pPr>
              <w:spacing w:after="0"/>
              <w:rPr>
                <w:sz w:val="24"/>
                <w:szCs w:val="24"/>
                <w:color w:val="auto"/>
              </w:rPr>
            </w:pPr>
          </w:p>
        </w:tc>
        <w:tc>
          <w:tcPr>
            <w:tcW w:w="356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4720" w:type="dxa"/>
            <w:vAlign w:val="bottom"/>
            <w:tcBorders>
              <w:bottom w:val="single" w:sz="8" w:color="010101"/>
            </w:tcBorders>
          </w:tcPr>
          <w:p>
            <w:pPr>
              <w:spacing w:after="0"/>
              <w:rPr>
                <w:sz w:val="11"/>
                <w:szCs w:val="11"/>
                <w:color w:val="auto"/>
              </w:rPr>
            </w:pPr>
          </w:p>
        </w:tc>
        <w:tc>
          <w:tcPr>
            <w:tcW w:w="356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14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16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58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2620" w:type="dxa"/>
            <w:vAlign w:val="bottom"/>
            <w:gridSpan w:val="4"/>
          </w:tcPr>
          <w:p>
            <w:pPr>
              <w:ind w:left="60"/>
              <w:spacing w:after="0"/>
              <w:rPr>
                <w:sz w:val="20"/>
                <w:szCs w:val="20"/>
                <w:color w:val="auto"/>
              </w:rPr>
            </w:pPr>
            <w:r>
              <w:rPr>
                <w:rFonts w:ascii="Arial" w:cs="Arial" w:eastAsia="Arial" w:hAnsi="Arial"/>
                <w:sz w:val="14"/>
                <w:szCs w:val="14"/>
                <w:b w:val="1"/>
                <w:bCs w:val="1"/>
                <w:color w:val="auto"/>
              </w:rPr>
              <w:t>Six Months Ended</w:t>
            </w:r>
          </w:p>
        </w:tc>
      </w:tr>
      <w:tr>
        <w:trPr>
          <w:trHeight w:val="119"/>
        </w:trPr>
        <w:tc>
          <w:tcPr>
            <w:tcW w:w="7580" w:type="dxa"/>
            <w:vAlign w:val="bottom"/>
          </w:tcPr>
          <w:p>
            <w:pPr>
              <w:spacing w:after="0"/>
              <w:rPr>
                <w:sz w:val="10"/>
                <w:szCs w:val="10"/>
                <w:color w:val="auto"/>
              </w:rPr>
            </w:pPr>
          </w:p>
        </w:tc>
        <w:tc>
          <w:tcPr>
            <w:tcW w:w="1220" w:type="dxa"/>
            <w:vAlign w:val="bottom"/>
            <w:tcBorders>
              <w:top w:val="single" w:sz="8" w:color="auto"/>
            </w:tcBorders>
          </w:tcPr>
          <w:p>
            <w:pPr>
              <w:jc w:val="center"/>
              <w:ind w:left="411"/>
              <w:spacing w:after="0" w:line="119" w:lineRule="exact"/>
              <w:rPr>
                <w:sz w:val="20"/>
                <w:szCs w:val="20"/>
                <w:color w:val="auto"/>
              </w:rPr>
            </w:pPr>
            <w:r>
              <w:rPr>
                <w:rFonts w:ascii="Arial" w:cs="Arial" w:eastAsia="Arial" w:hAnsi="Arial"/>
                <w:sz w:val="13"/>
                <w:szCs w:val="13"/>
                <w:b w:val="1"/>
                <w:bCs w:val="1"/>
                <w:color w:val="auto"/>
                <w:w w:val="97"/>
              </w:rPr>
              <w:t>August 2,</w:t>
            </w:r>
          </w:p>
        </w:tc>
        <w:tc>
          <w:tcPr>
            <w:tcW w:w="480" w:type="dxa"/>
            <w:vAlign w:val="bottom"/>
            <w:tcBorders>
              <w:top w:val="single" w:sz="8" w:color="auto"/>
            </w:tcBorders>
          </w:tcPr>
          <w:p>
            <w:pPr>
              <w:spacing w:after="0"/>
              <w:rPr>
                <w:sz w:val="10"/>
                <w:szCs w:val="10"/>
                <w:color w:val="auto"/>
              </w:rPr>
            </w:pPr>
          </w:p>
        </w:tc>
        <w:tc>
          <w:tcPr>
            <w:tcW w:w="340" w:type="dxa"/>
            <w:vAlign w:val="bottom"/>
            <w:tcBorders>
              <w:top w:val="single" w:sz="8" w:color="auto"/>
            </w:tcBorders>
          </w:tcPr>
          <w:p>
            <w:pPr>
              <w:spacing w:after="0"/>
              <w:rPr>
                <w:sz w:val="10"/>
                <w:szCs w:val="10"/>
                <w:color w:val="auto"/>
              </w:rPr>
            </w:pPr>
          </w:p>
        </w:tc>
        <w:tc>
          <w:tcPr>
            <w:tcW w:w="168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July 28,</w:t>
            </w:r>
          </w:p>
        </w:tc>
        <w:tc>
          <w:tcPr>
            <w:tcW w:w="120" w:type="dxa"/>
            <w:vAlign w:val="bottom"/>
          </w:tcPr>
          <w:p>
            <w:pPr>
              <w:spacing w:after="0"/>
              <w:rPr>
                <w:sz w:val="10"/>
                <w:szCs w:val="10"/>
                <w:color w:val="auto"/>
              </w:rPr>
            </w:pPr>
          </w:p>
        </w:tc>
      </w:tr>
      <w:tr>
        <w:trPr>
          <w:trHeight w:val="171"/>
        </w:trPr>
        <w:tc>
          <w:tcPr>
            <w:tcW w:w="7580" w:type="dxa"/>
            <w:vAlign w:val="bottom"/>
            <w:tcBorders>
              <w:bottom w:val="single" w:sz="8" w:color="CCEEFF"/>
            </w:tcBorders>
          </w:tcPr>
          <w:p>
            <w:pPr>
              <w:spacing w:after="0"/>
              <w:rPr>
                <w:sz w:val="14"/>
                <w:szCs w:val="14"/>
                <w:color w:val="auto"/>
              </w:rPr>
            </w:pPr>
          </w:p>
        </w:tc>
        <w:tc>
          <w:tcPr>
            <w:tcW w:w="12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2008</w:t>
            </w:r>
          </w:p>
        </w:tc>
        <w:tc>
          <w:tcPr>
            <w:tcW w:w="480" w:type="dxa"/>
            <w:vAlign w:val="bottom"/>
            <w:tcBorders>
              <w:bottom w:val="single" w:sz="8" w:color="auto"/>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680" w:type="dxa"/>
            <w:vAlign w:val="bottom"/>
            <w:tcBorders>
              <w:bottom w:val="single" w:sz="8" w:color="auto"/>
            </w:tcBorders>
          </w:tcPr>
          <w:p>
            <w:pPr>
              <w:jc w:val="right"/>
              <w:ind w:right="631"/>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CCEEFF"/>
            </w:tcBorders>
          </w:tcPr>
          <w:p>
            <w:pPr>
              <w:spacing w:after="0"/>
              <w:rPr>
                <w:sz w:val="14"/>
                <w:szCs w:val="14"/>
                <w:color w:val="auto"/>
              </w:rPr>
            </w:pPr>
          </w:p>
        </w:tc>
      </w:tr>
    </w:tbl>
    <w:p>
      <w:pPr>
        <w:sectPr>
          <w:pgSz w:w="11900" w:h="16900" w:orient="portrait"/>
          <w:cols w:equalWidth="0" w:num="1">
            <w:col w:w="11460"/>
          </w:cols>
          <w:pgMar w:left="240" w:top="125" w:right="199" w:bottom="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56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spacing w:after="0"/>
              <w:rPr>
                <w:sz w:val="20"/>
                <w:szCs w:val="20"/>
                <w:color w:val="auto"/>
              </w:rPr>
            </w:pPr>
            <w:r>
              <w:rPr>
                <w:rFonts w:ascii="Arial" w:cs="Arial" w:eastAsia="Arial" w:hAnsi="Arial"/>
                <w:sz w:val="18"/>
                <w:szCs w:val="18"/>
                <w:color w:val="auto"/>
              </w:rPr>
              <w:t>Net income (loss)</w:t>
            </w:r>
          </w:p>
        </w:tc>
        <w:tc>
          <w:tcPr>
            <w:tcW w:w="560" w:type="dxa"/>
            <w:vAlign w:val="bottom"/>
          </w:tcPr>
          <w:p>
            <w:pPr>
              <w:jc w:val="right"/>
              <w:ind w:right="405"/>
              <w:spacing w:after="0"/>
              <w:rPr>
                <w:sz w:val="20"/>
                <w:szCs w:val="20"/>
                <w:color w:val="auto"/>
              </w:rPr>
            </w:pPr>
            <w:r>
              <w:rPr>
                <w:rFonts w:ascii="Arial" w:cs="Arial" w:eastAsia="Arial" w:hAnsi="Arial"/>
                <w:sz w:val="15"/>
                <w:szCs w:val="15"/>
                <w:color w:val="auto"/>
                <w:w w:val="71"/>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141,306</w:t>
            </w:r>
          </w:p>
        </w:tc>
        <w:tc>
          <w:tcPr>
            <w:tcW w:w="340" w:type="dxa"/>
            <w:vAlign w:val="bottom"/>
          </w:tcPr>
          <w:p>
            <w:pPr>
              <w:spacing w:after="0"/>
              <w:rPr>
                <w:sz w:val="18"/>
                <w:szCs w:val="18"/>
                <w:color w:val="auto"/>
              </w:rPr>
            </w:pPr>
          </w:p>
        </w:tc>
        <w:tc>
          <w:tcPr>
            <w:tcW w:w="560" w:type="dxa"/>
            <w:vAlign w:val="bottom"/>
          </w:tcPr>
          <w:p>
            <w:pPr>
              <w:jc w:val="right"/>
              <w:ind w:right="370"/>
              <w:spacing w:after="0"/>
              <w:rPr>
                <w:sz w:val="20"/>
                <w:szCs w:val="20"/>
                <w:color w:val="auto"/>
              </w:rPr>
            </w:pPr>
            <w:r>
              <w:rPr>
                <w:rFonts w:ascii="Arial" w:cs="Arial" w:eastAsia="Arial" w:hAnsi="Arial"/>
                <w:sz w:val="18"/>
                <w:szCs w:val="18"/>
                <w:color w:val="auto"/>
                <w:w w:val="79"/>
              </w:rPr>
              <w:t>$</w:t>
            </w: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(109,284)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56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56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56,650</w:t>
            </w:r>
          </w:p>
        </w:tc>
        <w:tc>
          <w:tcPr>
            <w:tcW w:w="56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52,420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92,853</w:t>
            </w: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105,664</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56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70,235</w:t>
            </w:r>
          </w:p>
        </w:tc>
        <w:tc>
          <w:tcPr>
            <w:tcW w:w="56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74,613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Loss from disposal of assets</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(5,122)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Fair market value adjustment to Intel inventory sold</w:t>
            </w:r>
          </w:p>
        </w:tc>
        <w:tc>
          <w:tcPr>
            <w:tcW w:w="560" w:type="dxa"/>
            <w:vAlign w:val="bottom"/>
          </w:tcPr>
          <w:p>
            <w:pPr>
              <w:spacing w:after="0"/>
              <w:rPr>
                <w:sz w:val="18"/>
                <w:szCs w:val="18"/>
                <w:color w:val="auto"/>
              </w:rPr>
            </w:pP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(10,757)</w:t>
            </w:r>
          </w:p>
        </w:tc>
        <w:tc>
          <w:tcPr>
            <w:tcW w:w="5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(77,641)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Interest expense related to supply contract</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3,023</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560" w:type="dxa"/>
            <w:vAlign w:val="bottom"/>
          </w:tcPr>
          <w:p>
            <w:pPr>
              <w:spacing w:after="0"/>
              <w:rPr>
                <w:sz w:val="18"/>
                <w:szCs w:val="18"/>
                <w:color w:val="auto"/>
              </w:rPr>
            </w:pP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(494)</w:t>
            </w:r>
          </w:p>
        </w:tc>
        <w:tc>
          <w:tcPr>
            <w:tcW w:w="5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(235)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acquisitions:</w:t>
            </w:r>
          </w:p>
        </w:tc>
        <w:tc>
          <w:tcPr>
            <w:tcW w:w="56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Restricted cash</w:t>
            </w:r>
          </w:p>
        </w:tc>
        <w:tc>
          <w:tcPr>
            <w:tcW w:w="560" w:type="dxa"/>
            <w:vAlign w:val="bottom"/>
          </w:tcPr>
          <w:p>
            <w:pPr>
              <w:spacing w:after="0"/>
              <w:rPr>
                <w:sz w:val="18"/>
                <w:szCs w:val="18"/>
                <w:color w:val="auto"/>
              </w:rPr>
            </w:pP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(24,500)</w:t>
            </w:r>
          </w:p>
        </w:tc>
        <w:tc>
          <w:tcPr>
            <w:tcW w:w="56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(138,626)</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(28,702)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5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103,327</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(88,748)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assets</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42,810</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53,992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5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5,878</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22,334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 and other</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(33,999)</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(26,199)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56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9,995</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855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payable</w:t>
            </w:r>
          </w:p>
        </w:tc>
        <w:tc>
          <w:tcPr>
            <w:tcW w:w="56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5,814</w:t>
            </w:r>
          </w:p>
        </w:tc>
        <w:tc>
          <w:tcPr>
            <w:tcW w:w="3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3,928</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560" w:type="dxa"/>
            <w:vAlign w:val="bottom"/>
          </w:tcPr>
          <w:p>
            <w:pPr>
              <w:spacing w:after="0"/>
              <w:rPr>
                <w:sz w:val="18"/>
                <w:szCs w:val="18"/>
                <w:color w:val="auto"/>
              </w:rPr>
            </w:pP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(7,415)</w:t>
            </w:r>
          </w:p>
        </w:tc>
        <w:tc>
          <w:tcPr>
            <w:tcW w:w="5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8,318</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8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(used in) operating activities</w:t>
            </w:r>
          </w:p>
        </w:tc>
        <w:tc>
          <w:tcPr>
            <w:tcW w:w="56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313,077</w:t>
            </w:r>
          </w:p>
        </w:tc>
        <w:tc>
          <w:tcPr>
            <w:tcW w:w="34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(10,784)</w:t>
            </w:r>
          </w:p>
        </w:tc>
        <w:tc>
          <w:tcPr>
            <w:tcW w:w="12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5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paid in acquisitions, net</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Purchases of short-term and long-term investments</w:t>
            </w:r>
          </w:p>
        </w:tc>
        <w:tc>
          <w:tcPr>
            <w:tcW w:w="560" w:type="dxa"/>
            <w:vAlign w:val="bottom"/>
          </w:tcPr>
          <w:p>
            <w:pPr>
              <w:spacing w:after="0"/>
              <w:rPr>
                <w:sz w:val="18"/>
                <w:szCs w:val="18"/>
                <w:color w:val="auto"/>
              </w:rPr>
            </w:pP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(10,172)</w:t>
            </w:r>
          </w:p>
        </w:tc>
        <w:tc>
          <w:tcPr>
            <w:tcW w:w="5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(113,651)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and long-term investments</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23,793</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50,021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Acquisition costs</w:t>
            </w:r>
          </w:p>
        </w:tc>
        <w:tc>
          <w:tcPr>
            <w:tcW w:w="56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(1,138)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(46,532)</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(64,513)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Purchases of technology licenses</w:t>
            </w:r>
          </w:p>
        </w:tc>
        <w:tc>
          <w:tcPr>
            <w:tcW w:w="560" w:type="dxa"/>
            <w:vAlign w:val="bottom"/>
          </w:tcPr>
          <w:p>
            <w:pPr>
              <w:spacing w:after="0"/>
              <w:rPr>
                <w:sz w:val="18"/>
                <w:szCs w:val="18"/>
                <w:color w:val="auto"/>
              </w:rPr>
            </w:pPr>
          </w:p>
        </w:tc>
        <w:tc>
          <w:tcPr>
            <w:tcW w:w="1480" w:type="dxa"/>
            <w:vAlign w:val="bottom"/>
            <w:gridSpan w:val="2"/>
          </w:tcPr>
          <w:p>
            <w:pPr>
              <w:jc w:val="right"/>
              <w:ind w:right="280"/>
              <w:spacing w:after="0"/>
              <w:rPr>
                <w:sz w:val="20"/>
                <w:szCs w:val="20"/>
                <w:color w:val="auto"/>
              </w:rPr>
            </w:pPr>
            <w:r>
              <w:rPr>
                <w:rFonts w:ascii="Arial" w:cs="Arial" w:eastAsia="Arial" w:hAnsi="Arial"/>
                <w:sz w:val="18"/>
                <w:szCs w:val="18"/>
                <w:color w:val="auto"/>
              </w:rPr>
              <w:t>(1,250)</w:t>
            </w:r>
          </w:p>
        </w:tc>
        <w:tc>
          <w:tcPr>
            <w:tcW w:w="560" w:type="dxa"/>
            <w:vAlign w:val="bottom"/>
          </w:tcPr>
          <w:p>
            <w:pPr>
              <w:spacing w:after="0"/>
              <w:rPr>
                <w:sz w:val="18"/>
                <w:szCs w:val="18"/>
                <w:color w:val="auto"/>
              </w:rPr>
            </w:pPr>
          </w:p>
        </w:tc>
        <w:tc>
          <w:tcPr>
            <w:tcW w:w="1240" w:type="dxa"/>
            <w:vAlign w:val="bottom"/>
            <w:gridSpan w:val="2"/>
          </w:tcPr>
          <w:p>
            <w:pPr>
              <w:jc w:val="right"/>
              <w:ind w:right="60"/>
              <w:spacing w:after="0"/>
              <w:rPr>
                <w:sz w:val="20"/>
                <w:szCs w:val="20"/>
                <w:color w:val="auto"/>
              </w:rPr>
            </w:pPr>
            <w:r>
              <w:rPr>
                <w:rFonts w:ascii="Arial" w:cs="Arial" w:eastAsia="Arial" w:hAnsi="Arial"/>
                <w:sz w:val="18"/>
                <w:szCs w:val="18"/>
                <w:color w:val="auto"/>
              </w:rPr>
              <w:t>(16,850)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sale of assets under construction</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5,122</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80" w:type="dxa"/>
            <w:vAlign w:val="bottom"/>
          </w:tcPr>
          <w:p>
            <w:pPr>
              <w:ind w:left="540"/>
              <w:spacing w:after="0"/>
              <w:rPr>
                <w:sz w:val="20"/>
                <w:szCs w:val="20"/>
                <w:color w:val="auto"/>
              </w:rPr>
            </w:pPr>
            <w:r>
              <w:rPr>
                <w:rFonts w:ascii="Arial" w:cs="Arial" w:eastAsia="Arial" w:hAnsi="Arial"/>
                <w:sz w:val="18"/>
                <w:szCs w:val="18"/>
                <w:color w:val="auto"/>
              </w:rPr>
              <w:t>Net cash used in investing activities</w:t>
            </w:r>
          </w:p>
        </w:tc>
        <w:tc>
          <w:tcPr>
            <w:tcW w:w="560" w:type="dxa"/>
            <w:vAlign w:val="bottom"/>
            <w:tcBorders>
              <w:top w:val="single" w:sz="8" w:color="auto"/>
            </w:tcBorders>
          </w:tcPr>
          <w:p>
            <w:pPr>
              <w:spacing w:after="0"/>
              <w:rPr>
                <w:sz w:val="18"/>
                <w:szCs w:val="18"/>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(34,161)</w:t>
            </w:r>
          </w:p>
        </w:tc>
        <w:tc>
          <w:tcPr>
            <w:tcW w:w="340" w:type="dxa"/>
            <w:vAlign w:val="bottom"/>
          </w:tcPr>
          <w:p>
            <w:pPr>
              <w:spacing w:after="0"/>
              <w:rPr>
                <w:sz w:val="18"/>
                <w:szCs w:val="18"/>
                <w:color w:val="auto"/>
              </w:rPr>
            </w:pPr>
          </w:p>
        </w:tc>
        <w:tc>
          <w:tcPr>
            <w:tcW w:w="560" w:type="dxa"/>
            <w:vAlign w:val="bottom"/>
            <w:tcBorders>
              <w:top w:val="single" w:sz="8" w:color="auto"/>
            </w:tcBorders>
          </w:tcPr>
          <w:p>
            <w:pPr>
              <w:spacing w:after="0"/>
              <w:rPr>
                <w:sz w:val="18"/>
                <w:szCs w:val="18"/>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(148,150)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56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Proceeds from the issuance of common stock and other</w:t>
            </w:r>
          </w:p>
        </w:tc>
        <w:tc>
          <w:tcPr>
            <w:tcW w:w="56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67,656</w:t>
            </w:r>
          </w:p>
        </w:tc>
        <w:tc>
          <w:tcPr>
            <w:tcW w:w="5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2,681</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56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(103,405)</w:t>
            </w:r>
          </w:p>
        </w:tc>
        <w:tc>
          <w:tcPr>
            <w:tcW w:w="56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(7,811)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58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560" w:type="dxa"/>
            <w:vAlign w:val="bottom"/>
          </w:tcPr>
          <w:p>
            <w:pPr>
              <w:spacing w:after="0"/>
              <w:rPr>
                <w:sz w:val="18"/>
                <w:szCs w:val="18"/>
                <w:color w:val="auto"/>
              </w:rPr>
            </w:pPr>
          </w:p>
        </w:tc>
        <w:tc>
          <w:tcPr>
            <w:tcW w:w="1480" w:type="dxa"/>
            <w:vAlign w:val="bottom"/>
            <w:gridSpan w:val="2"/>
          </w:tcPr>
          <w:p>
            <w:pPr>
              <w:jc w:val="right"/>
              <w:ind w:right="340"/>
              <w:spacing w:after="0"/>
              <w:rPr>
                <w:sz w:val="20"/>
                <w:szCs w:val="20"/>
                <w:color w:val="auto"/>
              </w:rPr>
            </w:pPr>
            <w:r>
              <w:rPr>
                <w:rFonts w:ascii="Arial" w:cs="Arial" w:eastAsia="Arial" w:hAnsi="Arial"/>
                <w:sz w:val="18"/>
                <w:szCs w:val="18"/>
                <w:color w:val="auto"/>
              </w:rPr>
              <w:t>494</w:t>
            </w:r>
          </w:p>
        </w:tc>
        <w:tc>
          <w:tcPr>
            <w:tcW w:w="56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235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8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financing activities</w:t>
            </w:r>
          </w:p>
        </w:tc>
        <w:tc>
          <w:tcPr>
            <w:tcW w:w="56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(35,255)</w:t>
            </w:r>
          </w:p>
        </w:tc>
        <w:tc>
          <w:tcPr>
            <w:tcW w:w="34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(4,895)</w:t>
            </w:r>
          </w:p>
        </w:tc>
        <w:tc>
          <w:tcPr>
            <w:tcW w:w="12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increase (decrease) in cash and cash equivalents</w:t>
            </w:r>
          </w:p>
        </w:tc>
        <w:tc>
          <w:tcPr>
            <w:tcW w:w="560" w:type="dxa"/>
            <w:vAlign w:val="bottom"/>
            <w:tcBorders>
              <w:bottom w:val="single" w:sz="8" w:color="auto"/>
            </w:tcBorders>
          </w:tcPr>
          <w:p>
            <w:pPr>
              <w:spacing w:after="0"/>
              <w:rPr>
                <w:sz w:val="18"/>
                <w:szCs w:val="18"/>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243,661</w:t>
            </w:r>
          </w:p>
        </w:tc>
        <w:tc>
          <w:tcPr>
            <w:tcW w:w="340" w:type="dxa"/>
            <w:vAlign w:val="bottom"/>
            <w:tcBorders>
              <w:bottom w:val="single" w:sz="8" w:color="CCEEFF"/>
            </w:tcBorders>
          </w:tcPr>
          <w:p>
            <w:pPr>
              <w:spacing w:after="0"/>
              <w:rPr>
                <w:sz w:val="18"/>
                <w:szCs w:val="18"/>
                <w:color w:val="auto"/>
              </w:rPr>
            </w:pPr>
          </w:p>
        </w:tc>
        <w:tc>
          <w:tcPr>
            <w:tcW w:w="56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(163,829)</w:t>
            </w:r>
          </w:p>
        </w:tc>
        <w:tc>
          <w:tcPr>
            <w:tcW w:w="12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560" w:type="dxa"/>
            <w:vAlign w:val="bottom"/>
            <w:tcBorders>
              <w:bottom w:val="single" w:sz="8" w:color="auto"/>
            </w:tcBorders>
            <w:shd w:val="clear" w:color="auto" w:fill="CCEEFF"/>
          </w:tcPr>
          <w:p>
            <w:pPr>
              <w:spacing w:after="0"/>
              <w:rPr>
                <w:sz w:val="18"/>
                <w:szCs w:val="18"/>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615,648</w:t>
            </w:r>
          </w:p>
        </w:tc>
        <w:tc>
          <w:tcPr>
            <w:tcW w:w="34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758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560" w:type="dxa"/>
            <w:vAlign w:val="bottom"/>
            <w:tcBorders>
              <w:bottom w:val="single" w:sz="8" w:color="auto"/>
            </w:tcBorders>
          </w:tcPr>
          <w:p>
            <w:pPr>
              <w:jc w:val="right"/>
              <w:ind w:right="405"/>
              <w:spacing w:after="0"/>
              <w:rPr>
                <w:sz w:val="20"/>
                <w:szCs w:val="20"/>
                <w:color w:val="auto"/>
              </w:rPr>
            </w:pPr>
            <w:r>
              <w:rPr>
                <w:rFonts w:ascii="Arial" w:cs="Arial" w:eastAsia="Arial" w:hAnsi="Arial"/>
                <w:sz w:val="15"/>
                <w:szCs w:val="15"/>
                <w:color w:val="auto"/>
                <w:w w:val="71"/>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859,309</w:t>
            </w:r>
          </w:p>
        </w:tc>
        <w:tc>
          <w:tcPr>
            <w:tcW w:w="340" w:type="dxa"/>
            <w:vAlign w:val="bottom"/>
          </w:tcPr>
          <w:p>
            <w:pPr>
              <w:spacing w:after="0"/>
              <w:rPr>
                <w:sz w:val="18"/>
                <w:szCs w:val="18"/>
                <w:color w:val="auto"/>
              </w:rPr>
            </w:pPr>
          </w:p>
        </w:tc>
        <w:tc>
          <w:tcPr>
            <w:tcW w:w="560" w:type="dxa"/>
            <w:vAlign w:val="bottom"/>
            <w:tcBorders>
              <w:bottom w:val="single" w:sz="8" w:color="auto"/>
            </w:tcBorders>
          </w:tcPr>
          <w:p>
            <w:pPr>
              <w:jc w:val="right"/>
              <w:ind w:right="37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404,179</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580" w:type="dxa"/>
            <w:vAlign w:val="bottom"/>
            <w:vMerge w:val="restart"/>
          </w:tcPr>
          <w:p>
            <w:pPr>
              <w:ind w:left="5660"/>
              <w:spacing w:after="0"/>
              <w:rPr>
                <w:sz w:val="20"/>
                <w:szCs w:val="20"/>
                <w:color w:val="auto"/>
              </w:rPr>
            </w:pPr>
            <w:r>
              <w:rPr>
                <w:rFonts w:ascii="Arial" w:cs="Arial" w:eastAsia="Arial" w:hAnsi="Arial"/>
                <w:sz w:val="18"/>
                <w:szCs w:val="18"/>
                <w:color w:val="auto"/>
              </w:rPr>
              <w:t>9</w:t>
            </w:r>
          </w:p>
        </w:tc>
        <w:tc>
          <w:tcPr>
            <w:tcW w:w="5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7580" w:type="dxa"/>
            <w:vAlign w:val="bottom"/>
            <w:vMerge w:val="continue"/>
          </w:tcPr>
          <w:p>
            <w:pPr>
              <w:spacing w:after="0"/>
              <w:rPr>
                <w:sz w:val="24"/>
                <w:szCs w:val="24"/>
                <w:color w:val="auto"/>
              </w:rPr>
            </w:pPr>
          </w:p>
        </w:tc>
        <w:tc>
          <w:tcPr>
            <w:tcW w:w="5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7580" w:type="dxa"/>
            <w:vAlign w:val="bottom"/>
            <w:tcBorders>
              <w:bottom w:val="single" w:sz="8" w:color="010101"/>
            </w:tcBorders>
          </w:tcPr>
          <w:p>
            <w:pPr>
              <w:spacing w:after="0"/>
              <w:rPr>
                <w:sz w:val="11"/>
                <w:szCs w:val="11"/>
                <w:color w:val="auto"/>
              </w:rPr>
            </w:pPr>
          </w:p>
        </w:tc>
        <w:tc>
          <w:tcPr>
            <w:tcW w:w="560" w:type="dxa"/>
            <w:vAlign w:val="bottom"/>
            <w:tcBorders>
              <w:bottom w:val="single" w:sz="8" w:color="010101"/>
            </w:tcBorders>
          </w:tcPr>
          <w:p>
            <w:pPr>
              <w:spacing w:after="0"/>
              <w:rPr>
                <w:sz w:val="11"/>
                <w:szCs w:val="11"/>
                <w:color w:val="auto"/>
              </w:rPr>
            </w:pPr>
          </w:p>
        </w:tc>
        <w:tc>
          <w:tcPr>
            <w:tcW w:w="1140" w:type="dxa"/>
            <w:vAlign w:val="bottom"/>
            <w:tcBorders>
              <w:bottom w:val="single" w:sz="8" w:color="010101"/>
            </w:tcBorders>
          </w:tcPr>
          <w:p>
            <w:pPr>
              <w:spacing w:after="0"/>
              <w:rPr>
                <w:sz w:val="11"/>
                <w:szCs w:val="11"/>
                <w:color w:val="auto"/>
              </w:rPr>
            </w:pPr>
          </w:p>
        </w:tc>
        <w:tc>
          <w:tcPr>
            <w:tcW w:w="340" w:type="dxa"/>
            <w:vAlign w:val="bottom"/>
            <w:tcBorders>
              <w:bottom w:val="single" w:sz="8" w:color="010101"/>
            </w:tcBorders>
          </w:tcPr>
          <w:p>
            <w:pPr>
              <w:spacing w:after="0"/>
              <w:rPr>
                <w:sz w:val="11"/>
                <w:szCs w:val="11"/>
                <w:color w:val="auto"/>
              </w:rPr>
            </w:pPr>
          </w:p>
        </w:tc>
        <w:tc>
          <w:tcPr>
            <w:tcW w:w="560" w:type="dxa"/>
            <w:vAlign w:val="bottom"/>
            <w:tcBorders>
              <w:bottom w:val="single" w:sz="8" w:color="010101"/>
            </w:tcBorders>
          </w:tcPr>
          <w:p>
            <w:pPr>
              <w:spacing w:after="0"/>
              <w:rPr>
                <w:sz w:val="11"/>
                <w:szCs w:val="11"/>
                <w:color w:val="auto"/>
              </w:rPr>
            </w:pPr>
          </w:p>
        </w:tc>
        <w:tc>
          <w:tcPr>
            <w:tcW w:w="11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140"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o"/>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2019-12-14T19:21:59Z</dcterms:created>
  <dcterms:modified xsi:type="dcterms:W3CDTF">2019-12-14T19:21:59Z</dcterms:modified>
</cp:coreProperties>
</file>