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6,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44"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44"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1.01 Entry into a Material Definitive Agreement.</w:t>
      </w:r>
    </w:p>
    <w:p>
      <w:pPr>
        <w:spacing w:after="0" w:line="229" w:lineRule="exact"/>
        <w:rPr>
          <w:sz w:val="24"/>
          <w:szCs w:val="24"/>
          <w:color w:val="auto"/>
        </w:rPr>
      </w:pPr>
    </w:p>
    <w:p>
      <w:pPr>
        <w:ind w:right="40" w:firstLine="648"/>
        <w:spacing w:after="0" w:line="257" w:lineRule="auto"/>
        <w:rPr>
          <w:sz w:val="20"/>
          <w:szCs w:val="20"/>
          <w:color w:val="auto"/>
        </w:rPr>
      </w:pPr>
      <w:r>
        <w:rPr>
          <w:rFonts w:ascii="Arial" w:cs="Arial" w:eastAsia="Arial" w:hAnsi="Arial"/>
          <w:sz w:val="18"/>
          <w:szCs w:val="18"/>
          <w:color w:val="auto"/>
        </w:rPr>
        <w:t>On October 6, 2008, acting pursuant to the authority of the Board of Directors (the “Board”) of Marvell Technology Group Ltd. (the “Company”), the Company entered into a form of indemnification agreement (the “Indemnification Agreement”) with each of the following: Dr. Sehat Sutardja, Dr. Pantas Sutardja, Kuo Wei (Herbert) Chang, Dr. Juergen Gromer, Dr. John Kassakian, Arturo Krueger, Clyde Hosein and George de Urioste. This replaces the indemnification agreements previously entered into by the Company with each of Mr. Hosein and Mr. de Urioste. Previously, on September 10, 2008, the Board approved the Indemnification Agreement attached hereto as Exhibit 10.1.</w:t>
      </w:r>
    </w:p>
    <w:p>
      <w:pPr>
        <w:spacing w:after="0" w:line="188" w:lineRule="exact"/>
        <w:rPr>
          <w:sz w:val="24"/>
          <w:szCs w:val="24"/>
          <w:color w:val="auto"/>
        </w:rPr>
      </w:pPr>
    </w:p>
    <w:p>
      <w:pPr>
        <w:ind w:right="140" w:firstLine="648"/>
        <w:spacing w:after="0" w:line="279" w:lineRule="auto"/>
        <w:rPr>
          <w:sz w:val="20"/>
          <w:szCs w:val="20"/>
          <w:color w:val="auto"/>
        </w:rPr>
      </w:pPr>
      <w:r>
        <w:rPr>
          <w:rFonts w:ascii="Arial" w:cs="Arial" w:eastAsia="Arial" w:hAnsi="Arial"/>
          <w:sz w:val="17"/>
          <w:szCs w:val="17"/>
          <w:color w:val="auto"/>
        </w:rPr>
        <w:t>These agreements provide for the circumstances under which the Company will indemnify the Company’s directors and executive officers and pay their expenses if they become involved in litigation as a result of their service with the Company. The agreements also provide a number of circumstances under which we will not indemnify the Company’s directors and executive officers or pay their expenses pursuant to the agreements. The benefits provided under these agreements are in addition to those provided by the Company’s Second Amended and Restated Bye-Laws.</w:t>
      </w:r>
    </w:p>
    <w:p>
      <w:pPr>
        <w:spacing w:after="0" w:line="171" w:lineRule="exact"/>
        <w:rPr>
          <w:sz w:val="24"/>
          <w:szCs w:val="24"/>
          <w:color w:val="auto"/>
        </w:rPr>
      </w:pPr>
    </w:p>
    <w:p>
      <w:pPr>
        <w:ind w:right="140" w:firstLine="648"/>
        <w:spacing w:after="0" w:line="277" w:lineRule="auto"/>
        <w:rPr>
          <w:sz w:val="20"/>
          <w:szCs w:val="20"/>
          <w:color w:val="auto"/>
        </w:rPr>
      </w:pPr>
      <w:r>
        <w:rPr>
          <w:rFonts w:ascii="Arial" w:cs="Arial" w:eastAsia="Arial" w:hAnsi="Arial"/>
          <w:sz w:val="18"/>
          <w:szCs w:val="18"/>
          <w:color w:val="auto"/>
        </w:rPr>
        <w:t>The foregoing summary of the Indemnification Agreement is qualified in its entirety by reference to the full text of the Indemnification Agreement attached hereto as Exhibit 10.1 and incorporated by reference herein.</w:t>
      </w:r>
    </w:p>
    <w:p>
      <w:pPr>
        <w:spacing w:after="0" w:line="166" w:lineRule="exact"/>
        <w:rPr>
          <w:sz w:val="24"/>
          <w:szCs w:val="24"/>
          <w:color w:val="auto"/>
        </w:rPr>
      </w:pPr>
    </w:p>
    <w:p>
      <w:pPr>
        <w:spacing w:after="0"/>
        <w:tabs>
          <w:tab w:leader="none" w:pos="15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540" w:hanging="884"/>
        <w:spacing w:after="0"/>
        <w:tabs>
          <w:tab w:leader="none" w:pos="1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10.1</w:t>
      </w:r>
      <w:r>
        <w:rPr>
          <w:rFonts w:ascii="Arial" w:cs="Arial" w:eastAsia="Arial" w:hAnsi="Arial"/>
          <w:sz w:val="16"/>
          <w:szCs w:val="16"/>
          <w:color w:val="auto"/>
        </w:rPr>
        <w:t>Form of Indemnification Agreement.</w:t>
      </w:r>
    </w:p>
    <w:p>
      <w:pPr>
        <w:spacing w:after="0" w:line="22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544" w:right="279" w:bottom="0" w:gutter="0" w:footer="0" w:header="0"/>
          <w:type w:val="continuous"/>
        </w:sectPr>
      </w:pPr>
    </w:p>
    <w:bookmarkStart w:id="1" w:name="page2"/>
    <w:bookmarkEnd w:id="1"/>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October 10, 2008</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160" w:type="dxa"/>
            <w:vAlign w:val="bottom"/>
            <w:gridSpan w:val="2"/>
          </w:tcPr>
          <w:p>
            <w:pPr>
              <w:ind w:left="446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r>
      <w:tr>
        <w:trPr>
          <w:trHeight w:val="648"/>
        </w:trPr>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160" w:type="dxa"/>
            <w:vAlign w:val="bottom"/>
            <w:gridSpan w:val="2"/>
          </w:tcPr>
          <w:p>
            <w:pPr>
              <w:ind w:left="4460"/>
              <w:spacing w:after="0"/>
              <w:rPr>
                <w:sz w:val="20"/>
                <w:szCs w:val="20"/>
                <w:color w:val="auto"/>
              </w:rPr>
            </w:pPr>
            <w:r>
              <w:rPr>
                <w:rFonts w:ascii="Arial" w:cs="Arial" w:eastAsia="Arial" w:hAnsi="Arial"/>
                <w:sz w:val="18"/>
                <w:szCs w:val="18"/>
                <w:color w:val="auto"/>
              </w:rPr>
              <w:t>By:  /s/ Clyde Hosein</w:t>
            </w:r>
          </w:p>
        </w:tc>
        <w:tc>
          <w:tcPr>
            <w:tcW w:w="40" w:type="dxa"/>
            <w:vAlign w:val="bottom"/>
          </w:tcPr>
          <w:p>
            <w:pPr>
              <w:spacing w:after="0"/>
              <w:rPr>
                <w:sz w:val="24"/>
                <w:szCs w:val="24"/>
                <w:color w:val="auto"/>
              </w:rPr>
            </w:pPr>
          </w:p>
        </w:tc>
      </w:tr>
      <w:tr>
        <w:trPr>
          <w:trHeight w:val="195"/>
        </w:trPr>
        <w:tc>
          <w:tcPr>
            <w:tcW w:w="9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920" w:type="dxa"/>
            <w:vAlign w:val="bottom"/>
          </w:tcPr>
          <w:p>
            <w:pPr>
              <w:spacing w:after="0"/>
              <w:rPr>
                <w:sz w:val="16"/>
                <w:szCs w:val="16"/>
                <w:color w:val="auto"/>
              </w:rPr>
            </w:pPr>
          </w:p>
        </w:tc>
        <w:tc>
          <w:tcPr>
            <w:tcW w:w="5240" w:type="dxa"/>
            <w:vAlign w:val="bottom"/>
            <w:tcBorders>
              <w:top w:val="single" w:sz="8" w:color="auto"/>
            </w:tcBorders>
          </w:tcPr>
          <w:p>
            <w:pPr>
              <w:jc w:val="center"/>
              <w:ind w:right="530"/>
              <w:spacing w:after="0" w:line="195" w:lineRule="exact"/>
              <w:rPr>
                <w:sz w:val="20"/>
                <w:szCs w:val="20"/>
                <w:color w:val="auto"/>
              </w:rPr>
            </w:pPr>
            <w:r>
              <w:rPr>
                <w:rFonts w:ascii="Arial" w:cs="Arial" w:eastAsia="Arial" w:hAnsi="Arial"/>
                <w:sz w:val="18"/>
                <w:szCs w:val="18"/>
                <w:color w:val="auto"/>
                <w:w w:val="91"/>
              </w:rPr>
              <w:t>Clyde Hosein</w:t>
            </w:r>
          </w:p>
        </w:tc>
        <w:tc>
          <w:tcPr>
            <w:tcW w:w="40" w:type="dxa"/>
            <w:vAlign w:val="bottom"/>
          </w:tcPr>
          <w:p>
            <w:pPr>
              <w:spacing w:after="0"/>
              <w:rPr>
                <w:sz w:val="16"/>
                <w:szCs w:val="16"/>
                <w:color w:val="auto"/>
              </w:rPr>
            </w:pPr>
          </w:p>
        </w:tc>
      </w:tr>
      <w:tr>
        <w:trPr>
          <w:trHeight w:val="230"/>
        </w:trPr>
        <w:tc>
          <w:tcPr>
            <w:tcW w:w="9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920" w:type="dxa"/>
            <w:vAlign w:val="bottom"/>
          </w:tcPr>
          <w:p>
            <w:pPr>
              <w:spacing w:after="0"/>
              <w:rPr>
                <w:sz w:val="20"/>
                <w:szCs w:val="20"/>
                <w:color w:val="auto"/>
              </w:rPr>
            </w:pPr>
          </w:p>
        </w:tc>
        <w:tc>
          <w:tcPr>
            <w:tcW w:w="5240" w:type="dxa"/>
            <w:vAlign w:val="bottom"/>
          </w:tcPr>
          <w:p>
            <w:pPr>
              <w:jc w:val="center"/>
              <w:ind w:right="550"/>
              <w:spacing w:after="0"/>
              <w:rPr>
                <w:sz w:val="20"/>
                <w:szCs w:val="20"/>
                <w:color w:val="auto"/>
              </w:rPr>
            </w:pPr>
            <w:r>
              <w:rPr>
                <w:rFonts w:ascii="Arial" w:cs="Arial" w:eastAsia="Arial" w:hAnsi="Arial"/>
                <w:sz w:val="18"/>
                <w:szCs w:val="18"/>
                <w:color w:val="auto"/>
                <w:w w:val="94"/>
              </w:rPr>
              <w:t>Chief Financial Officer</w:t>
            </w:r>
          </w:p>
        </w:tc>
        <w:tc>
          <w:tcPr>
            <w:tcW w:w="40" w:type="dxa"/>
            <w:vAlign w:val="bottom"/>
          </w:tcPr>
          <w:p>
            <w:pPr>
              <w:spacing w:after="0"/>
              <w:rPr>
                <w:sz w:val="20"/>
                <w:szCs w:val="20"/>
                <w:color w:val="auto"/>
              </w:rPr>
            </w:pPr>
          </w:p>
        </w:tc>
      </w:tr>
      <w:tr>
        <w:trPr>
          <w:trHeight w:val="432"/>
        </w:trPr>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920" w:type="dxa"/>
            <w:vAlign w:val="bottom"/>
          </w:tcPr>
          <w:p>
            <w:pPr>
              <w:jc w:val="center"/>
              <w:ind w:left="3893"/>
              <w:spacing w:after="0"/>
              <w:rPr>
                <w:sz w:val="20"/>
                <w:szCs w:val="20"/>
                <w:color w:val="auto"/>
              </w:rPr>
            </w:pPr>
            <w:r>
              <w:rPr>
                <w:rFonts w:ascii="Arial" w:cs="Arial" w:eastAsia="Arial" w:hAnsi="Arial"/>
                <w:sz w:val="18"/>
                <w:szCs w:val="18"/>
                <w:color w:val="auto"/>
                <w:w w:val="99"/>
              </w:rPr>
              <w:t>3</w:t>
            </w:r>
          </w:p>
        </w:tc>
        <w:tc>
          <w:tcPr>
            <w:tcW w:w="5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96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016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160" w:type="dxa"/>
            <w:vAlign w:val="bottom"/>
            <w:gridSpan w:val="2"/>
          </w:tcPr>
          <w:p>
            <w:pPr>
              <w:jc w:val="center"/>
              <w:ind w:right="115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r>
      <w:tr>
        <w:trPr>
          <w:trHeight w:val="365"/>
        </w:trPr>
        <w:tc>
          <w:tcPr>
            <w:tcW w:w="12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10160" w:type="dxa"/>
            <w:vAlign w:val="bottom"/>
            <w:gridSpan w:val="2"/>
          </w:tcPr>
          <w:p>
            <w:pPr>
              <w:ind w:left="47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960" w:type="dxa"/>
            <w:vAlign w:val="bottom"/>
            <w:tcBorders>
              <w:top w:val="single" w:sz="8" w:color="auto"/>
            </w:tcBorders>
          </w:tcPr>
          <w:p>
            <w:pPr>
              <w:jc w:val="right"/>
              <w:ind w:right="239"/>
              <w:spacing w:after="0"/>
              <w:rPr>
                <w:sz w:val="20"/>
                <w:szCs w:val="20"/>
                <w:color w:val="auto"/>
              </w:rPr>
            </w:pPr>
            <w:r>
              <w:rPr>
                <w:rFonts w:ascii="Arial" w:cs="Arial" w:eastAsia="Arial" w:hAnsi="Arial"/>
                <w:sz w:val="18"/>
                <w:szCs w:val="18"/>
                <w:color w:val="auto"/>
              </w:rPr>
              <w:t>10.1</w:t>
            </w:r>
          </w:p>
        </w:tc>
        <w:tc>
          <w:tcPr>
            <w:tcW w:w="300" w:type="dxa"/>
            <w:vAlign w:val="bottom"/>
          </w:tcPr>
          <w:p>
            <w:pPr>
              <w:spacing w:after="0"/>
              <w:rPr>
                <w:sz w:val="24"/>
                <w:szCs w:val="24"/>
                <w:color w:val="auto"/>
              </w:rPr>
            </w:pPr>
          </w:p>
        </w:tc>
        <w:tc>
          <w:tcPr>
            <w:tcW w:w="1016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rPr>
              <w:t>Form of Indemnification Agreement.</w:t>
            </w:r>
          </w:p>
        </w:tc>
        <w:tc>
          <w:tcPr>
            <w:tcW w:w="40" w:type="dxa"/>
            <w:vAlign w:val="bottom"/>
          </w:tcPr>
          <w:p>
            <w:pPr>
              <w:spacing w:after="0"/>
              <w:rPr>
                <w:sz w:val="24"/>
                <w:szCs w:val="24"/>
                <w:color w:val="auto"/>
              </w:rPr>
            </w:pPr>
          </w:p>
        </w:tc>
      </w:tr>
      <w:tr>
        <w:trPr>
          <w:trHeight w:val="432"/>
        </w:trPr>
        <w:tc>
          <w:tcPr>
            <w:tcW w:w="9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920" w:type="dxa"/>
            <w:vAlign w:val="bottom"/>
          </w:tcPr>
          <w:p>
            <w:pPr>
              <w:jc w:val="center"/>
              <w:ind w:left="3893"/>
              <w:spacing w:after="0"/>
              <w:rPr>
                <w:sz w:val="20"/>
                <w:szCs w:val="20"/>
                <w:color w:val="auto"/>
              </w:rPr>
            </w:pPr>
            <w:r>
              <w:rPr>
                <w:rFonts w:ascii="Arial" w:cs="Arial" w:eastAsia="Arial" w:hAnsi="Arial"/>
                <w:sz w:val="18"/>
                <w:szCs w:val="18"/>
                <w:color w:val="auto"/>
                <w:w w:val="99"/>
              </w:rPr>
              <w:t>4</w:t>
            </w:r>
          </w:p>
        </w:tc>
        <w:tc>
          <w:tcPr>
            <w:tcW w:w="5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96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4920" w:type="dxa"/>
            <w:vAlign w:val="bottom"/>
            <w:tcBorders>
              <w:bottom w:val="single" w:sz="8" w:color="010101"/>
            </w:tcBorders>
          </w:tcPr>
          <w:p>
            <w:pPr>
              <w:spacing w:after="0"/>
              <w:rPr>
                <w:sz w:val="11"/>
                <w:szCs w:val="11"/>
                <w:color w:val="auto"/>
              </w:rPr>
            </w:pPr>
          </w:p>
        </w:tc>
        <w:tc>
          <w:tcPr>
            <w:tcW w:w="52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-1409700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-1409700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580"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INDEMNIFICATION AGREEMENT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6220" w:type="dxa"/>
            <w:vAlign w:val="bottom"/>
            <w:gridSpan w:val="7"/>
          </w:tcPr>
          <w:p>
            <w:pPr>
              <w:ind w:left="660"/>
              <w:spacing w:after="0"/>
              <w:rPr>
                <w:sz w:val="20"/>
                <w:szCs w:val="20"/>
                <w:color w:val="auto"/>
              </w:rPr>
            </w:pPr>
            <w:r>
              <w:rPr>
                <w:rFonts w:ascii="Arial" w:cs="Arial" w:eastAsia="Arial" w:hAnsi="Arial"/>
                <w:sz w:val="18"/>
                <w:szCs w:val="18"/>
                <w:color w:val="auto"/>
                <w:w w:val="98"/>
              </w:rPr>
              <w:t>This Indemnification Agreement (the “Agreement”) is entered into as of</w:t>
            </w:r>
          </w:p>
        </w:tc>
        <w:tc>
          <w:tcPr>
            <w:tcW w:w="4500" w:type="dxa"/>
            <w:vAlign w:val="bottom"/>
          </w:tcPr>
          <w:p>
            <w:pPr>
              <w:ind w:left="360"/>
              <w:spacing w:after="0"/>
              <w:rPr>
                <w:sz w:val="20"/>
                <w:szCs w:val="20"/>
                <w:color w:val="auto"/>
              </w:rPr>
            </w:pPr>
            <w:r>
              <w:rPr>
                <w:rFonts w:ascii="Arial" w:cs="Arial" w:eastAsia="Arial" w:hAnsi="Arial"/>
                <w:sz w:val="18"/>
                <w:szCs w:val="18"/>
                <w:color w:val="auto"/>
                <w:w w:val="92"/>
              </w:rPr>
              <w:t>, 20   by and between Marvell Technology Group Ltd., a</w:t>
            </w:r>
          </w:p>
        </w:tc>
      </w:tr>
      <w:tr>
        <w:trPr>
          <w:trHeight w:val="20"/>
        </w:trPr>
        <w:tc>
          <w:tcPr>
            <w:tcW w:w="18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r>
      <w:tr>
        <w:trPr>
          <w:trHeight w:val="196"/>
        </w:trPr>
        <w:tc>
          <w:tcPr>
            <w:tcW w:w="6220" w:type="dxa"/>
            <w:vAlign w:val="bottom"/>
            <w:gridSpan w:val="7"/>
          </w:tcPr>
          <w:p>
            <w:pPr>
              <w:spacing w:after="0" w:line="196" w:lineRule="exact"/>
              <w:rPr>
                <w:sz w:val="20"/>
                <w:szCs w:val="20"/>
                <w:color w:val="auto"/>
              </w:rPr>
            </w:pPr>
            <w:r>
              <w:rPr>
                <w:rFonts w:ascii="Arial" w:cs="Arial" w:eastAsia="Arial" w:hAnsi="Arial"/>
                <w:sz w:val="18"/>
                <w:szCs w:val="18"/>
                <w:color w:val="auto"/>
              </w:rPr>
              <w:t>Bermuda company (the “Company”), and the undersigned (“Indemnitee”).</w:t>
            </w:r>
          </w:p>
        </w:tc>
        <w:tc>
          <w:tcPr>
            <w:tcW w:w="4500" w:type="dxa"/>
            <w:vAlign w:val="bottom"/>
          </w:tcPr>
          <w:p>
            <w:pPr>
              <w:spacing w:after="0"/>
              <w:rPr>
                <w:sz w:val="17"/>
                <w:szCs w:val="17"/>
                <w:color w:val="auto"/>
              </w:rPr>
            </w:pPr>
          </w:p>
        </w:tc>
      </w:tr>
      <w:tr>
        <w:trPr>
          <w:trHeight w:val="20"/>
        </w:trPr>
        <w:tc>
          <w:tcPr>
            <w:tcW w:w="18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80" w:firstLine="449"/>
        <w:spacing w:after="0" w:line="264" w:lineRule="auto"/>
        <w:tabs>
          <w:tab w:leader="none" w:pos="621"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Company recognizes that highly competent persons are becoming more reluctant to serve corporations as directors or in other capacities unless they are provided with adequate protection through insurance or adequate indemnification against risks of claims and actions against them arising out of their services to the corporation.</w:t>
      </w:r>
    </w:p>
    <w:p>
      <w:pPr>
        <w:spacing w:after="0" w:line="181" w:lineRule="exact"/>
        <w:rPr>
          <w:rFonts w:ascii="Arial" w:cs="Arial" w:eastAsia="Arial" w:hAnsi="Arial"/>
          <w:sz w:val="18"/>
          <w:szCs w:val="18"/>
          <w:color w:val="auto"/>
        </w:rPr>
      </w:pPr>
    </w:p>
    <w:p>
      <w:pPr>
        <w:ind w:right="200" w:firstLine="449"/>
        <w:spacing w:after="0" w:line="312" w:lineRule="auto"/>
        <w:tabs>
          <w:tab w:leader="none" w:pos="621"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Board of Directors of the Company (the “</w:t>
      </w:r>
      <w:r>
        <w:rPr>
          <w:rFonts w:ascii="Arial" w:cs="Arial" w:eastAsia="Arial" w:hAnsi="Arial"/>
          <w:sz w:val="16"/>
          <w:szCs w:val="16"/>
          <w:u w:val="single" w:color="auto"/>
          <w:color w:val="auto"/>
        </w:rPr>
        <w:t>Board</w:t>
      </w:r>
      <w:r>
        <w:rPr>
          <w:rFonts w:ascii="Arial" w:cs="Arial" w:eastAsia="Arial" w:hAnsi="Arial"/>
          <w:sz w:val="16"/>
          <w:szCs w:val="16"/>
          <w:color w:val="auto"/>
        </w:rPr>
        <w:t>” or the “</w:t>
      </w:r>
      <w:r>
        <w:rPr>
          <w:rFonts w:ascii="Arial" w:cs="Arial" w:eastAsia="Arial" w:hAnsi="Arial"/>
          <w:sz w:val="16"/>
          <w:szCs w:val="16"/>
          <w:u w:val="single" w:color="auto"/>
          <w:color w:val="auto"/>
        </w:rPr>
        <w:t>Board of Directors</w:t>
      </w:r>
      <w:r>
        <w:rPr>
          <w:rFonts w:ascii="Arial" w:cs="Arial" w:eastAsia="Arial" w:hAnsi="Arial"/>
          <w:sz w:val="16"/>
          <w:szCs w:val="16"/>
          <w:color w:val="auto"/>
        </w:rPr>
        <w:t>”) has determined that the inability to attract and retain highly competent persons to serve the Company is detrimental to the best interests of the Company and its shareholders and that it is reasonable and necessary for the Company to provide adequate protection to such persons against risks of claims and actions against them arising out of their services to the corporation.</w:t>
      </w:r>
    </w:p>
    <w:p>
      <w:pPr>
        <w:spacing w:after="0" w:line="146" w:lineRule="exact"/>
        <w:rPr>
          <w:rFonts w:ascii="Arial" w:cs="Arial" w:eastAsia="Arial" w:hAnsi="Arial"/>
          <w:sz w:val="16"/>
          <w:szCs w:val="16"/>
          <w:color w:val="auto"/>
        </w:rPr>
      </w:pPr>
    </w:p>
    <w:p>
      <w:pPr>
        <w:ind w:left="620" w:hanging="171"/>
        <w:spacing w:after="0"/>
        <w:tabs>
          <w:tab w:leader="none" w:pos="620"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Indemnitee does not regard the indemnities available under applicable law and the Company’s bye-laws, as amended from time to time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Bye-Laws</w:t>
      </w:r>
      <w:r>
        <w:rPr>
          <w:rFonts w:ascii="Arial" w:cs="Arial" w:eastAsia="Arial" w:hAnsi="Arial"/>
          <w:sz w:val="18"/>
          <w:szCs w:val="18"/>
          <w:color w:val="auto"/>
        </w:rPr>
        <w:t>”), as adequate to protect Indemnitee against the risks associated with Indemnitee’s service to the Company.</w:t>
      </w:r>
    </w:p>
    <w:p>
      <w:pPr>
        <w:spacing w:after="0" w:line="211" w:lineRule="exact"/>
        <w:rPr>
          <w:sz w:val="20"/>
          <w:szCs w:val="20"/>
          <w:color w:val="auto"/>
        </w:rPr>
      </w:pPr>
    </w:p>
    <w:p>
      <w:pPr>
        <w:ind w:right="60" w:firstLine="449"/>
        <w:spacing w:after="0" w:line="277" w:lineRule="auto"/>
        <w:tabs>
          <w:tab w:leader="none" w:pos="621"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Company is willing to indemnify Indemnitee to the fullest extent permitted by applicable law, and Indemnitee is willing to serve and continue to serve the Company on the condition that Indemnitee be so indemnified.</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In consideration of the premises and the covenants contained herein, the Company and Indemnitee do hereby covenant and agree as follows:</w:t>
      </w:r>
    </w:p>
    <w:p>
      <w:pPr>
        <w:spacing w:after="0" w:line="233" w:lineRule="exact"/>
        <w:rPr>
          <w:sz w:val="20"/>
          <w:szCs w:val="20"/>
          <w:color w:val="auto"/>
        </w:rPr>
      </w:pPr>
    </w:p>
    <w:p>
      <w:pPr>
        <w:ind w:left="1280" w:hanging="831"/>
        <w:spacing w:after="0"/>
        <w:tabs>
          <w:tab w:leader="none" w:pos="128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DEFINITIONS</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terms shall have the meanings defined below:</w:t>
      </w:r>
    </w:p>
    <w:p>
      <w:pPr>
        <w:spacing w:after="0" w:line="225" w:lineRule="exact"/>
        <w:rPr>
          <w:sz w:val="20"/>
          <w:szCs w:val="20"/>
          <w:color w:val="auto"/>
        </w:rPr>
      </w:pPr>
    </w:p>
    <w:p>
      <w:pPr>
        <w:ind w:right="100" w:firstLine="441"/>
        <w:spacing w:after="0" w:line="297" w:lineRule="auto"/>
        <w:rPr>
          <w:sz w:val="20"/>
          <w:szCs w:val="20"/>
          <w:color w:val="auto"/>
        </w:rPr>
      </w:pPr>
      <w:r>
        <w:rPr>
          <w:rFonts w:ascii="Arial" w:cs="Arial" w:eastAsia="Arial" w:hAnsi="Arial"/>
          <w:sz w:val="16"/>
          <w:szCs w:val="16"/>
          <w:i w:val="1"/>
          <w:iCs w:val="1"/>
          <w:color w:val="auto"/>
        </w:rPr>
        <w:t xml:space="preserve">Expenses </w:t>
      </w:r>
      <w:r>
        <w:rPr>
          <w:rFonts w:ascii="Arial" w:cs="Arial" w:eastAsia="Arial" w:hAnsi="Arial"/>
          <w:sz w:val="16"/>
          <w:szCs w:val="16"/>
          <w:color w:val="auto"/>
        </w:rPr>
        <w:t>shall include all expenses, damages, judgments, fines, penalties and amounts paid in settlement (if such settlement is approved in advance by</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 which approval shall not be unreasonably withheld or delayed), costs, attorneys’ fees and disbursements and costs of attachment or similar bond, investigations, any expenses paid or incurred in connection with investigating, defending, being a witness in, participating in (including on appeal), or preparing for any of the foregoing in, any Proceeding and any U.S. federal, state, local or foreign taxes imposed on the Indemnitee as a result of the actual or deemed receipt of any payments under this Agreement, and all interest, assessments and other charges paid or payable thereon or in respect thereto.</w:t>
      </w:r>
    </w:p>
    <w:p>
      <w:pPr>
        <w:spacing w:after="0" w:line="158" w:lineRule="exact"/>
        <w:rPr>
          <w:sz w:val="20"/>
          <w:szCs w:val="20"/>
          <w:color w:val="auto"/>
        </w:rPr>
      </w:pPr>
    </w:p>
    <w:p>
      <w:pPr>
        <w:ind w:right="120" w:firstLine="441"/>
        <w:spacing w:after="0" w:line="302" w:lineRule="auto"/>
        <w:rPr>
          <w:sz w:val="20"/>
          <w:szCs w:val="20"/>
          <w:color w:val="auto"/>
        </w:rPr>
      </w:pPr>
      <w:r>
        <w:rPr>
          <w:rFonts w:ascii="Arial" w:cs="Arial" w:eastAsia="Arial" w:hAnsi="Arial"/>
          <w:sz w:val="16"/>
          <w:szCs w:val="16"/>
          <w:i w:val="1"/>
          <w:iCs w:val="1"/>
          <w:color w:val="auto"/>
        </w:rPr>
        <w:t xml:space="preserve">Indemnifiable Event </w:t>
      </w:r>
      <w:r>
        <w:rPr>
          <w:rFonts w:ascii="Arial" w:cs="Arial" w:eastAsia="Arial" w:hAnsi="Arial"/>
          <w:sz w:val="16"/>
          <w:szCs w:val="16"/>
          <w:color w:val="auto"/>
        </w:rPr>
        <w:t>means any event or occurrence that takes place either before or after the execution of this Agreement, related to the fact that</w:t>
      </w:r>
      <w:r>
        <w:rPr>
          <w:rFonts w:ascii="Arial" w:cs="Arial" w:eastAsia="Arial" w:hAnsi="Arial"/>
          <w:sz w:val="16"/>
          <w:szCs w:val="16"/>
          <w:i w:val="1"/>
          <w:iCs w:val="1"/>
          <w:color w:val="auto"/>
        </w:rPr>
        <w:t xml:space="preserve"> </w:t>
      </w:r>
      <w:r>
        <w:rPr>
          <w:rFonts w:ascii="Arial" w:cs="Arial" w:eastAsia="Arial" w:hAnsi="Arial"/>
          <w:sz w:val="16"/>
          <w:szCs w:val="16"/>
          <w:color w:val="auto"/>
        </w:rPr>
        <w:t>Indemnitee is or was a director, officer, employee, controlling person, agent or fiduciary of the Company or any of its subsidiaries, or is or was serving at the request of the Company as a director, officer, employee, controlling person, agent or fiduciary of another corporation, partnership, joint venture or other entity, or related to anything done or not done by Indemnitee in or about the execution of his or her duty, or supposed duty, in any such capacity.</w:t>
      </w:r>
    </w:p>
    <w:p>
      <w:pPr>
        <w:spacing w:after="0" w:line="15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 xml:space="preserve">Participant </w:t>
      </w:r>
      <w:r>
        <w:rPr>
          <w:rFonts w:ascii="Arial" w:cs="Arial" w:eastAsia="Arial" w:hAnsi="Arial"/>
          <w:sz w:val="18"/>
          <w:szCs w:val="18"/>
          <w:color w:val="auto"/>
        </w:rPr>
        <w:t>means a person who is a party to, or witness or participant (including on appeal) in, a Proceeding.</w:t>
      </w:r>
    </w:p>
    <w:p>
      <w:pPr>
        <w:spacing w:after="0" w:line="225" w:lineRule="exact"/>
        <w:rPr>
          <w:sz w:val="20"/>
          <w:szCs w:val="20"/>
          <w:color w:val="auto"/>
        </w:rPr>
      </w:pPr>
    </w:p>
    <w:p>
      <w:pPr>
        <w:ind w:right="140" w:firstLine="441"/>
        <w:spacing w:after="0" w:line="264" w:lineRule="auto"/>
        <w:rPr>
          <w:sz w:val="20"/>
          <w:szCs w:val="20"/>
          <w:color w:val="auto"/>
        </w:rPr>
      </w:pPr>
      <w:r>
        <w:rPr>
          <w:rFonts w:ascii="Arial" w:cs="Arial" w:eastAsia="Arial" w:hAnsi="Arial"/>
          <w:sz w:val="18"/>
          <w:szCs w:val="18"/>
          <w:i w:val="1"/>
          <w:iCs w:val="1"/>
          <w:color w:val="auto"/>
        </w:rPr>
        <w:t xml:space="preserve">Proceeding </w:t>
      </w:r>
      <w:r>
        <w:rPr>
          <w:rFonts w:ascii="Arial" w:cs="Arial" w:eastAsia="Arial" w:hAnsi="Arial"/>
          <w:sz w:val="18"/>
          <w:szCs w:val="18"/>
          <w:color w:val="auto"/>
        </w:rPr>
        <w:t>means any threatened, pending, or completed action, suit, arbitration, alternative dispute resolution mechanism or proceeding, or any</w:t>
      </w:r>
      <w:r>
        <w:rPr>
          <w:rFonts w:ascii="Arial" w:cs="Arial" w:eastAsia="Arial" w:hAnsi="Arial"/>
          <w:sz w:val="18"/>
          <w:szCs w:val="18"/>
          <w:i w:val="1"/>
          <w:iCs w:val="1"/>
          <w:color w:val="auto"/>
        </w:rPr>
        <w:t xml:space="preserve"> </w:t>
      </w:r>
      <w:r>
        <w:rPr>
          <w:rFonts w:ascii="Arial" w:cs="Arial" w:eastAsia="Arial" w:hAnsi="Arial"/>
          <w:sz w:val="18"/>
          <w:szCs w:val="18"/>
          <w:color w:val="auto"/>
        </w:rPr>
        <w:t>inquiry, hearing or investigation, whether civil, criminal, administrative, investigative or other, including appeal, in the United States or anywhere else in the world, which Indemnitee may be or may have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been involved as a party or otherwise by reason of an Indemnifiable Event, including, without limitation, any threatened, pending, or completed action, suit or proceeding by or in the right of the Company.</w:t>
      </w:r>
    </w:p>
    <w:p>
      <w:pPr>
        <w:spacing w:after="0" w:line="166" w:lineRule="exact"/>
        <w:rPr>
          <w:sz w:val="20"/>
          <w:szCs w:val="20"/>
          <w:color w:val="auto"/>
        </w:rPr>
      </w:pPr>
    </w:p>
    <w:p>
      <w:pPr>
        <w:ind w:left="1260" w:hanging="811"/>
        <w:spacing w:after="0"/>
        <w:tabs>
          <w:tab w:leader="none" w:pos="126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AGREEMENT TO INDEMNIFY</w:t>
      </w:r>
    </w:p>
    <w:p>
      <w:pPr>
        <w:spacing w:after="0" w:line="229" w:lineRule="exact"/>
        <w:rPr>
          <w:rFonts w:ascii="Arial" w:cs="Arial" w:eastAsia="Arial" w:hAnsi="Arial"/>
          <w:sz w:val="18"/>
          <w:szCs w:val="18"/>
          <w:b w:val="1"/>
          <w:bCs w:val="1"/>
          <w:color w:val="auto"/>
        </w:rPr>
      </w:pPr>
    </w:p>
    <w:p>
      <w:pPr>
        <w:ind w:firstLine="889"/>
        <w:spacing w:after="0" w:line="264" w:lineRule="auto"/>
        <w:tabs>
          <w:tab w:leader="none" w:pos="1284" w:val="left"/>
        </w:tabs>
        <w:numPr>
          <w:ilvl w:val="1"/>
          <w:numId w:val="6"/>
        </w:numPr>
        <w:rPr>
          <w:rFonts w:ascii="Arial" w:cs="Arial" w:eastAsia="Arial" w:hAnsi="Arial"/>
          <w:sz w:val="18"/>
          <w:szCs w:val="18"/>
          <w:color w:val="auto"/>
        </w:rPr>
      </w:pPr>
      <w:r>
        <w:rPr>
          <w:rFonts w:ascii="Arial" w:cs="Arial" w:eastAsia="Arial" w:hAnsi="Arial"/>
          <w:sz w:val="18"/>
          <w:szCs w:val="18"/>
          <w:u w:val="single" w:color="auto"/>
          <w:color w:val="auto"/>
        </w:rPr>
        <w:t>General Agreement</w:t>
      </w:r>
      <w:r>
        <w:rPr>
          <w:rFonts w:ascii="Arial" w:cs="Arial" w:eastAsia="Arial" w:hAnsi="Arial"/>
          <w:sz w:val="18"/>
          <w:szCs w:val="18"/>
          <w:color w:val="auto"/>
        </w:rPr>
        <w:t>. In the event Indemnitee was, is, or becomes a Participant in, or is threatened to be made a Participant in, a Proceeding, the Company shall indemnify the Indemnitee from and against any and all Expenses which Indemnitee actually and reasonably incurs or becomes obligated to incur in connection with such Proceeding, to the fullest extent permitted by applicable law.</w:t>
      </w:r>
    </w:p>
    <w:p>
      <w:pPr>
        <w:spacing w:after="0" w:line="181" w:lineRule="exact"/>
        <w:rPr>
          <w:rFonts w:ascii="Arial" w:cs="Arial" w:eastAsia="Arial" w:hAnsi="Arial"/>
          <w:sz w:val="18"/>
          <w:szCs w:val="18"/>
          <w:color w:val="auto"/>
        </w:rPr>
      </w:pPr>
    </w:p>
    <w:p>
      <w:pPr>
        <w:ind w:right="120" w:firstLine="889"/>
        <w:spacing w:after="0" w:line="259" w:lineRule="auto"/>
        <w:tabs>
          <w:tab w:leader="none" w:pos="1284" w:val="left"/>
        </w:tabs>
        <w:numPr>
          <w:ilvl w:val="1"/>
          <w:numId w:val="6"/>
        </w:numPr>
        <w:rPr>
          <w:rFonts w:ascii="Arial" w:cs="Arial" w:eastAsia="Arial" w:hAnsi="Arial"/>
          <w:sz w:val="18"/>
          <w:szCs w:val="18"/>
          <w:color w:val="auto"/>
        </w:rPr>
      </w:pPr>
      <w:r>
        <w:rPr>
          <w:rFonts w:ascii="Arial" w:cs="Arial" w:eastAsia="Arial" w:hAnsi="Arial"/>
          <w:sz w:val="18"/>
          <w:szCs w:val="18"/>
          <w:u w:val="single" w:color="auto"/>
          <w:color w:val="auto"/>
        </w:rPr>
        <w:t>Indemnification of Expenses of Successful Party</w:t>
      </w:r>
      <w:r>
        <w:rPr>
          <w:rFonts w:ascii="Arial" w:cs="Arial" w:eastAsia="Arial" w:hAnsi="Arial"/>
          <w:sz w:val="18"/>
          <w:szCs w:val="18"/>
          <w:color w:val="auto"/>
        </w:rPr>
        <w:t>. Notwithstanding any other provision of this Agreement, to the extent that Indemnitee has been successful on the merits in defense of any Proceeding or in defense of any claim, issue or matter in such Proceeding, Indemnitee shall be indemnified against all Expenses actually and reasonably incurred in connection with such Proceeding or such claim, issue or matter, as the case may be, offset by the amount of cash, if any, received by the Indemnitee resulting from his/her success therein.</w:t>
      </w:r>
    </w:p>
    <w:p>
      <w:pPr>
        <w:spacing w:after="0" w:line="186" w:lineRule="exact"/>
        <w:rPr>
          <w:rFonts w:ascii="Arial" w:cs="Arial" w:eastAsia="Arial" w:hAnsi="Arial"/>
          <w:sz w:val="18"/>
          <w:szCs w:val="18"/>
          <w:color w:val="auto"/>
        </w:rPr>
      </w:pPr>
    </w:p>
    <w:p>
      <w:pPr>
        <w:ind w:right="80" w:firstLine="889"/>
        <w:spacing w:after="0" w:line="264" w:lineRule="auto"/>
        <w:tabs>
          <w:tab w:leader="none" w:pos="1284" w:val="left"/>
        </w:tabs>
        <w:numPr>
          <w:ilvl w:val="1"/>
          <w:numId w:val="6"/>
        </w:numPr>
        <w:rPr>
          <w:rFonts w:ascii="Arial" w:cs="Arial" w:eastAsia="Arial" w:hAnsi="Arial"/>
          <w:sz w:val="18"/>
          <w:szCs w:val="18"/>
          <w:color w:val="auto"/>
        </w:rPr>
      </w:pPr>
      <w:r>
        <w:rPr>
          <w:rFonts w:ascii="Arial" w:cs="Arial" w:eastAsia="Arial" w:hAnsi="Arial"/>
          <w:sz w:val="18"/>
          <w:szCs w:val="18"/>
          <w:u w:val="single" w:color="auto"/>
          <w:color w:val="auto"/>
        </w:rPr>
        <w:t>Partial Indemnification</w:t>
      </w:r>
      <w:r>
        <w:rPr>
          <w:rFonts w:ascii="Arial" w:cs="Arial" w:eastAsia="Arial" w:hAnsi="Arial"/>
          <w:sz w:val="18"/>
          <w:szCs w:val="18"/>
          <w:color w:val="auto"/>
        </w:rPr>
        <w:t>. If Indemnitee is entitled under any provision of this Agreement to indemnification by the Company for a portion of Expenses, but not for the total amount of Expenses, the Company shall indemnify the Indemnitee for the portion of such Expenses to which Indemnitee is entitled.</w:t>
      </w:r>
    </w:p>
    <w:p>
      <w:pPr>
        <w:spacing w:after="0" w:line="181" w:lineRule="exact"/>
        <w:rPr>
          <w:rFonts w:ascii="Arial" w:cs="Arial" w:eastAsia="Arial" w:hAnsi="Arial"/>
          <w:sz w:val="18"/>
          <w:szCs w:val="18"/>
          <w:color w:val="auto"/>
        </w:rPr>
      </w:pPr>
    </w:p>
    <w:p>
      <w:pPr>
        <w:ind w:left="1300" w:hanging="411"/>
        <w:spacing w:after="0"/>
        <w:tabs>
          <w:tab w:leader="none" w:pos="1300" w:val="left"/>
        </w:tabs>
        <w:numPr>
          <w:ilvl w:val="1"/>
          <w:numId w:val="6"/>
        </w:numPr>
        <w:rPr>
          <w:rFonts w:ascii="Arial" w:cs="Arial" w:eastAsia="Arial" w:hAnsi="Arial"/>
          <w:sz w:val="17"/>
          <w:szCs w:val="17"/>
          <w:color w:val="auto"/>
        </w:rPr>
      </w:pPr>
      <w:r>
        <w:rPr>
          <w:rFonts w:ascii="Arial" w:cs="Arial" w:eastAsia="Arial" w:hAnsi="Arial"/>
          <w:sz w:val="17"/>
          <w:szCs w:val="17"/>
          <w:u w:val="single" w:color="auto"/>
          <w:color w:val="auto"/>
        </w:rPr>
        <w:t>Exclusions</w:t>
      </w:r>
      <w:r>
        <w:rPr>
          <w:rFonts w:ascii="Arial" w:cs="Arial" w:eastAsia="Arial" w:hAnsi="Arial"/>
          <w:sz w:val="17"/>
          <w:szCs w:val="17"/>
          <w:color w:val="auto"/>
        </w:rPr>
        <w:t>. Notwithstanding anything in this Agreement to the contrary, Indemnitee shall not be entitled to indemnification under this</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210" w:lineRule="exact"/>
        <w:rPr>
          <w:rFonts w:ascii="Arial" w:cs="Arial" w:eastAsia="Arial" w:hAnsi="Arial"/>
          <w:sz w:val="17"/>
          <w:szCs w:val="17"/>
          <w:color w:val="auto"/>
        </w:rPr>
      </w:pPr>
    </w:p>
    <w:p>
      <w:pPr>
        <w:ind w:left="1940" w:hanging="500"/>
        <w:spacing w:after="0"/>
        <w:tabs>
          <w:tab w:leader="none" w:pos="1940" w:val="left"/>
        </w:tabs>
        <w:numPr>
          <w:ilvl w:val="2"/>
          <w:numId w:val="6"/>
        </w:numPr>
        <w:rPr>
          <w:rFonts w:ascii="Arial" w:cs="Arial" w:eastAsia="Arial" w:hAnsi="Arial"/>
          <w:sz w:val="18"/>
          <w:szCs w:val="18"/>
          <w:color w:val="auto"/>
        </w:rPr>
      </w:pPr>
      <w:r>
        <w:rPr>
          <w:rFonts w:ascii="Arial" w:cs="Arial" w:eastAsia="Arial" w:hAnsi="Arial"/>
          <w:sz w:val="18"/>
          <w:szCs w:val="18"/>
          <w:color w:val="auto"/>
        </w:rPr>
        <w:t>to the extent that payment is actually made to Indemnitee under a valid, enforceable and collectible insurance policy;</w:t>
      </w:r>
    </w:p>
    <w:p>
      <w:pPr>
        <w:spacing w:after="0" w:line="225" w:lineRule="exact"/>
        <w:rPr>
          <w:rFonts w:ascii="Arial" w:cs="Arial" w:eastAsia="Arial" w:hAnsi="Arial"/>
          <w:sz w:val="18"/>
          <w:szCs w:val="18"/>
          <w:color w:val="auto"/>
        </w:rPr>
      </w:pPr>
    </w:p>
    <w:p>
      <w:pPr>
        <w:ind w:left="1960" w:hanging="520"/>
        <w:spacing w:after="0"/>
        <w:tabs>
          <w:tab w:leader="none" w:pos="1960" w:val="left"/>
        </w:tabs>
        <w:numPr>
          <w:ilvl w:val="2"/>
          <w:numId w:val="6"/>
        </w:numPr>
        <w:rPr>
          <w:rFonts w:ascii="Arial" w:cs="Arial" w:eastAsia="Arial" w:hAnsi="Arial"/>
          <w:sz w:val="18"/>
          <w:szCs w:val="18"/>
          <w:color w:val="auto"/>
        </w:rPr>
      </w:pPr>
      <w:r>
        <w:rPr>
          <w:rFonts w:ascii="Arial" w:cs="Arial" w:eastAsia="Arial" w:hAnsi="Arial"/>
          <w:sz w:val="18"/>
          <w:szCs w:val="18"/>
          <w:color w:val="auto"/>
        </w:rPr>
        <w:t>to the extent that Indemnitee is indemnified and actually paid other than pursuant to this Agreement;</w:t>
      </w:r>
    </w:p>
    <w:p>
      <w:pPr>
        <w:sectPr>
          <w:pgSz w:w="11900" w:h="16838" w:orient="portrait"/>
          <w:cols w:equalWidth="0" w:num="1">
            <w:col w:w="11420"/>
          </w:cols>
          <w:pgMar w:left="240" w:top="121" w:right="239" w:bottom="0" w:gutter="0" w:footer="0" w:header="0"/>
        </w:sectPr>
      </w:pPr>
    </w:p>
    <w:bookmarkStart w:id="3" w:name="page4"/>
    <w:bookmarkEnd w:id="3"/>
    <w:p>
      <w:pPr>
        <w:ind w:right="140" w:firstLine="1440"/>
        <w:spacing w:after="0" w:line="257" w:lineRule="auto"/>
        <w:tabs>
          <w:tab w:leader="none" w:pos="1938" w:val="left"/>
        </w:tabs>
        <w:numPr>
          <w:ilvl w:val="0"/>
          <w:numId w:val="7"/>
        </w:numPr>
        <w:rPr>
          <w:rFonts w:ascii="Arial" w:cs="Arial" w:eastAsia="Arial" w:hAnsi="Arial"/>
          <w:sz w:val="18"/>
          <w:szCs w:val="18"/>
          <w:color w:val="auto"/>
        </w:rPr>
      </w:pPr>
      <w:r>
        <w:rPr>
          <w:rFonts w:ascii="Arial" w:cs="Arial" w:eastAsia="Arial" w:hAnsi="Arial"/>
          <w:sz w:val="18"/>
          <w:szCs w:val="18"/>
          <w:color w:val="auto"/>
        </w:rPr>
        <w:t>in connection with a judicial action by or in the right of the Company, in respect of any claim, issue or matter as to which the Indemnitee shall have been adjudicated by final judgment in a court of competent jurisdiction to be liable for willful neglect or default in the performance of his duty to the Company unless and only to the extent that any court in which such action was brought shall determine upon application that, despite the adjudication of liability but in view of all the circumstances of the case, the Indemnitee is fairly and reasonably entitled to indemnity for such Expenses as such court shall deem proper;</w:t>
      </w:r>
    </w:p>
    <w:p>
      <w:pPr>
        <w:spacing w:after="0" w:line="188" w:lineRule="exact"/>
        <w:rPr>
          <w:rFonts w:ascii="Arial" w:cs="Arial" w:eastAsia="Arial" w:hAnsi="Arial"/>
          <w:sz w:val="18"/>
          <w:szCs w:val="18"/>
          <w:color w:val="auto"/>
        </w:rPr>
      </w:pPr>
    </w:p>
    <w:p>
      <w:pPr>
        <w:ind w:right="100" w:firstLine="1440"/>
        <w:spacing w:after="0" w:line="286" w:lineRule="auto"/>
        <w:tabs>
          <w:tab w:leader="none" w:pos="1948" w:val="left"/>
        </w:tabs>
        <w:numPr>
          <w:ilvl w:val="0"/>
          <w:numId w:val="7"/>
        </w:numPr>
        <w:rPr>
          <w:rFonts w:ascii="Arial" w:cs="Arial" w:eastAsia="Arial" w:hAnsi="Arial"/>
          <w:sz w:val="17"/>
          <w:szCs w:val="17"/>
          <w:color w:val="auto"/>
        </w:rPr>
      </w:pPr>
      <w:r>
        <w:rPr>
          <w:rFonts w:ascii="Arial" w:cs="Arial" w:eastAsia="Arial" w:hAnsi="Arial"/>
          <w:sz w:val="17"/>
          <w:szCs w:val="17"/>
          <w:color w:val="auto"/>
        </w:rPr>
        <w:t>in connection with any Proceeding initiated by Indemnitee against the Company, any director or officer of the Company or any other party, and not by way of defense, unless (i) the Company has joined in or the Reviewing Party (as hereinafter defined) has consented to the initiation of such Proceeding; or (ii) the Proceeding is one to enforce indemnification rights under this Agreement or any applicable law;</w:t>
      </w:r>
    </w:p>
    <w:p>
      <w:pPr>
        <w:spacing w:after="0" w:line="165" w:lineRule="exact"/>
        <w:rPr>
          <w:rFonts w:ascii="Arial" w:cs="Arial" w:eastAsia="Arial" w:hAnsi="Arial"/>
          <w:sz w:val="17"/>
          <w:szCs w:val="17"/>
          <w:color w:val="auto"/>
        </w:rPr>
      </w:pPr>
    </w:p>
    <w:p>
      <w:pPr>
        <w:ind w:firstLine="1440"/>
        <w:spacing w:after="0" w:line="259" w:lineRule="auto"/>
        <w:tabs>
          <w:tab w:leader="none" w:pos="1938" w:val="left"/>
        </w:tabs>
        <w:numPr>
          <w:ilvl w:val="0"/>
          <w:numId w:val="7"/>
        </w:numPr>
        <w:rPr>
          <w:rFonts w:ascii="Arial" w:cs="Arial" w:eastAsia="Arial" w:hAnsi="Arial"/>
          <w:sz w:val="18"/>
          <w:szCs w:val="18"/>
          <w:color w:val="auto"/>
        </w:rPr>
      </w:pPr>
      <w:r>
        <w:rPr>
          <w:rFonts w:ascii="Arial" w:cs="Arial" w:eastAsia="Arial" w:hAnsi="Arial"/>
          <w:sz w:val="18"/>
          <w:szCs w:val="18"/>
          <w:color w:val="auto"/>
        </w:rPr>
        <w:t xml:space="preserve">brought about by the dishonesty or fraud of the Indemnitee seeking payment hereunder;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Indemnitee shall be protected under this Agreement as to any claims upon which suit may be brought against him by reason of any alleged dishonesty or fraud on his part, unless a judgment or other final adjudication thereof adverse to the Indemnitee establishes that he committed fraud or dishonesty, in each instance where such acts were material to the cause of action so adjudicated;</w:t>
      </w:r>
    </w:p>
    <w:p>
      <w:pPr>
        <w:spacing w:after="0" w:line="186" w:lineRule="exact"/>
        <w:rPr>
          <w:rFonts w:ascii="Arial" w:cs="Arial" w:eastAsia="Arial" w:hAnsi="Arial"/>
          <w:sz w:val="18"/>
          <w:szCs w:val="18"/>
          <w:color w:val="auto"/>
        </w:rPr>
      </w:pPr>
    </w:p>
    <w:p>
      <w:pPr>
        <w:ind w:left="1960" w:hanging="520"/>
        <w:spacing w:after="0"/>
        <w:tabs>
          <w:tab w:leader="none" w:pos="1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arising out of Indemnitee’s personal tax matters;</w:t>
      </w:r>
    </w:p>
    <w:p>
      <w:pPr>
        <w:spacing w:after="0" w:line="225" w:lineRule="exact"/>
        <w:rPr>
          <w:rFonts w:ascii="Arial" w:cs="Arial" w:eastAsia="Arial" w:hAnsi="Arial"/>
          <w:sz w:val="18"/>
          <w:szCs w:val="18"/>
          <w:color w:val="auto"/>
        </w:rPr>
      </w:pPr>
    </w:p>
    <w:p>
      <w:pPr>
        <w:ind w:left="1960" w:hanging="520"/>
        <w:spacing w:after="0"/>
        <w:tabs>
          <w:tab w:leader="none" w:pos="1960" w:val="left"/>
        </w:tabs>
        <w:numPr>
          <w:ilvl w:val="0"/>
          <w:numId w:val="7"/>
        </w:numPr>
        <w:rPr>
          <w:rFonts w:ascii="Arial" w:cs="Arial" w:eastAsia="Arial" w:hAnsi="Arial"/>
          <w:sz w:val="17"/>
          <w:szCs w:val="17"/>
          <w:color w:val="auto"/>
        </w:rPr>
      </w:pPr>
      <w:r>
        <w:rPr>
          <w:rFonts w:ascii="Arial" w:cs="Arial" w:eastAsia="Arial" w:hAnsi="Arial"/>
          <w:sz w:val="17"/>
          <w:szCs w:val="17"/>
          <w:color w:val="auto"/>
        </w:rPr>
        <w:t>for any Expenses or payment of profits arising from the purchase and sale by the Indemnitee of securities in violation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16(b) of the Exchange Act or any similar successor statute;</w:t>
      </w:r>
    </w:p>
    <w:p>
      <w:pPr>
        <w:spacing w:after="0" w:line="211" w:lineRule="exact"/>
        <w:rPr>
          <w:sz w:val="20"/>
          <w:szCs w:val="20"/>
          <w:color w:val="auto"/>
        </w:rPr>
      </w:pPr>
    </w:p>
    <w:p>
      <w:pPr>
        <w:ind w:left="1960" w:hanging="520"/>
        <w:spacing w:after="0"/>
        <w:tabs>
          <w:tab w:leader="none" w:pos="1960" w:val="left"/>
        </w:tabs>
        <w:numPr>
          <w:ilvl w:val="1"/>
          <w:numId w:val="8"/>
        </w:numPr>
        <w:rPr>
          <w:rFonts w:ascii="Arial" w:cs="Arial" w:eastAsia="Arial" w:hAnsi="Arial"/>
          <w:sz w:val="17"/>
          <w:szCs w:val="17"/>
          <w:color w:val="auto"/>
        </w:rPr>
      </w:pPr>
      <w:r>
        <w:rPr>
          <w:rFonts w:ascii="Arial" w:cs="Arial" w:eastAsia="Arial" w:hAnsi="Arial"/>
          <w:sz w:val="17"/>
          <w:szCs w:val="17"/>
          <w:color w:val="auto"/>
        </w:rPr>
        <w:t>for any Expenses, judgment, fine or penalty which the Company is prohibited by applicable law from paying to Indemnitee.</w:t>
      </w:r>
    </w:p>
    <w:p>
      <w:pPr>
        <w:spacing w:after="0" w:line="236" w:lineRule="exact"/>
        <w:rPr>
          <w:rFonts w:ascii="Arial" w:cs="Arial" w:eastAsia="Arial" w:hAnsi="Arial"/>
          <w:sz w:val="17"/>
          <w:szCs w:val="17"/>
          <w:color w:val="auto"/>
        </w:rPr>
      </w:pPr>
    </w:p>
    <w:p>
      <w:pPr>
        <w:ind w:right="20" w:firstLine="889"/>
        <w:spacing w:after="0" w:line="277" w:lineRule="auto"/>
        <w:tabs>
          <w:tab w:leader="none" w:pos="1284" w:val="left"/>
        </w:tabs>
        <w:numPr>
          <w:ilvl w:val="0"/>
          <w:numId w:val="9"/>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Nothing in this Agreement is intended to create in any Indemnitee who is an employee of the Company any right to continued employment with the Company.</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889"/>
        <w:spacing w:after="0" w:line="270" w:lineRule="auto"/>
        <w:tabs>
          <w:tab w:leader="none" w:pos="1284" w:val="left"/>
        </w:tabs>
        <w:numPr>
          <w:ilvl w:val="1"/>
          <w:numId w:val="10"/>
        </w:numPr>
        <w:rPr>
          <w:rFonts w:ascii="Arial" w:cs="Arial" w:eastAsia="Arial" w:hAnsi="Arial"/>
          <w:sz w:val="17"/>
          <w:szCs w:val="17"/>
          <w:color w:val="auto"/>
        </w:rPr>
      </w:pPr>
      <w:r>
        <w:rPr>
          <w:rFonts w:ascii="Arial" w:cs="Arial" w:eastAsia="Arial" w:hAnsi="Arial"/>
          <w:sz w:val="17"/>
          <w:szCs w:val="17"/>
          <w:u w:val="single" w:color="auto"/>
          <w:color w:val="auto"/>
        </w:rPr>
        <w:t>Contribution</w:t>
      </w:r>
      <w:r>
        <w:rPr>
          <w:rFonts w:ascii="Arial" w:cs="Arial" w:eastAsia="Arial" w:hAnsi="Arial"/>
          <w:sz w:val="17"/>
          <w:szCs w:val="17"/>
          <w:color w:val="auto"/>
        </w:rPr>
        <w:t>. If the indemnification provided in this Agreement is unavailable and may not be paid to Indemnitee for any reason (other than those set forth in Section B.4), then the Company shall contribute to the amount of Expenses paid in settlement actually and reasonably incurred and paid or payable by Indemnitee in such proportion as is appropriate to reflect (i) the relative benefits received by the Company on the one hand and by the Indemnitee on the other hand from the transaction from which such Proceeding arose, and (ii) the relative fault of the Company on the one hand and of the Indemnitee on the other hand in connection with the events which resulted in such Expenses, as well as any other relevant equitable considerations. The relative fault of the Company on the one hand and of the Indemnitee on the other hand shall be determined by reference to, among other things, the parties’ relative intent, knowledge, access to information and opportunity to correct or prevent the circumstances resulting in such Expenses, judgments, fines or settlement amounts. The Company agrees that it would not be just and equitable if contribution pursuant to this Section 6 were determined by pro rata allocation or any other method of allocation which does not take account of the foregoing equitable considerations.</w:t>
      </w:r>
    </w:p>
    <w:p>
      <w:pPr>
        <w:spacing w:after="0" w:line="177" w:lineRule="exact"/>
        <w:rPr>
          <w:rFonts w:ascii="Arial" w:cs="Arial" w:eastAsia="Arial" w:hAnsi="Arial"/>
          <w:sz w:val="17"/>
          <w:szCs w:val="17"/>
          <w:color w:val="auto"/>
        </w:rPr>
      </w:pPr>
    </w:p>
    <w:p>
      <w:pPr>
        <w:ind w:left="440"/>
        <w:spacing w:after="0"/>
        <w:rPr>
          <w:rFonts w:ascii="Arial" w:cs="Arial" w:eastAsia="Arial" w:hAnsi="Arial"/>
          <w:sz w:val="17"/>
          <w:szCs w:val="17"/>
          <w:color w:val="auto"/>
        </w:rPr>
      </w:pPr>
      <w:r>
        <w:rPr>
          <w:rFonts w:ascii="Arial" w:cs="Arial" w:eastAsia="Arial" w:hAnsi="Arial"/>
          <w:sz w:val="18"/>
          <w:szCs w:val="18"/>
          <w:b w:val="1"/>
          <w:bCs w:val="1"/>
          <w:color w:val="auto"/>
        </w:rPr>
        <w:t>C.INDEMNIFICATION PROCESS</w:t>
      </w:r>
    </w:p>
    <w:p>
      <w:pPr>
        <w:spacing w:after="0" w:line="229" w:lineRule="exact"/>
        <w:rPr>
          <w:rFonts w:ascii="Arial" w:cs="Arial" w:eastAsia="Arial" w:hAnsi="Arial"/>
          <w:sz w:val="17"/>
          <w:szCs w:val="17"/>
          <w:color w:val="auto"/>
        </w:rPr>
      </w:pPr>
    </w:p>
    <w:p>
      <w:pPr>
        <w:ind w:right="40" w:firstLine="889"/>
        <w:spacing w:after="0" w:line="276" w:lineRule="auto"/>
        <w:tabs>
          <w:tab w:leader="none" w:pos="1284" w:val="left"/>
        </w:tabs>
        <w:numPr>
          <w:ilvl w:val="1"/>
          <w:numId w:val="11"/>
        </w:numPr>
        <w:rPr>
          <w:rFonts w:ascii="Arial" w:cs="Arial" w:eastAsia="Arial" w:hAnsi="Arial"/>
          <w:sz w:val="17"/>
          <w:szCs w:val="17"/>
          <w:color w:val="auto"/>
        </w:rPr>
      </w:pPr>
      <w:r>
        <w:rPr>
          <w:rFonts w:ascii="Arial" w:cs="Arial" w:eastAsia="Arial" w:hAnsi="Arial"/>
          <w:sz w:val="17"/>
          <w:szCs w:val="17"/>
          <w:u w:val="single" w:color="auto"/>
          <w:color w:val="auto"/>
        </w:rPr>
        <w:t>Notice and Cooperation By Indemnitee</w:t>
      </w:r>
      <w:r>
        <w:rPr>
          <w:rFonts w:ascii="Arial" w:cs="Arial" w:eastAsia="Arial" w:hAnsi="Arial"/>
          <w:sz w:val="17"/>
          <w:szCs w:val="17"/>
          <w:color w:val="auto"/>
        </w:rPr>
        <w:t xml:space="preserve">. Indemnitee shall, as a condition precedent to his right to be indemnified under this Agreement, give the Company notice in writing as soon as practicable of any claim made against Indemnitee for which indemnification will or could be sought under this Agreement,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delay of Indemnitee to give notice hereunder shall not prejudice any of Indemnitee’s rights hereunder, except to the extent that such delay results in the Company’s forfeiture of substantive rights or defenses. Notice to the Company shall be given in accordance with Section F.7 below. In addition, Indemnitee shall give the Company such information and cooperation as the Company may reasonably request.</w:t>
      </w:r>
    </w:p>
    <w:p>
      <w:pPr>
        <w:spacing w:after="0" w:line="172" w:lineRule="exact"/>
        <w:rPr>
          <w:rFonts w:ascii="Arial" w:cs="Arial" w:eastAsia="Arial" w:hAnsi="Arial"/>
          <w:sz w:val="17"/>
          <w:szCs w:val="17"/>
          <w:color w:val="auto"/>
        </w:rPr>
      </w:pPr>
    </w:p>
    <w:p>
      <w:pPr>
        <w:ind w:left="1300" w:hanging="411"/>
        <w:spacing w:after="0"/>
        <w:tabs>
          <w:tab w:leader="none" w:pos="1300"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Indemnification 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 w:firstLine="1440"/>
        <w:spacing w:after="0" w:line="293" w:lineRule="auto"/>
        <w:tabs>
          <w:tab w:leader="none" w:pos="1938" w:val="left"/>
        </w:tabs>
        <w:numPr>
          <w:ilvl w:val="2"/>
          <w:numId w:val="11"/>
        </w:numPr>
        <w:rPr>
          <w:rFonts w:ascii="Arial" w:cs="Arial" w:eastAsia="Arial" w:hAnsi="Arial"/>
          <w:sz w:val="16"/>
          <w:szCs w:val="16"/>
          <w:color w:val="auto"/>
        </w:rPr>
      </w:pPr>
      <w:r>
        <w:rPr>
          <w:rFonts w:ascii="Arial" w:cs="Arial" w:eastAsia="Arial" w:hAnsi="Arial"/>
          <w:sz w:val="16"/>
          <w:szCs w:val="16"/>
          <w:i w:val="1"/>
          <w:iCs w:val="1"/>
          <w:color w:val="auto"/>
        </w:rPr>
        <w:t>Advancement of Expenses</w:t>
      </w:r>
      <w:r>
        <w:rPr>
          <w:rFonts w:ascii="Arial" w:cs="Arial" w:eastAsia="Arial" w:hAnsi="Arial"/>
          <w:sz w:val="16"/>
          <w:szCs w:val="16"/>
          <w:color w:val="auto"/>
        </w:rPr>
        <w:t>. Indemnitee may submit a written request with reasonable particulars to the Company requesting that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advance to Indemnitee all Expenses that may be reasonably incurred by Indemnitee in connection with a Proceeding to the fullest extent permitted by applicable law. The Company shall, within ten (10) business days of receiving such a written request by Indemnitee, advance all requested Expenses to Indemnitee; provided, however, that Indemnitee shall set forth in such request reasonable evidence that such Expenses have been incurred by the Indemnitee in connection with such Proceeding, a statement that such Expenses do not relate to any matter described in Section B.4 above, and an undertaking in writing to repay any advances if it is ultimately determined that the Indemnitee is not entitled to indemnification under this Agreement.</w:t>
      </w:r>
    </w:p>
    <w:p>
      <w:pPr>
        <w:spacing w:after="0" w:line="164" w:lineRule="exact"/>
        <w:rPr>
          <w:rFonts w:ascii="Arial" w:cs="Arial" w:eastAsia="Arial" w:hAnsi="Arial"/>
          <w:sz w:val="16"/>
          <w:szCs w:val="16"/>
          <w:color w:val="auto"/>
        </w:rPr>
      </w:pPr>
    </w:p>
    <w:p>
      <w:pPr>
        <w:ind w:right="140" w:firstLine="1485"/>
        <w:spacing w:after="0" w:line="286" w:lineRule="auto"/>
        <w:tabs>
          <w:tab w:leader="none" w:pos="1955" w:val="left"/>
        </w:tabs>
        <w:numPr>
          <w:ilvl w:val="3"/>
          <w:numId w:val="11"/>
        </w:numPr>
        <w:rPr>
          <w:rFonts w:ascii="Arial" w:cs="Arial" w:eastAsia="Arial" w:hAnsi="Arial"/>
          <w:sz w:val="17"/>
          <w:szCs w:val="17"/>
          <w:color w:val="auto"/>
        </w:rPr>
      </w:pPr>
      <w:r>
        <w:rPr>
          <w:rFonts w:ascii="Arial" w:cs="Arial" w:eastAsia="Arial" w:hAnsi="Arial"/>
          <w:sz w:val="17"/>
          <w:szCs w:val="17"/>
          <w:i w:val="1"/>
          <w:iCs w:val="1"/>
          <w:color w:val="auto"/>
        </w:rPr>
        <w:t>Reimbursement of Expenses</w:t>
      </w:r>
      <w:r>
        <w:rPr>
          <w:rFonts w:ascii="Arial" w:cs="Arial" w:eastAsia="Arial" w:hAnsi="Arial"/>
          <w:sz w:val="17"/>
          <w:szCs w:val="17"/>
          <w:color w:val="auto"/>
        </w:rPr>
        <w:t>. To the extent Indemnitee has not requested any advanced payment of Expenses from the Company,</w:t>
      </w:r>
      <w:r>
        <w:rPr>
          <w:rFonts w:ascii="Arial" w:cs="Arial" w:eastAsia="Arial" w:hAnsi="Arial"/>
          <w:sz w:val="17"/>
          <w:szCs w:val="17"/>
          <w:i w:val="1"/>
          <w:iCs w:val="1"/>
          <w:color w:val="auto"/>
        </w:rPr>
        <w:t xml:space="preserve"> </w:t>
      </w:r>
      <w:r>
        <w:rPr>
          <w:rFonts w:ascii="Arial" w:cs="Arial" w:eastAsia="Arial" w:hAnsi="Arial"/>
          <w:sz w:val="17"/>
          <w:szCs w:val="17"/>
          <w:color w:val="auto"/>
        </w:rPr>
        <w:t>Indemnitee shall be entitled to receive reimbursement for the Expenses actually and reasonably incurred in connection with a Proceeding from the Company as soon as practicable after Indemnitee makes a reasonably detailed written request to the Company for reimbursement.</w:t>
      </w:r>
    </w:p>
    <w:p>
      <w:pPr>
        <w:spacing w:after="0" w:line="166" w:lineRule="exact"/>
        <w:rPr>
          <w:sz w:val="20"/>
          <w:szCs w:val="20"/>
          <w:color w:val="auto"/>
        </w:rPr>
      </w:pPr>
    </w:p>
    <w:p>
      <w:pPr>
        <w:ind w:right="140" w:firstLine="1440"/>
        <w:spacing w:after="0" w:line="279" w:lineRule="auto"/>
        <w:tabs>
          <w:tab w:leader="none" w:pos="1938" w:val="left"/>
        </w:tabs>
        <w:numPr>
          <w:ilvl w:val="2"/>
          <w:numId w:val="12"/>
        </w:numPr>
        <w:rPr>
          <w:rFonts w:ascii="Arial" w:cs="Arial" w:eastAsia="Arial" w:hAnsi="Arial"/>
          <w:sz w:val="17"/>
          <w:szCs w:val="17"/>
          <w:color w:val="auto"/>
        </w:rPr>
      </w:pPr>
      <w:r>
        <w:rPr>
          <w:rFonts w:ascii="Arial" w:cs="Arial" w:eastAsia="Arial" w:hAnsi="Arial"/>
          <w:sz w:val="17"/>
          <w:szCs w:val="17"/>
          <w:i w:val="1"/>
          <w:iCs w:val="1"/>
          <w:color w:val="auto"/>
        </w:rPr>
        <w:t>Determination by the Reviewing Party</w:t>
      </w:r>
      <w:r>
        <w:rPr>
          <w:rFonts w:ascii="Arial" w:cs="Arial" w:eastAsia="Arial" w:hAnsi="Arial"/>
          <w:sz w:val="17"/>
          <w:szCs w:val="17"/>
          <w:color w:val="auto"/>
        </w:rPr>
        <w:t>. Notwithstanding anything foregoing to the contrary, in the event the Reviewing Party</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informs the Company that Indemnitee is not entitled to indemnification in connection with a Proceeding under this Agreement or applicable law, Indemnitee shall reimburse the Company for all Expenses previously advanced or otherwise paid to Indemnitee in connection with such Proceeding;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Indemnitee may bring a suit to enforce his indemnification right in accordance with Section C.3 below.</w:t>
      </w:r>
    </w:p>
    <w:p>
      <w:pPr>
        <w:spacing w:after="0" w:line="171" w:lineRule="exact"/>
        <w:rPr>
          <w:rFonts w:ascii="Arial" w:cs="Arial" w:eastAsia="Arial" w:hAnsi="Arial"/>
          <w:sz w:val="17"/>
          <w:szCs w:val="17"/>
          <w:color w:val="auto"/>
        </w:rPr>
      </w:pPr>
    </w:p>
    <w:p>
      <w:pPr>
        <w:ind w:left="1300" w:hanging="411"/>
        <w:spacing w:after="0"/>
        <w:tabs>
          <w:tab w:leader="none" w:pos="1300" w:val="left"/>
        </w:tabs>
        <w:numPr>
          <w:ilvl w:val="1"/>
          <w:numId w:val="13"/>
        </w:numPr>
        <w:rPr>
          <w:rFonts w:ascii="Arial" w:cs="Arial" w:eastAsia="Arial" w:hAnsi="Arial"/>
          <w:sz w:val="17"/>
          <w:szCs w:val="17"/>
          <w:color w:val="auto"/>
        </w:rPr>
      </w:pPr>
      <w:r>
        <w:rPr>
          <w:rFonts w:ascii="Arial" w:cs="Arial" w:eastAsia="Arial" w:hAnsi="Arial"/>
          <w:sz w:val="17"/>
          <w:szCs w:val="17"/>
          <w:u w:val="single" w:color="auto"/>
          <w:color w:val="auto"/>
        </w:rPr>
        <w:t>Suit to Enforce Rights</w:t>
      </w:r>
      <w:r>
        <w:rPr>
          <w:rFonts w:ascii="Arial" w:cs="Arial" w:eastAsia="Arial" w:hAnsi="Arial"/>
          <w:sz w:val="17"/>
          <w:szCs w:val="17"/>
          <w:color w:val="auto"/>
        </w:rPr>
        <w:t>. Regardless of any action by the Reviewing Party, if Indemnitee has not received full indemnification within thirty</w:t>
      </w:r>
    </w:p>
    <w:p>
      <w:pPr>
        <w:spacing w:after="0" w:line="34" w:lineRule="exact"/>
        <w:rPr>
          <w:rFonts w:ascii="Arial" w:cs="Arial" w:eastAsia="Arial" w:hAnsi="Arial"/>
          <w:sz w:val="17"/>
          <w:szCs w:val="17"/>
          <w:color w:val="auto"/>
        </w:rPr>
      </w:pPr>
    </w:p>
    <w:p>
      <w:pPr>
        <w:ind w:right="20" w:firstLine="8"/>
        <w:spacing w:after="0" w:line="254" w:lineRule="auto"/>
        <w:tabs>
          <w:tab w:leader="none" w:pos="345" w:val="left"/>
        </w:tabs>
        <w:numPr>
          <w:ilvl w:val="0"/>
          <w:numId w:val="14"/>
        </w:numPr>
        <w:rPr>
          <w:rFonts w:ascii="Arial" w:cs="Arial" w:eastAsia="Arial" w:hAnsi="Arial"/>
          <w:sz w:val="18"/>
          <w:szCs w:val="18"/>
          <w:color w:val="auto"/>
        </w:rPr>
      </w:pPr>
      <w:r>
        <w:rPr>
          <w:rFonts w:ascii="Arial" w:cs="Arial" w:eastAsia="Arial" w:hAnsi="Arial"/>
          <w:sz w:val="18"/>
          <w:szCs w:val="18"/>
          <w:color w:val="auto"/>
        </w:rPr>
        <w:t>days after making a written demand in accordance with Section C.2 above, Indemnitee shall have the right to enforce its indemnification rights under this Agreement by commencing litigation in any court of competent jurisdiction seeking a determination by the court or challenging any determination by the Reviewing Party or any breach in any aspect of this Agreement. Any determination by the Reviewing Party not challenged by Indemnitee and any judgment entered by the court shall be binding on the Company and Indemnitee.</w:t>
      </w:r>
    </w:p>
    <w:p>
      <w:pPr>
        <w:spacing w:after="0" w:line="189" w:lineRule="exact"/>
        <w:rPr>
          <w:rFonts w:ascii="Arial" w:cs="Arial" w:eastAsia="Arial" w:hAnsi="Arial"/>
          <w:sz w:val="18"/>
          <w:szCs w:val="18"/>
          <w:color w:val="auto"/>
        </w:rPr>
      </w:pPr>
    </w:p>
    <w:p>
      <w:pPr>
        <w:ind w:right="180" w:firstLine="889"/>
        <w:spacing w:after="0" w:line="259" w:lineRule="auto"/>
        <w:tabs>
          <w:tab w:leader="none" w:pos="1284"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Assumption of Defense</w:t>
      </w:r>
      <w:r>
        <w:rPr>
          <w:rFonts w:ascii="Arial" w:cs="Arial" w:eastAsia="Arial" w:hAnsi="Arial"/>
          <w:sz w:val="18"/>
          <w:szCs w:val="18"/>
          <w:color w:val="auto"/>
        </w:rPr>
        <w:t>. In the event the Company is obligated under this Agreement to advance or bear any Expenses for any Proceeding against Indemnitee, the Company shall be entitled to assume the defense of such Proceeding, with counsel approved by Indemnitee, upon delivery to Indemnitee of written notice of its election to do so. After delivery of such notice, approval of such counsel by Indemnitee and the retention of such counsel by the Company,</w:t>
      </w:r>
    </w:p>
    <w:p>
      <w:pPr>
        <w:sectPr>
          <w:pgSz w:w="11900" w:h="16838" w:orient="portrait"/>
          <w:cols w:equalWidth="0" w:num="1">
            <w:col w:w="11420"/>
          </w:cols>
          <w:pgMar w:left="240" w:top="125" w:right="239" w:bottom="0" w:gutter="0" w:footer="0" w:header="0"/>
        </w:sectPr>
      </w:pPr>
    </w:p>
    <w:bookmarkStart w:id="4" w:name="page5"/>
    <w:bookmarkEnd w:id="4"/>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the Company will not be liable to Indemnitee under this Agreement for any fees of counsel subsequently incurred by Indemnitee with respect to the same Proceeding, unless (i) the employment of counsel by Indemnitee has been previously authorized by the Company, (ii) Indemnitee shall have reasonably concluded, based on written advice of counsel, that there may be a conflict of interest of such counsel retained by the Company between the Company and Indemnitee in the conduct of any such defense, or (iii) the Company ceases or terminates the employment of such counsel with respect to the defense of such Proceeding, in any of which events the reasonable fees and expenses of Indemnitee’s counsel shall be at the expense of the Company. At all times, Indemnitee shall have the right to employ counsel in any Proceeding at Indemnitee’s expense.</w:t>
      </w:r>
    </w:p>
    <w:p>
      <w:pPr>
        <w:spacing w:after="0" w:line="178" w:lineRule="exact"/>
        <w:rPr>
          <w:sz w:val="20"/>
          <w:szCs w:val="20"/>
          <w:color w:val="auto"/>
        </w:rPr>
      </w:pPr>
    </w:p>
    <w:p>
      <w:pPr>
        <w:ind w:firstLine="889"/>
        <w:spacing w:after="0" w:line="254" w:lineRule="auto"/>
        <w:tabs>
          <w:tab w:leader="none" w:pos="1284"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Defense to Indemnification, Burden of Proof and Presumptions</w:t>
      </w:r>
      <w:r>
        <w:rPr>
          <w:rFonts w:ascii="Arial" w:cs="Arial" w:eastAsia="Arial" w:hAnsi="Arial"/>
          <w:sz w:val="18"/>
          <w:szCs w:val="18"/>
          <w:color w:val="auto"/>
        </w:rPr>
        <w:t>. It shall be a defense to any action brought by Indemnitee against the Company to enforce this Agreement that it is not permissible under this Agreement or applicable law for the Company to indemnify the Indemnitee for the amount claimed. In connection with any such action or any determination by the Reviewing Party or otherwise as to whether Indemnitee is entitled to be indemnified under this Agreement, the burden of proving such a defense or determination shall be on the Company. Neither the failure of the Reviewing Party or the Company to have made a determination prior to the commencement of such action by Indemnitee that indemnification is proper under the circumstances because Indemnitee has met the standard of conduct set forth in applicable law, nor an actual determination by the Reviewing Party or the Company that Indemnitee had not met such applicable standard of conduct shall be a defense to the action or create a presumption that Indemnitee has not met the applicable standard of conduct.</w:t>
      </w:r>
    </w:p>
    <w:p>
      <w:pPr>
        <w:spacing w:after="0" w:line="192" w:lineRule="exact"/>
        <w:rPr>
          <w:rFonts w:ascii="Arial" w:cs="Arial" w:eastAsia="Arial" w:hAnsi="Arial"/>
          <w:sz w:val="18"/>
          <w:szCs w:val="18"/>
          <w:color w:val="auto"/>
        </w:rPr>
      </w:pPr>
    </w:p>
    <w:p>
      <w:pPr>
        <w:ind w:right="80" w:firstLine="889"/>
        <w:spacing w:after="0" w:line="264" w:lineRule="auto"/>
        <w:tabs>
          <w:tab w:leader="none" w:pos="1284"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No Settlement Without Consent</w:t>
      </w:r>
      <w:r>
        <w:rPr>
          <w:rFonts w:ascii="Arial" w:cs="Arial" w:eastAsia="Arial" w:hAnsi="Arial"/>
          <w:sz w:val="18"/>
          <w:szCs w:val="18"/>
          <w:color w:val="auto"/>
        </w:rPr>
        <w:t>. Neither party to this Agreement shall settle any Proceeding in any manner that would impose any damage, loss, penalty or limitation on Indemnitee without the other party’s written consent. Neither the Company nor Indemnitee shall unreasonably withhold its consent to any proposed settlement.</w:t>
      </w:r>
    </w:p>
    <w:p>
      <w:pPr>
        <w:spacing w:after="0" w:line="181" w:lineRule="exact"/>
        <w:rPr>
          <w:rFonts w:ascii="Arial" w:cs="Arial" w:eastAsia="Arial" w:hAnsi="Arial"/>
          <w:sz w:val="18"/>
          <w:szCs w:val="18"/>
          <w:color w:val="auto"/>
        </w:rPr>
      </w:pPr>
    </w:p>
    <w:p>
      <w:pPr>
        <w:ind w:right="260" w:firstLine="889"/>
        <w:spacing w:after="0" w:line="264" w:lineRule="auto"/>
        <w:tabs>
          <w:tab w:leader="none" w:pos="1284"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Company Participation</w:t>
      </w:r>
      <w:r>
        <w:rPr>
          <w:rFonts w:ascii="Arial" w:cs="Arial" w:eastAsia="Arial" w:hAnsi="Arial"/>
          <w:sz w:val="18"/>
          <w:szCs w:val="18"/>
          <w:color w:val="auto"/>
        </w:rPr>
        <w:t>. Subject to Section B.6, the Company shall not be liable to indemnify the Indemnitee under this Agreement with regard to any judicial action if the Company was not given a reasonable and timely opportunity, at its expense, to participate in the defense, conduct and/or settlement of such action.</w:t>
      </w:r>
    </w:p>
    <w:p>
      <w:pPr>
        <w:spacing w:after="0" w:line="181" w:lineRule="exact"/>
        <w:rPr>
          <w:rFonts w:ascii="Arial" w:cs="Arial" w:eastAsia="Arial" w:hAnsi="Arial"/>
          <w:sz w:val="18"/>
          <w:szCs w:val="18"/>
          <w:color w:val="auto"/>
        </w:rPr>
      </w:pPr>
    </w:p>
    <w:p>
      <w:pPr>
        <w:ind w:firstLine="889"/>
        <w:spacing w:after="0" w:line="285" w:lineRule="auto"/>
        <w:tabs>
          <w:tab w:leader="none" w:pos="1284" w:val="left"/>
        </w:tabs>
        <w:numPr>
          <w:ilvl w:val="0"/>
          <w:numId w:val="15"/>
        </w:numPr>
        <w:rPr>
          <w:rFonts w:ascii="Arial" w:cs="Arial" w:eastAsia="Arial" w:hAnsi="Arial"/>
          <w:sz w:val="16"/>
          <w:szCs w:val="16"/>
          <w:color w:val="auto"/>
        </w:rPr>
      </w:pPr>
      <w:r>
        <w:rPr>
          <w:rFonts w:ascii="Arial" w:cs="Arial" w:eastAsia="Arial" w:hAnsi="Arial"/>
          <w:sz w:val="16"/>
          <w:szCs w:val="16"/>
          <w:u w:val="single" w:color="auto"/>
          <w:color w:val="auto"/>
        </w:rPr>
        <w:t>Reviewing Party</w:t>
      </w:r>
      <w:r>
        <w:rPr>
          <w:rFonts w:ascii="Arial" w:cs="Arial" w:eastAsia="Arial" w:hAnsi="Arial"/>
          <w:sz w:val="16"/>
          <w:szCs w:val="16"/>
          <w:color w:val="auto"/>
        </w:rPr>
        <w:t>. For purposes of this Agreement, in the event that the Disinterested Directors (as defined below) do not direct otherwise as contemplated in the immediately succeeding sentence, the Reviewing Party with respect to each indemnification request of Indemnitee shall be (1) by a majority vote of the Disinterested Directors, even though less than a quorum of the Board, (2) by a committee of Disinterested Directors designated by a majority vote of the Disinterested Directors, even though less than a quorum of the Board or (3) by the shareholders of the Company by majority vote of a quorum thereof consisting of shareholders who are not parties to the Proceeding due to which a claim for indemnification is made under this Agreement. In the event that (1) there are no Disinterested Directors or (2) a majority of the Disinterested Directors (or a committee thereof) so directs, the Reviewing Party with respect to each indemnification request of Indemnitee shall be Independent Counsel (as defined in Section 8(d) of this Agreement) in a written opinion to the Board, a copy of which shall be delivered to Indemnitee. If it is determined that Indemnitee is entitled to indemnification, payment to Indemnitee shall be made within ten (10) days after such determination. Indemnitee shall cooperate with the person, persons or entity making such determination with respect to Indemnitee’s entitlement to indemnification, including providing to such person, persons or entity upon reasonable advance request any documentation or information which is not privileged or otherwise protected from disclosure and which is reasonably available to Indemnitee and reasonably necessary to such determination. Any Independent Counsel or member of the Board shall act reasonably and in good faith in making a determination under this Agreement of the Indemnitee’s entitlement to indemnification. Any reasonable costs or expenses (including reasonable attorneys’ fees and disbursements) incurred by Indemnitee in so cooperating with the person, persons or entity making such determination shall be borne by the Company (irrespective of the determination as to Indemnitee’s entitlement to indemnification), and the Company hereby indemnifies and agrees to hold Indemnitee harmless therefrom to the extent as aforesaid to the fullest extent permitted by applicable law. “</w:t>
      </w:r>
      <w:r>
        <w:rPr>
          <w:rFonts w:ascii="Arial" w:cs="Arial" w:eastAsia="Arial" w:hAnsi="Arial"/>
          <w:sz w:val="16"/>
          <w:szCs w:val="16"/>
          <w:u w:val="single" w:color="auto"/>
          <w:color w:val="auto"/>
        </w:rPr>
        <w:t>Disinterested Director</w:t>
      </w:r>
      <w:r>
        <w:rPr>
          <w:rFonts w:ascii="Arial" w:cs="Arial" w:eastAsia="Arial" w:hAnsi="Arial"/>
          <w:sz w:val="16"/>
          <w:szCs w:val="16"/>
          <w:color w:val="auto"/>
        </w:rPr>
        <w:t>” means a director of the Company who is not and was not a party to the Proceeding in respect of which indemnification is sought by Indemnitee.</w:t>
      </w:r>
    </w:p>
    <w:p>
      <w:pPr>
        <w:spacing w:after="0" w:line="175" w:lineRule="exact"/>
        <w:rPr>
          <w:rFonts w:ascii="Arial" w:cs="Arial" w:eastAsia="Arial" w:hAnsi="Arial"/>
          <w:sz w:val="16"/>
          <w:szCs w:val="16"/>
          <w:color w:val="auto"/>
        </w:rPr>
      </w:pPr>
    </w:p>
    <w:p>
      <w:pPr>
        <w:jc w:val="both"/>
        <w:ind w:right="120" w:firstLine="1440"/>
        <w:spacing w:after="0" w:line="259" w:lineRule="auto"/>
        <w:tabs>
          <w:tab w:leader="none" w:pos="1948" w:val="left"/>
        </w:tabs>
        <w:numPr>
          <w:ilvl w:val="1"/>
          <w:numId w:val="15"/>
        </w:numPr>
        <w:rPr>
          <w:rFonts w:ascii="Arial" w:cs="Arial" w:eastAsia="Arial" w:hAnsi="Arial"/>
          <w:sz w:val="18"/>
          <w:szCs w:val="18"/>
          <w:color w:val="auto"/>
        </w:rPr>
      </w:pPr>
      <w:r>
        <w:rPr>
          <w:rFonts w:ascii="Arial" w:cs="Arial" w:eastAsia="Arial" w:hAnsi="Arial"/>
          <w:sz w:val="18"/>
          <w:szCs w:val="18"/>
          <w:color w:val="auto"/>
        </w:rPr>
        <w:t>If the determination of entitlement to indemnification is to be made by Independent Counsel, the Independent Counsel shall be selected as provided in this Section 8(b). The Independent Counsel shall be selected by Indemnitee (unless Indemnitee shall request that such selection be made by the Board of Directors, in which event the Board of Directors by a majority vote of a quorum consisting of Disinterested Directors shall select), and Indemnitee</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 xml:space="preserve">shall give written notice to the Company advising it of the identity of the Independent Counsel so selected. In either event, Indemnitee or the Company, as the case may be, may, within ten (10) days after such written notice of selection shall have been given, deliver to the Company or to Indemnitee, as the case may be, a written objection to such selection;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such objection may be asserted only on the ground that the Independent Counsel so selected does not meet the requirements of “</w:t>
      </w:r>
      <w:r>
        <w:rPr>
          <w:rFonts w:ascii="Arial" w:cs="Arial" w:eastAsia="Arial" w:hAnsi="Arial"/>
          <w:sz w:val="16"/>
          <w:szCs w:val="16"/>
          <w:u w:val="single" w:color="auto"/>
          <w:color w:val="auto"/>
        </w:rPr>
        <w:t>Independent Counsel</w:t>
      </w:r>
      <w:r>
        <w:rPr>
          <w:rFonts w:ascii="Arial" w:cs="Arial" w:eastAsia="Arial" w:hAnsi="Arial"/>
          <w:sz w:val="16"/>
          <w:szCs w:val="16"/>
          <w:color w:val="auto"/>
        </w:rPr>
        <w:t>” as defined in Section 8(d) of this Agreement, and the objection shall set forth with particularity the factual basis of such assertion. Absent a proper and timely objection, the person so selected shall act as Independent Counsel. If a written objection is made and substantiated, the Independent Counsel selected may not serve as Independent Counsel unless and until such objection is withdrawn or a court has determined that such objection is without merit. If the determination of entitlement to indemnification is to be made by Independent Counsel, but within 20 days after submission by Indemnitee of a written request for indemnification, no Independent Counsel shall have been selected and not objected to, then the Board of Directors by a majority vote shall select the Independent Counsel. The Company shall pay any and all reasonable fees and expenses of Independent Counsel incurred by such Independent Counsel in connection with acting under this Agreement, and the Company shall pay all reasonable fees and expenses incident to the procedures of this Section 8(b), regardless of the manner in which such Independent Counsel was selected or appointed.</w:t>
      </w:r>
    </w:p>
    <w:p>
      <w:pPr>
        <w:spacing w:after="0" w:line="173" w:lineRule="exact"/>
        <w:rPr>
          <w:sz w:val="20"/>
          <w:szCs w:val="20"/>
          <w:color w:val="auto"/>
        </w:rPr>
      </w:pPr>
    </w:p>
    <w:p>
      <w:pPr>
        <w:ind w:firstLine="1440"/>
        <w:spacing w:after="0" w:line="289" w:lineRule="auto"/>
        <w:tabs>
          <w:tab w:leader="none" w:pos="1938" w:val="left"/>
        </w:tabs>
        <w:numPr>
          <w:ilvl w:val="0"/>
          <w:numId w:val="16"/>
        </w:numPr>
        <w:rPr>
          <w:rFonts w:ascii="Arial" w:cs="Arial" w:eastAsia="Arial" w:hAnsi="Arial"/>
          <w:sz w:val="16"/>
          <w:szCs w:val="16"/>
          <w:color w:val="auto"/>
        </w:rPr>
      </w:pPr>
      <w:r>
        <w:rPr>
          <w:rFonts w:ascii="Arial" w:cs="Arial" w:eastAsia="Arial" w:hAnsi="Arial"/>
          <w:sz w:val="16"/>
          <w:szCs w:val="16"/>
          <w:color w:val="auto"/>
        </w:rPr>
        <w:t xml:space="preserve">In making a determination with respect to entitlement to indemnification hereunder, the Reviewing Party shall presume that Indemnitee is entitled to indemnification under this Agreement if Indemnitee has submitted a request for indemnification in accordance with this Agreement, and the Company shall have the burden of proof to overcome that presumption in connection with the making by any person, persons or entity of any determination contrary to that presumption. The termination of any Proceeding or of any claim, issue or matter therein, by judgment, order, settlement (with or without court approval), conviction, or upon a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or its equivalent, shall not (except as otherwise expressly provided in this Agreement) of itself adversely affect the right of Indemnitee to indemnification or create a presumption that Indemnitee did not act in good faith and in a manner which he reasonably believed to be in or not opposed to the best interests of the Company or, with respect to any criminal Proceeding, that Indemnitee had reasonable cause to believe that his conduct was unlawful. For purposes of any determination of good faith, Indemnitee shall be deemed to have acted in good faith if Indemnitee’s action is based on the records or books of account of the Company and any other corporation, partnership, joint venture or other</w:t>
      </w:r>
    </w:p>
    <w:p>
      <w:pPr>
        <w:sectPr>
          <w:pgSz w:w="11900" w:h="16932" w:orient="portrait"/>
          <w:cols w:equalWidth="0" w:num="1">
            <w:col w:w="11420"/>
          </w:cols>
          <w:pgMar w:left="240" w:top="125" w:right="239" w:bottom="0" w:gutter="0" w:footer="0" w:header="0"/>
        </w:sectPr>
      </w:pPr>
    </w:p>
    <w:bookmarkStart w:id="5" w:name="page6"/>
    <w:bookmarkEnd w:id="5"/>
    <w:p>
      <w:pPr>
        <w:ind w:right="60"/>
        <w:spacing w:after="0" w:line="270" w:lineRule="auto"/>
        <w:rPr>
          <w:sz w:val="20"/>
          <w:szCs w:val="20"/>
          <w:color w:val="auto"/>
        </w:rPr>
      </w:pPr>
      <w:r>
        <w:rPr>
          <w:rFonts w:ascii="Arial" w:cs="Arial" w:eastAsia="Arial" w:hAnsi="Arial"/>
          <w:sz w:val="17"/>
          <w:szCs w:val="17"/>
          <w:color w:val="auto"/>
        </w:rPr>
        <w:t>entity of which Indemnitee is or was serving at the written request of the Company as a director, officer, employee, agent or fiduciary, including financial statements, or on information supplied to Indemnitee by the officers and directors of the Company or such other corporation, partnership, joint venture or other entity in the course of their duties, or on the advice of legal counsel for the Company or such other corporation, partnership, joint venture or other entity or on information or records given or reports made to the Company or such other corporation, partnership, joint venture or other entity by an independent certified public accountant or by an appraiser or other expert selected with reasonable care by the Company or such other corporation, partnership, joint venture or other entity. In addition, the knowledge and/or actions, or failure to act, of any director, officer, agent or employee of the Company or such other corporation, partnership, joint venture or other entity shall not be imputed to Indemnitee for purposes of determining the right to indemnification under this Agreement. The provisions of this Section 8(c) shall not be deemed to be exclusive or to limit in any way the other circumstances in which the Indemnitee may be deemed to have met the applicable standard of conduct set forth in this Agreement.</w:t>
      </w:r>
    </w:p>
    <w:p>
      <w:pPr>
        <w:spacing w:after="0" w:line="182" w:lineRule="exact"/>
        <w:rPr>
          <w:sz w:val="20"/>
          <w:szCs w:val="20"/>
          <w:color w:val="auto"/>
        </w:rPr>
      </w:pPr>
    </w:p>
    <w:p>
      <w:pPr>
        <w:ind w:right="20" w:firstLine="1440"/>
        <w:spacing w:after="0" w:line="255" w:lineRule="auto"/>
        <w:tabs>
          <w:tab w:leader="none" w:pos="1948" w:val="left"/>
        </w:tabs>
        <w:numPr>
          <w:ilvl w:val="2"/>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Counsel</w:t>
      </w:r>
      <w:r>
        <w:rPr>
          <w:rFonts w:ascii="Arial" w:cs="Arial" w:eastAsia="Arial" w:hAnsi="Arial"/>
          <w:sz w:val="18"/>
          <w:szCs w:val="18"/>
          <w:color w:val="auto"/>
        </w:rPr>
        <w:t>” means a law firm, or a member of a law firm, that is experienced in matters of corporation law and neither presently is, nor in the past five (5) years has been, retained to represent (i) the Company or Indemnitee in any matter material to either such party (other than with respect to matters concerning the Indemnitee under this Agreement, or of other indemnitees under similar indemnification agreements), or (ii) any other party to the Proceeding giving rise to a claim for indemnification hereunder. Notwithstanding the foregoing, the term “Independent Counsel” shall not include any person who, under the applicable standards of professional conduct then prevailing, would have a conflict of interest in representing either the Company or Indemnitee in an action to determine Indemnitee’s rights under this Agreement. The Company agrees to pay the reasonable fees of the Independent Counsel referred to above.</w:t>
      </w:r>
    </w:p>
    <w:p>
      <w:pPr>
        <w:spacing w:after="0" w:line="185" w:lineRule="exact"/>
        <w:rPr>
          <w:rFonts w:ascii="Arial" w:cs="Arial" w:eastAsia="Arial" w:hAnsi="Arial"/>
          <w:sz w:val="18"/>
          <w:szCs w:val="18"/>
          <w:color w:val="auto"/>
        </w:rPr>
      </w:pPr>
    </w:p>
    <w:p>
      <w:pPr>
        <w:ind w:left="1280" w:hanging="831"/>
        <w:spacing w:after="0"/>
        <w:tabs>
          <w:tab w:leader="none" w:pos="1280" w:val="left"/>
        </w:tabs>
        <w:numPr>
          <w:ilvl w:val="0"/>
          <w:numId w:val="18"/>
        </w:numPr>
        <w:rPr>
          <w:rFonts w:ascii="Arial" w:cs="Arial" w:eastAsia="Arial" w:hAnsi="Arial"/>
          <w:sz w:val="18"/>
          <w:szCs w:val="18"/>
          <w:b w:val="1"/>
          <w:bCs w:val="1"/>
          <w:color w:val="auto"/>
        </w:rPr>
      </w:pPr>
      <w:r>
        <w:rPr>
          <w:rFonts w:ascii="Arial" w:cs="Arial" w:eastAsia="Arial" w:hAnsi="Arial"/>
          <w:sz w:val="18"/>
          <w:szCs w:val="18"/>
          <w:b w:val="1"/>
          <w:bCs w:val="1"/>
          <w:color w:val="auto"/>
        </w:rPr>
        <w:t>DIRECTOR AND OFFICER LIABILITY INSURANCE</w:t>
      </w:r>
    </w:p>
    <w:p>
      <w:pPr>
        <w:spacing w:after="0" w:line="229" w:lineRule="exact"/>
        <w:rPr>
          <w:rFonts w:ascii="Arial" w:cs="Arial" w:eastAsia="Arial" w:hAnsi="Arial"/>
          <w:sz w:val="18"/>
          <w:szCs w:val="18"/>
          <w:b w:val="1"/>
          <w:bCs w:val="1"/>
          <w:color w:val="auto"/>
        </w:rPr>
      </w:pPr>
    </w:p>
    <w:p>
      <w:pPr>
        <w:ind w:right="140" w:firstLine="889"/>
        <w:spacing w:after="0" w:line="264" w:lineRule="auto"/>
        <w:tabs>
          <w:tab w:leader="none" w:pos="1284" w:val="left"/>
        </w:tabs>
        <w:numPr>
          <w:ilvl w:val="1"/>
          <w:numId w:val="18"/>
        </w:numPr>
        <w:rPr>
          <w:rFonts w:ascii="Arial" w:cs="Arial" w:eastAsia="Arial" w:hAnsi="Arial"/>
          <w:sz w:val="18"/>
          <w:szCs w:val="18"/>
          <w:color w:val="auto"/>
        </w:rPr>
      </w:pPr>
      <w:r>
        <w:rPr>
          <w:rFonts w:ascii="Arial" w:cs="Arial" w:eastAsia="Arial" w:hAnsi="Arial"/>
          <w:sz w:val="18"/>
          <w:szCs w:val="18"/>
          <w:u w:val="single" w:color="auto"/>
          <w:color w:val="auto"/>
        </w:rPr>
        <w:t>Good Faith Determination</w:t>
      </w:r>
      <w:r>
        <w:rPr>
          <w:rFonts w:ascii="Arial" w:cs="Arial" w:eastAsia="Arial" w:hAnsi="Arial"/>
          <w:sz w:val="18"/>
          <w:szCs w:val="18"/>
          <w:color w:val="auto"/>
        </w:rPr>
        <w:t>. The Company shall from time to time make the good faith determination whether or not it is practicable for the Company to obtain and maintain a policy or policies of insurance with reputable insurance companies providing the officers and directors of the Company with coverage for losses incurred in connection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with their services to the Company or to ensure the Company’s performance of its indemnification obligations under this Agreement.</w:t>
      </w:r>
    </w:p>
    <w:p>
      <w:pPr>
        <w:spacing w:after="0" w:line="225" w:lineRule="exact"/>
        <w:rPr>
          <w:sz w:val="20"/>
          <w:szCs w:val="20"/>
          <w:color w:val="auto"/>
        </w:rPr>
      </w:pPr>
    </w:p>
    <w:p>
      <w:pPr>
        <w:ind w:right="180" w:firstLine="889"/>
        <w:spacing w:after="0" w:line="264" w:lineRule="auto"/>
        <w:tabs>
          <w:tab w:leader="none" w:pos="1284" w:val="left"/>
        </w:tabs>
        <w:numPr>
          <w:ilvl w:val="1"/>
          <w:numId w:val="19"/>
        </w:numPr>
        <w:rPr>
          <w:rFonts w:ascii="Arial" w:cs="Arial" w:eastAsia="Arial" w:hAnsi="Arial"/>
          <w:sz w:val="18"/>
          <w:szCs w:val="18"/>
          <w:color w:val="auto"/>
        </w:rPr>
      </w:pPr>
      <w:r>
        <w:rPr>
          <w:rFonts w:ascii="Arial" w:cs="Arial" w:eastAsia="Arial" w:hAnsi="Arial"/>
          <w:sz w:val="18"/>
          <w:szCs w:val="18"/>
          <w:u w:val="single" w:color="auto"/>
          <w:color w:val="auto"/>
        </w:rPr>
        <w:t>Coverage of Indemnitee</w:t>
      </w:r>
      <w:r>
        <w:rPr>
          <w:rFonts w:ascii="Arial" w:cs="Arial" w:eastAsia="Arial" w:hAnsi="Arial"/>
          <w:sz w:val="18"/>
          <w:szCs w:val="18"/>
          <w:color w:val="auto"/>
        </w:rPr>
        <w:t>. To the extent the Company maintains an insurance policy or policies providing directors’ and officers’ liability insurance, Indemnitee shall be covered by such policy or policies, in accordance with its or their terms, to the maximum extent of the coverage available for any of the Company’s directors or officers.</w:t>
      </w:r>
    </w:p>
    <w:p>
      <w:pPr>
        <w:spacing w:after="0" w:line="181" w:lineRule="exact"/>
        <w:rPr>
          <w:rFonts w:ascii="Arial" w:cs="Arial" w:eastAsia="Arial" w:hAnsi="Arial"/>
          <w:sz w:val="18"/>
          <w:szCs w:val="18"/>
          <w:color w:val="auto"/>
        </w:rPr>
      </w:pPr>
    </w:p>
    <w:p>
      <w:pPr>
        <w:ind w:right="60" w:firstLine="889"/>
        <w:spacing w:after="0" w:line="279" w:lineRule="auto"/>
        <w:tabs>
          <w:tab w:leader="none" w:pos="1284" w:val="left"/>
        </w:tabs>
        <w:numPr>
          <w:ilvl w:val="1"/>
          <w:numId w:val="19"/>
        </w:numPr>
        <w:rPr>
          <w:rFonts w:ascii="Arial" w:cs="Arial" w:eastAsia="Arial" w:hAnsi="Arial"/>
          <w:sz w:val="17"/>
          <w:szCs w:val="17"/>
          <w:color w:val="auto"/>
        </w:rPr>
      </w:pPr>
      <w:r>
        <w:rPr>
          <w:rFonts w:ascii="Arial" w:cs="Arial" w:eastAsia="Arial" w:hAnsi="Arial"/>
          <w:sz w:val="17"/>
          <w:szCs w:val="17"/>
          <w:u w:val="single" w:color="auto"/>
          <w:color w:val="auto"/>
        </w:rPr>
        <w:t>No Obligation</w:t>
      </w:r>
      <w:r>
        <w:rPr>
          <w:rFonts w:ascii="Arial" w:cs="Arial" w:eastAsia="Arial" w:hAnsi="Arial"/>
          <w:sz w:val="17"/>
          <w:szCs w:val="17"/>
          <w:color w:val="auto"/>
        </w:rPr>
        <w:t>. Notwithstanding the foregoing, the Company shall have no obligation to obtain or maintain any director and officer insurance policy if the Company determines in good faith that such insurance is not reasonably available in the case that (i) premium costs for such insurance are disproportionate to the amount of coverage provided, (ii) the coverage provided by such insurance is limited by exclusions so as to provide an insufficient benefit, or (iii) Indemnitee is covered by similar insurance maintained by a parent or subsidiary of the Company.</w:t>
      </w:r>
    </w:p>
    <w:p>
      <w:pPr>
        <w:spacing w:after="0" w:line="167" w:lineRule="exact"/>
        <w:rPr>
          <w:rFonts w:ascii="Arial" w:cs="Arial" w:eastAsia="Arial" w:hAnsi="Arial"/>
          <w:sz w:val="17"/>
          <w:szCs w:val="17"/>
          <w:color w:val="auto"/>
        </w:rPr>
      </w:pPr>
    </w:p>
    <w:p>
      <w:pPr>
        <w:ind w:left="1260" w:hanging="811"/>
        <w:spacing w:after="0"/>
        <w:tabs>
          <w:tab w:leader="none" w:pos="126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NON-EXCLUSIVITY; FEDERAL PREEMPTION; TERM</w:t>
      </w:r>
    </w:p>
    <w:p>
      <w:pPr>
        <w:spacing w:after="0" w:line="229" w:lineRule="exact"/>
        <w:rPr>
          <w:rFonts w:ascii="Arial" w:cs="Arial" w:eastAsia="Arial" w:hAnsi="Arial"/>
          <w:sz w:val="18"/>
          <w:szCs w:val="18"/>
          <w:b w:val="1"/>
          <w:bCs w:val="1"/>
          <w:color w:val="auto"/>
        </w:rPr>
      </w:pPr>
    </w:p>
    <w:p>
      <w:pPr>
        <w:ind w:right="80" w:firstLine="889"/>
        <w:spacing w:after="0" w:line="279" w:lineRule="auto"/>
        <w:tabs>
          <w:tab w:leader="none" w:pos="1284" w:val="left"/>
        </w:tabs>
        <w:numPr>
          <w:ilvl w:val="1"/>
          <w:numId w:val="20"/>
        </w:numPr>
        <w:rPr>
          <w:rFonts w:ascii="Arial" w:cs="Arial" w:eastAsia="Arial" w:hAnsi="Arial"/>
          <w:sz w:val="17"/>
          <w:szCs w:val="17"/>
          <w:color w:val="auto"/>
        </w:rPr>
      </w:pPr>
      <w:r>
        <w:rPr>
          <w:rFonts w:ascii="Arial" w:cs="Arial" w:eastAsia="Arial" w:hAnsi="Arial"/>
          <w:sz w:val="17"/>
          <w:szCs w:val="17"/>
          <w:u w:val="single" w:color="auto"/>
          <w:color w:val="auto"/>
        </w:rPr>
        <w:t>Non-Exclusivity</w:t>
      </w:r>
      <w:r>
        <w:rPr>
          <w:rFonts w:ascii="Arial" w:cs="Arial" w:eastAsia="Arial" w:hAnsi="Arial"/>
          <w:sz w:val="17"/>
          <w:szCs w:val="17"/>
          <w:color w:val="auto"/>
        </w:rPr>
        <w:t>. The indemnification provided by this Agreement shall not be deemed exclusive of any rights to which Indemnitee may be entitled under the Bye-Laws, applicable law or any written agreement between Indemnitee and the Company (including its subsidiaries and affiliates). The indemnification provided under this Agreement shall continue to be available to Indemnitee for any action taken or not taken while serving in an indemnified capacity even though he may have ceased to serve in any such capacity at the time of any Proceeding.</w:t>
      </w:r>
    </w:p>
    <w:p>
      <w:pPr>
        <w:spacing w:after="0" w:line="171" w:lineRule="exact"/>
        <w:rPr>
          <w:rFonts w:ascii="Arial" w:cs="Arial" w:eastAsia="Arial" w:hAnsi="Arial"/>
          <w:sz w:val="17"/>
          <w:szCs w:val="17"/>
          <w:color w:val="auto"/>
        </w:rPr>
      </w:pPr>
    </w:p>
    <w:p>
      <w:pPr>
        <w:ind w:right="40" w:firstLine="889"/>
        <w:spacing w:after="0" w:line="255" w:lineRule="auto"/>
        <w:tabs>
          <w:tab w:leader="none" w:pos="1284"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Federal Preemption</w:t>
      </w:r>
      <w:r>
        <w:rPr>
          <w:rFonts w:ascii="Arial" w:cs="Arial" w:eastAsia="Arial" w:hAnsi="Arial"/>
          <w:sz w:val="18"/>
          <w:szCs w:val="18"/>
          <w:color w:val="auto"/>
        </w:rPr>
        <w:t>. Notwithstanding the foregoing, both the Company and Indemnitee acknowledge that in certain instances, U.S. federal law or applicable public policy may override applicable law and prohibit the Company from indemnifying its directors and officers under this Agreement or otherwise. Indemnitee acknowledges that the U.S. Securities and Exchange Commission believes that indemnification for liabilities arising under certain U.S. federal securities laws is against public policy and is, therefore, unenforceable and that the Company may be required in the future to undertake with the United States Securities and Exchange Commission to submit the question of indemnification to a court in certain circumstances for a determination of the Company’s right under public policy to indemnify Indemnitee.</w:t>
      </w:r>
    </w:p>
    <w:p>
      <w:pPr>
        <w:spacing w:after="0" w:line="193" w:lineRule="exact"/>
        <w:rPr>
          <w:rFonts w:ascii="Arial" w:cs="Arial" w:eastAsia="Arial" w:hAnsi="Arial"/>
          <w:sz w:val="18"/>
          <w:szCs w:val="18"/>
          <w:color w:val="auto"/>
        </w:rPr>
      </w:pPr>
    </w:p>
    <w:p>
      <w:pPr>
        <w:ind w:right="60" w:firstLine="889"/>
        <w:spacing w:after="0" w:line="293" w:lineRule="auto"/>
        <w:tabs>
          <w:tab w:leader="none" w:pos="1284" w:val="left"/>
        </w:tabs>
        <w:numPr>
          <w:ilvl w:val="1"/>
          <w:numId w:val="20"/>
        </w:numPr>
        <w:rPr>
          <w:rFonts w:ascii="Arial" w:cs="Arial" w:eastAsia="Arial" w:hAnsi="Arial"/>
          <w:sz w:val="16"/>
          <w:szCs w:val="16"/>
          <w:color w:val="auto"/>
        </w:rPr>
      </w:pPr>
      <w:r>
        <w:rPr>
          <w:rFonts w:ascii="Arial" w:cs="Arial" w:eastAsia="Arial" w:hAnsi="Arial"/>
          <w:sz w:val="16"/>
          <w:szCs w:val="16"/>
          <w:u w:val="single" w:color="auto"/>
          <w:color w:val="auto"/>
        </w:rPr>
        <w:t>Duration of Agreement</w:t>
      </w:r>
      <w:r>
        <w:rPr>
          <w:rFonts w:ascii="Arial" w:cs="Arial" w:eastAsia="Arial" w:hAnsi="Arial"/>
          <w:sz w:val="16"/>
          <w:szCs w:val="16"/>
          <w:color w:val="auto"/>
        </w:rPr>
        <w:t>. All agreements and obligations of the Company contained herein shall continue during the period Indemnitee is an officer and/or a director of the Company (or is or was serving at the request of the Company as a director, officer, employee or agent of another corporation, partnership, joint venture, trust or other enterprise) and shall continue thereafter so long as Indemnitee shall be subject to any Proceeding by reason of his former or current capacity at the Company or any other enterprise at the Company’s request, whether or not he is acting or serving in any such capacity at the time any Expense is incurred for which indemnification can be provided under this Agreement. This Agreement shall continue in effect regardless of whether or not Indemnitee continues to serve as an officer and/or a director of the Company or any other enterprise at the Company’s request.</w:t>
      </w:r>
    </w:p>
    <w:p>
      <w:pPr>
        <w:spacing w:after="0" w:line="160" w:lineRule="exact"/>
        <w:rPr>
          <w:rFonts w:ascii="Arial" w:cs="Arial" w:eastAsia="Arial" w:hAnsi="Arial"/>
          <w:sz w:val="16"/>
          <w:szCs w:val="16"/>
          <w:color w:val="auto"/>
        </w:rPr>
      </w:pPr>
    </w:p>
    <w:p>
      <w:pPr>
        <w:ind w:left="1240" w:hanging="791"/>
        <w:spacing w:after="0"/>
        <w:tabs>
          <w:tab w:leader="none" w:pos="124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MISCELLANEOUS</w:t>
      </w:r>
    </w:p>
    <w:p>
      <w:pPr>
        <w:spacing w:after="0" w:line="229" w:lineRule="exact"/>
        <w:rPr>
          <w:rFonts w:ascii="Arial" w:cs="Arial" w:eastAsia="Arial" w:hAnsi="Arial"/>
          <w:sz w:val="18"/>
          <w:szCs w:val="18"/>
          <w:b w:val="1"/>
          <w:bCs w:val="1"/>
          <w:color w:val="auto"/>
        </w:rPr>
      </w:pPr>
    </w:p>
    <w:p>
      <w:pPr>
        <w:ind w:firstLine="889"/>
        <w:spacing w:after="0" w:line="259" w:lineRule="auto"/>
        <w:tabs>
          <w:tab w:leader="none" w:pos="1284"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Amendment of this Agreement</w:t>
      </w:r>
      <w:r>
        <w:rPr>
          <w:rFonts w:ascii="Arial" w:cs="Arial" w:eastAsia="Arial" w:hAnsi="Arial"/>
          <w:sz w:val="18"/>
          <w:szCs w:val="18"/>
          <w:color w:val="auto"/>
        </w:rPr>
        <w:t>. No supplement, modification, or amendment of this Agreement shall be binding unless executed in writing by the parties hereto. No waiver of any of the provisions of this Agreement shall operate as a waiver of any other provisions (whether or not similar), nor shall such waiver constitute a continuing waiver. Except as specifically provided in this Agreement, no failure to exercise or any delay in exercising any right or remedy shall constitute a waiver.</w:t>
      </w:r>
    </w:p>
    <w:p>
      <w:pPr>
        <w:spacing w:after="0" w:line="186" w:lineRule="exact"/>
        <w:rPr>
          <w:rFonts w:ascii="Arial" w:cs="Arial" w:eastAsia="Arial" w:hAnsi="Arial"/>
          <w:sz w:val="18"/>
          <w:szCs w:val="18"/>
          <w:color w:val="auto"/>
        </w:rPr>
      </w:pPr>
    </w:p>
    <w:p>
      <w:pPr>
        <w:jc w:val="both"/>
        <w:ind w:right="140" w:firstLine="889"/>
        <w:spacing w:after="0" w:line="286" w:lineRule="auto"/>
        <w:tabs>
          <w:tab w:leader="none" w:pos="1284" w:val="left"/>
        </w:tabs>
        <w:numPr>
          <w:ilvl w:val="1"/>
          <w:numId w:val="20"/>
        </w:numPr>
        <w:rPr>
          <w:rFonts w:ascii="Arial" w:cs="Arial" w:eastAsia="Arial" w:hAnsi="Arial"/>
          <w:sz w:val="17"/>
          <w:szCs w:val="17"/>
          <w:color w:val="auto"/>
        </w:rPr>
      </w:pPr>
      <w:r>
        <w:rPr>
          <w:rFonts w:ascii="Arial" w:cs="Arial" w:eastAsia="Arial" w:hAnsi="Arial"/>
          <w:sz w:val="17"/>
          <w:szCs w:val="17"/>
          <w:u w:val="single" w:color="auto"/>
          <w:color w:val="auto"/>
        </w:rPr>
        <w:t>Subrogation</w:t>
      </w:r>
      <w:r>
        <w:rPr>
          <w:rFonts w:ascii="Arial" w:cs="Arial" w:eastAsia="Arial" w:hAnsi="Arial"/>
          <w:sz w:val="17"/>
          <w:szCs w:val="17"/>
          <w:color w:val="auto"/>
        </w:rPr>
        <w:t>. In the event of payment to Indemnitee by the Company under this Agreement, the Company shall be subrogated to the extent of such payment to all of the rights of recovery of Indemnitee, who shall execute all papers required and shall do everything that may be necessary to secure such rights, including the execution of such documents necessary to enable the Company to bring suit to enforce such rights.</w:t>
      </w:r>
    </w:p>
    <w:p>
      <w:pPr>
        <w:spacing w:after="0" w:line="165" w:lineRule="exact"/>
        <w:rPr>
          <w:rFonts w:ascii="Arial" w:cs="Arial" w:eastAsia="Arial" w:hAnsi="Arial"/>
          <w:sz w:val="17"/>
          <w:szCs w:val="17"/>
          <w:color w:val="auto"/>
        </w:rPr>
      </w:pPr>
    </w:p>
    <w:p>
      <w:pPr>
        <w:ind w:right="140" w:firstLine="889"/>
        <w:spacing w:after="0" w:line="264" w:lineRule="auto"/>
        <w:tabs>
          <w:tab w:leader="none" w:pos="1284"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Assignment; Binding Effect</w:t>
      </w:r>
      <w:r>
        <w:rPr>
          <w:rFonts w:ascii="Arial" w:cs="Arial" w:eastAsia="Arial" w:hAnsi="Arial"/>
          <w:sz w:val="18"/>
          <w:szCs w:val="18"/>
          <w:color w:val="auto"/>
        </w:rPr>
        <w:t>. Neither this Agreement nor any of the rights or obligations hereunder may be assigned by either party hereto without the prior written consent of the other party; except that the Company may, without such consent, assign all such rights and obligations to a successor in interest to the Company which</w:t>
      </w:r>
    </w:p>
    <w:p>
      <w:pPr>
        <w:sectPr>
          <w:pgSz w:w="11900" w:h="16838" w:orient="portrait"/>
          <w:cols w:equalWidth="0" w:num="1">
            <w:col w:w="11420"/>
          </w:cols>
          <w:pgMar w:left="240" w:top="125" w:right="239" w:bottom="0" w:gutter="0" w:footer="0" w:header="0"/>
        </w:sectPr>
      </w:pP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6</w:t>
      </w:r>
    </w:p>
    <w:p>
      <w:pPr>
        <w:sectPr>
          <w:pgSz w:w="11900" w:h="16838" w:orient="portrait"/>
          <w:cols w:equalWidth="0" w:num="1">
            <w:col w:w="11420"/>
          </w:cols>
          <w:pgMar w:left="240" w:top="125" w:right="239" w:bottom="0" w:gutter="0" w:footer="0" w:header="0"/>
          <w:type w:val="continuous"/>
        </w:sectPr>
      </w:pPr>
    </w:p>
    <w:bookmarkStart w:id="6" w:name="page7"/>
    <w:bookmarkEnd w:id="6"/>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assumes all obligations of the Company under this Agreement. Notwithstanding the foregoing, this Agreement shall be binding upon and inure to the benefit of and be enforceable by and against the parties hereto and the Company’s successors (including any direct or indirect successor by purchase, merger, consolidation, or otherwise to all or substantially all of the business and/or assets of the Company) and assigns, as well as Indemnitee’s spouses, heirs, and personal and legal representatives.</w:t>
      </w:r>
    </w:p>
    <w:p>
      <w:pPr>
        <w:spacing w:after="0" w:line="187" w:lineRule="exact"/>
        <w:rPr>
          <w:sz w:val="20"/>
          <w:szCs w:val="20"/>
          <w:color w:val="auto"/>
        </w:rPr>
      </w:pPr>
    </w:p>
    <w:p>
      <w:pPr>
        <w:ind w:firstLine="889"/>
        <w:spacing w:after="0" w:line="273" w:lineRule="auto"/>
        <w:tabs>
          <w:tab w:leader="none" w:pos="1284" w:val="left"/>
        </w:tabs>
        <w:numPr>
          <w:ilvl w:val="0"/>
          <w:numId w:val="21"/>
        </w:numPr>
        <w:rPr>
          <w:rFonts w:ascii="Arial" w:cs="Arial" w:eastAsia="Arial" w:hAnsi="Arial"/>
          <w:sz w:val="17"/>
          <w:szCs w:val="17"/>
          <w:color w:val="auto"/>
        </w:rPr>
      </w:pPr>
      <w:r>
        <w:rPr>
          <w:rFonts w:ascii="Arial" w:cs="Arial" w:eastAsia="Arial" w:hAnsi="Arial"/>
          <w:sz w:val="17"/>
          <w:szCs w:val="17"/>
          <w:u w:val="single" w:color="auto"/>
          <w:color w:val="auto"/>
        </w:rPr>
        <w:t>Severability and Construction</w:t>
      </w:r>
      <w:r>
        <w:rPr>
          <w:rFonts w:ascii="Arial" w:cs="Arial" w:eastAsia="Arial" w:hAnsi="Arial"/>
          <w:sz w:val="17"/>
          <w:szCs w:val="17"/>
          <w:color w:val="auto"/>
        </w:rPr>
        <w:t>. Nothing in this Agreement is intended to require or shall be construed as requiring the Company to do or fail to do any act in violation of applicable law. The Company’s inability, pursuant to a court order, to perform its obligations under this Agreement shall not constitute a breach of this Agreement. In addition, if any portion of this Agreement shall be held by a court of competent jurisdiction to be invalid, void, or otherwise unenforceable, the remaining provisions shall remain enforceable to the fullest extent permitted by applicable law. The parties hereto acknowledge that they each have opportunities to have their respective counsels review this Agreement. Accordingly, this Agreement shall be deemed to be the product of both of the parties hereto, and no ambiguity shall be construed in favor of or against either of the parties hereto.</w:t>
      </w:r>
    </w:p>
    <w:p>
      <w:pPr>
        <w:spacing w:after="0" w:line="178" w:lineRule="exact"/>
        <w:rPr>
          <w:rFonts w:ascii="Arial" w:cs="Arial" w:eastAsia="Arial" w:hAnsi="Arial"/>
          <w:sz w:val="17"/>
          <w:szCs w:val="17"/>
          <w:color w:val="auto"/>
        </w:rPr>
      </w:pPr>
    </w:p>
    <w:p>
      <w:pPr>
        <w:ind w:left="1300" w:hanging="411"/>
        <w:spacing w:after="0"/>
        <w:tabs>
          <w:tab w:leader="none" w:pos="1300" w:val="left"/>
        </w:tabs>
        <w:numPr>
          <w:ilvl w:val="0"/>
          <w:numId w:val="21"/>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counterparts, both of which taken together shall constitute one instrument.</w:t>
      </w:r>
    </w:p>
    <w:p>
      <w:pPr>
        <w:spacing w:after="0" w:line="236" w:lineRule="exact"/>
        <w:rPr>
          <w:rFonts w:ascii="Arial" w:cs="Arial" w:eastAsia="Arial" w:hAnsi="Arial"/>
          <w:sz w:val="17"/>
          <w:szCs w:val="17"/>
          <w:color w:val="auto"/>
        </w:rPr>
      </w:pPr>
    </w:p>
    <w:p>
      <w:pPr>
        <w:ind w:right="60" w:firstLine="889"/>
        <w:spacing w:after="0" w:line="264" w:lineRule="auto"/>
        <w:tabs>
          <w:tab w:leader="none" w:pos="12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xml:space="preserve"> This Agreement and all acts and transactions pursuant hereto and the rights and obligations of the parties hereto shall be governed, construed and interpreted in accordance with the laws of the State of Delaware, United States of America, without giving effect to conflicts of law provisions thereof.</w:t>
      </w:r>
    </w:p>
    <w:p>
      <w:pPr>
        <w:spacing w:after="0" w:line="181" w:lineRule="exact"/>
        <w:rPr>
          <w:rFonts w:ascii="Arial" w:cs="Arial" w:eastAsia="Arial" w:hAnsi="Arial"/>
          <w:sz w:val="18"/>
          <w:szCs w:val="18"/>
          <w:color w:val="auto"/>
        </w:rPr>
      </w:pPr>
    </w:p>
    <w:p>
      <w:pPr>
        <w:ind w:right="60" w:firstLine="889"/>
        <w:spacing w:after="0" w:line="264" w:lineRule="auto"/>
        <w:tabs>
          <w:tab w:leader="none" w:pos="12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demands, and other communications required or permitted under this Agreement shall be made in writing and shall be deemed to have been duly given if delivered by hand, against receipt, or mailed, postage prepaid, certified or registered mail, return receipt requested, and addressed to the Company at:</w:t>
      </w:r>
    </w:p>
    <w:p>
      <w:pPr>
        <w:spacing w:after="0" w:line="181"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c/o 5488 Marvell Lane</w:t>
      </w:r>
    </w:p>
    <w:p>
      <w:pPr>
        <w:spacing w:after="0" w:line="9"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Attention: Chief Executive Officer</w:t>
      </w:r>
    </w:p>
    <w:p>
      <w:pPr>
        <w:spacing w:after="0" w:line="211"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and to Indemnitee at:</w:t>
      </w:r>
    </w:p>
    <w:p>
      <w:pPr>
        <w:spacing w:after="0" w:line="200" w:lineRule="exact"/>
        <w:rPr>
          <w:sz w:val="20"/>
          <w:szCs w:val="20"/>
          <w:color w:val="auto"/>
        </w:rPr>
      </w:pPr>
    </w:p>
    <w:p>
      <w:pPr>
        <w:spacing w:after="0" w:line="241" w:lineRule="exact"/>
        <w:rPr>
          <w:sz w:val="20"/>
          <w:szCs w:val="20"/>
          <w:color w:val="auto"/>
        </w:rPr>
      </w:pPr>
    </w:p>
    <w:p>
      <w:pPr>
        <w:ind w:right="180" w:firstLine="889"/>
        <w:spacing w:after="0" w:line="277" w:lineRule="auto"/>
        <w:tabs>
          <w:tab w:leader="none" w:pos="1284"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Entire Agreement</w:t>
      </w:r>
      <w:r>
        <w:rPr>
          <w:rFonts w:ascii="Arial" w:cs="Arial" w:eastAsia="Arial" w:hAnsi="Arial"/>
          <w:sz w:val="18"/>
          <w:szCs w:val="18"/>
          <w:color w:val="auto"/>
        </w:rPr>
        <w:t>. This Agreement constitutes the entire agreement and supersedes all prior agreements and understandings, both written and oral, between the parties with respect to the subject matter hereof.</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(Signature page follows)</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WITNESS WHEREOF, the parties hereto execute this Agreement as of the date first written above.</w:t>
      </w:r>
    </w:p>
    <w:p>
      <w:pPr>
        <w:spacing w:after="0" w:line="221"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COMPANY</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-130175</wp:posOffset>
            </wp:positionV>
            <wp:extent cx="361886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jc w:val="center"/>
        <w:ind w:left="40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23" w:lineRule="exact"/>
        <w:rPr>
          <w:sz w:val="20"/>
          <w:szCs w:val="20"/>
          <w:color w:val="auto"/>
        </w:rPr>
      </w:pPr>
    </w:p>
    <w:p>
      <w:pPr>
        <w:ind w:left="5720"/>
        <w:spacing w:after="0"/>
        <w:rPr>
          <w:sz w:val="20"/>
          <w:szCs w:val="20"/>
          <w:color w:val="auto"/>
        </w:rPr>
      </w:pPr>
      <w:r>
        <w:rPr>
          <w:rFonts w:ascii="Arial" w:cs="Arial" w:eastAsia="Arial" w:hAnsi="Arial"/>
          <w:sz w:val="18"/>
          <w:szCs w:val="18"/>
          <w:b w:val="1"/>
          <w:bCs w:val="1"/>
          <w:color w:val="auto"/>
        </w:rPr>
        <w:t>INDEMNITEE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jc w:val="center"/>
        <w:ind w:left="50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-130175</wp:posOffset>
            </wp:positionV>
            <wp:extent cx="361886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5"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Signature Page to Indemnification Agreement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360"/>
      </w:cols>
      <w:pgMar w:left="240" w:top="733"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190CDE7"/>
    <w:multiLevelType w:val="hybridMultilevel"/>
    <w:lvl w:ilvl="0">
      <w:lvlJc w:val="left"/>
      <w:lvlText w:val="o"/>
      <w:numFmt w:val="bullet"/>
      <w:start w:val="1"/>
    </w:lvl>
  </w:abstractNum>
  <w:abstractNum w:abstractNumId="1">
    <w:nsid w:val="66EF438D"/>
    <w:multiLevelType w:val="hybridMultilevel"/>
    <w:lvl w:ilvl="0">
      <w:lvlJc w:val="left"/>
      <w:lvlText w:val="(%1)"/>
      <w:numFmt w:val="lowerLetter"/>
      <w:start w:val="4"/>
    </w:lvl>
  </w:abstractNum>
  <w:abstractNum w:abstractNumId="2">
    <w:nsid w:val="140E0F76"/>
    <w:multiLevelType w:val="hybridMultilevel"/>
    <w:lvl w:ilvl="0">
      <w:lvlJc w:val="left"/>
      <w:lvlText w:val="%1."/>
      <w:numFmt w:val="decimal"/>
      <w:start w:val="1"/>
    </w:lvl>
  </w:abstractNum>
  <w:abstractNum w:abstractNumId="3">
    <w:nsid w:val="3352255A"/>
    <w:multiLevelType w:val="hybridMultilevel"/>
    <w:lvl w:ilvl="0">
      <w:lvlJc w:val="left"/>
      <w:lvlText w:val="%1."/>
      <w:numFmt w:val="decimal"/>
      <w:start w:val="4"/>
    </w:lvl>
  </w:abstractNum>
  <w:abstractNum w:abstractNumId="4">
    <w:nsid w:val="109CF92E"/>
    <w:multiLevelType w:val="hybridMultilevel"/>
    <w:lvl w:ilvl="0">
      <w:lvlJc w:val="left"/>
      <w:lvlText w:val="%1."/>
      <w:numFmt w:val="upperLetter"/>
      <w:start w:val="1"/>
    </w:lvl>
  </w:abstractNum>
  <w:abstractNum w:abstractNumId="5">
    <w:nsid w:val="DED7263"/>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6">
    <w:nsid w:val="7FDCC233"/>
    <w:multiLevelType w:val="hybridMultilevel"/>
    <w:lvl w:ilvl="0">
      <w:lvlJc w:val="left"/>
      <w:lvlText w:val="(%1)"/>
      <w:numFmt w:val="lowerLetter"/>
      <w:start w:val="3"/>
    </w:lvl>
  </w:abstractNum>
  <w:abstractNum w:abstractNumId="7">
    <w:nsid w:val="1BEFD79F"/>
    <w:multiLevelType w:val="hybridMultilevel"/>
    <w:lvl w:ilvl="0">
      <w:lvlJc w:val="left"/>
      <w:lvlText w:val="%1"/>
      <w:numFmt w:val="decimal"/>
      <w:start w:val="1"/>
    </w:lvl>
    <w:lvl w:ilvl="1">
      <w:lvlJc w:val="left"/>
      <w:lvlText w:val="(%2)"/>
      <w:numFmt w:val="lowerLetter"/>
      <w:start w:val="8"/>
    </w:lvl>
  </w:abstractNum>
  <w:abstractNum w:abstractNumId="8">
    <w:nsid w:val="41A7C4C9"/>
    <w:multiLevelType w:val="hybridMultilevel"/>
    <w:lvl w:ilvl="0">
      <w:lvlJc w:val="left"/>
      <w:lvlText w:val="%1."/>
      <w:numFmt w:val="decimal"/>
      <w:start w:val="5"/>
    </w:lvl>
    <w:lvl w:ilvl="1">
      <w:lvlJc w:val="left"/>
      <w:lvlText w:val="%2"/>
      <w:numFmt w:val="lowerLetter"/>
      <w:start w:val="1"/>
    </w:lvl>
  </w:abstractNum>
  <w:abstractNum w:abstractNumId="9">
    <w:nsid w:val="6B68079A"/>
    <w:multiLevelType w:val="hybridMultilevel"/>
    <w:lvl w:ilvl="0">
      <w:lvlJc w:val="left"/>
      <w:lvlText w:val="%1"/>
      <w:numFmt w:val="upperLetter"/>
      <w:start w:val="1"/>
    </w:lvl>
    <w:lvl w:ilvl="1">
      <w:lvlJc w:val="left"/>
      <w:lvlText w:val="%2."/>
      <w:numFmt w:val="decimal"/>
      <w:start w:val="6"/>
    </w:lvl>
    <w:lvl w:ilvl="2">
      <w:lvlJc w:val="left"/>
      <w:lvlText w:val="%3"/>
      <w:numFmt w:val="lowerLetter"/>
      <w:start w:val="1"/>
    </w:lvl>
    <w:lvl w:ilvl="3">
      <w:lvlJc w:val="left"/>
      <w:lvlText w:val="%4"/>
      <w:numFmt w:val="lowerLetter"/>
      <w:start w:val="1"/>
    </w:lvl>
  </w:abstractNum>
  <w:abstractNum w:abstractNumId="10">
    <w:nsid w:val="4E6AFB66"/>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Letter"/>
      <w:start w:val="2"/>
    </w:lvl>
  </w:abstractNum>
  <w:abstractNum w:abstractNumId="11">
    <w:nsid w:val="25E45D32"/>
    <w:multiLevelType w:val="hybridMultilevel"/>
    <w:lvl w:ilvl="0">
      <w:lvlJc w:val="left"/>
      <w:lvlText w:val="%1"/>
      <w:numFmt w:val="decimal"/>
      <w:start w:val="1"/>
    </w:lvl>
    <w:lvl w:ilvl="1">
      <w:lvlJc w:val="left"/>
      <w:lvlText w:val="%2"/>
      <w:numFmt w:val="decimal"/>
      <w:start w:val="1"/>
    </w:lvl>
    <w:lvl w:ilvl="2">
      <w:lvlJc w:val="left"/>
      <w:lvlText w:val="(%3)"/>
      <w:numFmt w:val="lowerLetter"/>
      <w:start w:val="3"/>
    </w:lvl>
  </w:abstractNum>
  <w:abstractNum w:abstractNumId="12">
    <w:nsid w:val="519B500D"/>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13">
    <w:nsid w:val="431BD7B7"/>
    <w:multiLevelType w:val="hybridMultilevel"/>
    <w:lvl w:ilvl="0">
      <w:lvlJc w:val="left"/>
      <w:lvlText w:val="(%1)"/>
      <w:numFmt w:val="decimal"/>
      <w:start w:val="30"/>
    </w:lvl>
    <w:lvl w:ilvl="1">
      <w:lvlJc w:val="left"/>
      <w:lvlText w:val="%2."/>
      <w:numFmt w:val="decimal"/>
      <w:start w:val="4"/>
    </w:lvl>
    <w:lvl w:ilvl="2">
      <w:lvlJc w:val="left"/>
      <w:lvlText w:val="%3"/>
      <w:numFmt w:val="lowerLetter"/>
      <w:start w:val="1"/>
    </w:lvl>
  </w:abstractNum>
  <w:abstractNum w:abstractNumId="14">
    <w:nsid w:val="3F2DBA31"/>
    <w:multiLevelType w:val="hybridMultilevel"/>
    <w:lvl w:ilvl="0">
      <w:lvlJc w:val="left"/>
      <w:lvlText w:val="%1."/>
      <w:numFmt w:val="decimal"/>
      <w:start w:val="5"/>
    </w:lvl>
    <w:lvl w:ilvl="1">
      <w:lvlJc w:val="left"/>
      <w:lvlText w:val="(%2)"/>
      <w:numFmt w:val="lowerLetter"/>
      <w:start w:val="2"/>
    </w:lvl>
  </w:abstractNum>
  <w:abstractNum w:abstractNumId="15">
    <w:nsid w:val="7C83E458"/>
    <w:multiLevelType w:val="hybridMultilevel"/>
    <w:lvl w:ilvl="0">
      <w:lvlJc w:val="left"/>
      <w:lvlText w:val="(%1)"/>
      <w:numFmt w:val="lowerLetter"/>
      <w:start w:val="3"/>
    </w:lvl>
  </w:abstractNum>
  <w:abstractNum w:abstractNumId="16">
    <w:nsid w:val="257130A3"/>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4"/>
    </w:lvl>
  </w:abstractNum>
  <w:abstractNum w:abstractNumId="17">
    <w:nsid w:val="62BBD95A"/>
    <w:multiLevelType w:val="hybridMultilevel"/>
    <w:lvl w:ilvl="0">
      <w:lvlJc w:val="left"/>
      <w:lvlText w:val="%1."/>
      <w:numFmt w:val="upperLetter"/>
      <w:start w:val="4"/>
    </w:lvl>
    <w:lvl w:ilvl="1">
      <w:lvlJc w:val="left"/>
      <w:lvlText w:val="%2."/>
      <w:numFmt w:val="decimal"/>
      <w:start w:val="1"/>
    </w:lvl>
    <w:lvl w:ilvl="2">
      <w:lvlJc w:val="left"/>
      <w:lvlText w:val="%3"/>
      <w:numFmt w:val="lowerLetter"/>
      <w:start w:val="1"/>
    </w:lvl>
  </w:abstractNum>
  <w:abstractNum w:abstractNumId="18">
    <w:nsid w:val="436C6125"/>
    <w:multiLevelType w:val="hybridMultilevel"/>
    <w:lvl w:ilvl="0">
      <w:lvlJc w:val="left"/>
      <w:lvlText w:val="%1"/>
      <w:numFmt w:val="upperLetter"/>
      <w:start w:val="1"/>
    </w:lvl>
    <w:lvl w:ilvl="1">
      <w:lvlJc w:val="left"/>
      <w:lvlText w:val="%2."/>
      <w:numFmt w:val="decimal"/>
      <w:start w:val="2"/>
    </w:lvl>
  </w:abstractNum>
  <w:abstractNum w:abstractNumId="19">
    <w:nsid w:val="628C895D"/>
    <w:multiLevelType w:val="hybridMultilevel"/>
    <w:lvl w:ilvl="0">
      <w:lvlJc w:val="left"/>
      <w:lvlText w:val="%1."/>
      <w:numFmt w:val="upperLetter"/>
      <w:start w:val="5"/>
    </w:lvl>
    <w:lvl w:ilvl="1">
      <w:lvlJc w:val="left"/>
      <w:lvlText w:val="%2."/>
      <w:numFmt w:val="decimal"/>
      <w:start w:val="1"/>
    </w:lvl>
  </w:abstractNum>
  <w:abstractNum w:abstractNumId="20">
    <w:nsid w:val="333AB105"/>
    <w:multiLevelType w:val="hybridMultilevel"/>
    <w:lvl w:ilvl="0">
      <w:lvlJc w:val="left"/>
      <w:lvlText w:val="%1."/>
      <w:numFmt w:val="decimal"/>
      <w:start w:val="4"/>
    </w:lvl>
  </w:abstractNum>
  <w:abstractNum w:abstractNumId="21">
    <w:nsid w:val="721DA317"/>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2019-12-14T19:20:42Z</dcterms:created>
  <dcterms:modified xsi:type="dcterms:W3CDTF">2019-12-14T19:20:42Z</dcterms:modified>
</cp:coreProperties>
</file>