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24"/>
          <w:szCs w:val="24"/>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SECURITIES AND EXCHANGE COMMISSION</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6"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Amendment No. 2</w:t>
      </w:r>
    </w:p>
    <w:p>
      <w:pPr>
        <w:spacing w:after="0" w:line="3"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to</w:t>
      </w:r>
    </w:p>
    <w:p>
      <w:pPr>
        <w:jc w:val="center"/>
        <w:spacing w:after="0" w:line="238" w:lineRule="auto"/>
        <w:rPr>
          <w:sz w:val="20"/>
          <w:szCs w:val="20"/>
          <w:color w:val="auto"/>
        </w:rPr>
      </w:pPr>
      <w:r>
        <w:rPr>
          <w:rFonts w:ascii="Arial" w:cs="Arial" w:eastAsia="Arial" w:hAnsi="Arial"/>
          <w:sz w:val="32"/>
          <w:szCs w:val="32"/>
          <w:b w:val="1"/>
          <w:bCs w:val="1"/>
          <w:color w:val="auto"/>
        </w:rPr>
        <w:t>SCHEDULE TO</w:t>
      </w:r>
    </w:p>
    <w:p>
      <w:pPr>
        <w:jc w:val="center"/>
        <w:spacing w:after="0" w:line="232" w:lineRule="auto"/>
        <w:rPr>
          <w:sz w:val="20"/>
          <w:szCs w:val="20"/>
          <w:color w:val="auto"/>
        </w:rPr>
      </w:pPr>
      <w:r>
        <w:rPr>
          <w:rFonts w:ascii="Arial" w:cs="Arial" w:eastAsia="Arial" w:hAnsi="Arial"/>
          <w:sz w:val="22"/>
          <w:szCs w:val="22"/>
          <w:b w:val="1"/>
          <w:bCs w:val="1"/>
          <w:color w:val="auto"/>
        </w:rPr>
        <w:t>(Rule 13e-4)</w:t>
      </w:r>
    </w:p>
    <w:p>
      <w:pPr>
        <w:jc w:val="center"/>
        <w:spacing w:after="0" w:line="230" w:lineRule="auto"/>
        <w:rPr>
          <w:sz w:val="20"/>
          <w:szCs w:val="20"/>
          <w:color w:val="auto"/>
        </w:rPr>
      </w:pPr>
      <w:r>
        <w:rPr>
          <w:rFonts w:ascii="Arial" w:cs="Arial" w:eastAsia="Arial" w:hAnsi="Arial"/>
          <w:sz w:val="22"/>
          <w:szCs w:val="22"/>
          <w:b w:val="1"/>
          <w:bCs w:val="1"/>
          <w:i w:val="1"/>
          <w:iCs w:val="1"/>
          <w:color w:val="auto"/>
        </w:rPr>
        <w:t>Tender Offer Statement Under Section 14(d)(1) or 13(e)(1)</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of the 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99060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8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of Subject Company (Issuer) and Filing Person (Offeror))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94615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Options to Purchase Common Shares, $0.002 par value Per Share</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104775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G5876H105</w:t>
      </w:r>
    </w:p>
    <w:p>
      <w:pPr>
        <w:spacing w:after="0" w:line="1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(CUSIP Number of Class of Securities)</w:t>
      </w:r>
    </w:p>
    <w:p>
      <w:pPr>
        <w:jc w:val="center"/>
        <w:spacing w:after="0"/>
        <w:rPr>
          <w:sz w:val="20"/>
          <w:szCs w:val="20"/>
          <w:color w:val="auto"/>
        </w:rPr>
      </w:pPr>
      <w:r>
        <w:rPr>
          <w:rFonts w:ascii="Arial" w:cs="Arial" w:eastAsia="Arial" w:hAnsi="Arial"/>
          <w:sz w:val="14"/>
          <w:szCs w:val="14"/>
          <w:b w:val="1"/>
          <w:bCs w:val="1"/>
          <w:color w:val="auto"/>
        </w:rPr>
        <w:t>(Underlying Options to Purchase Common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Clyde R. Hosein</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 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(Name, address and telephone numbers of person authorized to receive notices and</w:t>
      </w:r>
    </w:p>
    <w:p>
      <w:pPr>
        <w:jc w:val="center"/>
        <w:spacing w:after="0"/>
        <w:rPr>
          <w:sz w:val="20"/>
          <w:szCs w:val="20"/>
          <w:color w:val="auto"/>
        </w:rPr>
      </w:pPr>
      <w:r>
        <w:rPr>
          <w:rFonts w:ascii="Arial" w:cs="Arial" w:eastAsia="Arial" w:hAnsi="Arial"/>
          <w:sz w:val="14"/>
          <w:szCs w:val="14"/>
          <w:b w:val="1"/>
          <w:bCs w:val="1"/>
          <w:color w:val="auto"/>
        </w:rPr>
        <w:t>communications on behalf of filing persons)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5" w:lineRule="exact"/>
        <w:rPr>
          <w:sz w:val="24"/>
          <w:szCs w:val="24"/>
          <w:color w:val="auto"/>
        </w:rPr>
      </w:pPr>
    </w:p>
    <w:tbl>
      <w:tblPr>
        <w:tblLayout w:type="fixed"/>
        <w:tblInd w:w="0" w:type="dxa"/>
        <w:tblCellMar>
          <w:top w:w="0" w:type="dxa"/>
          <w:left w:w="0" w:type="dxa"/>
          <w:bottom w:w="0" w:type="dxa"/>
          <w:right w:w="0" w:type="dxa"/>
        </w:tblCellMar>
      </w:tblPr>
      <w:tr>
        <w:trPr>
          <w:trHeight w:val="222"/>
        </w:trPr>
        <w:tc>
          <w:tcPr>
            <w:tcW w:w="4000" w:type="dxa"/>
            <w:vAlign w:val="bottom"/>
          </w:tcPr>
          <w:p>
            <w:pPr>
              <w:spacing w:after="0"/>
              <w:rPr>
                <w:sz w:val="19"/>
                <w:szCs w:val="19"/>
                <w:color w:val="auto"/>
              </w:rPr>
            </w:pPr>
          </w:p>
        </w:tc>
        <w:tc>
          <w:tcPr>
            <w:tcW w:w="7420" w:type="dxa"/>
            <w:vAlign w:val="bottom"/>
            <w:gridSpan w:val="3"/>
          </w:tcPr>
          <w:p>
            <w:pPr>
              <w:jc w:val="center"/>
              <w:ind w:right="3902"/>
              <w:spacing w:after="0"/>
              <w:rPr>
                <w:sz w:val="20"/>
                <w:szCs w:val="20"/>
                <w:color w:val="auto"/>
              </w:rPr>
            </w:pPr>
            <w:r>
              <w:rPr>
                <w:rFonts w:ascii="Arial" w:cs="Arial" w:eastAsia="Arial" w:hAnsi="Arial"/>
                <w:sz w:val="18"/>
                <w:szCs w:val="18"/>
                <w:b w:val="1"/>
                <w:bCs w:val="1"/>
                <w:i w:val="1"/>
                <w:iCs w:val="1"/>
                <w:color w:val="auto"/>
                <w:w w:val="81"/>
              </w:rPr>
              <w:t>Copies to:</w:t>
            </w:r>
          </w:p>
        </w:tc>
      </w:tr>
      <w:tr>
        <w:trPr>
          <w:trHeight w:val="285"/>
        </w:trPr>
        <w:tc>
          <w:tcPr>
            <w:tcW w:w="4000" w:type="dxa"/>
            <w:vAlign w:val="bottom"/>
          </w:tcPr>
          <w:p>
            <w:pPr>
              <w:spacing w:after="0"/>
              <w:rPr>
                <w:sz w:val="24"/>
                <w:szCs w:val="24"/>
                <w:color w:val="auto"/>
              </w:rPr>
            </w:pPr>
          </w:p>
        </w:tc>
        <w:tc>
          <w:tcPr>
            <w:tcW w:w="7420" w:type="dxa"/>
            <w:vAlign w:val="bottom"/>
            <w:gridSpan w:val="3"/>
          </w:tcPr>
          <w:p>
            <w:pPr>
              <w:jc w:val="center"/>
              <w:ind w:right="3922"/>
              <w:spacing w:after="0"/>
              <w:rPr>
                <w:sz w:val="20"/>
                <w:szCs w:val="20"/>
                <w:color w:val="auto"/>
              </w:rPr>
            </w:pPr>
            <w:r>
              <w:rPr>
                <w:rFonts w:ascii="Arial" w:cs="Arial" w:eastAsia="Arial" w:hAnsi="Arial"/>
                <w:sz w:val="18"/>
                <w:szCs w:val="18"/>
                <w:b w:val="1"/>
                <w:bCs w:val="1"/>
                <w:color w:val="auto"/>
                <w:w w:val="89"/>
              </w:rPr>
              <w:t>Carmen Chang, Esq.</w:t>
            </w:r>
          </w:p>
        </w:tc>
      </w:tr>
      <w:tr>
        <w:trPr>
          <w:trHeight w:val="216"/>
        </w:trPr>
        <w:tc>
          <w:tcPr>
            <w:tcW w:w="4000" w:type="dxa"/>
            <w:vAlign w:val="bottom"/>
          </w:tcPr>
          <w:p>
            <w:pPr>
              <w:spacing w:after="0"/>
              <w:rPr>
                <w:sz w:val="18"/>
                <w:szCs w:val="18"/>
                <w:color w:val="auto"/>
              </w:rPr>
            </w:pPr>
          </w:p>
        </w:tc>
        <w:tc>
          <w:tcPr>
            <w:tcW w:w="7420" w:type="dxa"/>
            <w:vAlign w:val="bottom"/>
            <w:gridSpan w:val="3"/>
          </w:tcPr>
          <w:p>
            <w:pPr>
              <w:jc w:val="center"/>
              <w:ind w:right="3902"/>
              <w:spacing w:after="0"/>
              <w:rPr>
                <w:sz w:val="20"/>
                <w:szCs w:val="20"/>
                <w:color w:val="auto"/>
              </w:rPr>
            </w:pPr>
            <w:r>
              <w:rPr>
                <w:rFonts w:ascii="Arial" w:cs="Arial" w:eastAsia="Arial" w:hAnsi="Arial"/>
                <w:sz w:val="18"/>
                <w:szCs w:val="18"/>
                <w:b w:val="1"/>
                <w:bCs w:val="1"/>
                <w:color w:val="auto"/>
                <w:w w:val="85"/>
              </w:rPr>
              <w:t>Tom Savage, Esq.</w:t>
            </w:r>
          </w:p>
        </w:tc>
      </w:tr>
      <w:tr>
        <w:trPr>
          <w:trHeight w:val="216"/>
        </w:trPr>
        <w:tc>
          <w:tcPr>
            <w:tcW w:w="4000" w:type="dxa"/>
            <w:vAlign w:val="bottom"/>
          </w:tcPr>
          <w:p>
            <w:pPr>
              <w:spacing w:after="0"/>
              <w:rPr>
                <w:sz w:val="18"/>
                <w:szCs w:val="18"/>
                <w:color w:val="auto"/>
              </w:rPr>
            </w:pPr>
          </w:p>
        </w:tc>
        <w:tc>
          <w:tcPr>
            <w:tcW w:w="7420" w:type="dxa"/>
            <w:vAlign w:val="bottom"/>
            <w:gridSpan w:val="3"/>
          </w:tcPr>
          <w:p>
            <w:pPr>
              <w:jc w:val="center"/>
              <w:ind w:right="3922"/>
              <w:spacing w:after="0"/>
              <w:rPr>
                <w:sz w:val="20"/>
                <w:szCs w:val="20"/>
                <w:color w:val="auto"/>
              </w:rPr>
            </w:pPr>
            <w:r>
              <w:rPr>
                <w:rFonts w:ascii="Arial" w:cs="Arial" w:eastAsia="Arial" w:hAnsi="Arial"/>
                <w:sz w:val="18"/>
                <w:szCs w:val="18"/>
                <w:b w:val="1"/>
                <w:bCs w:val="1"/>
                <w:color w:val="auto"/>
                <w:w w:val="88"/>
              </w:rPr>
              <w:t>Wilson Sonsini Goodrich &amp; Rosati</w:t>
            </w:r>
          </w:p>
        </w:tc>
      </w:tr>
      <w:tr>
        <w:trPr>
          <w:trHeight w:val="216"/>
        </w:trPr>
        <w:tc>
          <w:tcPr>
            <w:tcW w:w="4000" w:type="dxa"/>
            <w:vAlign w:val="bottom"/>
          </w:tcPr>
          <w:p>
            <w:pPr>
              <w:spacing w:after="0"/>
              <w:rPr>
                <w:sz w:val="18"/>
                <w:szCs w:val="18"/>
                <w:color w:val="auto"/>
              </w:rPr>
            </w:pPr>
          </w:p>
        </w:tc>
        <w:tc>
          <w:tcPr>
            <w:tcW w:w="7420" w:type="dxa"/>
            <w:vAlign w:val="bottom"/>
            <w:gridSpan w:val="3"/>
          </w:tcPr>
          <w:p>
            <w:pPr>
              <w:jc w:val="center"/>
              <w:ind w:right="3922"/>
              <w:spacing w:after="0"/>
              <w:rPr>
                <w:sz w:val="20"/>
                <w:szCs w:val="20"/>
                <w:color w:val="auto"/>
              </w:rPr>
            </w:pPr>
            <w:r>
              <w:rPr>
                <w:rFonts w:ascii="Arial" w:cs="Arial" w:eastAsia="Arial" w:hAnsi="Arial"/>
                <w:sz w:val="18"/>
                <w:szCs w:val="18"/>
                <w:b w:val="1"/>
                <w:bCs w:val="1"/>
                <w:color w:val="auto"/>
                <w:w w:val="87"/>
              </w:rPr>
              <w:t>Professional Corporation</w:t>
            </w:r>
          </w:p>
        </w:tc>
      </w:tr>
      <w:tr>
        <w:trPr>
          <w:trHeight w:val="216"/>
        </w:trPr>
        <w:tc>
          <w:tcPr>
            <w:tcW w:w="4000" w:type="dxa"/>
            <w:vAlign w:val="bottom"/>
          </w:tcPr>
          <w:p>
            <w:pPr>
              <w:spacing w:after="0"/>
              <w:rPr>
                <w:sz w:val="18"/>
                <w:szCs w:val="18"/>
                <w:color w:val="auto"/>
              </w:rPr>
            </w:pPr>
          </w:p>
        </w:tc>
        <w:tc>
          <w:tcPr>
            <w:tcW w:w="7420" w:type="dxa"/>
            <w:vAlign w:val="bottom"/>
            <w:gridSpan w:val="3"/>
          </w:tcPr>
          <w:p>
            <w:pPr>
              <w:jc w:val="center"/>
              <w:ind w:right="3922"/>
              <w:spacing w:after="0"/>
              <w:rPr>
                <w:sz w:val="20"/>
                <w:szCs w:val="20"/>
                <w:color w:val="auto"/>
              </w:rPr>
            </w:pPr>
            <w:r>
              <w:rPr>
                <w:rFonts w:ascii="Arial" w:cs="Arial" w:eastAsia="Arial" w:hAnsi="Arial"/>
                <w:sz w:val="18"/>
                <w:szCs w:val="18"/>
                <w:b w:val="1"/>
                <w:bCs w:val="1"/>
                <w:color w:val="auto"/>
                <w:w w:val="89"/>
              </w:rPr>
              <w:t>650 Page Mill Road</w:t>
            </w:r>
          </w:p>
        </w:tc>
      </w:tr>
      <w:tr>
        <w:trPr>
          <w:trHeight w:val="216"/>
        </w:trPr>
        <w:tc>
          <w:tcPr>
            <w:tcW w:w="4000" w:type="dxa"/>
            <w:vAlign w:val="bottom"/>
          </w:tcPr>
          <w:p>
            <w:pPr>
              <w:spacing w:after="0"/>
              <w:rPr>
                <w:sz w:val="18"/>
                <w:szCs w:val="18"/>
                <w:color w:val="auto"/>
              </w:rPr>
            </w:pPr>
          </w:p>
        </w:tc>
        <w:tc>
          <w:tcPr>
            <w:tcW w:w="7420" w:type="dxa"/>
            <w:vAlign w:val="bottom"/>
            <w:gridSpan w:val="3"/>
          </w:tcPr>
          <w:p>
            <w:pPr>
              <w:jc w:val="center"/>
              <w:ind w:right="3902"/>
              <w:spacing w:after="0"/>
              <w:rPr>
                <w:sz w:val="20"/>
                <w:szCs w:val="20"/>
                <w:color w:val="auto"/>
              </w:rPr>
            </w:pPr>
            <w:r>
              <w:rPr>
                <w:rFonts w:ascii="Arial" w:cs="Arial" w:eastAsia="Arial" w:hAnsi="Arial"/>
                <w:sz w:val="18"/>
                <w:szCs w:val="18"/>
                <w:b w:val="1"/>
                <w:bCs w:val="1"/>
                <w:color w:val="auto"/>
                <w:w w:val="89"/>
              </w:rPr>
              <w:t>Palo Alto, CA 94304</w:t>
            </w:r>
          </w:p>
        </w:tc>
      </w:tr>
      <w:tr>
        <w:trPr>
          <w:trHeight w:val="228"/>
        </w:trPr>
        <w:tc>
          <w:tcPr>
            <w:tcW w:w="4000" w:type="dxa"/>
            <w:vAlign w:val="bottom"/>
          </w:tcPr>
          <w:p>
            <w:pPr>
              <w:spacing w:after="0"/>
              <w:rPr>
                <w:sz w:val="19"/>
                <w:szCs w:val="19"/>
                <w:color w:val="auto"/>
              </w:rPr>
            </w:pPr>
          </w:p>
        </w:tc>
        <w:tc>
          <w:tcPr>
            <w:tcW w:w="7420" w:type="dxa"/>
            <w:vAlign w:val="bottom"/>
            <w:gridSpan w:val="3"/>
          </w:tcPr>
          <w:p>
            <w:pPr>
              <w:jc w:val="center"/>
              <w:ind w:right="3922"/>
              <w:spacing w:after="0"/>
              <w:rPr>
                <w:sz w:val="20"/>
                <w:szCs w:val="20"/>
                <w:color w:val="auto"/>
              </w:rPr>
            </w:pPr>
            <w:r>
              <w:rPr>
                <w:rFonts w:ascii="Arial" w:cs="Arial" w:eastAsia="Arial" w:hAnsi="Arial"/>
                <w:sz w:val="18"/>
                <w:szCs w:val="18"/>
                <w:b w:val="1"/>
                <w:bCs w:val="1"/>
                <w:color w:val="auto"/>
                <w:w w:val="88"/>
              </w:rPr>
              <w:t>Tel: (650) 493-9300</w:t>
            </w:r>
          </w:p>
        </w:tc>
      </w:tr>
      <w:tr>
        <w:trPr>
          <w:trHeight w:val="378"/>
        </w:trPr>
        <w:tc>
          <w:tcPr>
            <w:tcW w:w="4000" w:type="dxa"/>
            <w:vAlign w:val="bottom"/>
          </w:tcPr>
          <w:p>
            <w:pPr>
              <w:spacing w:after="0"/>
              <w:rPr>
                <w:sz w:val="24"/>
                <w:szCs w:val="24"/>
                <w:color w:val="auto"/>
              </w:rPr>
            </w:pPr>
          </w:p>
        </w:tc>
        <w:tc>
          <w:tcPr>
            <w:tcW w:w="7420" w:type="dxa"/>
            <w:vAlign w:val="bottom"/>
            <w:gridSpan w:val="3"/>
          </w:tcPr>
          <w:p>
            <w:pPr>
              <w:jc w:val="center"/>
              <w:ind w:right="3902"/>
              <w:spacing w:after="0"/>
              <w:rPr>
                <w:sz w:val="20"/>
                <w:szCs w:val="20"/>
                <w:color w:val="auto"/>
              </w:rPr>
            </w:pPr>
            <w:r>
              <w:rPr>
                <w:rFonts w:ascii="Arial" w:cs="Arial" w:eastAsia="Arial" w:hAnsi="Arial"/>
                <w:sz w:val="18"/>
                <w:szCs w:val="18"/>
                <w:b w:val="1"/>
                <w:bCs w:val="1"/>
                <w:color w:val="auto"/>
                <w:w w:val="99"/>
              </w:rPr>
              <w:t>CALCULATION OF FILING FEE</w:t>
            </w:r>
          </w:p>
        </w:tc>
      </w:tr>
      <w:tr>
        <w:trPr>
          <w:trHeight w:val="245"/>
        </w:trPr>
        <w:tc>
          <w:tcPr>
            <w:tcW w:w="4000" w:type="dxa"/>
            <w:vAlign w:val="bottom"/>
            <w:tcBorders>
              <w:bottom w:val="single" w:sz="8" w:color="auto"/>
            </w:tcBorders>
          </w:tcPr>
          <w:p>
            <w:pPr>
              <w:jc w:val="center"/>
              <w:ind w:left="1762"/>
              <w:spacing w:after="0"/>
              <w:rPr>
                <w:sz w:val="20"/>
                <w:szCs w:val="20"/>
                <w:color w:val="auto"/>
              </w:rPr>
            </w:pPr>
            <w:r>
              <w:rPr>
                <w:rFonts w:ascii="Arial" w:cs="Arial" w:eastAsia="Arial" w:hAnsi="Arial"/>
                <w:sz w:val="14"/>
                <w:szCs w:val="14"/>
                <w:b w:val="1"/>
                <w:bCs w:val="1"/>
                <w:color w:val="auto"/>
                <w:w w:val="89"/>
              </w:rPr>
              <w:t>Transaction Valuation*</w:t>
            </w:r>
          </w:p>
        </w:tc>
        <w:tc>
          <w:tcPr>
            <w:tcW w:w="1820" w:type="dxa"/>
            <w:vAlign w:val="bottom"/>
            <w:tcBorders>
              <w:bottom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5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Amount of Filing Fee</w:t>
            </w:r>
          </w:p>
        </w:tc>
      </w:tr>
      <w:tr>
        <w:trPr>
          <w:trHeight w:val="216"/>
        </w:trPr>
        <w:tc>
          <w:tcPr>
            <w:tcW w:w="4000" w:type="dxa"/>
            <w:vAlign w:val="bottom"/>
          </w:tcPr>
          <w:p>
            <w:pPr>
              <w:jc w:val="right"/>
              <w:ind w:right="462"/>
              <w:spacing w:after="0"/>
              <w:rPr>
                <w:sz w:val="20"/>
                <w:szCs w:val="20"/>
                <w:color w:val="auto"/>
              </w:rPr>
            </w:pPr>
            <w:r>
              <w:rPr>
                <w:rFonts w:ascii="Arial" w:cs="Arial" w:eastAsia="Arial" w:hAnsi="Arial"/>
                <w:sz w:val="18"/>
                <w:szCs w:val="18"/>
                <w:color w:val="auto"/>
              </w:rPr>
              <w:t>$10,784,059.87</w:t>
            </w:r>
          </w:p>
        </w:tc>
        <w:tc>
          <w:tcPr>
            <w:tcW w:w="1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60" w:type="dxa"/>
            <w:vAlign w:val="bottom"/>
          </w:tcPr>
          <w:p>
            <w:pPr>
              <w:jc w:val="right"/>
              <w:ind w:right="2362"/>
              <w:spacing w:after="0"/>
              <w:rPr>
                <w:sz w:val="20"/>
                <w:szCs w:val="20"/>
                <w:color w:val="auto"/>
              </w:rPr>
            </w:pPr>
            <w:r>
              <w:rPr>
                <w:rFonts w:ascii="Arial" w:cs="Arial" w:eastAsia="Arial" w:hAnsi="Arial"/>
                <w:sz w:val="18"/>
                <w:szCs w:val="18"/>
                <w:color w:val="auto"/>
              </w:rPr>
              <w:t>$423.81</w:t>
            </w:r>
          </w:p>
        </w:tc>
      </w:tr>
    </w:tbl>
    <w:p>
      <w:pPr>
        <w:spacing w:after="0" w:line="188" w:lineRule="exact"/>
        <w:rPr>
          <w:sz w:val="24"/>
          <w:szCs w:val="24"/>
          <w:color w:val="auto"/>
        </w:rPr>
      </w:pPr>
    </w:p>
    <w:p>
      <w:pPr>
        <w:ind w:left="220" w:right="100" w:hanging="212"/>
        <w:spacing w:after="0" w:line="298" w:lineRule="auto"/>
        <w:tabs>
          <w:tab w:leader="none" w:pos="220" w:val="left"/>
        </w:tabs>
        <w:numPr>
          <w:ilvl w:val="0"/>
          <w:numId w:val="1"/>
        </w:numPr>
        <w:rPr>
          <w:rFonts w:ascii="Arial" w:cs="Arial" w:eastAsia="Arial" w:hAnsi="Arial"/>
          <w:sz w:val="16"/>
          <w:szCs w:val="16"/>
          <w:color w:val="auto"/>
        </w:rPr>
      </w:pPr>
      <w:r>
        <w:rPr>
          <w:rFonts w:ascii="Arial" w:cs="Arial" w:eastAsia="Arial" w:hAnsi="Arial"/>
          <w:sz w:val="16"/>
          <w:szCs w:val="16"/>
          <w:color w:val="auto"/>
        </w:rPr>
        <w:t>Calculated solely for purposes of determining the filing fee. This amount assumes that options to purchase 48,815,788 common shares of Marvell Technology Group Ltd. having an aggregate value of $10,784,059.87 as of December 11, 2008 will be exchanged or cancelled pursuant to this offer. The aggregate value of such securities was calculated based on the Black-Scholes option pricing model. The amount of the filing fee, calculated in accordance with the Securities Exchange Act of 1934, as amended, equals $39.30 for each $1,000,000 of the value of this transaction.</w:t>
      </w:r>
    </w:p>
    <w:p>
      <w:pPr>
        <w:spacing w:after="0" w:line="153" w:lineRule="exact"/>
        <w:rPr>
          <w:sz w:val="24"/>
          <w:szCs w:val="24"/>
          <w:color w:val="auto"/>
        </w:rPr>
      </w:pPr>
    </w:p>
    <w:p>
      <w:pPr>
        <w:ind w:left="460" w:right="540" w:hanging="452"/>
        <w:spacing w:after="0" w:line="268" w:lineRule="auto"/>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Check the box if any part of the fee is offset as provided by Rule 0-11(a)(2) and identify the filing with which the offsetting fee was previously paid. Identify the previous filing by registration statement number, or the Form or Schedule and the date of its filing.</w:t>
      </w:r>
    </w:p>
    <w:p>
      <w:pPr>
        <w:sectPr>
          <w:pgSz w:w="11900" w:h="16838" w:orient="portrait"/>
          <w:cols w:equalWidth="0" w:num="1">
            <w:col w:w="11420"/>
          </w:cols>
          <w:pgMar w:left="240" w:top="435" w:right="239" w:bottom="909" w:gutter="0" w:footer="0" w:header="0"/>
        </w:sectPr>
      </w:pPr>
    </w:p>
    <w:p>
      <w:pPr>
        <w:spacing w:after="0" w:line="172" w:lineRule="exact"/>
        <w:rPr>
          <w:sz w:val="24"/>
          <w:szCs w:val="24"/>
          <w:color w:val="auto"/>
        </w:rPr>
      </w:pPr>
    </w:p>
    <w:p>
      <w:pPr>
        <w:spacing w:after="0"/>
        <w:rPr>
          <w:sz w:val="20"/>
          <w:szCs w:val="20"/>
          <w:color w:val="auto"/>
        </w:rPr>
      </w:pPr>
      <w:r>
        <w:rPr>
          <w:rFonts w:ascii="Arial" w:cs="Arial" w:eastAsia="Arial" w:hAnsi="Arial"/>
          <w:sz w:val="16"/>
          <w:szCs w:val="16"/>
          <w:color w:val="auto"/>
        </w:rPr>
        <w:t>Amount Previously Paid:</w:t>
      </w:r>
    </w:p>
    <w:p>
      <w:pPr>
        <w:spacing w:after="0" w:line="38" w:lineRule="exact"/>
        <w:rPr>
          <w:sz w:val="24"/>
          <w:szCs w:val="24"/>
          <w:color w:val="auto"/>
        </w:rPr>
      </w:pPr>
    </w:p>
    <w:p>
      <w:pPr>
        <w:spacing w:after="0"/>
        <w:rPr>
          <w:sz w:val="20"/>
          <w:szCs w:val="20"/>
          <w:color w:val="auto"/>
        </w:rPr>
      </w:pPr>
      <w:r>
        <w:rPr>
          <w:rFonts w:ascii="Arial" w:cs="Arial" w:eastAsia="Arial" w:hAnsi="Arial"/>
          <w:sz w:val="16"/>
          <w:szCs w:val="16"/>
          <w:color w:val="auto"/>
        </w:rPr>
        <w:t>Form or Registration No.:</w:t>
      </w:r>
    </w:p>
    <w:p>
      <w:pPr>
        <w:spacing w:after="0" w:line="32" w:lineRule="exact"/>
        <w:rPr>
          <w:sz w:val="24"/>
          <w:szCs w:val="24"/>
          <w:color w:val="auto"/>
        </w:rPr>
      </w:pPr>
    </w:p>
    <w:p>
      <w:pPr>
        <w:spacing w:after="0"/>
        <w:rPr>
          <w:sz w:val="20"/>
          <w:szCs w:val="20"/>
          <w:color w:val="auto"/>
        </w:rPr>
      </w:pPr>
      <w:r>
        <w:rPr>
          <w:rFonts w:ascii="Arial" w:cs="Arial" w:eastAsia="Arial" w:hAnsi="Arial"/>
          <w:sz w:val="18"/>
          <w:szCs w:val="18"/>
          <w:color w:val="auto"/>
        </w:rPr>
        <w:t>Filing party:</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br w:type="column"/>
      </w:r>
    </w:p>
    <w:p>
      <w:pPr>
        <w:spacing w:after="0" w:line="152" w:lineRule="exact"/>
        <w:rPr>
          <w:sz w:val="24"/>
          <w:szCs w:val="24"/>
          <w:color w:val="auto"/>
        </w:rPr>
      </w:pPr>
    </w:p>
    <w:p>
      <w:pPr>
        <w:spacing w:after="0"/>
        <w:rPr>
          <w:sz w:val="20"/>
          <w:szCs w:val="20"/>
          <w:color w:val="auto"/>
        </w:rPr>
      </w:pPr>
      <w:r>
        <w:rPr>
          <w:rFonts w:ascii="Arial" w:cs="Arial" w:eastAsia="Arial" w:hAnsi="Arial"/>
          <w:sz w:val="18"/>
          <w:szCs w:val="18"/>
          <w:color w:val="auto"/>
        </w:rPr>
        <w:t>$423.81</w:t>
      </w:r>
    </w:p>
    <w:p>
      <w:pPr>
        <w:spacing w:after="0" w:line="15" w:lineRule="exact"/>
        <w:rPr>
          <w:sz w:val="24"/>
          <w:szCs w:val="24"/>
          <w:color w:val="auto"/>
        </w:rPr>
      </w:pPr>
    </w:p>
    <w:p>
      <w:pPr>
        <w:spacing w:after="0"/>
        <w:rPr>
          <w:sz w:val="20"/>
          <w:szCs w:val="20"/>
          <w:color w:val="auto"/>
        </w:rPr>
      </w:pPr>
      <w:r>
        <w:rPr>
          <w:rFonts w:ascii="Arial" w:cs="Arial" w:eastAsia="Arial" w:hAnsi="Arial"/>
          <w:sz w:val="18"/>
          <w:szCs w:val="18"/>
          <w:color w:val="auto"/>
        </w:rPr>
        <w:t>000-60245</w:t>
      </w:r>
    </w:p>
    <w:p>
      <w:pPr>
        <w:spacing w:after="0" w:line="9" w:lineRule="exact"/>
        <w:rPr>
          <w:sz w:val="24"/>
          <w:szCs w:val="24"/>
          <w:color w:val="auto"/>
        </w:rPr>
      </w:pPr>
    </w:p>
    <w:p>
      <w:pPr>
        <w:spacing w:after="0"/>
        <w:rPr>
          <w:sz w:val="20"/>
          <w:szCs w:val="20"/>
          <w:color w:val="auto"/>
        </w:rPr>
      </w:pPr>
      <w:r>
        <w:rPr>
          <w:rFonts w:ascii="Arial" w:cs="Arial" w:eastAsia="Arial" w:hAnsi="Arial"/>
          <w:sz w:val="16"/>
          <w:szCs w:val="16"/>
          <w:color w:val="auto"/>
        </w:rPr>
        <w:t>Marvell Technology Group Ltd.</w:t>
      </w:r>
    </w:p>
    <w:p>
      <w:pPr>
        <w:spacing w:after="0" w:line="32" w:lineRule="exact"/>
        <w:rPr>
          <w:sz w:val="24"/>
          <w:szCs w:val="24"/>
          <w:color w:val="auto"/>
        </w:rPr>
      </w:pPr>
    </w:p>
    <w:p>
      <w:pPr>
        <w:spacing w:after="0"/>
        <w:rPr>
          <w:sz w:val="20"/>
          <w:szCs w:val="20"/>
          <w:color w:val="auto"/>
        </w:rPr>
      </w:pPr>
      <w:r>
        <w:rPr>
          <w:rFonts w:ascii="Arial" w:cs="Arial" w:eastAsia="Arial" w:hAnsi="Arial"/>
          <w:sz w:val="18"/>
          <w:szCs w:val="18"/>
          <w:color w:val="auto"/>
        </w:rPr>
        <w:t>December 16, 2008</w:t>
      </w:r>
    </w:p>
    <w:p>
      <w:pPr>
        <w:spacing w:after="0" w:line="84" w:lineRule="exact"/>
        <w:rPr>
          <w:sz w:val="24"/>
          <w:szCs w:val="24"/>
          <w:color w:val="auto"/>
        </w:rPr>
      </w:pPr>
    </w:p>
    <w:p>
      <w:pPr>
        <w:sectPr>
          <w:pgSz w:w="11900" w:h="16838" w:orient="portrait"/>
          <w:cols w:equalWidth="0" w:num="2">
            <w:col w:w="5240" w:space="720"/>
            <w:col w:w="5460"/>
          </w:cols>
          <w:pgMar w:left="240" w:top="435" w:right="239" w:bottom="909" w:gutter="0" w:footer="0" w:header="0"/>
          <w:type w:val="continuous"/>
        </w:sectPr>
      </w:pPr>
    </w:p>
    <w:p>
      <w:pPr>
        <w:ind w:right="2360" w:firstLine="8"/>
        <w:spacing w:after="0" w:line="443" w:lineRule="auto"/>
        <w:tabs>
          <w:tab w:leader="none" w:pos="446"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Check the box if the filing relates solely to preliminary communications made before the commencement of a tender offer. Check the appropriate boxes below to designate any transactions to which the statement relates:</w:t>
      </w:r>
    </w:p>
    <w:p>
      <w:pPr>
        <w:spacing w:after="0" w:line="32" w:lineRule="exact"/>
        <w:rPr>
          <w:rFonts w:ascii="MS PGothic" w:cs="MS PGothic" w:eastAsia="MS PGothic" w:hAnsi="MS PGothic"/>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third party tender offer subject to Rule 14d-1.</w:t>
      </w:r>
    </w:p>
    <w:p>
      <w:pPr>
        <w:spacing w:after="0" w:line="21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issuer tender offer subject to Rule 13e-4.</w:t>
      </w:r>
    </w:p>
    <w:p>
      <w:pPr>
        <w:spacing w:after="0" w:line="212" w:lineRule="exact"/>
        <w:rPr>
          <w:sz w:val="24"/>
          <w:szCs w:val="24"/>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going-private transaction subject to Rule 13e-3.</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amendment to Schedule 13D under Rule 13d-2.</w:t>
      </w:r>
    </w:p>
    <w:p>
      <w:pPr>
        <w:spacing w:after="0" w:line="139"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Check the following box if the filing is a final amendment reporting the results of the tender offer: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435" w:right="239" w:bottom="909" w:gutter="0" w:footer="0" w:header="0"/>
          <w:type w:val="continuous"/>
        </w:sectPr>
      </w:pPr>
    </w:p>
    <w:bookmarkStart w:id="1" w:name="page2"/>
    <w:bookmarkEnd w:id="1"/>
    <w:p>
      <w:pPr>
        <w:ind w:firstLine="456"/>
        <w:spacing w:after="0" w:line="314" w:lineRule="auto"/>
        <w:rPr>
          <w:sz w:val="20"/>
          <w:szCs w:val="20"/>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This Amendment No. 2 (this “Amendment”) to the Tender Offer Statement on Schedule TO filed on December 16, 2008, as amended by Amendment No. 1 to Schedule TO filed on January 12, 2009, by Marvell Technology Group Ltd., a Bermuda company (the “Company”) (the “Schedule TO”), relates to an offer by the Company to exchange certain options (the “Exchange Offer”) to purchase up to an aggregate of 48,815,788 common shares of the Company, whether vested or unvested, that were issued and outstanding under our amended and restated 1995 Stock Option Plan and had an exercise price per share of at least $12.00 (the “eligible options”). These eligible options were eligible for exchange for Restricted Stock Units (“RSUs”) upon the terms and subject to the conditions set forth in the Offer to Exchange Certain Outstanding Options for Restricted Stock Units dated December 16, 2008, as amended January 12, 2009 (the “Offer to Exchange”).</w:t>
      </w:r>
    </w:p>
    <w:p>
      <w:pPr>
        <w:spacing w:after="0" w:line="105"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This Amendment, which is the final amendment to the Schedule TO, is filed in satisfaction of the reporting requirements of Rule 13e-4(c)(4) promulgated under the Securities Exchange Act of 1934, as amended. The purpose of this Amendment is to report the results of the Offer to Exchange. Capitalized terms not otherwise defined herein shall have the meanings set forth in the Offer to Exchange.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Terms of the Transaction.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Item 4 of the Schedule TO is hereby amended and supplemented by adding the following paragraph:</w:t>
      </w:r>
    </w:p>
    <w:p>
      <w:pPr>
        <w:spacing w:after="0" w:line="17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Exchange Offer, including all withdrawal rights, expired at 6:00 p.m. Pacific Time on January 23, 2009. A total of 3,389 eligible employees participated in the Exchange Offer. The Company has accepted for cancellation options to purchase an aggregate of 31,115,442 common shares granted under our amended and restated 1995 Stock Option Plan. The Company (i) granted RSUs in an aggregate of 3,358,533 common shares on January 23, 2009 in exchange for the options tendered and accepted pursuant to the terms and conditions of the Offer to Exchange and (ii) incurred a cash payment obligation in the aggregate of approximately $876,920 (less applicable withholding taxes) to employees who would otherwise have been entitled to receive a RSU grant equal to or less than 150 restricted stock units. The cancelled options are no longer available for future grants under any equity plan.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2" w:name="page3"/>
    <w:bookmarkEnd w:id="2"/>
    <w:p>
      <w:pPr>
        <w:jc w:val="center"/>
        <w:ind w:right="-3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After due inquiry and to the best of my knowledge and belief, I certify that the information set forth in this Amendment No. 2 to Schedule TO is true, complete and correct.</w:t>
      </w:r>
    </w:p>
    <w:p>
      <w:pPr>
        <w:spacing w:after="0" w:line="166"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3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6"/>
          <w:szCs w:val="16"/>
          <w:color w:val="auto"/>
        </w:rPr>
        <w:t>Chief Financial Officer, Interim Chief Operating Officer and</w:t>
      </w:r>
    </w:p>
    <w:p>
      <w:pPr>
        <w:spacing w:after="0" w:line="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Secretary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Date: February 3, 2009</w:t>
      </w:r>
    </w:p>
    <w:p>
      <w:pPr>
        <w:sectPr>
          <w:pgSz w:w="11900" w:h="16838" w:orient="portrait"/>
          <w:cols w:equalWidth="0" w:num="1">
            <w:col w:w="11120"/>
          </w:cols>
          <w:pgMar w:left="240" w:top="274" w:right="53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9880" w:type="dxa"/>
            <w:vAlign w:val="bottom"/>
          </w:tcPr>
          <w:p>
            <w:pPr>
              <w:ind w:left="3300"/>
              <w:spacing w:after="0"/>
              <w:rPr>
                <w:sz w:val="20"/>
                <w:szCs w:val="20"/>
                <w:color w:val="auto"/>
              </w:rPr>
            </w:pPr>
            <w:r>
              <w:rPr>
                <w:rFonts w:ascii="Arial" w:cs="Arial" w:eastAsia="Arial" w:hAnsi="Arial"/>
                <w:sz w:val="18"/>
                <w:szCs w:val="18"/>
                <w:b w:val="1"/>
                <w:bCs w:val="1"/>
                <w:color w:val="auto"/>
              </w:rPr>
              <w:t>INDEX TO EXHIBITS</w:t>
            </w:r>
          </w:p>
        </w:tc>
        <w:tc>
          <w:tcPr>
            <w:tcW w:w="0" w:type="dxa"/>
            <w:vAlign w:val="bottom"/>
          </w:tcPr>
          <w:p>
            <w:pPr>
              <w:spacing w:after="0"/>
              <w:rPr>
                <w:sz w:val="1"/>
                <w:szCs w:val="1"/>
                <w:color w:val="auto"/>
              </w:rPr>
            </w:pPr>
          </w:p>
        </w:tc>
      </w:tr>
      <w:tr>
        <w:trPr>
          <w:trHeight w:val="340"/>
        </w:trPr>
        <w:tc>
          <w:tcPr>
            <w:tcW w:w="920" w:type="dxa"/>
            <w:vAlign w:val="bottom"/>
          </w:tcPr>
          <w:p>
            <w:pPr>
              <w:ind w:left="260"/>
              <w:spacing w:after="0"/>
              <w:rPr>
                <w:sz w:val="20"/>
                <w:szCs w:val="20"/>
                <w:color w:val="auto"/>
              </w:rPr>
            </w:pPr>
            <w:r>
              <w:rPr>
                <w:rFonts w:ascii="Arial" w:cs="Arial" w:eastAsia="Arial" w:hAnsi="Arial"/>
                <w:sz w:val="14"/>
                <w:szCs w:val="14"/>
                <w:b w:val="1"/>
                <w:bCs w:val="1"/>
                <w:color w:val="auto"/>
              </w:rPr>
              <w:t>Exhibit</w:t>
            </w:r>
          </w:p>
        </w:tc>
        <w:tc>
          <w:tcPr>
            <w:tcW w:w="620" w:type="dxa"/>
            <w:vAlign w:val="bottom"/>
            <w:vMerge w:val="restart"/>
          </w:tcPr>
          <w:p>
            <w:pPr>
              <w:spacing w:after="0"/>
              <w:rPr>
                <w:sz w:val="24"/>
                <w:szCs w:val="24"/>
                <w:color w:val="auto"/>
              </w:rPr>
            </w:pPr>
          </w:p>
        </w:tc>
        <w:tc>
          <w:tcPr>
            <w:tcW w:w="9880" w:type="dxa"/>
            <w:vAlign w:val="bottom"/>
            <w:vMerge w:val="restart"/>
          </w:tcPr>
          <w:p>
            <w:pPr>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61"/>
        </w:trPr>
        <w:tc>
          <w:tcPr>
            <w:tcW w:w="920" w:type="dxa"/>
            <w:vAlign w:val="bottom"/>
            <w:tcBorders>
              <w:bottom w:val="single" w:sz="8" w:color="auto"/>
            </w:tcBorders>
          </w:tcPr>
          <w:p>
            <w:pPr>
              <w:ind w:left="220"/>
              <w:spacing w:after="0"/>
              <w:rPr>
                <w:sz w:val="20"/>
                <w:szCs w:val="20"/>
                <w:color w:val="auto"/>
              </w:rPr>
            </w:pPr>
            <w:r>
              <w:rPr>
                <w:rFonts w:ascii="Arial" w:cs="Arial" w:eastAsia="Arial" w:hAnsi="Arial"/>
                <w:sz w:val="14"/>
                <w:szCs w:val="14"/>
                <w:b w:val="1"/>
                <w:bCs w:val="1"/>
                <w:color w:val="auto"/>
              </w:rPr>
              <w:t>Number</w:t>
            </w:r>
          </w:p>
        </w:tc>
        <w:tc>
          <w:tcPr>
            <w:tcW w:w="620" w:type="dxa"/>
            <w:vAlign w:val="bottom"/>
            <w:vMerge w:val="continue"/>
          </w:tcPr>
          <w:p>
            <w:pPr>
              <w:spacing w:after="0"/>
              <w:rPr>
                <w:sz w:val="14"/>
                <w:szCs w:val="14"/>
                <w:color w:val="auto"/>
              </w:rPr>
            </w:pPr>
          </w:p>
        </w:tc>
        <w:tc>
          <w:tcPr>
            <w:tcW w:w="988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6"/>
        </w:trPr>
        <w:tc>
          <w:tcPr>
            <w:tcW w:w="920" w:type="dxa"/>
            <w:vAlign w:val="bottom"/>
          </w:tcPr>
          <w:p>
            <w:pPr>
              <w:ind w:left="60"/>
              <w:spacing w:after="0"/>
              <w:rPr>
                <w:sz w:val="20"/>
                <w:szCs w:val="20"/>
                <w:color w:val="auto"/>
              </w:rPr>
            </w:pPr>
            <w:r>
              <w:rPr>
                <w:rFonts w:ascii="Arial" w:cs="Arial" w:eastAsia="Arial" w:hAnsi="Arial"/>
                <w:sz w:val="18"/>
                <w:szCs w:val="18"/>
                <w:color w:val="auto"/>
              </w:rPr>
              <w:t>(a)(1)(A)**</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w w:val="93"/>
              </w:rPr>
              <w:t>Offer to Exchange Certain Outstanding Options for Restricted Stock Units, dated December 16, 2008, as amended January 12, 2009</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(a)(1)(B)*</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w w:val="90"/>
              </w:rPr>
              <w:t>Letters to all eligible employees from Dr. Sehat Sutardja, our Chairman, President and Chief Executive Officer, dated December 16, 2008</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(a)(1)(C)*</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Election Forms</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(a)(1)(D)*</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Form of Calculator</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(a)(1)(E)*</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Form of Confirmation of receipt of election or form</w:t>
            </w:r>
          </w:p>
        </w:tc>
        <w:tc>
          <w:tcPr>
            <w:tcW w:w="0" w:type="dxa"/>
            <w:vAlign w:val="bottom"/>
          </w:tcPr>
          <w:p>
            <w:pPr>
              <w:spacing w:after="0"/>
              <w:rPr>
                <w:sz w:val="1"/>
                <w:szCs w:val="1"/>
                <w:color w:val="auto"/>
              </w:rPr>
            </w:pPr>
          </w:p>
        </w:tc>
      </w:tr>
      <w:tr>
        <w:trPr>
          <w:trHeight w:val="324"/>
        </w:trPr>
        <w:tc>
          <w:tcPr>
            <w:tcW w:w="920" w:type="dxa"/>
            <w:vAlign w:val="bottom"/>
          </w:tcPr>
          <w:p>
            <w:pPr>
              <w:ind w:left="80"/>
              <w:spacing w:after="0"/>
              <w:rPr>
                <w:sz w:val="20"/>
                <w:szCs w:val="20"/>
                <w:color w:val="auto"/>
              </w:rPr>
            </w:pPr>
            <w:r>
              <w:rPr>
                <w:rFonts w:ascii="Arial" w:cs="Arial" w:eastAsia="Arial" w:hAnsi="Arial"/>
                <w:sz w:val="18"/>
                <w:szCs w:val="18"/>
                <w:color w:val="auto"/>
              </w:rPr>
              <w:t>(a)(1)(F)*</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Form of Reminders</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(a)(1)(G)*</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Notice to eligible employees regarding expiration of offer period</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(a)(1)(H)**</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Screen shots of offer website</w:t>
            </w:r>
          </w:p>
        </w:tc>
        <w:tc>
          <w:tcPr>
            <w:tcW w:w="0" w:type="dxa"/>
            <w:vAlign w:val="bottom"/>
          </w:tcPr>
          <w:p>
            <w:pPr>
              <w:spacing w:after="0"/>
              <w:rPr>
                <w:sz w:val="1"/>
                <w:szCs w:val="1"/>
                <w:color w:val="auto"/>
              </w:rPr>
            </w:pPr>
          </w:p>
        </w:tc>
      </w:tr>
      <w:tr>
        <w:trPr>
          <w:trHeight w:val="324"/>
        </w:trPr>
        <w:tc>
          <w:tcPr>
            <w:tcW w:w="920" w:type="dxa"/>
            <w:vAlign w:val="bottom"/>
          </w:tcPr>
          <w:p>
            <w:pPr>
              <w:ind w:left="40"/>
              <w:spacing w:after="0"/>
              <w:rPr>
                <w:sz w:val="20"/>
                <w:szCs w:val="20"/>
                <w:color w:val="auto"/>
              </w:rPr>
            </w:pPr>
            <w:r>
              <w:rPr>
                <w:rFonts w:ascii="Arial" w:cs="Arial" w:eastAsia="Arial" w:hAnsi="Arial"/>
                <w:sz w:val="18"/>
                <w:szCs w:val="18"/>
                <w:color w:val="auto"/>
              </w:rPr>
              <w:t>(a)(1)(I)*</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Presentation materials</w:t>
            </w:r>
          </w:p>
        </w:tc>
        <w:tc>
          <w:tcPr>
            <w:tcW w:w="0" w:type="dxa"/>
            <w:vAlign w:val="bottom"/>
          </w:tcPr>
          <w:p>
            <w:pPr>
              <w:spacing w:after="0"/>
              <w:rPr>
                <w:sz w:val="1"/>
                <w:szCs w:val="1"/>
                <w:color w:val="auto"/>
              </w:rPr>
            </w:pPr>
          </w:p>
        </w:tc>
      </w:tr>
      <w:tr>
        <w:trPr>
          <w:trHeight w:val="324"/>
        </w:trPr>
        <w:tc>
          <w:tcPr>
            <w:tcW w:w="920" w:type="dxa"/>
            <w:vAlign w:val="bottom"/>
          </w:tcPr>
          <w:p>
            <w:pPr>
              <w:ind w:left="20"/>
              <w:spacing w:after="0"/>
              <w:rPr>
                <w:sz w:val="20"/>
                <w:szCs w:val="20"/>
                <w:color w:val="auto"/>
              </w:rPr>
            </w:pPr>
            <w:r>
              <w:rPr>
                <w:rFonts w:ascii="Arial" w:cs="Arial" w:eastAsia="Arial" w:hAnsi="Arial"/>
                <w:sz w:val="18"/>
                <w:szCs w:val="18"/>
                <w:color w:val="auto"/>
              </w:rPr>
              <w:t>(b)</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318"/>
        </w:trPr>
        <w:tc>
          <w:tcPr>
            <w:tcW w:w="920" w:type="dxa"/>
            <w:vAlign w:val="bottom"/>
          </w:tcPr>
          <w:p>
            <w:pPr>
              <w:ind w:left="40"/>
              <w:spacing w:after="0"/>
              <w:rPr>
                <w:sz w:val="20"/>
                <w:szCs w:val="20"/>
                <w:color w:val="auto"/>
              </w:rPr>
            </w:pPr>
            <w:r>
              <w:rPr>
                <w:rFonts w:ascii="Arial" w:cs="Arial" w:eastAsia="Arial" w:hAnsi="Arial"/>
                <w:sz w:val="18"/>
                <w:szCs w:val="18"/>
                <w:color w:val="auto"/>
              </w:rPr>
              <w:t>(d)(1)</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w w:val="89"/>
              </w:rPr>
              <w:t>Amended and Restated 1995 Stock Option Plan (incorporated by reference to Exhibit 10.24 of the registrant’s quarterly report on Form 10-</w:t>
            </w:r>
          </w:p>
        </w:tc>
        <w:tc>
          <w:tcPr>
            <w:tcW w:w="0" w:type="dxa"/>
            <w:vAlign w:val="bottom"/>
          </w:tcPr>
          <w:p>
            <w:pPr>
              <w:spacing w:after="0"/>
              <w:rPr>
                <w:sz w:val="1"/>
                <w:szCs w:val="1"/>
                <w:color w:val="auto"/>
              </w:rPr>
            </w:pPr>
          </w:p>
        </w:tc>
      </w:tr>
      <w:tr>
        <w:trPr>
          <w:trHeight w:val="222"/>
        </w:trPr>
        <w:tc>
          <w:tcPr>
            <w:tcW w:w="920" w:type="dxa"/>
            <w:vAlign w:val="bottom"/>
          </w:tcPr>
          <w:p>
            <w:pPr>
              <w:spacing w:after="0"/>
              <w:rPr>
                <w:sz w:val="19"/>
                <w:szCs w:val="19"/>
                <w:color w:val="auto"/>
              </w:rPr>
            </w:pP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Q for the period ended July 30, 2005 as filed on September 8, 2005)</w:t>
            </w:r>
          </w:p>
        </w:tc>
        <w:tc>
          <w:tcPr>
            <w:tcW w:w="0" w:type="dxa"/>
            <w:vAlign w:val="bottom"/>
          </w:tcPr>
          <w:p>
            <w:pPr>
              <w:spacing w:after="0"/>
              <w:rPr>
                <w:sz w:val="1"/>
                <w:szCs w:val="1"/>
                <w:color w:val="auto"/>
              </w:rPr>
            </w:pPr>
          </w:p>
        </w:tc>
      </w:tr>
      <w:tr>
        <w:trPr>
          <w:trHeight w:val="318"/>
        </w:trPr>
        <w:tc>
          <w:tcPr>
            <w:tcW w:w="920" w:type="dxa"/>
            <w:vAlign w:val="bottom"/>
          </w:tcPr>
          <w:p>
            <w:pPr>
              <w:ind w:left="40"/>
              <w:spacing w:after="0"/>
              <w:rPr>
                <w:sz w:val="20"/>
                <w:szCs w:val="20"/>
                <w:color w:val="auto"/>
              </w:rPr>
            </w:pPr>
            <w:r>
              <w:rPr>
                <w:rFonts w:ascii="Arial" w:cs="Arial" w:eastAsia="Arial" w:hAnsi="Arial"/>
                <w:sz w:val="18"/>
                <w:szCs w:val="18"/>
                <w:color w:val="auto"/>
              </w:rPr>
              <w:t>(d)(2)*</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w w:val="91"/>
              </w:rPr>
              <w:t>Amended and Restated 1995 Stock Option Plan Form of Restricted Stock Unit Agreement and Notice of Restricted Stock Unit Grant (for</w:t>
            </w:r>
          </w:p>
        </w:tc>
        <w:tc>
          <w:tcPr>
            <w:tcW w:w="0" w:type="dxa"/>
            <w:vAlign w:val="bottom"/>
          </w:tcPr>
          <w:p>
            <w:pPr>
              <w:spacing w:after="0"/>
              <w:rPr>
                <w:sz w:val="1"/>
                <w:szCs w:val="1"/>
                <w:color w:val="auto"/>
              </w:rPr>
            </w:pPr>
          </w:p>
        </w:tc>
      </w:tr>
      <w:tr>
        <w:trPr>
          <w:trHeight w:val="222"/>
        </w:trPr>
        <w:tc>
          <w:tcPr>
            <w:tcW w:w="920" w:type="dxa"/>
            <w:vAlign w:val="bottom"/>
          </w:tcPr>
          <w:p>
            <w:pPr>
              <w:spacing w:after="0"/>
              <w:rPr>
                <w:sz w:val="19"/>
                <w:szCs w:val="19"/>
                <w:color w:val="auto"/>
              </w:rPr>
            </w:pP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use in connection with the Exchange Offer)</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(g)</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324"/>
        </w:trPr>
        <w:tc>
          <w:tcPr>
            <w:tcW w:w="920" w:type="dxa"/>
            <w:vAlign w:val="bottom"/>
          </w:tcPr>
          <w:p>
            <w:pPr>
              <w:ind w:left="60"/>
              <w:spacing w:after="0"/>
              <w:rPr>
                <w:sz w:val="20"/>
                <w:szCs w:val="20"/>
                <w:color w:val="auto"/>
              </w:rPr>
            </w:pPr>
            <w:r>
              <w:rPr>
                <w:rFonts w:ascii="Arial" w:cs="Arial" w:eastAsia="Arial" w:hAnsi="Arial"/>
                <w:sz w:val="18"/>
                <w:szCs w:val="18"/>
                <w:color w:val="auto"/>
              </w:rPr>
              <w:t>(h)</w:t>
            </w:r>
          </w:p>
        </w:tc>
        <w:tc>
          <w:tcPr>
            <w:tcW w:w="10500" w:type="dxa"/>
            <w:vAlign w:val="bottom"/>
            <w:gridSpan w:val="2"/>
          </w:tcPr>
          <w:p>
            <w:pPr>
              <w:ind w:left="62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6"/>
        </w:numPr>
        <w:rPr>
          <w:rFonts w:ascii="Arial" w:cs="Arial" w:eastAsia="Arial" w:hAnsi="Arial"/>
          <w:sz w:val="16"/>
          <w:szCs w:val="16"/>
          <w:color w:val="auto"/>
        </w:rPr>
      </w:pPr>
      <w:r>
        <w:rPr>
          <w:rFonts w:ascii="Arial" w:cs="Arial" w:eastAsia="Arial" w:hAnsi="Arial"/>
          <w:sz w:val="16"/>
          <w:szCs w:val="16"/>
          <w:color w:val="auto"/>
        </w:rPr>
        <w:t>Previously filed with the Schedule TO filed with the Securities and Exchange Commission on December 16, 2008 and incorporated herein by reference.</w:t>
      </w:r>
    </w:p>
    <w:p>
      <w:pPr>
        <w:spacing w:after="0" w:line="113" w:lineRule="exact"/>
        <w:rPr>
          <w:sz w:val="20"/>
          <w:szCs w:val="20"/>
          <w:color w:val="auto"/>
        </w:rPr>
      </w:pPr>
    </w:p>
    <w:p>
      <w:pPr>
        <w:ind w:left="460" w:right="360" w:hanging="452"/>
        <w:spacing w:after="0" w:line="268" w:lineRule="auto"/>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Previously filed with Amendment No. 1 to the Schedule TO filed with the Securities and Exchange Commission on January 12, 2009 and incorporated herein by reference.</w:t>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2019-12-10T16:52:34Z</dcterms:created>
  <dcterms:modified xsi:type="dcterms:W3CDTF">2019-12-10T16:52:34Z</dcterms:modified>
</cp:coreProperties>
</file>