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24"/>
          <w:szCs w:val="24"/>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172"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7" w:lineRule="exact"/>
        <w:rPr>
          <w:sz w:val="24"/>
          <w:szCs w:val="24"/>
          <w:color w:val="auto"/>
        </w:rPr>
      </w:pPr>
    </w:p>
    <w:p>
      <w:pPr>
        <w:jc w:val="center"/>
        <w:ind w:right="-319"/>
        <w:spacing w:after="0"/>
        <w:rPr>
          <w:sz w:val="20"/>
          <w:szCs w:val="20"/>
          <w:color w:val="auto"/>
        </w:rPr>
      </w:pPr>
      <w:r>
        <w:rPr>
          <w:rFonts w:ascii="Arial" w:cs="Arial" w:eastAsia="Arial" w:hAnsi="Arial"/>
          <w:sz w:val="18"/>
          <w:szCs w:val="18"/>
          <w:color w:val="auto"/>
        </w:rPr>
        <w:t>Date of Report (Date of earliest event reported): March 2, 2009</w:t>
      </w:r>
    </w:p>
    <w:p>
      <w:pPr>
        <w:spacing w:after="0" w:line="136"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319"/>
        <w:spacing w:after="0"/>
        <w:rPr>
          <w:sz w:val="20"/>
          <w:szCs w:val="20"/>
          <w:color w:val="auto"/>
        </w:rPr>
      </w:pPr>
      <w:r>
        <w:rPr>
          <w:rFonts w:ascii="Arial" w:cs="Arial" w:eastAsia="Arial" w:hAnsi="Arial"/>
          <w:sz w:val="14"/>
          <w:szCs w:val="14"/>
          <w:b w:val="1"/>
          <w:bCs w:val="1"/>
          <w:color w:val="auto"/>
        </w:rPr>
        <w:t>(Exact name of registrant as specified in its charter)</w:t>
      </w:r>
    </w:p>
    <w:p>
      <w:pPr>
        <w:sectPr>
          <w:pgSz w:w="11900" w:h="16838" w:orient="portrait"/>
          <w:cols w:equalWidth="0" w:num="1">
            <w:col w:w="11100"/>
          </w:cols>
          <w:pgMar w:left="240" w:top="597" w:right="559" w:bottom="1440" w:gutter="0" w:footer="0" w:header="0"/>
        </w:sectPr>
      </w:pPr>
    </w:p>
    <w:p>
      <w:pPr>
        <w:spacing w:after="0" w:line="175"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597"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2040"/>
          </w:cols>
          <w:pgMar w:left="240" w:top="597"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ectPr>
          <w:pgSz w:w="11900" w:h="16838" w:orient="portrait"/>
          <w:cols w:equalWidth="0" w:num="1">
            <w:col w:w="11100"/>
          </w:cols>
          <w:pgMar w:left="240" w:top="597" w:right="559" w:bottom="1440" w:gutter="0" w:footer="0" w:header="0"/>
          <w:type w:val="continuous"/>
        </w:sectPr>
      </w:pPr>
    </w:p>
    <w:p>
      <w:pPr>
        <w:spacing w:after="0" w:line="166"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242570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276860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597"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On March 5, 2009, Marvell Technology Group Ltd. (“Marvell”) issued a press release regarding its financial results for its fourth fiscal quarter and fiscal year ended January 31, 2009.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measures exclude the effect of stock-based compensation, amortization and write off of acquired intangible assets, restructuring costs and certain one-time benefits and costs.</w:t>
      </w:r>
    </w:p>
    <w:p>
      <w:pPr>
        <w:spacing w:after="0" w:line="11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hanging="446"/>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200" w:hanging="446"/>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900" w:right="40" w:hanging="446"/>
        <w:spacing w:after="0" w:line="370" w:lineRule="auto"/>
        <w:tabs>
          <w:tab w:leader="none" w:pos="900" w:val="left"/>
        </w:tabs>
        <w:numPr>
          <w:ilvl w:val="0"/>
          <w:numId w:val="3"/>
        </w:numPr>
        <w:rPr>
          <w:rFonts w:ascii="Arial" w:cs="Arial" w:eastAsia="Arial" w:hAnsi="Arial"/>
          <w:sz w:val="15"/>
          <w:szCs w:val="15"/>
          <w:color w:val="auto"/>
        </w:rPr>
      </w:pPr>
      <w:r>
        <w:rPr>
          <w:rFonts w:ascii="Arial" w:cs="Arial" w:eastAsia="Arial" w:hAnsi="Arial"/>
          <w:sz w:val="15"/>
          <w:szCs w:val="15"/>
          <w:i w:val="1"/>
          <w:iCs w:val="1"/>
          <w:color w:val="auto"/>
        </w:rPr>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ind w:left="900" w:right="160" w:hanging="446"/>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1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right="40" w:hanging="446"/>
        <w:spacing w:after="0" w:line="290"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SFAS 123R compensation costs expected to be incurred in future periods but not yet recognized in the financial statements. The expected compensation costs are treated as proceeds assumed to be used to repurchase shares under the GAAP treasury stock method. GAAP weighted average shares outstanding (diluted) also includes the dilutive/antidilutive effects of common stock options and restricted stock. Since Marvell’s non-GAAP net income does not reflect the effects of these compensation costs, management believes these amounts should not be applied to the repurchase of shares in calculating non-GAAP net income per share.</w:t>
      </w:r>
    </w:p>
    <w:p>
      <w:pPr>
        <w:spacing w:after="0" w:line="118" w:lineRule="exact"/>
        <w:rPr>
          <w:sz w:val="20"/>
          <w:szCs w:val="20"/>
          <w:color w:val="auto"/>
        </w:rPr>
      </w:pPr>
    </w:p>
    <w:p>
      <w:pPr>
        <w:ind w:right="36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2.05</w:t>
      </w:r>
      <w:r>
        <w:rPr>
          <w:sz w:val="20"/>
          <w:szCs w:val="20"/>
          <w:color w:val="auto"/>
        </w:rPr>
        <w:tab/>
      </w:r>
      <w:r>
        <w:rPr>
          <w:rFonts w:ascii="Arial" w:cs="Arial" w:eastAsia="Arial" w:hAnsi="Arial"/>
          <w:sz w:val="15"/>
          <w:szCs w:val="15"/>
          <w:b w:val="1"/>
          <w:bCs w:val="1"/>
          <w:color w:val="auto"/>
        </w:rPr>
        <w:t>Costs Associated with Exit or Disposal Activities</w:t>
      </w:r>
    </w:p>
    <w:p>
      <w:pPr>
        <w:spacing w:after="0" w:line="9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On March 2, 2009, Marvell’s board of directors approved the implementation of a plan to lower the overall costs and expenses of Marvell in response to the deteriorating economic environment. As a result of this plan and combined with certain cost reduction measures taken in December 2008 and January 2009, Marvell plans to reduce its global workforce by approximately 15 percent, or approximately 850 employees. Marvell estimates that the restructuring charges associated with the reduction in force and consolidation of facilities specifically identified to date will be approximately $20 million, including approximately $14 million related to severance and other employee benefit payments and approximately $6 million related to facility consolidation. This estimate includes restructuring charges recorded in the fiscal fourth quarter of 2009 of approximately $9.7 million, comprised of $6.7 million of severance and other employee benefit payments and $3.0 million of facilities consolidation.</w:t>
      </w:r>
    </w:p>
    <w:p>
      <w:pPr>
        <w:spacing w:after="0" w:line="118"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Marvell estimates that the restructuring measures taken to date will result in approximately $15 million in cash payments in calendar 2009. The remainder will be a non-cash accounting-related charge associated with facilities consolidations. Marvell expects the expense reduction actions in the plan to be implemented by the end of calendar year 2009. As Marvell implements the remaining portions of this plan, additional charges will be incurred, the amount of which Marvell cannot reasonably estimate at this time, but which will likely include additional severance and other employee benefit related costs, lease termination costs, facility site consolidations or closures, and impaired asset charges. In the event Marvell incurs additional charges in connection with this plan, Marvell would file an amended report on Form 8-K under this Item 2.05 to provide appropriate estimates related to such additional charges.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3" w:name="page4"/>
    <w:bookmarkEnd w:id="3"/>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320" w:lineRule="exact"/>
        <w:rPr>
          <w:sz w:val="20"/>
          <w:szCs w:val="20"/>
          <w:color w:val="auto"/>
        </w:rPr>
      </w:pPr>
    </w:p>
    <w:p>
      <w:pPr>
        <w:ind w:left="280"/>
        <w:spacing w:after="0"/>
        <w:tabs>
          <w:tab w:leader="none" w:pos="92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5, 2009.</w:t>
      </w:r>
    </w:p>
    <w:p>
      <w:pPr>
        <w:spacing w:after="0" w:line="158" w:lineRule="exact"/>
        <w:rPr>
          <w:sz w:val="20"/>
          <w:szCs w:val="20"/>
          <w:color w:val="auto"/>
        </w:rPr>
      </w:pPr>
    </w:p>
    <w:p>
      <w:pPr>
        <w:jc w:val="right"/>
        <w:ind w:right="44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4" w:right="1440"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5,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10795</wp:posOffset>
            </wp:positionV>
            <wp:extent cx="271843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6"/>
          <w:szCs w:val="16"/>
          <w:i w:val="1"/>
          <w:iCs w:val="1"/>
          <w:color w:val="auto"/>
        </w:rPr>
        <w:t>Chief Financial Officer, Interim Chief Operating Officer</w:t>
      </w:r>
    </w:p>
    <w:p>
      <w:pPr>
        <w:spacing w:after="0" w:line="32"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EXHIBIT INDEX</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Exhibit No.</w:t>
            </w:r>
          </w:p>
        </w:tc>
        <w:tc>
          <w:tcPr>
            <w:tcW w:w="720" w:type="dxa"/>
            <w:vAlign w:val="bottom"/>
          </w:tcPr>
          <w:p>
            <w:pPr>
              <w:spacing w:after="0"/>
              <w:rPr>
                <w:sz w:val="15"/>
                <w:szCs w:val="15"/>
                <w:color w:val="auto"/>
              </w:rPr>
            </w:pPr>
          </w:p>
        </w:tc>
        <w:tc>
          <w:tcPr>
            <w:tcW w:w="9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6"/>
        </w:trPr>
        <w:tc>
          <w:tcPr>
            <w:tcW w:w="700" w:type="dxa"/>
            <w:vAlign w:val="bottom"/>
          </w:tcPr>
          <w:p>
            <w:pPr>
              <w:jc w:val="right"/>
              <w:ind w:right="102"/>
              <w:spacing w:after="0"/>
              <w:rPr>
                <w:sz w:val="20"/>
                <w:szCs w:val="20"/>
                <w:color w:val="auto"/>
              </w:rPr>
            </w:pPr>
            <w:r>
              <w:rPr>
                <w:rFonts w:ascii="Arial" w:cs="Arial" w:eastAsia="Arial" w:hAnsi="Arial"/>
                <w:sz w:val="18"/>
                <w:szCs w:val="18"/>
                <w:color w:val="auto"/>
              </w:rPr>
              <w:t>99.1</w:t>
            </w:r>
          </w:p>
        </w:tc>
        <w:tc>
          <w:tcPr>
            <w:tcW w:w="720" w:type="dxa"/>
            <w:vAlign w:val="bottom"/>
          </w:tcPr>
          <w:p>
            <w:pPr>
              <w:spacing w:after="0"/>
              <w:rPr>
                <w:sz w:val="24"/>
                <w:szCs w:val="24"/>
                <w:color w:val="auto"/>
              </w:rPr>
            </w:pPr>
          </w:p>
        </w:tc>
        <w:tc>
          <w:tcPr>
            <w:tcW w:w="9080" w:type="dxa"/>
            <w:vAlign w:val="bottom"/>
          </w:tcPr>
          <w:p>
            <w:pPr>
              <w:spacing w:after="0"/>
              <w:rPr>
                <w:sz w:val="20"/>
                <w:szCs w:val="20"/>
                <w:color w:val="auto"/>
              </w:rPr>
            </w:pPr>
            <w:r>
              <w:rPr>
                <w:rFonts w:ascii="Arial" w:cs="Arial" w:eastAsia="Arial" w:hAnsi="Arial"/>
                <w:sz w:val="18"/>
                <w:szCs w:val="18"/>
                <w:color w:val="auto"/>
              </w:rPr>
              <w:t>Press Release dated March 5, 2009.</w:t>
            </w:r>
          </w:p>
        </w:tc>
      </w:tr>
    </w:tbl>
    <w:p>
      <w:pPr>
        <w:spacing w:after="0" w:line="1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500"/>
          </w:cols>
          <w:pgMar w:left="700" w:top="274" w:right="699"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59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00" w:type="dxa"/>
            <w:vAlign w:val="bottom"/>
          </w:tcPr>
          <w:p>
            <w:pPr>
              <w:spacing w:after="0"/>
              <w:rPr>
                <w:sz w:val="19"/>
                <w:szCs w:val="19"/>
                <w:color w:val="auto"/>
              </w:rPr>
            </w:pPr>
          </w:p>
        </w:tc>
        <w:tc>
          <w:tcPr>
            <w:tcW w:w="640" w:type="dxa"/>
            <w:vAlign w:val="bottom"/>
          </w:tcPr>
          <w:p>
            <w:pPr>
              <w:spacing w:after="0"/>
              <w:rPr>
                <w:sz w:val="19"/>
                <w:szCs w:val="19"/>
                <w:color w:val="auto"/>
              </w:rPr>
            </w:pPr>
          </w:p>
        </w:tc>
      </w:tr>
      <w:tr>
        <w:trPr>
          <w:trHeight w:val="291"/>
        </w:trPr>
        <w:tc>
          <w:tcPr>
            <w:tcW w:w="596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194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59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940" w:type="dxa"/>
            <w:vAlign w:val="bottom"/>
            <w:gridSpan w:val="2"/>
          </w:tcPr>
          <w:p>
            <w:pPr>
              <w:spacing w:after="0"/>
              <w:rPr>
                <w:sz w:val="20"/>
                <w:szCs w:val="20"/>
                <w:color w:val="auto"/>
              </w:rPr>
            </w:pPr>
            <w:r>
              <w:rPr>
                <w:rFonts w:ascii="Arial" w:cs="Arial" w:eastAsia="Arial" w:hAnsi="Arial"/>
                <w:sz w:val="18"/>
                <w:szCs w:val="18"/>
                <w:color w:val="auto"/>
                <w:w w:val="87"/>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438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408-222-2815</w:t>
            </w:r>
          </w:p>
        </w:tc>
        <w:tc>
          <w:tcPr>
            <w:tcW w:w="640" w:type="dxa"/>
            <w:vAlign w:val="bottom"/>
          </w:tcPr>
          <w:p>
            <w:pPr>
              <w:spacing w:after="0"/>
              <w:rPr>
                <w:sz w:val="18"/>
                <w:szCs w:val="18"/>
                <w:color w:val="auto"/>
              </w:rPr>
            </w:pPr>
          </w:p>
        </w:tc>
      </w:tr>
      <w:tr>
        <w:trPr>
          <w:trHeight w:val="184"/>
        </w:trPr>
        <w:tc>
          <w:tcPr>
            <w:tcW w:w="596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194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438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r>
    </w:tbl>
    <w:p>
      <w:pPr>
        <w:spacing w:after="0" w:line="3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Marvell Technology Reports Fiscal Fourth Quarter and Fiscal 2009 Results</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Revenue: $513 Million, FQ409; $2.95 Billion, FY2009</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Free Cash Flow: $95 Million, FQ409; $607 Million, FY2009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Announces Significant Operating Expense Reduction Actions</w:t>
      </w:r>
    </w:p>
    <w:p>
      <w:pPr>
        <w:spacing w:after="0" w:line="159" w:lineRule="exact"/>
        <w:rPr>
          <w:sz w:val="20"/>
          <w:szCs w:val="20"/>
          <w:color w:val="auto"/>
        </w:rPr>
      </w:pPr>
    </w:p>
    <w:p>
      <w:pPr>
        <w:ind w:right="320"/>
        <w:spacing w:after="0" w:line="275" w:lineRule="auto"/>
        <w:rPr>
          <w:sz w:val="20"/>
          <w:szCs w:val="20"/>
          <w:color w:val="auto"/>
        </w:rPr>
      </w:pPr>
      <w:r>
        <w:rPr>
          <w:rFonts w:ascii="Arial" w:cs="Arial" w:eastAsia="Arial" w:hAnsi="Arial"/>
          <w:sz w:val="18"/>
          <w:szCs w:val="18"/>
          <w:b w:val="1"/>
          <w:bCs w:val="1"/>
          <w:color w:val="auto"/>
        </w:rPr>
        <w:t xml:space="preserve">Santa Clara, California (March 5, 2009) </w:t>
      </w:r>
      <w:r>
        <w:rPr>
          <w:rFonts w:ascii="Arial" w:cs="Arial" w:eastAsia="Arial" w:hAnsi="Arial"/>
          <w:sz w:val="18"/>
          <w:szCs w:val="18"/>
          <w:color w:val="auto"/>
        </w:rPr>
        <w:t>— Marvell Technology Group Ltd. (NASDAQ: MRVL), a world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reported financial results for the fourth quarter and fiscal year 2009, ended January 31, 2009.</w:t>
      </w:r>
    </w:p>
    <w:p>
      <w:pPr>
        <w:spacing w:after="0" w:line="12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Net revenue for the fourth quarter of fiscal 2009 was $513 million, a 39 percent decrease from $845 million in the fourth quarter of fiscal 2008, ended February 2, 2008, and a 35 percent sequential decrease from $791 million in the third quarter of fiscal 2009, ended November 1, 2008.</w:t>
      </w:r>
    </w:p>
    <w:p>
      <w:pPr>
        <w:spacing w:after="0" w:line="132"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Net revenue for the fiscal year ended January 31, 2009 was $2.95 billion, an increase of approximately 2 percent over net revenue of $2.89 billion for the fiscal year ended February 2, 2008.</w:t>
      </w:r>
    </w:p>
    <w:p>
      <w:pPr>
        <w:spacing w:after="0" w:line="132" w:lineRule="exact"/>
        <w:rPr>
          <w:sz w:val="20"/>
          <w:szCs w:val="20"/>
          <w:color w:val="auto"/>
        </w:rPr>
      </w:pPr>
    </w:p>
    <w:p>
      <w:pPr>
        <w:ind w:right="160"/>
        <w:spacing w:after="0" w:line="332" w:lineRule="auto"/>
        <w:rPr>
          <w:sz w:val="20"/>
          <w:szCs w:val="20"/>
          <w:color w:val="auto"/>
        </w:rPr>
      </w:pPr>
      <w:r>
        <w:rPr>
          <w:rFonts w:ascii="Arial" w:cs="Arial" w:eastAsia="Arial" w:hAnsi="Arial"/>
          <w:sz w:val="16"/>
          <w:szCs w:val="16"/>
          <w:color w:val="auto"/>
        </w:rPr>
        <w:t>GAAP net loss was $65 million, or $0.11 per share (diluted), for the fourth quarter of fiscal 2009, compared with GAAP net income of $1 million, or essentially break-even per share, for the fourth quarter of fiscal 2008. GAAP net income was $71 million, or $0.11 per share (diluted) in the third quarter of fiscal 2009.</w:t>
      </w:r>
    </w:p>
    <w:p>
      <w:pPr>
        <w:spacing w:after="0" w:line="85"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color w:val="auto"/>
        </w:rPr>
        <w:t>GAAP net income was $147 million, or $0.23 per share (diluted), for the year ended January 31, 2009, compared with a GAAP net loss of $114 million, or $0.19 per share (diluted), for the year ended February 2, 2008.</w:t>
      </w:r>
    </w:p>
    <w:p>
      <w:pPr>
        <w:sectPr>
          <w:pgSz w:w="11900" w:h="16838" w:orient="portrait"/>
          <w:cols w:equalWidth="0" w:num="1">
            <w:col w:w="11420"/>
          </w:cols>
          <w:pgMar w:left="240" w:top="125" w:right="239" w:bottom="1440" w:gutter="0" w:footer="0" w:header="0"/>
        </w:sectPr>
      </w:pPr>
    </w:p>
    <w:bookmarkStart w:id="7" w:name="page8"/>
    <w:bookmarkEnd w:id="7"/>
    <w:p>
      <w:pPr>
        <w:ind w:right="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Non-GAAP net income declined to $32 million, or $0.05 per share (diluted), for the fourth quarter of fiscal 2009, a 74 percent decrease compared with non-GAAP net income of $123 million, or $0.20 per share (diluted), for the fourth quarter of fiscal 2008 and a decrease of 78 percent from non-GAAP net income of $145 million, or $0.23 per share (diluted), for the third quarter of fiscal 2009.</w:t>
      </w:r>
    </w:p>
    <w:p>
      <w:pPr>
        <w:spacing w:after="0" w:line="140"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Non-GAAP net income was $482 million, or $0.76 per share (diluted), for the fiscal year ended January 31, 2009, compared with non-GAAP net income of $280 million, or $0.44 per share (diluted), for the fiscal year ended February 2, 2008.</w:t>
      </w:r>
    </w:p>
    <w:p>
      <w:pPr>
        <w:spacing w:after="0" w:line="132"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“The results for our fourth quarter reflect the challenging business environment our company, and the world, currently faces,” said Dr. Sehat Sutardja, Marvell Chairman and Chief Executive Officer. “Notwithstanding the challenges we encountered during our fourth quarter, we were able to sustain gross margins, act quickly to lower our operating expenses and generate a healthy free cash flow. However, we believe the current economic climate will not substantially improve over the short term. Consequently, we are taking actions to re-align our business to reflect the realities of the current economic environment. We are focused on improving the operating efficiency of our business and lowering the expenses under our control, while reinforcing the long-term financial strength of Marvell. Our results in our fourth quarter demonstrate initial progress toward these goals.”</w:t>
      </w:r>
    </w:p>
    <w:p>
      <w:pPr>
        <w:spacing w:after="0" w:line="120" w:lineRule="exact"/>
        <w:rPr>
          <w:sz w:val="20"/>
          <w:szCs w:val="20"/>
          <w:color w:val="auto"/>
        </w:rPr>
      </w:pPr>
    </w:p>
    <w:p>
      <w:pPr>
        <w:spacing w:after="0" w:line="252" w:lineRule="auto"/>
        <w:rPr>
          <w:sz w:val="20"/>
          <w:szCs w:val="20"/>
          <w:color w:val="auto"/>
        </w:rPr>
      </w:pPr>
      <w:r>
        <w:rPr>
          <w:rFonts w:ascii="Arial" w:cs="Arial" w:eastAsia="Arial" w:hAnsi="Arial"/>
          <w:sz w:val="18"/>
          <w:szCs w:val="18"/>
          <w:color w:val="auto"/>
        </w:rPr>
        <w:t>Marvell is implementing plans to lower the overall costs and expenses of the company in response to the deteriorating economic environment. As a result of this plan and combined with certain cost reduction measures taken in the fourth quarter of fiscal 2009, Marvell plans to reduce its global workforce by approximately 15 percent, or approximately 850 employees. Marvell estimates that the restructuring charges associated with the reduction in force and consolidation of facilities taken to date will be approximately $20 million, including approximately $14 million related to severance and other employee benefit payments and approximately $6 million related to facility consolidation. Marvell expects the expense reduction actions in the plan to be implemented through calendar year 2009. This estimate includes restructuring charges recorded in the fiscal fourth quarter of 2009 of approximately $9.7 million, comprised of $6.7 million of severance and other employee benefit costs and $3.0 million of facilities consolidation. Marvell estimates that the restructuring measures taken to date will result in approximately $15 million in cash payments in calendar year 2009 and the remainder will be a non-cash accounting-related charge associated with facilities consolidation.</w:t>
      </w:r>
    </w:p>
    <w:p>
      <w:pPr>
        <w:spacing w:after="0" w:line="13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80" w:right="299" w:bottom="1440" w:gutter="0" w:footer="0" w:header="0"/>
        </w:sectPr>
      </w:pPr>
    </w:p>
    <w:bookmarkStart w:id="8" w:name="page9"/>
    <w:bookmarkEnd w:id="8"/>
    <w:p>
      <w:pPr>
        <w:jc w:val="both"/>
        <w:ind w:right="1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As Marvell implements the remaining portions of this plan, additional charges will be incurred, the amount of which Marvell cannot reasonably estimate at this time, but which will likely include additional severance and other employee benefit related costs, lease termination costs, facility site consolidations or closures, and impaired asset charges.</w:t>
      </w:r>
    </w:p>
    <w:p>
      <w:pPr>
        <w:spacing w:after="0" w:line="140" w:lineRule="exact"/>
        <w:rPr>
          <w:sz w:val="20"/>
          <w:szCs w:val="20"/>
          <w:color w:val="auto"/>
        </w:rPr>
      </w:pPr>
    </w:p>
    <w:p>
      <w:pPr>
        <w:ind w:right="80"/>
        <w:spacing w:after="0" w:line="286" w:lineRule="auto"/>
        <w:rPr>
          <w:sz w:val="20"/>
          <w:szCs w:val="20"/>
          <w:color w:val="auto"/>
        </w:rPr>
      </w:pPr>
      <w:r>
        <w:rPr>
          <w:rFonts w:ascii="Arial" w:cs="Arial" w:eastAsia="Arial" w:hAnsi="Arial"/>
          <w:sz w:val="16"/>
          <w:szCs w:val="16"/>
          <w:color w:val="auto"/>
        </w:rPr>
        <w:t>Marvell reports net income (loss), basic and diluted net income (loss) per share in accordance with U.S. generally accepted accounting principles (GAAP) and on a non-GAAP basis as outlined below. Reconciliations of GAAP net income (loss) to non-GAAP net income for the three months ended January 31,</w:t>
      </w:r>
    </w:p>
    <w:p>
      <w:pPr>
        <w:jc w:val="both"/>
        <w:ind w:right="360"/>
        <w:spacing w:after="0" w:line="255" w:lineRule="auto"/>
        <w:rPr>
          <w:sz w:val="20"/>
          <w:szCs w:val="20"/>
          <w:color w:val="auto"/>
        </w:rPr>
      </w:pPr>
      <w:r>
        <w:rPr>
          <w:rFonts w:ascii="Arial" w:cs="Arial" w:eastAsia="Arial" w:hAnsi="Arial"/>
          <w:sz w:val="18"/>
          <w:szCs w:val="18"/>
          <w:color w:val="auto"/>
        </w:rPr>
        <w:t>2009, November 1, 2008 and February 2, 2008 and fiscal years ended January 31, 2009 and February 2, 2008, respectively, appear in the financial statements below. Non-GAAP net income, where applicable, excludes the effect of stock-based compensation, amortization and write-offs of acquired intangible assets, restructuring costs, and certain one-time expenses or benefits.</w:t>
      </w:r>
    </w:p>
    <w:p>
      <w:pPr>
        <w:spacing w:after="0" w:line="14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GAAP gross margin for the fourth quarter of fiscal 2009 was 50.7 percent, compared to 48.1 percent for the fourth quarter of fiscal 2008, and 52.1 percent for the third quarter of fiscal 2009. GAAP gross margin for fiscal 2009 was 51.6% compared to 48.3% for fiscal 2008.</w:t>
      </w:r>
    </w:p>
    <w:p>
      <w:pPr>
        <w:spacing w:after="0" w:line="132" w:lineRule="exact"/>
        <w:rPr>
          <w:sz w:val="20"/>
          <w:szCs w:val="20"/>
          <w:color w:val="auto"/>
        </w:rPr>
      </w:pPr>
    </w:p>
    <w:p>
      <w:pPr>
        <w:spacing w:after="0" w:line="332" w:lineRule="auto"/>
        <w:rPr>
          <w:sz w:val="20"/>
          <w:szCs w:val="20"/>
          <w:color w:val="auto"/>
        </w:rPr>
      </w:pPr>
      <w:r>
        <w:rPr>
          <w:rFonts w:ascii="Arial" w:cs="Arial" w:eastAsia="Arial" w:hAnsi="Arial"/>
          <w:sz w:val="16"/>
          <w:szCs w:val="16"/>
          <w:color w:val="auto"/>
        </w:rPr>
        <w:t>Non-GAAP gross margin for the fourth quarter of fiscal 2009 was 51.3 percent, compared to 48.7 percent for the fourth quarter of fiscal 2008 and 52.3 percent for the third quarter of fiscal 2009. Non-GAAP gross margin for fiscal 2009 was 52 percent compared to 48.8 percent for fiscal 2008.</w:t>
      </w:r>
    </w:p>
    <w:p>
      <w:pPr>
        <w:spacing w:after="0" w:line="85" w:lineRule="exact"/>
        <w:rPr>
          <w:sz w:val="20"/>
          <w:szCs w:val="20"/>
          <w:color w:val="auto"/>
        </w:rPr>
      </w:pPr>
    </w:p>
    <w:p>
      <w:pPr>
        <w:jc w:val="both"/>
        <w:ind w:right="220"/>
        <w:spacing w:after="0" w:line="256" w:lineRule="auto"/>
        <w:rPr>
          <w:sz w:val="20"/>
          <w:szCs w:val="20"/>
          <w:color w:val="auto"/>
        </w:rPr>
      </w:pPr>
      <w:r>
        <w:rPr>
          <w:rFonts w:ascii="Arial" w:cs="Arial" w:eastAsia="Arial" w:hAnsi="Arial"/>
          <w:sz w:val="18"/>
          <w:szCs w:val="18"/>
          <w:color w:val="auto"/>
        </w:rPr>
        <w:t>Shares used to compute GAAP net loss per diluted share, for the fourth quarter of fiscal 2009 were 615 million shares, compared with 627 million shares in the fourth quarter of fiscal 2008 and 631 million shares in the third quarter of fiscal 2009. Shares used to compute non-GAAP net income per diluted share for the fourth quarter of fiscal 2009 were 629 million shares compared with 627 million shares for the fourth quarter of fiscal 2008 and 633 million shares for the third quarter of fiscal 2009.</w:t>
      </w:r>
    </w:p>
    <w:p>
      <w:pPr>
        <w:spacing w:after="0" w:line="143" w:lineRule="exact"/>
        <w:rPr>
          <w:sz w:val="20"/>
          <w:szCs w:val="20"/>
          <w:color w:val="auto"/>
        </w:rPr>
      </w:pPr>
    </w:p>
    <w:p>
      <w:pPr>
        <w:jc w:val="both"/>
        <w:ind w:right="280"/>
        <w:spacing w:after="0" w:line="259" w:lineRule="auto"/>
        <w:rPr>
          <w:sz w:val="20"/>
          <w:szCs w:val="20"/>
          <w:color w:val="auto"/>
        </w:rPr>
      </w:pPr>
      <w:r>
        <w:rPr>
          <w:rFonts w:ascii="Arial" w:cs="Arial" w:eastAsia="Arial" w:hAnsi="Arial"/>
          <w:sz w:val="18"/>
          <w:szCs w:val="18"/>
          <w:color w:val="auto"/>
        </w:rPr>
        <w:t>Shares used to compute GAAP net income per diluted share, for the fiscal year ended January 31, 2009 were 630 million shares, compared with shares used to compute GAAP net loss per diluted share of 590 million shares for the fiscal year ended February 2, 2008. Shares used to compute non-GAAP net income per diluted</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9" w:name="page10"/>
    <w:bookmarkEnd w:id="9"/>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share for the fiscal year ended January 31, 2009 were 630 million shares compared with 630 million shares for the fiscal year ended February 2, 2008.</w:t>
      </w:r>
    </w:p>
    <w:p>
      <w:pPr>
        <w:spacing w:after="0" w:line="194"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Cash flow from operations for the fourth quarter of fiscal 2009 was $109 million, down 33 percent from the $163 million in the fourth quarter of fiscal 2008 and down 58 percent sequentially from the $258 million reported in the third quarter of fiscal 2009. Cash flow from operations for fiscal 2009 was $681 million, as compared to $177 million for fiscal 2008. Free cash flow, defined as cash flow from operations, less capital expenditures, was $95 million, down 27 percent from the $131 million in the fourth quarter of fiscal 2008 and down 61 percent sequentially from the $246 million reported in the third quarter of fiscal 2009. Free cash flow for the year was $607 million in fiscal 2009 as compared to $64 million in fiscal 2008.</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jc w:val="both"/>
        <w:ind w:right="80"/>
        <w:spacing w:after="0" w:line="256" w:lineRule="auto"/>
        <w:rPr>
          <w:sz w:val="20"/>
          <w:szCs w:val="20"/>
          <w:color w:val="auto"/>
        </w:rPr>
      </w:pPr>
      <w:r>
        <w:rPr>
          <w:rFonts w:ascii="Arial" w:cs="Arial" w:eastAsia="Arial" w:hAnsi="Arial"/>
          <w:sz w:val="18"/>
          <w:szCs w:val="18"/>
          <w:color w:val="auto"/>
        </w:rPr>
        <w:t xml:space="preserve">Marvell will be conducting a conference call on March 5, 2009 at 2:00 p.m. PST to discuss results for the fourth quarter and fiscal year ended January 31, 2009. Interested parties may dial-in to the conference call at </w:t>
      </w:r>
      <w:r>
        <w:rPr>
          <w:rFonts w:ascii="Arial" w:cs="Arial" w:eastAsia="Arial" w:hAnsi="Arial"/>
          <w:sz w:val="18"/>
          <w:szCs w:val="18"/>
          <w:b w:val="1"/>
          <w:bCs w:val="1"/>
          <w:color w:val="auto"/>
        </w:rPr>
        <w:t>1-800-299-9630, pass-code 70089700</w:t>
      </w:r>
      <w:r>
        <w:rPr>
          <w:rFonts w:ascii="Arial" w:cs="Arial" w:eastAsia="Arial" w:hAnsi="Arial"/>
          <w:sz w:val="18"/>
          <w:szCs w:val="18"/>
          <w:color w:val="auto"/>
        </w:rPr>
        <w:t xml:space="preserve">. The call is being webcast by ThomsonReuters and can be accessed at Marvell’s website under the Investor Events section of the Investor Relations page at </w:t>
      </w:r>
      <w:r>
        <w:rPr>
          <w:rFonts w:ascii="Arial" w:cs="Arial" w:eastAsia="Arial" w:hAnsi="Arial"/>
          <w:sz w:val="18"/>
          <w:szCs w:val="18"/>
          <w:u w:val="single" w:color="auto"/>
          <w:color w:val="auto"/>
        </w:rPr>
        <w:t>http://www.marvell.com/investors/events.jsp</w:t>
      </w:r>
      <w:r>
        <w:rPr>
          <w:rFonts w:ascii="Arial" w:cs="Arial" w:eastAsia="Arial" w:hAnsi="Arial"/>
          <w:sz w:val="18"/>
          <w:szCs w:val="18"/>
          <w:color w:val="auto"/>
        </w:rPr>
        <w:t>. Replay on the internet will be available following the call until April 4, 2009.</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120"/>
        <w:spacing w:after="0" w:line="314" w:lineRule="auto"/>
        <w:rPr>
          <w:sz w:val="20"/>
          <w:szCs w:val="20"/>
          <w:color w:val="auto"/>
        </w:rPr>
      </w:pPr>
      <w:r>
        <w:rPr>
          <w:rFonts w:ascii="Arial" w:cs="Arial" w:eastAsia="Arial" w:hAnsi="Arial"/>
          <w:sz w:val="15"/>
          <w:szCs w:val="15"/>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9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80" w:right="279" w:bottom="1440" w:gutter="0" w:footer="0" w:header="0"/>
        </w:sectPr>
      </w:pPr>
    </w:p>
    <w:bookmarkStart w:id="10" w:name="page11"/>
    <w:bookmarkEnd w:id="10"/>
    <w:p>
      <w:pPr>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b w:val="1"/>
          <w:bCs w:val="1"/>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Technology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t>
      </w:r>
      <w:r>
        <w:rPr>
          <w:rFonts w:ascii="Arial" w:cs="Arial" w:eastAsia="Arial" w:hAnsi="Arial"/>
          <w:sz w:val="18"/>
          <w:szCs w:val="18"/>
          <w:u w:val="single" w:color="auto"/>
          <w:color w:val="auto"/>
        </w:rPr>
        <w:t>www.marvell.com</w:t>
      </w:r>
    </w:p>
    <w:p>
      <w:pPr>
        <w:spacing w:after="0" w:line="13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40"/>
          </w:cols>
          <w:pgMar w:left="240" w:top="280" w:right="319" w:bottom="1440" w:gutter="0" w:footer="0" w:header="0"/>
        </w:sectPr>
      </w:pPr>
    </w:p>
    <w:bookmarkStart w:id="11" w:name="page12"/>
    <w:bookmarkEnd w:id="1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Forward-Looking Statements</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our expectations about when the current economic climate may change; our ability to re-align our business to the current economic environment; the magnitude and financial impact of the reduction in force; and statements concerning the Company’s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reliance on major customers and suppliers; market acceptance of new products; uncertainty in the worldwide economic environment; successful execution of the Company’s restructuring plan and other risks detailed in Marvell’s SEC filings. When Marvell files its Form 10-K for fiscal year 2009,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Quarterly Report on Form 10-Q for the quarter ended November 1, 2008 and Current Reports on Form 8-K, as filed with the SEC and other factors detailed from time to time in Marvell’s filings with the SEC. Marvell undertakes no obligation to revise or update publicly any forward-looking statements.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12" w:name="page13"/>
    <w:bookmarkEnd w:id="12"/>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90"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60" w:type="dxa"/>
            <w:vAlign w:val="bottom"/>
            <w:gridSpan w:val="5"/>
          </w:tcPr>
          <w:p>
            <w:pPr>
              <w:ind w:left="2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80" w:type="dxa"/>
            <w:vAlign w:val="bottom"/>
            <w:gridSpan w:val="6"/>
          </w:tcPr>
          <w:p>
            <w:pPr>
              <w:jc w:val="right"/>
              <w:ind w:right="64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62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20" w:type="dxa"/>
            <w:vAlign w:val="bottom"/>
            <w:tcBorders>
              <w:top w:val="single" w:sz="8" w:color="auto"/>
            </w:tcBorders>
          </w:tcPr>
          <w:p>
            <w:pPr>
              <w:spacing w:after="0"/>
              <w:rPr>
                <w:sz w:val="11"/>
                <w:szCs w:val="11"/>
                <w:color w:val="auto"/>
              </w:rPr>
            </w:pPr>
          </w:p>
        </w:tc>
        <w:tc>
          <w:tcPr>
            <w:tcW w:w="9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1,</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February 2,</w:t>
            </w:r>
          </w:p>
        </w:tc>
        <w:tc>
          <w:tcPr>
            <w:tcW w:w="280" w:type="dxa"/>
            <w:vAlign w:val="bottom"/>
          </w:tcPr>
          <w:p>
            <w:pPr>
              <w:spacing w:after="0"/>
              <w:rPr>
                <w:sz w:val="11"/>
                <w:szCs w:val="11"/>
                <w:color w:val="auto"/>
              </w:rPr>
            </w:pPr>
          </w:p>
        </w:tc>
        <w:tc>
          <w:tcPr>
            <w:tcW w:w="90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January 31,</w:t>
            </w: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5"/>
              </w:rPr>
              <w:t>February 2,</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6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2008</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512,867</w:t>
            </w:r>
          </w:p>
        </w:tc>
        <w:tc>
          <w:tcPr>
            <w:tcW w:w="18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791,046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844,686</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4"/>
              </w:rPr>
              <w:t>2,950,563</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2,894,693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620" w:type="dxa"/>
            <w:vAlign w:val="bottom"/>
          </w:tcPr>
          <w:p>
            <w:pPr>
              <w:spacing w:after="0"/>
              <w:rPr>
                <w:sz w:val="20"/>
                <w:szCs w:val="20"/>
                <w:color w:val="auto"/>
              </w:rPr>
            </w:pPr>
            <w:r>
              <w:rPr>
                <w:rFonts w:ascii="Arial" w:cs="Arial" w:eastAsia="Arial" w:hAnsi="Arial"/>
                <w:sz w:val="18"/>
                <w:szCs w:val="18"/>
                <w:color w:val="auto"/>
              </w:rPr>
              <w:t>Cost of goods sold</w:t>
            </w: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252,732</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379,137</w:t>
            </w: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438,640</w:t>
            </w: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1,426,624</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1,497,796</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260,135</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411,909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406,046</w:t>
            </w: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4"/>
              </w:rPr>
              <w:t>1,523,939</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1,396,897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tcPr>
          <w:p>
            <w:pPr>
              <w:spacing w:after="0"/>
              <w:rPr>
                <w:sz w:val="20"/>
                <w:szCs w:val="20"/>
                <w:color w:val="auto"/>
              </w:rPr>
            </w:pPr>
            <w:r>
              <w:rPr>
                <w:rFonts w:ascii="Arial" w:cs="Arial" w:eastAsia="Arial" w:hAnsi="Arial"/>
                <w:sz w:val="18"/>
                <w:szCs w:val="18"/>
                <w:color w:val="auto"/>
              </w:rPr>
              <w:t>Operating expenses:</w:t>
            </w: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207,579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234,222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266,464</w:t>
            </w: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929,990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988,996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31,893</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41,158</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60,504</w:t>
            </w:r>
          </w:p>
        </w:tc>
        <w:tc>
          <w:tcPr>
            <w:tcW w:w="1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160,973</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211,261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31,979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48,340</w:t>
            </w: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104,788</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138,640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48,274</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34,814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43,810</w:t>
            </w:r>
          </w:p>
        </w:tc>
        <w:tc>
          <w:tcPr>
            <w:tcW w:w="1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153,323</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155,734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9,689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2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9,689</w:t>
            </w: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620" w:type="dxa"/>
            <w:vAlign w:val="bottom"/>
          </w:tcPr>
          <w:p>
            <w:pPr>
              <w:ind w:left="860"/>
              <w:spacing w:after="0"/>
              <w:rPr>
                <w:sz w:val="20"/>
                <w:szCs w:val="20"/>
                <w:color w:val="auto"/>
              </w:rPr>
            </w:pPr>
            <w:r>
              <w:rPr>
                <w:rFonts w:ascii="Arial" w:cs="Arial" w:eastAsia="Arial" w:hAnsi="Arial"/>
                <w:sz w:val="18"/>
                <w:szCs w:val="18"/>
                <w:color w:val="auto"/>
              </w:rPr>
              <w:t>Total operating expenses</w:t>
            </w: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329,414</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339,063</w:t>
            </w:r>
          </w:p>
        </w:tc>
        <w:tc>
          <w:tcPr>
            <w:tcW w:w="2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426,974</w:t>
            </w:r>
          </w:p>
        </w:tc>
        <w:tc>
          <w:tcPr>
            <w:tcW w:w="28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1,358,763</w:t>
            </w: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1,502,487</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w w:val="92"/>
              </w:rPr>
              <w:t>(69,279)</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72,846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(20,928)</w:t>
            </w: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165,176</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(105,590)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100" w:type="dxa"/>
            <w:vAlign w:val="bottom"/>
          </w:tcPr>
          <w:p>
            <w:pPr>
              <w:spacing w:after="0"/>
              <w:rPr>
                <w:sz w:val="18"/>
                <w:szCs w:val="18"/>
                <w:color w:val="auto"/>
              </w:rPr>
            </w:pPr>
          </w:p>
        </w:tc>
        <w:tc>
          <w:tcPr>
            <w:tcW w:w="760" w:type="dxa"/>
            <w:vAlign w:val="bottom"/>
            <w:gridSpan w:val="2"/>
          </w:tcPr>
          <w:p>
            <w:pPr>
              <w:jc w:val="right"/>
              <w:ind w:right="52"/>
              <w:spacing w:after="0"/>
              <w:rPr>
                <w:sz w:val="20"/>
                <w:szCs w:val="20"/>
                <w:color w:val="auto"/>
              </w:rPr>
            </w:pPr>
            <w:r>
              <w:rPr>
                <w:rFonts w:ascii="Arial" w:cs="Arial" w:eastAsia="Arial" w:hAnsi="Arial"/>
                <w:sz w:val="18"/>
                <w:szCs w:val="18"/>
                <w:color w:val="auto"/>
              </w:rPr>
              <w:t>(440)</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11,543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14,910</w:t>
            </w:r>
          </w:p>
        </w:tc>
        <w:tc>
          <w:tcPr>
            <w:tcW w:w="1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5,657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(12,398)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6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w w:val="92"/>
              </w:rPr>
              <w:t>(69,719)</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84,389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(6,018)</w:t>
            </w: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170,833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(117,988)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2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00" w:type="dxa"/>
            <w:vAlign w:val="bottom"/>
          </w:tcPr>
          <w:p>
            <w:pPr>
              <w:spacing w:after="0"/>
              <w:rPr>
                <w:sz w:val="18"/>
                <w:szCs w:val="18"/>
                <w:color w:val="auto"/>
              </w:rPr>
            </w:pPr>
          </w:p>
        </w:tc>
        <w:tc>
          <w:tcPr>
            <w:tcW w:w="760" w:type="dxa"/>
            <w:vAlign w:val="bottom"/>
            <w:gridSpan w:val="2"/>
          </w:tcPr>
          <w:p>
            <w:pPr>
              <w:jc w:val="right"/>
              <w:ind w:right="52"/>
              <w:spacing w:after="0"/>
              <w:rPr>
                <w:sz w:val="20"/>
                <w:szCs w:val="20"/>
                <w:color w:val="auto"/>
              </w:rPr>
            </w:pPr>
            <w:r>
              <w:rPr>
                <w:rFonts w:ascii="Arial" w:cs="Arial" w:eastAsia="Arial" w:hAnsi="Arial"/>
                <w:sz w:val="18"/>
                <w:szCs w:val="18"/>
                <w:color w:val="auto"/>
              </w:rPr>
              <w:t>(4,709)</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13,443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(7,311)</w:t>
            </w:r>
          </w:p>
        </w:tc>
        <w:tc>
          <w:tcPr>
            <w:tcW w:w="1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23,591</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(3,561)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6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w w:val="92"/>
              </w:rPr>
              <w:t>(65,010)</w:t>
            </w: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70,946</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1,293</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147,242</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(114,427)</w:t>
            </w:r>
          </w:p>
        </w:tc>
        <w:tc>
          <w:tcPr>
            <w:tcW w:w="0" w:type="dxa"/>
            <w:vAlign w:val="bottom"/>
          </w:tcPr>
          <w:p>
            <w:pPr>
              <w:spacing w:after="0"/>
              <w:rPr>
                <w:sz w:val="1"/>
                <w:szCs w:val="1"/>
                <w:color w:val="auto"/>
              </w:rPr>
            </w:pPr>
          </w:p>
        </w:tc>
      </w:tr>
      <w:tr>
        <w:trPr>
          <w:trHeight w:val="20"/>
        </w:trPr>
        <w:tc>
          <w:tcPr>
            <w:tcW w:w="6640" w:type="dxa"/>
            <w:vAlign w:val="bottom"/>
            <w:gridSpan w:val="2"/>
            <w:vMerge w:val="restart"/>
          </w:tcPr>
          <w:p>
            <w:pPr>
              <w:spacing w:after="0"/>
              <w:rPr>
                <w:sz w:val="20"/>
                <w:szCs w:val="20"/>
                <w:color w:val="auto"/>
              </w:rPr>
            </w:pPr>
            <w:r>
              <w:rPr>
                <w:rFonts w:ascii="Arial" w:cs="Arial" w:eastAsia="Arial" w:hAnsi="Arial"/>
                <w:sz w:val="18"/>
                <w:szCs w:val="18"/>
                <w:color w:val="auto"/>
              </w:rPr>
              <w:t>Basic net income (loss)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640" w:type="dxa"/>
            <w:vAlign w:val="bottom"/>
            <w:gridSpan w:val="2"/>
            <w:vMerge w:val="continue"/>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52"/>
              <w:spacing w:after="0"/>
              <w:rPr>
                <w:sz w:val="20"/>
                <w:szCs w:val="20"/>
                <w:color w:val="auto"/>
              </w:rPr>
            </w:pPr>
            <w:r>
              <w:rPr>
                <w:rFonts w:ascii="Arial" w:cs="Arial" w:eastAsia="Arial" w:hAnsi="Arial"/>
                <w:sz w:val="18"/>
                <w:szCs w:val="18"/>
                <w:color w:val="auto"/>
              </w:rPr>
              <w:t>(0.11)</w:t>
            </w:r>
          </w:p>
        </w:tc>
        <w:tc>
          <w:tcPr>
            <w:tcW w:w="240" w:type="dxa"/>
            <w:vAlign w:val="bottom"/>
            <w:gridSpan w:val="2"/>
          </w:tcPr>
          <w:p>
            <w:pPr>
              <w:ind w:left="12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0.12</w:t>
            </w:r>
          </w:p>
        </w:tc>
        <w:tc>
          <w:tcPr>
            <w:tcW w:w="2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0.00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0.24</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(0.11)</w:t>
            </w:r>
          </w:p>
        </w:tc>
        <w:tc>
          <w:tcPr>
            <w:tcW w:w="24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0.00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0.23</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0"/>
        </w:trPr>
        <w:tc>
          <w:tcPr>
            <w:tcW w:w="6640" w:type="dxa"/>
            <w:vAlign w:val="bottom"/>
            <w:gridSpan w:val="2"/>
            <w:vMerge w:val="restart"/>
          </w:tcPr>
          <w:p>
            <w:pPr>
              <w:spacing w:after="0"/>
              <w:rPr>
                <w:sz w:val="20"/>
                <w:szCs w:val="20"/>
                <w:color w:val="auto"/>
              </w:rPr>
            </w:pPr>
            <w:r>
              <w:rPr>
                <w:rFonts w:ascii="Arial" w:cs="Arial" w:eastAsia="Arial" w:hAnsi="Arial"/>
                <w:sz w:val="18"/>
                <w:szCs w:val="18"/>
                <w:color w:val="auto"/>
              </w:rPr>
              <w:t>Shares used in computing basic earnings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664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614,960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611,945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595,512</w:t>
            </w:r>
          </w:p>
        </w:tc>
        <w:tc>
          <w:tcPr>
            <w:tcW w:w="100" w:type="dxa"/>
            <w:vAlign w:val="bottom"/>
          </w:tcPr>
          <w:p>
            <w:pPr>
              <w:spacing w:after="0"/>
              <w:rPr>
                <w:sz w:val="18"/>
                <w:szCs w:val="18"/>
                <w:color w:val="auto"/>
              </w:rPr>
            </w:pP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608,747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590,308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614,960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630,810</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626,699</w:t>
            </w: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630,328</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90" w:lineRule="exact"/>
        <w:rPr>
          <w:sz w:val="20"/>
          <w:szCs w:val="20"/>
          <w:color w:val="auto"/>
        </w:rPr>
      </w:pPr>
    </w:p>
    <w:p>
      <w:pPr>
        <w:ind w:left="4120"/>
        <w:spacing w:after="0"/>
        <w:rPr>
          <w:sz w:val="20"/>
          <w:szCs w:val="20"/>
          <w:color w:val="auto"/>
        </w:rPr>
      </w:pPr>
      <w:r>
        <w:rPr>
          <w:rFonts w:ascii="Arial" w:cs="Arial" w:eastAsia="Arial" w:hAnsi="Arial"/>
          <w:sz w:val="18"/>
          <w:szCs w:val="18"/>
          <w:b w:val="1"/>
          <w:bCs w:val="1"/>
          <w:color w:val="auto"/>
        </w:rPr>
        <w:t>Reconciliation of Non-GAAP Adjustments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jc w:val="right"/>
              <w:ind w:right="40"/>
              <w:spacing w:after="0"/>
              <w:rPr>
                <w:sz w:val="20"/>
                <w:szCs w:val="20"/>
                <w:color w:val="auto"/>
              </w:rPr>
            </w:pPr>
            <w:r>
              <w:rPr>
                <w:rFonts w:ascii="Arial" w:cs="Arial" w:eastAsia="Arial" w:hAnsi="Arial"/>
                <w:sz w:val="14"/>
                <w:szCs w:val="14"/>
                <w:b w:val="1"/>
                <w:bCs w:val="1"/>
                <w:color w:val="auto"/>
                <w:w w:val="86"/>
              </w:rPr>
              <w:t>Three Months Ended</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4"/>
          </w:tcPr>
          <w:p>
            <w:pPr>
              <w:jc w:val="right"/>
              <w:ind w:right="4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5"/>
          </w:tcPr>
          <w:p>
            <w:pPr>
              <w:jc w:val="right"/>
              <w:ind w:right="60"/>
              <w:spacing w:after="0"/>
              <w:rPr>
                <w:sz w:val="20"/>
                <w:szCs w:val="20"/>
                <w:color w:val="auto"/>
              </w:rPr>
            </w:pPr>
            <w:r>
              <w:rPr>
                <w:rFonts w:ascii="Arial" w:cs="Arial" w:eastAsia="Arial" w:hAnsi="Arial"/>
                <w:sz w:val="14"/>
                <w:szCs w:val="14"/>
                <w:b w:val="1"/>
                <w:bCs w:val="1"/>
                <w:color w:val="auto"/>
                <w:w w:val="89"/>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spacing w:after="0"/>
              <w:rPr>
                <w:sz w:val="12"/>
                <w:szCs w:val="12"/>
                <w:color w:val="auto"/>
              </w:rPr>
            </w:pPr>
          </w:p>
        </w:tc>
        <w:tc>
          <w:tcPr>
            <w:tcW w:w="60" w:type="dxa"/>
            <w:vAlign w:val="bottom"/>
            <w:tcBorders>
              <w:bottom w:val="single" w:sz="8" w:color="auto"/>
            </w:tcBorders>
          </w:tcPr>
          <w:p>
            <w:pPr>
              <w:spacing w:after="0"/>
              <w:rPr>
                <w:sz w:val="12"/>
                <w:szCs w:val="12"/>
                <w:color w:val="auto"/>
              </w:rPr>
            </w:pPr>
          </w:p>
        </w:tc>
        <w:tc>
          <w:tcPr>
            <w:tcW w:w="1260" w:type="dxa"/>
            <w:vAlign w:val="bottom"/>
            <w:tcBorders>
              <w:bottom w:val="single" w:sz="8" w:color="auto"/>
            </w:tcBorders>
            <w:gridSpan w:val="4"/>
          </w:tcPr>
          <w:p>
            <w:pPr>
              <w:jc w:val="right"/>
              <w:ind w:right="160"/>
              <w:spacing w:after="0" w:line="142" w:lineRule="exact"/>
              <w:rPr>
                <w:sz w:val="20"/>
                <w:szCs w:val="20"/>
                <w:color w:val="auto"/>
              </w:rPr>
            </w:pPr>
            <w:r>
              <w:rPr>
                <w:rFonts w:ascii="Arial" w:cs="Arial" w:eastAsia="Arial" w:hAnsi="Arial"/>
                <w:sz w:val="14"/>
                <w:szCs w:val="14"/>
                <w:b w:val="1"/>
                <w:bCs w:val="1"/>
                <w:color w:val="auto"/>
                <w:w w:val="96"/>
              </w:rPr>
              <w:t>January 31, 2009</w:t>
            </w:r>
          </w:p>
        </w:tc>
        <w:tc>
          <w:tcPr>
            <w:tcW w:w="2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spacing w:after="0"/>
              <w:rPr>
                <w:sz w:val="12"/>
                <w:szCs w:val="12"/>
                <w:color w:val="auto"/>
              </w:rPr>
            </w:pPr>
          </w:p>
        </w:tc>
        <w:tc>
          <w:tcPr>
            <w:tcW w:w="20" w:type="dxa"/>
            <w:vAlign w:val="bottom"/>
            <w:tcBorders>
              <w:bottom w:val="single" w:sz="8" w:color="auto"/>
            </w:tcBorders>
          </w:tcPr>
          <w:p>
            <w:pPr>
              <w:spacing w:after="0"/>
              <w:rPr>
                <w:sz w:val="12"/>
                <w:szCs w:val="12"/>
                <w:color w:val="auto"/>
              </w:rPr>
            </w:pPr>
          </w:p>
        </w:tc>
        <w:tc>
          <w:tcPr>
            <w:tcW w:w="1280" w:type="dxa"/>
            <w:vAlign w:val="bottom"/>
            <w:tcBorders>
              <w:bottom w:val="single" w:sz="8" w:color="auto"/>
            </w:tcBorders>
            <w:gridSpan w:val="4"/>
          </w:tcPr>
          <w:p>
            <w:pPr>
              <w:jc w:val="right"/>
              <w:ind w:right="140"/>
              <w:spacing w:after="0" w:line="142" w:lineRule="exact"/>
              <w:rPr>
                <w:sz w:val="20"/>
                <w:szCs w:val="20"/>
                <w:color w:val="auto"/>
              </w:rPr>
            </w:pPr>
            <w:r>
              <w:rPr>
                <w:rFonts w:ascii="Arial" w:cs="Arial" w:eastAsia="Arial" w:hAnsi="Arial"/>
                <w:sz w:val="14"/>
                <w:szCs w:val="14"/>
                <w:b w:val="1"/>
                <w:bCs w:val="1"/>
                <w:color w:val="auto"/>
                <w:w w:val="94"/>
              </w:rPr>
              <w:t>November 1, 2008</w:t>
            </w: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spacing w:after="0"/>
              <w:rPr>
                <w:sz w:val="12"/>
                <w:szCs w:val="12"/>
                <w:color w:val="auto"/>
              </w:rPr>
            </w:pPr>
          </w:p>
        </w:tc>
        <w:tc>
          <w:tcPr>
            <w:tcW w:w="140" w:type="dxa"/>
            <w:vAlign w:val="bottom"/>
            <w:tcBorders>
              <w:bottom w:val="single" w:sz="8" w:color="auto"/>
            </w:tcBorders>
          </w:tcPr>
          <w:p>
            <w:pPr>
              <w:spacing w:after="0"/>
              <w:rPr>
                <w:sz w:val="12"/>
                <w:szCs w:val="12"/>
                <w:color w:val="auto"/>
              </w:rPr>
            </w:pPr>
          </w:p>
        </w:tc>
        <w:tc>
          <w:tcPr>
            <w:tcW w:w="1180" w:type="dxa"/>
            <w:vAlign w:val="bottom"/>
            <w:tcBorders>
              <w:bottom w:val="single" w:sz="8" w:color="auto"/>
            </w:tcBorders>
            <w:gridSpan w:val="4"/>
          </w:tcPr>
          <w:p>
            <w:pPr>
              <w:jc w:val="right"/>
              <w:ind w:right="180"/>
              <w:spacing w:after="0" w:line="142" w:lineRule="exact"/>
              <w:rPr>
                <w:sz w:val="20"/>
                <w:szCs w:val="20"/>
                <w:color w:val="auto"/>
              </w:rPr>
            </w:pPr>
            <w:r>
              <w:rPr>
                <w:rFonts w:ascii="Arial" w:cs="Arial" w:eastAsia="Arial" w:hAnsi="Arial"/>
                <w:sz w:val="14"/>
                <w:szCs w:val="14"/>
                <w:b w:val="1"/>
                <w:bCs w:val="1"/>
                <w:color w:val="auto"/>
                <w:w w:val="88"/>
              </w:rPr>
              <w:t>February 2, 2008</w:t>
            </w: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26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jc w:val="right"/>
              <w:ind w:right="73"/>
              <w:spacing w:after="0" w:line="142" w:lineRule="exact"/>
              <w:rPr>
                <w:sz w:val="20"/>
                <w:szCs w:val="20"/>
                <w:color w:val="auto"/>
              </w:rPr>
            </w:pPr>
            <w:r>
              <w:rPr>
                <w:rFonts w:ascii="Arial" w:cs="Arial" w:eastAsia="Arial" w:hAnsi="Arial"/>
                <w:sz w:val="14"/>
                <w:szCs w:val="14"/>
                <w:b w:val="1"/>
                <w:bCs w:val="1"/>
                <w:color w:val="auto"/>
                <w:w w:val="98"/>
              </w:rPr>
              <w:t>GAAP</w:t>
            </w: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40" w:type="dxa"/>
            <w:vAlign w:val="bottom"/>
            <w:tcBorders>
              <w:bottom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84"/>
              </w:rPr>
              <w:t>Adjustments</w:t>
            </w:r>
          </w:p>
        </w:tc>
        <w:tc>
          <w:tcPr>
            <w:tcW w:w="3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80" w:type="dxa"/>
            <w:vAlign w:val="bottom"/>
            <w:tcBorders>
              <w:bottom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Non-GAAP</w:t>
            </w: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jc w:val="right"/>
              <w:ind w:right="73"/>
              <w:spacing w:after="0" w:line="142" w:lineRule="exact"/>
              <w:rPr>
                <w:sz w:val="20"/>
                <w:szCs w:val="20"/>
                <w:color w:val="auto"/>
              </w:rPr>
            </w:pPr>
            <w:r>
              <w:rPr>
                <w:rFonts w:ascii="Arial" w:cs="Arial" w:eastAsia="Arial" w:hAnsi="Arial"/>
                <w:sz w:val="14"/>
                <w:szCs w:val="14"/>
                <w:b w:val="1"/>
                <w:bCs w:val="1"/>
                <w:color w:val="auto"/>
                <w:w w:val="98"/>
              </w:rPr>
              <w:t>GAAP</w:t>
            </w:r>
          </w:p>
        </w:tc>
        <w:tc>
          <w:tcPr>
            <w:tcW w:w="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40" w:type="dxa"/>
            <w:vAlign w:val="bottom"/>
            <w:tcBorders>
              <w:bottom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84"/>
              </w:rPr>
              <w:t>Adjustments</w:t>
            </w:r>
          </w:p>
        </w:tc>
        <w:tc>
          <w:tcPr>
            <w:tcW w:w="300" w:type="dxa"/>
            <w:vAlign w:val="bottom"/>
          </w:tcPr>
          <w:p>
            <w:pPr>
              <w:spacing w:after="0"/>
              <w:rPr>
                <w:sz w:val="12"/>
                <w:szCs w:val="12"/>
                <w:color w:val="auto"/>
              </w:rPr>
            </w:pPr>
          </w:p>
        </w:tc>
        <w:tc>
          <w:tcPr>
            <w:tcW w:w="680" w:type="dxa"/>
            <w:vAlign w:val="bottom"/>
            <w:tcBorders>
              <w:bottom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Non-GAAP</w:t>
            </w:r>
          </w:p>
        </w:tc>
        <w:tc>
          <w:tcPr>
            <w:tcW w:w="26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580" w:type="dxa"/>
            <w:vAlign w:val="bottom"/>
            <w:tcBorders>
              <w:bottom w:val="single" w:sz="8" w:color="auto"/>
            </w:tcBorders>
          </w:tcPr>
          <w:p>
            <w:pPr>
              <w:jc w:val="right"/>
              <w:ind w:right="73"/>
              <w:spacing w:after="0" w:line="142" w:lineRule="exact"/>
              <w:rPr>
                <w:sz w:val="20"/>
                <w:szCs w:val="20"/>
                <w:color w:val="auto"/>
              </w:rPr>
            </w:pPr>
            <w:r>
              <w:rPr>
                <w:rFonts w:ascii="Arial" w:cs="Arial" w:eastAsia="Arial" w:hAnsi="Arial"/>
                <w:sz w:val="14"/>
                <w:szCs w:val="14"/>
                <w:b w:val="1"/>
                <w:bCs w:val="1"/>
                <w:color w:val="auto"/>
                <w:w w:val="98"/>
              </w:rPr>
              <w:t>GAAP</w:t>
            </w: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60" w:type="dxa"/>
            <w:vAlign w:val="bottom"/>
            <w:tcBorders>
              <w:bottom w:val="single" w:sz="8" w:color="auto"/>
            </w:tcBorders>
            <w:gridSpan w:val="2"/>
          </w:tcPr>
          <w:p>
            <w:pPr>
              <w:ind w:left="20"/>
              <w:spacing w:after="0" w:line="142" w:lineRule="exact"/>
              <w:rPr>
                <w:sz w:val="20"/>
                <w:szCs w:val="20"/>
                <w:color w:val="auto"/>
              </w:rPr>
            </w:pPr>
            <w:r>
              <w:rPr>
                <w:rFonts w:ascii="Arial" w:cs="Arial" w:eastAsia="Arial" w:hAnsi="Arial"/>
                <w:sz w:val="14"/>
                <w:szCs w:val="14"/>
                <w:b w:val="1"/>
                <w:bCs w:val="1"/>
                <w:color w:val="auto"/>
                <w:w w:val="84"/>
              </w:rPr>
              <w:t>Adjustments</w:t>
            </w:r>
          </w:p>
        </w:tc>
        <w:tc>
          <w:tcPr>
            <w:tcW w:w="320" w:type="dxa"/>
            <w:vAlign w:val="bottom"/>
          </w:tcPr>
          <w:p>
            <w:pPr>
              <w:spacing w:after="0"/>
              <w:rPr>
                <w:sz w:val="12"/>
                <w:szCs w:val="12"/>
                <w:color w:val="auto"/>
              </w:rPr>
            </w:pPr>
          </w:p>
        </w:tc>
        <w:tc>
          <w:tcPr>
            <w:tcW w:w="680" w:type="dxa"/>
            <w:vAlign w:val="bottom"/>
            <w:tcBorders>
              <w:bottom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1"/>
              </w:rPr>
              <w:t>Non-GAAP</w:t>
            </w: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512,867</w:t>
            </w:r>
          </w:p>
        </w:tc>
        <w:tc>
          <w:tcPr>
            <w:tcW w:w="3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1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512,867</w:t>
            </w:r>
          </w:p>
        </w:tc>
        <w:tc>
          <w:tcPr>
            <w:tcW w:w="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791,046</w:t>
            </w:r>
          </w:p>
        </w:tc>
        <w:tc>
          <w:tcPr>
            <w:tcW w:w="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6"/>
              </w:rPr>
              <w:t>791,046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844,686</w:t>
            </w:r>
          </w:p>
        </w:tc>
        <w:tc>
          <w:tcPr>
            <w:tcW w:w="1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844,686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Cost of goods sold</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252,732</w:t>
            </w: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3,021(a)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249,711</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379,137</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1,795(a)</w:t>
            </w:r>
          </w:p>
        </w:tc>
        <w:tc>
          <w:tcPr>
            <w:tcW w:w="10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377,342</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438,640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4,911(a)</w:t>
            </w: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433,729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26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260,135</w:t>
            </w: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3,021</w:t>
            </w: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263,156</w:t>
            </w: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411,909</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6"/>
              </w:rPr>
              <w:t>413,704</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406,046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4,911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410,957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tcPr>
          <w:p>
            <w:pPr>
              <w:ind w:left="420"/>
              <w:spacing w:after="0"/>
              <w:rPr>
                <w:sz w:val="20"/>
                <w:szCs w:val="20"/>
                <w:color w:val="auto"/>
              </w:rPr>
            </w:pPr>
            <w:r>
              <w:rPr>
                <w:rFonts w:ascii="Arial" w:cs="Arial" w:eastAsia="Arial" w:hAnsi="Arial"/>
                <w:sz w:val="18"/>
                <w:szCs w:val="18"/>
                <w:color w:val="auto"/>
              </w:rPr>
              <w:t>Gross margin</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3"/>
          </w:tcPr>
          <w:p>
            <w:pPr>
              <w:jc w:val="right"/>
              <w:ind w:right="22"/>
              <w:spacing w:after="0"/>
              <w:rPr>
                <w:sz w:val="20"/>
                <w:szCs w:val="20"/>
                <w:color w:val="auto"/>
              </w:rPr>
            </w:pPr>
            <w:r>
              <w:rPr>
                <w:rFonts w:ascii="Arial" w:cs="Arial" w:eastAsia="Arial" w:hAnsi="Arial"/>
                <w:sz w:val="18"/>
                <w:szCs w:val="18"/>
                <w:color w:val="auto"/>
              </w:rPr>
              <w:t>50.7%</w:t>
            </w: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51.3%</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3"/>
          </w:tcPr>
          <w:p>
            <w:pPr>
              <w:jc w:val="right"/>
              <w:ind w:right="42"/>
              <w:spacing w:after="0"/>
              <w:rPr>
                <w:sz w:val="20"/>
                <w:szCs w:val="20"/>
                <w:color w:val="auto"/>
              </w:rPr>
            </w:pPr>
            <w:r>
              <w:rPr>
                <w:rFonts w:ascii="Arial" w:cs="Arial" w:eastAsia="Arial" w:hAnsi="Arial"/>
                <w:sz w:val="18"/>
                <w:szCs w:val="18"/>
                <w:color w:val="auto"/>
              </w:rPr>
              <w:t>52.1%</w:t>
            </w: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52.3%</w:t>
            </w:r>
          </w:p>
        </w:tc>
        <w:tc>
          <w:tcPr>
            <w:tcW w:w="10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48.1%</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48.7%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Operating expenses:</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tcPr>
          <w:p>
            <w:pPr>
              <w:ind w:left="420"/>
              <w:spacing w:after="0"/>
              <w:rPr>
                <w:sz w:val="20"/>
                <w:szCs w:val="20"/>
                <w:color w:val="auto"/>
              </w:rPr>
            </w:pPr>
            <w:r>
              <w:rPr>
                <w:rFonts w:ascii="Arial" w:cs="Arial" w:eastAsia="Arial" w:hAnsi="Arial"/>
                <w:sz w:val="18"/>
                <w:szCs w:val="18"/>
                <w:color w:val="auto"/>
                <w:w w:val="99"/>
              </w:rPr>
              <w:t>Research and development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207,579</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33,358(a)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177,873</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234,222</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30,607(a)</w:t>
            </w:r>
          </w:p>
        </w:tc>
        <w:tc>
          <w:tcPr>
            <w:tcW w:w="10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203,615</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266,464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45,627(a)</w:t>
            </w: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220,837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(3,652)(b)</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31,893</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4,677(a)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28,539</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41,158</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6,896(a)</w:t>
            </w:r>
          </w:p>
        </w:tc>
        <w:tc>
          <w:tcPr>
            <w:tcW w:w="10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34,262</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60,504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13,925(a)</w:t>
            </w: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46,579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(1,323)(b)</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31,979</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3,645(a)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28,651</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28,869</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280(a)</w:t>
            </w:r>
          </w:p>
        </w:tc>
        <w:tc>
          <w:tcPr>
            <w:tcW w:w="10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28,589</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48,340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5,497(a)</w:t>
            </w: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42,843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(317)(b)</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40" w:type="dxa"/>
            <w:vAlign w:val="bottom"/>
          </w:tcPr>
          <w:p>
            <w:pPr>
              <w:ind w:left="420"/>
              <w:spacing w:after="0"/>
              <w:rPr>
                <w:sz w:val="20"/>
                <w:szCs w:val="20"/>
                <w:color w:val="auto"/>
              </w:rPr>
            </w:pPr>
            <w:r>
              <w:rPr>
                <w:rFonts w:ascii="Arial" w:cs="Arial" w:eastAsia="Arial" w:hAnsi="Arial"/>
                <w:sz w:val="18"/>
                <w:szCs w:val="18"/>
                <w:color w:val="auto"/>
                <w:w w:val="98"/>
              </w:rPr>
              <w:t>Amortization and write-off of</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640" w:type="dxa"/>
            <w:vAlign w:val="bottom"/>
          </w:tcPr>
          <w:p>
            <w:pPr>
              <w:ind w:left="640"/>
              <w:spacing w:after="0"/>
              <w:rPr>
                <w:sz w:val="20"/>
                <w:szCs w:val="20"/>
                <w:color w:val="auto"/>
              </w:rPr>
            </w:pPr>
            <w:r>
              <w:rPr>
                <w:rFonts w:ascii="Arial" w:cs="Arial" w:eastAsia="Arial" w:hAnsi="Arial"/>
                <w:sz w:val="18"/>
                <w:szCs w:val="18"/>
                <w:color w:val="auto"/>
                <w:w w:val="95"/>
              </w:rPr>
              <w:t>acquired intangible assets</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48,274</w:t>
            </w: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w w:val="99"/>
              </w:rPr>
              <w:t>48,274(c)</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34,814</w:t>
            </w: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w w:val="97"/>
              </w:rPr>
              <w:t>34,814(c)</w:t>
            </w:r>
          </w:p>
        </w:tc>
        <w:tc>
          <w:tcPr>
            <w:tcW w:w="100" w:type="dxa"/>
            <w:vAlign w:val="bottom"/>
          </w:tcPr>
          <w:p>
            <w:pPr>
              <w:spacing w:after="0"/>
              <w:rPr>
                <w:sz w:val="19"/>
                <w:szCs w:val="19"/>
                <w:color w:val="auto"/>
              </w:rPr>
            </w:pPr>
          </w:p>
        </w:tc>
        <w:tc>
          <w:tcPr>
            <w:tcW w:w="8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43,810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43,810(c)</w:t>
            </w:r>
          </w:p>
        </w:tc>
        <w:tc>
          <w:tcPr>
            <w:tcW w:w="100" w:type="dxa"/>
            <w:vAlign w:val="bottom"/>
          </w:tcPr>
          <w:p>
            <w:pPr>
              <w:spacing w:after="0"/>
              <w:rPr>
                <w:sz w:val="19"/>
                <w:szCs w:val="19"/>
                <w:color w:val="auto"/>
              </w:rPr>
            </w:pP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2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9,689</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9,689(d)</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7,856(d)</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640" w:type="dxa"/>
            <w:vAlign w:val="bottom"/>
          </w:tcPr>
          <w:p>
            <w:pPr>
              <w:ind w:left="860"/>
              <w:spacing w:after="0"/>
              <w:rPr>
                <w:sz w:val="20"/>
                <w:szCs w:val="20"/>
                <w:color w:val="auto"/>
              </w:rPr>
            </w:pPr>
            <w:r>
              <w:rPr>
                <w:rFonts w:ascii="Arial" w:cs="Arial" w:eastAsia="Arial" w:hAnsi="Arial"/>
                <w:sz w:val="18"/>
                <w:szCs w:val="18"/>
                <w:color w:val="auto"/>
              </w:rPr>
              <w:t>Total operating</w:t>
            </w:r>
          </w:p>
        </w:tc>
        <w:tc>
          <w:tcPr>
            <w:tcW w:w="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640" w:type="dxa"/>
            <w:vAlign w:val="bottom"/>
          </w:tcPr>
          <w:p>
            <w:pPr>
              <w:ind w:left="1060"/>
              <w:spacing w:after="0"/>
              <w:rPr>
                <w:sz w:val="20"/>
                <w:szCs w:val="20"/>
                <w:color w:val="auto"/>
              </w:rPr>
            </w:pPr>
            <w:r>
              <w:rPr>
                <w:rFonts w:ascii="Arial" w:cs="Arial" w:eastAsia="Arial" w:hAnsi="Arial"/>
                <w:sz w:val="18"/>
                <w:szCs w:val="18"/>
                <w:color w:val="auto"/>
              </w:rPr>
              <w:t>expenses</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329,414</w:t>
            </w: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94,351</w:t>
            </w:r>
          </w:p>
        </w:tc>
        <w:tc>
          <w:tcPr>
            <w:tcW w:w="3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235,063</w:t>
            </w:r>
          </w:p>
        </w:tc>
        <w:tc>
          <w:tcPr>
            <w:tcW w:w="2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339,063</w:t>
            </w:r>
          </w:p>
        </w:tc>
        <w:tc>
          <w:tcPr>
            <w:tcW w:w="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72,597</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266,466</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426,974</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116,715</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310,259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26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(69,279)</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97,372</w:t>
            </w: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28,093</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72,846</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74,392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6"/>
              </w:rPr>
              <w:t>147,238</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w w:val="92"/>
              </w:rPr>
              <w:t>(20,928)</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121,626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100,698</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w w:val="89"/>
              </w:rPr>
              <w:t>Interest and other income (expense),</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640" w:type="dxa"/>
            <w:vAlign w:val="bottom"/>
          </w:tcPr>
          <w:p>
            <w:pPr>
              <w:ind w:left="200"/>
              <w:spacing w:after="0"/>
              <w:rPr>
                <w:sz w:val="20"/>
                <w:szCs w:val="20"/>
                <w:color w:val="auto"/>
              </w:rPr>
            </w:pPr>
            <w:r>
              <w:rPr>
                <w:rFonts w:ascii="Arial" w:cs="Arial" w:eastAsia="Arial" w:hAnsi="Arial"/>
                <w:sz w:val="18"/>
                <w:szCs w:val="18"/>
                <w:color w:val="auto"/>
              </w:rPr>
              <w:t>net</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(440)</w:t>
            </w: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(440)</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11,543</w:t>
            </w: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11,543</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14,910</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14,910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26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w w:val="95"/>
              </w:rPr>
              <w:t>Income (loss) before income taxes</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(69,719)</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97,372</w:t>
            </w: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27,653</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84,389</w:t>
            </w: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74,392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6"/>
              </w:rPr>
              <w:t>158,781</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(6,018)</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121,626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115,608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4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(4,709)</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(4,709)</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13,443</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13,443</w:t>
            </w:r>
          </w:p>
        </w:tc>
        <w:tc>
          <w:tcPr>
            <w:tcW w:w="100" w:type="dxa"/>
            <w:vAlign w:val="bottom"/>
          </w:tcPr>
          <w:p>
            <w:pPr>
              <w:spacing w:after="0"/>
              <w:rPr>
                <w:sz w:val="18"/>
                <w:szCs w:val="18"/>
                <w:color w:val="auto"/>
              </w:rPr>
            </w:pPr>
          </w:p>
        </w:tc>
        <w:tc>
          <w:tcPr>
            <w:tcW w:w="720" w:type="dxa"/>
            <w:vAlign w:val="bottom"/>
            <w:gridSpan w:val="2"/>
          </w:tcPr>
          <w:p>
            <w:pPr>
              <w:jc w:val="right"/>
              <w:ind w:right="12"/>
              <w:spacing w:after="0"/>
              <w:rPr>
                <w:sz w:val="20"/>
                <w:szCs w:val="20"/>
                <w:color w:val="auto"/>
              </w:rPr>
            </w:pPr>
            <w:r>
              <w:rPr>
                <w:rFonts w:ascii="Arial" w:cs="Arial" w:eastAsia="Arial" w:hAnsi="Arial"/>
                <w:sz w:val="18"/>
                <w:szCs w:val="18"/>
                <w:color w:val="auto"/>
              </w:rPr>
              <w:t>(7,311)</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(7,311)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26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(65,010)</w:t>
            </w:r>
          </w:p>
        </w:tc>
        <w:tc>
          <w:tcPr>
            <w:tcW w:w="3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97,372</w:t>
            </w:r>
          </w:p>
        </w:tc>
        <w:tc>
          <w:tcPr>
            <w:tcW w:w="340" w:type="dxa"/>
            <w:vAlign w:val="bottom"/>
            <w:shd w:val="clear" w:color="auto" w:fill="CCEEFF"/>
          </w:tcPr>
          <w:p>
            <w:pPr>
              <w:spacing w:after="0"/>
              <w:rPr>
                <w:sz w:val="18"/>
                <w:szCs w:val="18"/>
                <w:color w:val="auto"/>
              </w:rPr>
            </w:pPr>
          </w:p>
        </w:tc>
        <w:tc>
          <w:tcPr>
            <w:tcW w:w="1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32,362</w:t>
            </w:r>
          </w:p>
        </w:tc>
        <w:tc>
          <w:tcPr>
            <w:tcW w:w="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70,946</w:t>
            </w:r>
          </w:p>
        </w:tc>
        <w:tc>
          <w:tcPr>
            <w:tcW w:w="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74,392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6"/>
              </w:rPr>
              <w:t>145,338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1,293</w:t>
            </w:r>
          </w:p>
        </w:tc>
        <w:tc>
          <w:tcPr>
            <w:tcW w:w="140" w:type="dxa"/>
            <w:vAlign w:val="bottom"/>
            <w:shd w:val="clear" w:color="auto" w:fill="CCEEFF"/>
          </w:tcPr>
          <w:p>
            <w:pPr>
              <w:spacing w:after="0"/>
              <w:rPr>
                <w:sz w:val="18"/>
                <w:szCs w:val="18"/>
                <w:color w:val="auto"/>
              </w:rPr>
            </w:pPr>
          </w:p>
        </w:tc>
        <w:tc>
          <w:tcPr>
            <w:tcW w:w="24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121,626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122,919</w:t>
            </w:r>
          </w:p>
        </w:tc>
        <w:tc>
          <w:tcPr>
            <w:tcW w:w="0" w:type="dxa"/>
            <w:vAlign w:val="bottom"/>
          </w:tcPr>
          <w:p>
            <w:pPr>
              <w:spacing w:after="0"/>
              <w:rPr>
                <w:sz w:val="1"/>
                <w:szCs w:val="1"/>
                <w:color w:val="auto"/>
              </w:rPr>
            </w:pPr>
          </w:p>
        </w:tc>
      </w:tr>
      <w:tr>
        <w:trPr>
          <w:trHeight w:val="20"/>
        </w:trPr>
        <w:tc>
          <w:tcPr>
            <w:tcW w:w="2660" w:type="dxa"/>
            <w:vAlign w:val="bottom"/>
            <w:gridSpan w:val="2"/>
            <w:vMerge w:val="restart"/>
          </w:tcPr>
          <w:p>
            <w:pPr>
              <w:spacing w:after="0"/>
              <w:rPr>
                <w:sz w:val="20"/>
                <w:szCs w:val="20"/>
                <w:color w:val="auto"/>
              </w:rPr>
            </w:pPr>
            <w:r>
              <w:rPr>
                <w:rFonts w:ascii="Arial" w:cs="Arial" w:eastAsia="Arial" w:hAnsi="Arial"/>
                <w:sz w:val="18"/>
                <w:szCs w:val="18"/>
                <w:color w:val="auto"/>
                <w:w w:val="98"/>
              </w:rPr>
              <w:t>Basic net income (loss) per share</w:t>
            </w: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660" w:type="dxa"/>
            <w:vAlign w:val="bottom"/>
            <w:gridSpan w:val="2"/>
            <w:vMerge w:val="continue"/>
          </w:tcPr>
          <w:p>
            <w:pPr>
              <w:spacing w:after="0"/>
              <w:rPr>
                <w:sz w:val="18"/>
                <w:szCs w:val="18"/>
                <w:color w:val="auto"/>
              </w:rPr>
            </w:pPr>
          </w:p>
        </w:tc>
        <w:tc>
          <w:tcPr>
            <w:tcW w:w="1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(0.11)</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gridSpan w:val="2"/>
          </w:tcPr>
          <w:p>
            <w:pPr>
              <w:ind w:left="20"/>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0.05</w:t>
            </w:r>
          </w:p>
        </w:tc>
        <w:tc>
          <w:tcPr>
            <w:tcW w:w="140" w:type="dxa"/>
            <w:vAlign w:val="bottom"/>
            <w:gridSpan w:val="2"/>
          </w:tcPr>
          <w:p>
            <w:pPr>
              <w:jc w:val="right"/>
              <w:ind w:right="20"/>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rPr>
              <w:t>0.24</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0.21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26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w w:val="93"/>
              </w:rPr>
              <w:t>Diluted net income (loss) per share</w:t>
            </w:r>
          </w:p>
        </w:tc>
        <w:tc>
          <w:tcPr>
            <w:tcW w:w="1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(0.11)</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0.05</w:t>
            </w:r>
          </w:p>
        </w:tc>
        <w:tc>
          <w:tcPr>
            <w:tcW w:w="1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9"/>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0.11</w:t>
            </w: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0.23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20"/>
        </w:trPr>
        <w:tc>
          <w:tcPr>
            <w:tcW w:w="2660" w:type="dxa"/>
            <w:vAlign w:val="bottom"/>
            <w:gridSpan w:val="2"/>
            <w:vMerge w:val="restart"/>
          </w:tcPr>
          <w:p>
            <w:pPr>
              <w:spacing w:after="0"/>
              <w:rPr>
                <w:sz w:val="20"/>
                <w:szCs w:val="20"/>
                <w:color w:val="auto"/>
              </w:rPr>
            </w:pPr>
            <w:r>
              <w:rPr>
                <w:rFonts w:ascii="Arial" w:cs="Arial" w:eastAsia="Arial" w:hAnsi="Arial"/>
                <w:sz w:val="18"/>
                <w:szCs w:val="18"/>
                <w:color w:val="auto"/>
              </w:rPr>
              <w:t>Shares used in computing basic</w:t>
            </w: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2"/>
        </w:trPr>
        <w:tc>
          <w:tcPr>
            <w:tcW w:w="2660" w:type="dxa"/>
            <w:vAlign w:val="bottom"/>
            <w:gridSpan w:val="2"/>
            <w:vMerge w:val="continue"/>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40" w:type="dxa"/>
            <w:vAlign w:val="bottom"/>
          </w:tcPr>
          <w:p>
            <w:pPr>
              <w:ind w:left="200"/>
              <w:spacing w:after="0"/>
              <w:rPr>
                <w:sz w:val="20"/>
                <w:szCs w:val="20"/>
                <w:color w:val="auto"/>
              </w:rPr>
            </w:pPr>
            <w:r>
              <w:rPr>
                <w:rFonts w:ascii="Arial" w:cs="Arial" w:eastAsia="Arial" w:hAnsi="Arial"/>
                <w:sz w:val="18"/>
                <w:szCs w:val="18"/>
                <w:color w:val="auto"/>
              </w:rPr>
              <w:t>earnings per share</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w w:val="86"/>
              </w:rPr>
              <w:t>614,960</w:t>
            </w: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614,960</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611,945</w:t>
            </w: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260"/>
              <w:spacing w:after="0"/>
              <w:rPr>
                <w:sz w:val="20"/>
                <w:szCs w:val="20"/>
                <w:color w:val="auto"/>
              </w:rPr>
            </w:pPr>
            <w:r>
              <w:rPr>
                <w:rFonts w:ascii="Arial" w:cs="Arial" w:eastAsia="Arial" w:hAnsi="Arial"/>
                <w:sz w:val="18"/>
                <w:szCs w:val="18"/>
                <w:color w:val="auto"/>
                <w:w w:val="86"/>
              </w:rPr>
              <w:t>611,945</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595,512</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w w:val="86"/>
              </w:rPr>
              <w:t>595,912</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640" w:type="dxa"/>
            <w:vAlign w:val="bottom"/>
            <w:shd w:val="clear" w:color="auto" w:fill="CCEEFF"/>
          </w:tcPr>
          <w:p>
            <w:pPr>
              <w:spacing w:after="0"/>
              <w:rPr>
                <w:sz w:val="20"/>
                <w:szCs w:val="20"/>
                <w:color w:val="auto"/>
              </w:rPr>
            </w:pPr>
            <w:r>
              <w:rPr>
                <w:rFonts w:ascii="Arial" w:cs="Arial" w:eastAsia="Arial" w:hAnsi="Arial"/>
                <w:sz w:val="18"/>
                <w:szCs w:val="18"/>
                <w:color w:val="auto"/>
                <w:w w:val="98"/>
              </w:rPr>
              <w:t>Shares used in computing diluted</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26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earnings per share</w:t>
            </w:r>
          </w:p>
        </w:tc>
        <w:tc>
          <w:tcPr>
            <w:tcW w:w="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614,960</w:t>
            </w: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628,992</w:t>
            </w:r>
          </w:p>
        </w:tc>
        <w:tc>
          <w:tcPr>
            <w:tcW w:w="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630,810</w:t>
            </w:r>
          </w:p>
        </w:tc>
        <w:tc>
          <w:tcPr>
            <w:tcW w:w="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8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6"/>
              </w:rPr>
              <w:t>632,550</w:t>
            </w:r>
          </w:p>
        </w:tc>
        <w:tc>
          <w:tcPr>
            <w:tcW w:w="100" w:type="dxa"/>
            <w:vAlign w:val="bottom"/>
            <w:shd w:val="clear" w:color="auto" w:fill="CCEEFF"/>
          </w:tcPr>
          <w:p>
            <w:pPr>
              <w:spacing w:after="0"/>
              <w:rPr>
                <w:sz w:val="19"/>
                <w:szCs w:val="19"/>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626,699</w:t>
            </w:r>
          </w:p>
        </w:tc>
        <w:tc>
          <w:tcPr>
            <w:tcW w:w="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627,241</w:t>
            </w:r>
          </w:p>
        </w:tc>
        <w:tc>
          <w:tcPr>
            <w:tcW w:w="0" w:type="dxa"/>
            <w:vAlign w:val="bottom"/>
          </w:tcPr>
          <w:p>
            <w:pPr>
              <w:spacing w:after="0"/>
              <w:rPr>
                <w:sz w:val="1"/>
                <w:szCs w:val="1"/>
                <w:color w:val="auto"/>
              </w:rPr>
            </w:pPr>
          </w:p>
        </w:tc>
      </w:tr>
    </w:tbl>
    <w:p>
      <w:pPr>
        <w:spacing w:after="0" w:line="73"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Consists of employee stock-based compensation expense</w:t>
      </w:r>
    </w:p>
    <w:p>
      <w:pPr>
        <w:spacing w:after="0" w:line="90" w:lineRule="exact"/>
        <w:rPr>
          <w:rFonts w:ascii="Arial" w:cs="Arial" w:eastAsia="Arial" w:hAnsi="Arial"/>
          <w:sz w:val="18"/>
          <w:szCs w:val="18"/>
          <w:color w:val="auto"/>
        </w:rPr>
      </w:pPr>
    </w:p>
    <w:p>
      <w:pPr>
        <w:ind w:left="460" w:hanging="452"/>
        <w:spacing w:after="0"/>
        <w:tabs>
          <w:tab w:leader="none" w:pos="460" w:val="left"/>
        </w:tabs>
        <w:numPr>
          <w:ilvl w:val="0"/>
          <w:numId w:val="7"/>
        </w:numPr>
        <w:rPr>
          <w:rFonts w:ascii="Arial" w:cs="Arial" w:eastAsia="Arial" w:hAnsi="Arial"/>
          <w:sz w:val="16"/>
          <w:szCs w:val="16"/>
          <w:color w:val="auto"/>
        </w:rPr>
      </w:pPr>
      <w:r>
        <w:rPr>
          <w:rFonts w:ascii="Arial" w:cs="Arial" w:eastAsia="Arial" w:hAnsi="Arial"/>
          <w:sz w:val="16"/>
          <w:szCs w:val="16"/>
          <w:color w:val="auto"/>
        </w:rPr>
        <w:t>Consists of reversal of remaining payroll related tax liabilities initially recorded in prior years in connection with the stock option backdating.</w:t>
      </w:r>
    </w:p>
    <w:p>
      <w:pPr>
        <w:spacing w:after="0" w:line="113" w:lineRule="exact"/>
        <w:rPr>
          <w:rFonts w:ascii="Arial" w:cs="Arial" w:eastAsia="Arial" w:hAnsi="Arial"/>
          <w:sz w:val="16"/>
          <w:szCs w:val="16"/>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Consists of amortization and write-off of intangible assets</w:t>
      </w:r>
    </w:p>
    <w:p>
      <w:pPr>
        <w:spacing w:after="0" w:line="90" w:lineRule="exact"/>
        <w:rPr>
          <w:rFonts w:ascii="Arial" w:cs="Arial" w:eastAsia="Arial" w:hAnsi="Arial"/>
          <w:sz w:val="18"/>
          <w:szCs w:val="18"/>
          <w:color w:val="auto"/>
        </w:rPr>
      </w:pPr>
    </w:p>
    <w:p>
      <w:pPr>
        <w:ind w:left="460" w:hanging="452"/>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Consists of</w:t>
      </w:r>
    </w:p>
    <w:p>
      <w:pPr>
        <w:spacing w:after="0" w:line="171" w:lineRule="exact"/>
        <w:rPr>
          <w:rFonts w:ascii="Arial" w:cs="Arial" w:eastAsia="Arial" w:hAnsi="Arial"/>
          <w:sz w:val="18"/>
          <w:szCs w:val="18"/>
          <w:color w:val="auto"/>
        </w:rPr>
      </w:pPr>
    </w:p>
    <w:p>
      <w:pPr>
        <w:ind w:left="460" w:right="4180"/>
        <w:spacing w:after="0" w:line="484" w:lineRule="auto"/>
        <w:rPr>
          <w:rFonts w:ascii="Arial" w:cs="Arial" w:eastAsia="Arial" w:hAnsi="Arial"/>
          <w:sz w:val="18"/>
          <w:szCs w:val="18"/>
          <w:color w:val="auto"/>
        </w:rPr>
      </w:pPr>
      <w:r>
        <w:rPr>
          <w:rFonts w:ascii="Arial" w:cs="Arial" w:eastAsia="Arial" w:hAnsi="Arial"/>
          <w:sz w:val="16"/>
          <w:szCs w:val="16"/>
          <w:color w:val="auto"/>
        </w:rPr>
        <w:t>For three months ending January 31, 2009, severance and facilities related restructuring charges. For three months ending February 2, 2008, severance related restructuring charges.</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14" w:name="page15"/>
    <w:bookmarkEnd w:id="14"/>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90" w:lineRule="exact"/>
        <w:rPr>
          <w:sz w:val="20"/>
          <w:szCs w:val="20"/>
          <w:color w:val="auto"/>
        </w:rPr>
      </w:pPr>
    </w:p>
    <w:p>
      <w:pPr>
        <w:ind w:left="4120"/>
        <w:spacing w:after="0"/>
        <w:rPr>
          <w:sz w:val="20"/>
          <w:szCs w:val="20"/>
          <w:color w:val="auto"/>
        </w:rPr>
      </w:pPr>
      <w:r>
        <w:rPr>
          <w:rFonts w:ascii="Arial" w:cs="Arial" w:eastAsia="Arial" w:hAnsi="Arial"/>
          <w:sz w:val="18"/>
          <w:szCs w:val="18"/>
          <w:b w:val="1"/>
          <w:bCs w:val="1"/>
          <w:color w:val="auto"/>
        </w:rPr>
        <w:t>Reconciliation of Non-GAAP Adjustments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2"/>
          </w:tcPr>
          <w:p>
            <w:pPr>
              <w:jc w:val="right"/>
              <w:ind w:right="500"/>
              <w:spacing w:after="0"/>
              <w:rPr>
                <w:sz w:val="20"/>
                <w:szCs w:val="20"/>
                <w:color w:val="auto"/>
              </w:rPr>
            </w:pPr>
            <w:r>
              <w:rPr>
                <w:rFonts w:ascii="Arial" w:cs="Arial" w:eastAsia="Arial" w:hAnsi="Arial"/>
                <w:sz w:val="14"/>
                <w:szCs w:val="14"/>
                <w:b w:val="1"/>
                <w:bCs w:val="1"/>
                <w:color w:val="auto"/>
                <w:w w:val="85"/>
              </w:rPr>
              <w:t>Year Ended</w:t>
            </w: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4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gridSpan w:val="3"/>
          </w:tcPr>
          <w:p>
            <w:pPr>
              <w:jc w:val="right"/>
              <w:ind w:right="480"/>
              <w:spacing w:after="0"/>
              <w:rPr>
                <w:sz w:val="20"/>
                <w:szCs w:val="20"/>
                <w:color w:val="auto"/>
              </w:rPr>
            </w:pPr>
            <w:r>
              <w:rPr>
                <w:rFonts w:ascii="Arial" w:cs="Arial" w:eastAsia="Arial" w:hAnsi="Arial"/>
                <w:sz w:val="14"/>
                <w:szCs w:val="14"/>
                <w:b w:val="1"/>
                <w:bCs w:val="1"/>
                <w:color w:val="auto"/>
                <w:w w:val="93"/>
              </w:rPr>
              <w:t>Year Ended</w:t>
            </w: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36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spacing w:after="0"/>
              <w:rPr>
                <w:sz w:val="12"/>
                <w:szCs w:val="12"/>
                <w:color w:val="auto"/>
              </w:rPr>
            </w:pPr>
          </w:p>
        </w:tc>
        <w:tc>
          <w:tcPr>
            <w:tcW w:w="240" w:type="dxa"/>
            <w:vAlign w:val="bottom"/>
            <w:tcBorders>
              <w:bottom w:val="single" w:sz="8" w:color="auto"/>
            </w:tcBorders>
          </w:tcPr>
          <w:p>
            <w:pPr>
              <w:spacing w:after="0"/>
              <w:rPr>
                <w:sz w:val="12"/>
                <w:szCs w:val="12"/>
                <w:color w:val="auto"/>
              </w:rPr>
            </w:pPr>
          </w:p>
        </w:tc>
        <w:tc>
          <w:tcPr>
            <w:tcW w:w="1440" w:type="dxa"/>
            <w:vAlign w:val="bottom"/>
            <w:tcBorders>
              <w:bottom w:val="single" w:sz="8" w:color="auto"/>
            </w:tcBorders>
            <w:gridSpan w:val="4"/>
          </w:tcPr>
          <w:p>
            <w:pPr>
              <w:jc w:val="right"/>
              <w:ind w:right="340"/>
              <w:spacing w:after="0" w:line="142" w:lineRule="exact"/>
              <w:rPr>
                <w:sz w:val="20"/>
                <w:szCs w:val="20"/>
                <w:color w:val="auto"/>
              </w:rPr>
            </w:pPr>
            <w:r>
              <w:rPr>
                <w:rFonts w:ascii="Arial" w:cs="Arial" w:eastAsia="Arial" w:hAnsi="Arial"/>
                <w:sz w:val="14"/>
                <w:szCs w:val="14"/>
                <w:b w:val="1"/>
                <w:bCs w:val="1"/>
                <w:color w:val="auto"/>
                <w:w w:val="96"/>
              </w:rPr>
              <w:t>January 31, 2009</w:t>
            </w:r>
          </w:p>
        </w:tc>
        <w:tc>
          <w:tcPr>
            <w:tcW w:w="80" w:type="dxa"/>
            <w:vAlign w:val="bottom"/>
            <w:tcBorders>
              <w:bottom w:val="single" w:sz="8" w:color="auto"/>
            </w:tcBorders>
          </w:tcPr>
          <w:p>
            <w:pPr>
              <w:spacing w:after="0"/>
              <w:rPr>
                <w:sz w:val="12"/>
                <w:szCs w:val="12"/>
                <w:color w:val="auto"/>
              </w:rPr>
            </w:pPr>
          </w:p>
        </w:tc>
        <w:tc>
          <w:tcPr>
            <w:tcW w:w="720" w:type="dxa"/>
            <w:vAlign w:val="bottom"/>
            <w:tcBorders>
              <w:bottom w:val="single" w:sz="8" w:color="auto"/>
            </w:tcBorders>
          </w:tcPr>
          <w:p>
            <w:pPr>
              <w:spacing w:after="0"/>
              <w:rPr>
                <w:sz w:val="12"/>
                <w:szCs w:val="12"/>
                <w:color w:val="auto"/>
              </w:rPr>
            </w:pPr>
          </w:p>
        </w:tc>
        <w:tc>
          <w:tcPr>
            <w:tcW w:w="400" w:type="dxa"/>
            <w:vAlign w:val="bottom"/>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720" w:type="dxa"/>
            <w:vAlign w:val="bottom"/>
            <w:tcBorders>
              <w:bottom w:val="single" w:sz="8" w:color="auto"/>
            </w:tcBorders>
          </w:tcPr>
          <w:p>
            <w:pPr>
              <w:spacing w:after="0"/>
              <w:rPr>
                <w:sz w:val="12"/>
                <w:szCs w:val="12"/>
                <w:color w:val="auto"/>
              </w:rPr>
            </w:pPr>
          </w:p>
        </w:tc>
        <w:tc>
          <w:tcPr>
            <w:tcW w:w="220" w:type="dxa"/>
            <w:vAlign w:val="bottom"/>
            <w:tcBorders>
              <w:bottom w:val="single" w:sz="8" w:color="auto"/>
            </w:tcBorders>
          </w:tcPr>
          <w:p>
            <w:pPr>
              <w:spacing w:after="0"/>
              <w:rPr>
                <w:sz w:val="12"/>
                <w:szCs w:val="12"/>
                <w:color w:val="auto"/>
              </w:rPr>
            </w:pPr>
          </w:p>
        </w:tc>
        <w:tc>
          <w:tcPr>
            <w:tcW w:w="1400" w:type="dxa"/>
            <w:vAlign w:val="bottom"/>
            <w:tcBorders>
              <w:bottom w:val="single" w:sz="8" w:color="auto"/>
            </w:tcBorders>
            <w:gridSpan w:val="4"/>
          </w:tcPr>
          <w:p>
            <w:pPr>
              <w:jc w:val="right"/>
              <w:ind w:right="320"/>
              <w:spacing w:after="0" w:line="142" w:lineRule="exact"/>
              <w:rPr>
                <w:sz w:val="20"/>
                <w:szCs w:val="20"/>
                <w:color w:val="auto"/>
              </w:rPr>
            </w:pPr>
            <w:r>
              <w:rPr>
                <w:rFonts w:ascii="Arial" w:cs="Arial" w:eastAsia="Arial" w:hAnsi="Arial"/>
                <w:sz w:val="14"/>
                <w:szCs w:val="14"/>
                <w:b w:val="1"/>
                <w:bCs w:val="1"/>
                <w:color w:val="auto"/>
                <w:w w:val="95"/>
              </w:rPr>
              <w:t>February 2, 2008</w:t>
            </w:r>
          </w:p>
        </w:tc>
        <w:tc>
          <w:tcPr>
            <w:tcW w:w="80" w:type="dxa"/>
            <w:vAlign w:val="bottom"/>
            <w:tcBorders>
              <w:bottom w:val="single" w:sz="8" w:color="auto"/>
            </w:tcBorders>
          </w:tcPr>
          <w:p>
            <w:pPr>
              <w:spacing w:after="0"/>
              <w:rPr>
                <w:sz w:val="12"/>
                <w:szCs w:val="12"/>
                <w:color w:val="auto"/>
              </w:rPr>
            </w:pPr>
          </w:p>
        </w:tc>
        <w:tc>
          <w:tcPr>
            <w:tcW w:w="720" w:type="dxa"/>
            <w:vAlign w:val="bottom"/>
            <w:tcBorders>
              <w:bottom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ind w:left="120"/>
              <w:spacing w:after="0" w:line="142" w:lineRule="exact"/>
              <w:rPr>
                <w:sz w:val="20"/>
                <w:szCs w:val="20"/>
                <w:color w:val="auto"/>
              </w:rPr>
            </w:pPr>
            <w:r>
              <w:rPr>
                <w:rFonts w:ascii="Arial" w:cs="Arial" w:eastAsia="Arial" w:hAnsi="Arial"/>
                <w:sz w:val="14"/>
                <w:szCs w:val="14"/>
                <w:b w:val="1"/>
                <w:bCs w:val="1"/>
                <w:color w:val="auto"/>
              </w:rPr>
              <w:t>GAAP</w:t>
            </w:r>
          </w:p>
        </w:tc>
        <w:tc>
          <w:tcPr>
            <w:tcW w:w="2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80" w:type="dxa"/>
            <w:vAlign w:val="bottom"/>
            <w:gridSpan w:val="3"/>
          </w:tcPr>
          <w:p>
            <w:pPr>
              <w:jc w:val="right"/>
              <w:ind w:right="540"/>
              <w:spacing w:after="0" w:line="142" w:lineRule="exact"/>
              <w:rPr>
                <w:sz w:val="20"/>
                <w:szCs w:val="20"/>
                <w:color w:val="auto"/>
              </w:rPr>
            </w:pPr>
            <w:r>
              <w:rPr>
                <w:rFonts w:ascii="Arial" w:cs="Arial" w:eastAsia="Arial" w:hAnsi="Arial"/>
                <w:sz w:val="14"/>
                <w:szCs w:val="14"/>
                <w:b w:val="1"/>
                <w:bCs w:val="1"/>
                <w:color w:val="auto"/>
                <w:w w:val="84"/>
              </w:rPr>
              <w:t>Adjustments</w:t>
            </w:r>
          </w:p>
        </w:tc>
        <w:tc>
          <w:tcPr>
            <w:tcW w:w="80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w w:val="96"/>
              </w:rPr>
              <w:t>Non-GAAP</w:t>
            </w:r>
          </w:p>
        </w:tc>
        <w:tc>
          <w:tcPr>
            <w:tcW w:w="4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440"/>
              <w:spacing w:after="0" w:line="142" w:lineRule="exact"/>
              <w:rPr>
                <w:sz w:val="20"/>
                <w:szCs w:val="20"/>
                <w:color w:val="auto"/>
              </w:rPr>
            </w:pPr>
            <w:r>
              <w:rPr>
                <w:rFonts w:ascii="Arial" w:cs="Arial" w:eastAsia="Arial" w:hAnsi="Arial"/>
                <w:sz w:val="14"/>
                <w:szCs w:val="14"/>
                <w:b w:val="1"/>
                <w:bCs w:val="1"/>
                <w:color w:val="auto"/>
              </w:rPr>
              <w:t>GAAP</w:t>
            </w:r>
          </w:p>
        </w:tc>
        <w:tc>
          <w:tcPr>
            <w:tcW w:w="180" w:type="dxa"/>
            <w:vAlign w:val="bottom"/>
          </w:tcPr>
          <w:p>
            <w:pPr>
              <w:spacing w:after="0"/>
              <w:rPr>
                <w:sz w:val="12"/>
                <w:szCs w:val="12"/>
                <w:color w:val="auto"/>
              </w:rPr>
            </w:pPr>
          </w:p>
        </w:tc>
        <w:tc>
          <w:tcPr>
            <w:tcW w:w="1220" w:type="dxa"/>
            <w:vAlign w:val="bottom"/>
            <w:gridSpan w:val="3"/>
          </w:tcPr>
          <w:p>
            <w:pPr>
              <w:spacing w:after="0" w:line="142" w:lineRule="exact"/>
              <w:rPr>
                <w:sz w:val="20"/>
                <w:szCs w:val="20"/>
                <w:color w:val="auto"/>
              </w:rPr>
            </w:pPr>
            <w:r>
              <w:rPr>
                <w:rFonts w:ascii="Arial" w:cs="Arial" w:eastAsia="Arial" w:hAnsi="Arial"/>
                <w:sz w:val="14"/>
                <w:szCs w:val="14"/>
                <w:b w:val="1"/>
                <w:bCs w:val="1"/>
                <w:color w:val="auto"/>
              </w:rPr>
              <w:t>Adjustments</w:t>
            </w:r>
          </w:p>
        </w:tc>
        <w:tc>
          <w:tcPr>
            <w:tcW w:w="80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w w:val="96"/>
              </w:rPr>
              <w:t>Non-GAAP</w:t>
            </w: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43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4"/>
              </w:rPr>
              <w:t>2,950,563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7"/>
              </w:rPr>
              <w:t>2,950,563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2,894,693</w:t>
            </w:r>
          </w:p>
        </w:tc>
        <w:tc>
          <w:tcPr>
            <w:tcW w:w="3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7"/>
              </w:rPr>
              <w:t>2,894,693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Cost of goods sold</w:t>
            </w: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w w:val="84"/>
              </w:rPr>
              <w:t>1,426,624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340"/>
              <w:spacing w:after="0"/>
              <w:rPr>
                <w:sz w:val="20"/>
                <w:szCs w:val="20"/>
                <w:color w:val="auto"/>
              </w:rPr>
            </w:pPr>
            <w:r>
              <w:rPr>
                <w:rFonts w:ascii="Arial" w:cs="Arial" w:eastAsia="Arial" w:hAnsi="Arial"/>
                <w:sz w:val="18"/>
                <w:szCs w:val="18"/>
                <w:color w:val="auto"/>
              </w:rPr>
              <w:t>11,644(a)</w:t>
            </w:r>
          </w:p>
        </w:tc>
        <w:tc>
          <w:tcPr>
            <w:tcW w:w="8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w w:val="87"/>
              </w:rPr>
              <w:t>1,414,980</w:t>
            </w:r>
          </w:p>
        </w:tc>
        <w:tc>
          <w:tcPr>
            <w:tcW w:w="8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1,497,796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15,530(a)</w:t>
            </w:r>
          </w:p>
        </w:tc>
        <w:tc>
          <w:tcPr>
            <w:tcW w:w="8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w w:val="87"/>
              </w:rPr>
              <w:t>1,482,266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4"/>
              </w:rPr>
              <w:t>1,523,939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11,644</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87"/>
              </w:rPr>
              <w:t>1,535,583</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7"/>
              </w:rPr>
              <w:t>1,396,897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15,530</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7"/>
              </w:rPr>
              <w:t>1,412,427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420"/>
              <w:spacing w:after="0"/>
              <w:rPr>
                <w:sz w:val="20"/>
                <w:szCs w:val="20"/>
                <w:color w:val="auto"/>
              </w:rPr>
            </w:pPr>
            <w:r>
              <w:rPr>
                <w:rFonts w:ascii="Arial" w:cs="Arial" w:eastAsia="Arial" w:hAnsi="Arial"/>
                <w:sz w:val="18"/>
                <w:szCs w:val="18"/>
                <w:color w:val="auto"/>
              </w:rPr>
              <w:t>Gross margin</w:t>
            </w:r>
          </w:p>
        </w:tc>
        <w:tc>
          <w:tcPr>
            <w:tcW w:w="10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51.6%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20" w:type="dxa"/>
            <w:vAlign w:val="bottom"/>
            <w:gridSpan w:val="2"/>
          </w:tcPr>
          <w:p>
            <w:pPr>
              <w:jc w:val="right"/>
              <w:ind w:right="260"/>
              <w:spacing w:after="0"/>
              <w:rPr>
                <w:sz w:val="20"/>
                <w:szCs w:val="20"/>
                <w:color w:val="auto"/>
              </w:rPr>
            </w:pPr>
            <w:r>
              <w:rPr>
                <w:rFonts w:ascii="Arial" w:cs="Arial" w:eastAsia="Arial" w:hAnsi="Arial"/>
                <w:sz w:val="18"/>
                <w:szCs w:val="18"/>
                <w:color w:val="auto"/>
              </w:rPr>
              <w:t>52.0%</w:t>
            </w:r>
          </w:p>
        </w:tc>
        <w:tc>
          <w:tcPr>
            <w:tcW w:w="80" w:type="dxa"/>
            <w:vAlign w:val="bottom"/>
          </w:tcPr>
          <w:p>
            <w:pPr>
              <w:spacing w:after="0"/>
              <w:rPr>
                <w:sz w:val="18"/>
                <w:szCs w:val="18"/>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8"/>
                <w:szCs w:val="18"/>
                <w:color w:val="auto"/>
              </w:rPr>
              <w:t>48.3%</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Operating expenses: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929,990</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340"/>
              <w:spacing w:after="0"/>
              <w:rPr>
                <w:sz w:val="20"/>
                <w:szCs w:val="20"/>
                <w:color w:val="auto"/>
              </w:rPr>
            </w:pPr>
            <w:r>
              <w:rPr>
                <w:rFonts w:ascii="Arial" w:cs="Arial" w:eastAsia="Arial" w:hAnsi="Arial"/>
                <w:sz w:val="18"/>
                <w:szCs w:val="18"/>
                <w:color w:val="auto"/>
                <w:w w:val="94"/>
              </w:rPr>
              <w:t>126,895(a)</w:t>
            </w:r>
          </w:p>
        </w:tc>
        <w:tc>
          <w:tcPr>
            <w:tcW w:w="8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806,747</w:t>
            </w:r>
          </w:p>
        </w:tc>
        <w:tc>
          <w:tcPr>
            <w:tcW w:w="8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988,996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w w:val="91"/>
              </w:rPr>
              <w:t>152,249(a)</w:t>
            </w:r>
          </w:p>
        </w:tc>
        <w:tc>
          <w:tcPr>
            <w:tcW w:w="8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836,747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(3,652)(b)</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160,973</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340"/>
              <w:spacing w:after="0"/>
              <w:rPr>
                <w:sz w:val="20"/>
                <w:szCs w:val="20"/>
                <w:color w:val="auto"/>
              </w:rPr>
            </w:pPr>
            <w:r>
              <w:rPr>
                <w:rFonts w:ascii="Arial" w:cs="Arial" w:eastAsia="Arial" w:hAnsi="Arial"/>
                <w:sz w:val="18"/>
                <w:szCs w:val="18"/>
                <w:color w:val="auto"/>
              </w:rPr>
              <w:t>25,080(a)</w:t>
            </w:r>
          </w:p>
        </w:tc>
        <w:tc>
          <w:tcPr>
            <w:tcW w:w="8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137,216</w:t>
            </w:r>
          </w:p>
        </w:tc>
        <w:tc>
          <w:tcPr>
            <w:tcW w:w="8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211,261</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39,022(a)</w:t>
            </w:r>
          </w:p>
        </w:tc>
        <w:tc>
          <w:tcPr>
            <w:tcW w:w="8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172,239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(1,323)(b)</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104,788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340"/>
              <w:spacing w:after="0"/>
              <w:rPr>
                <w:sz w:val="20"/>
                <w:szCs w:val="20"/>
                <w:color w:val="auto"/>
              </w:rPr>
            </w:pPr>
            <w:r>
              <w:rPr>
                <w:rFonts w:ascii="Arial" w:cs="Arial" w:eastAsia="Arial" w:hAnsi="Arial"/>
                <w:sz w:val="18"/>
                <w:szCs w:val="18"/>
                <w:color w:val="auto"/>
              </w:rPr>
              <w:t>13,513(a)</w:t>
            </w:r>
          </w:p>
        </w:tc>
        <w:tc>
          <w:tcPr>
            <w:tcW w:w="8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91,592</w:t>
            </w:r>
          </w:p>
        </w:tc>
        <w:tc>
          <w:tcPr>
            <w:tcW w:w="8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138,640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24,179(a)</w:t>
            </w:r>
          </w:p>
        </w:tc>
        <w:tc>
          <w:tcPr>
            <w:tcW w:w="8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114,461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(317)(b)</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36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60" w:type="dxa"/>
            <w:vAlign w:val="bottom"/>
          </w:tcPr>
          <w:p>
            <w:pPr>
              <w:ind w:left="640"/>
              <w:spacing w:after="0"/>
              <w:rPr>
                <w:sz w:val="20"/>
                <w:szCs w:val="20"/>
                <w:color w:val="auto"/>
              </w:rPr>
            </w:pPr>
            <w:r>
              <w:rPr>
                <w:rFonts w:ascii="Arial" w:cs="Arial" w:eastAsia="Arial" w:hAnsi="Arial"/>
                <w:sz w:val="18"/>
                <w:szCs w:val="18"/>
                <w:color w:val="auto"/>
              </w:rPr>
              <w:t>assets</w:t>
            </w:r>
          </w:p>
        </w:tc>
        <w:tc>
          <w:tcPr>
            <w:tcW w:w="100" w:type="dxa"/>
            <w:vAlign w:val="bottom"/>
          </w:tcPr>
          <w:p>
            <w:pPr>
              <w:spacing w:after="0"/>
              <w:rPr>
                <w:sz w:val="19"/>
                <w:szCs w:val="19"/>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153,323</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80" w:type="dxa"/>
            <w:vAlign w:val="bottom"/>
            <w:gridSpan w:val="2"/>
          </w:tcPr>
          <w:p>
            <w:pPr>
              <w:jc w:val="right"/>
              <w:ind w:right="340"/>
              <w:spacing w:after="0"/>
              <w:rPr>
                <w:sz w:val="20"/>
                <w:szCs w:val="20"/>
                <w:color w:val="auto"/>
              </w:rPr>
            </w:pPr>
            <w:r>
              <w:rPr>
                <w:rFonts w:ascii="Arial" w:cs="Arial" w:eastAsia="Arial" w:hAnsi="Arial"/>
                <w:sz w:val="18"/>
                <w:szCs w:val="18"/>
                <w:color w:val="auto"/>
                <w:w w:val="95"/>
              </w:rPr>
              <w:t>153,323(c)</w:t>
            </w:r>
          </w:p>
        </w:tc>
        <w:tc>
          <w:tcPr>
            <w:tcW w:w="80" w:type="dxa"/>
            <w:vAlign w:val="bottom"/>
          </w:tcPr>
          <w:p>
            <w:pPr>
              <w:spacing w:after="0"/>
              <w:rPr>
                <w:sz w:val="19"/>
                <w:szCs w:val="19"/>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155,734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155,734(c)</w:t>
            </w:r>
          </w:p>
        </w:tc>
        <w:tc>
          <w:tcPr>
            <w:tcW w:w="80" w:type="dxa"/>
            <w:vAlign w:val="bottom"/>
          </w:tcPr>
          <w:p>
            <w:pPr>
              <w:spacing w:after="0"/>
              <w:rPr>
                <w:sz w:val="19"/>
                <w:szCs w:val="19"/>
                <w:color w:val="auto"/>
              </w:rPr>
            </w:pPr>
          </w:p>
        </w:tc>
        <w:tc>
          <w:tcPr>
            <w:tcW w:w="8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3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9,689</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9,689(d)</w:t>
            </w: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7,856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7,856(d)</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60" w:type="dxa"/>
            <w:vAlign w:val="bottom"/>
            <w:vMerge w:val="restart"/>
          </w:tcPr>
          <w:p>
            <w:pPr>
              <w:ind w:left="860"/>
              <w:spacing w:after="0"/>
              <w:rPr>
                <w:sz w:val="20"/>
                <w:szCs w:val="20"/>
                <w:color w:val="auto"/>
              </w:rPr>
            </w:pPr>
            <w:r>
              <w:rPr>
                <w:rFonts w:ascii="Arial" w:cs="Arial" w:eastAsia="Arial" w:hAnsi="Arial"/>
                <w:sz w:val="18"/>
                <w:szCs w:val="18"/>
                <w:color w:val="auto"/>
              </w:rPr>
              <w:t>Total operating expenses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36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w w:val="84"/>
              </w:rPr>
              <w:t>1,358,763</w:t>
            </w: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323,208</w:t>
            </w: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w w:val="87"/>
              </w:rPr>
              <w:t>1,035,555</w:t>
            </w:r>
          </w:p>
        </w:tc>
        <w:tc>
          <w:tcPr>
            <w:tcW w:w="80" w:type="dxa"/>
            <w:vAlign w:val="bottom"/>
          </w:tcPr>
          <w:p>
            <w:pPr>
              <w:spacing w:after="0"/>
              <w:rPr>
                <w:sz w:val="19"/>
                <w:szCs w:val="19"/>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w w:val="87"/>
              </w:rPr>
              <w:t>1,502,487</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8"/>
                <w:szCs w:val="18"/>
                <w:color w:val="auto"/>
                <w:w w:val="92"/>
              </w:rPr>
              <w:t>379,040</w:t>
            </w:r>
          </w:p>
        </w:tc>
        <w:tc>
          <w:tcPr>
            <w:tcW w:w="80" w:type="dxa"/>
            <w:vAlign w:val="bottom"/>
          </w:tcPr>
          <w:p>
            <w:pPr>
              <w:spacing w:after="0"/>
              <w:rPr>
                <w:sz w:val="19"/>
                <w:szCs w:val="19"/>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w w:val="87"/>
              </w:rPr>
              <w:t>1,123,447</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165,176</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334,852</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500,028</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(105,590)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394,570</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288,980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5,657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5,657</w:t>
            </w:r>
          </w:p>
        </w:tc>
        <w:tc>
          <w:tcPr>
            <w:tcW w:w="8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(12,398)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(12,398)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170,833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334,852</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505,685</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(117,988)</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394,570</w:t>
            </w: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276,582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23,591</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8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23,591</w:t>
            </w:r>
          </w:p>
        </w:tc>
        <w:tc>
          <w:tcPr>
            <w:tcW w:w="80" w:type="dxa"/>
            <w:vAlign w:val="bottom"/>
          </w:tcPr>
          <w:p>
            <w:pPr>
              <w:spacing w:after="0"/>
              <w:rPr>
                <w:sz w:val="18"/>
                <w:szCs w:val="18"/>
                <w:color w:val="auto"/>
              </w:rPr>
            </w:pP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(3,561)</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0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(3,561)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147,242</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334,852</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482,094</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8"/>
              </w:rPr>
              <w:t>(114,427)</w:t>
            </w:r>
          </w:p>
        </w:tc>
        <w:tc>
          <w:tcPr>
            <w:tcW w:w="3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2"/>
              </w:rPr>
              <w:t>394,570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280,143</w:t>
            </w:r>
          </w:p>
        </w:tc>
        <w:tc>
          <w:tcPr>
            <w:tcW w:w="0" w:type="dxa"/>
            <w:vAlign w:val="bottom"/>
          </w:tcPr>
          <w:p>
            <w:pPr>
              <w:spacing w:after="0"/>
              <w:rPr>
                <w:sz w:val="1"/>
                <w:szCs w:val="1"/>
                <w:color w:val="auto"/>
              </w:rPr>
            </w:pPr>
          </w:p>
        </w:tc>
      </w:tr>
      <w:tr>
        <w:trPr>
          <w:trHeight w:val="20"/>
        </w:trPr>
        <w:tc>
          <w:tcPr>
            <w:tcW w:w="4380" w:type="dxa"/>
            <w:vAlign w:val="bottom"/>
            <w:gridSpan w:val="2"/>
            <w:vMerge w:val="restart"/>
          </w:tcPr>
          <w:p>
            <w:pPr>
              <w:spacing w:after="0"/>
              <w:rPr>
                <w:sz w:val="20"/>
                <w:szCs w:val="20"/>
                <w:color w:val="auto"/>
              </w:rPr>
            </w:pPr>
            <w:r>
              <w:rPr>
                <w:rFonts w:ascii="Arial" w:cs="Arial" w:eastAsia="Arial" w:hAnsi="Arial"/>
                <w:sz w:val="18"/>
                <w:szCs w:val="18"/>
                <w:color w:val="auto"/>
              </w:rPr>
              <w:t>Basic net income (loss)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38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0.24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0.79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jc w:val="right"/>
              <w:ind w:right="160"/>
              <w:spacing w:after="0"/>
              <w:rPr>
                <w:sz w:val="20"/>
                <w:szCs w:val="20"/>
                <w:color w:val="auto"/>
              </w:rPr>
            </w:pPr>
            <w:r>
              <w:rPr>
                <w:rFonts w:ascii="Arial" w:cs="Arial" w:eastAsia="Arial" w:hAnsi="Arial"/>
                <w:sz w:val="18"/>
                <w:szCs w:val="18"/>
                <w:color w:val="auto"/>
              </w:rPr>
              <w:t>(0.19)</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0.47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0.23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0.76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0.44</w:t>
            </w:r>
          </w:p>
        </w:tc>
        <w:tc>
          <w:tcPr>
            <w:tcW w:w="0" w:type="dxa"/>
            <w:vAlign w:val="bottom"/>
          </w:tcPr>
          <w:p>
            <w:pPr>
              <w:spacing w:after="0"/>
              <w:rPr>
                <w:sz w:val="1"/>
                <w:szCs w:val="1"/>
                <w:color w:val="auto"/>
              </w:rPr>
            </w:pPr>
          </w:p>
        </w:tc>
      </w:tr>
      <w:tr>
        <w:trPr>
          <w:trHeight w:val="20"/>
        </w:trPr>
        <w:tc>
          <w:tcPr>
            <w:tcW w:w="4380" w:type="dxa"/>
            <w:vAlign w:val="bottom"/>
            <w:gridSpan w:val="2"/>
            <w:vMerge w:val="restart"/>
          </w:tcPr>
          <w:p>
            <w:pPr>
              <w:spacing w:after="0"/>
              <w:rPr>
                <w:sz w:val="20"/>
                <w:szCs w:val="20"/>
                <w:color w:val="auto"/>
              </w:rPr>
            </w:pPr>
            <w:r>
              <w:rPr>
                <w:rFonts w:ascii="Arial" w:cs="Arial" w:eastAsia="Arial" w:hAnsi="Arial"/>
                <w:sz w:val="18"/>
                <w:szCs w:val="18"/>
                <w:color w:val="auto"/>
              </w:rPr>
              <w:t>Shares used in computing basic earnings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38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608,747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20" w:type="dxa"/>
            <w:vAlign w:val="bottom"/>
            <w:gridSpan w:val="2"/>
          </w:tcPr>
          <w:p>
            <w:pPr>
              <w:jc w:val="right"/>
              <w:ind w:right="400"/>
              <w:spacing w:after="0"/>
              <w:rPr>
                <w:sz w:val="20"/>
                <w:szCs w:val="20"/>
                <w:color w:val="auto"/>
              </w:rPr>
            </w:pPr>
            <w:r>
              <w:rPr>
                <w:rFonts w:ascii="Arial" w:cs="Arial" w:eastAsia="Arial" w:hAnsi="Arial"/>
                <w:sz w:val="18"/>
                <w:szCs w:val="18"/>
                <w:color w:val="auto"/>
              </w:rPr>
              <w:t>608,747</w:t>
            </w:r>
          </w:p>
        </w:tc>
        <w:tc>
          <w:tcPr>
            <w:tcW w:w="80" w:type="dxa"/>
            <w:vAlign w:val="bottom"/>
          </w:tcPr>
          <w:p>
            <w:pPr>
              <w:spacing w:after="0"/>
              <w:rPr>
                <w:sz w:val="18"/>
                <w:szCs w:val="18"/>
                <w:color w:val="auto"/>
              </w:rPr>
            </w:pPr>
          </w:p>
        </w:tc>
        <w:tc>
          <w:tcPr>
            <w:tcW w:w="940" w:type="dxa"/>
            <w:vAlign w:val="bottom"/>
            <w:gridSpan w:val="2"/>
          </w:tcPr>
          <w:p>
            <w:pPr>
              <w:jc w:val="right"/>
              <w:ind w:right="220"/>
              <w:spacing w:after="0"/>
              <w:rPr>
                <w:sz w:val="20"/>
                <w:szCs w:val="20"/>
                <w:color w:val="auto"/>
              </w:rPr>
            </w:pPr>
            <w:r>
              <w:rPr>
                <w:rFonts w:ascii="Arial" w:cs="Arial" w:eastAsia="Arial" w:hAnsi="Arial"/>
                <w:sz w:val="18"/>
                <w:szCs w:val="18"/>
                <w:color w:val="auto"/>
              </w:rPr>
              <w:t>590,308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590,308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630,328</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630,456</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590,308</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630,468</w:t>
            </w:r>
          </w:p>
        </w:tc>
        <w:tc>
          <w:tcPr>
            <w:tcW w:w="0" w:type="dxa"/>
            <w:vAlign w:val="bottom"/>
          </w:tcPr>
          <w:p>
            <w:pPr>
              <w:spacing w:after="0"/>
              <w:rPr>
                <w:sz w:val="1"/>
                <w:szCs w:val="1"/>
                <w:color w:val="auto"/>
              </w:rPr>
            </w:pPr>
          </w:p>
        </w:tc>
      </w:tr>
    </w:tbl>
    <w:p>
      <w:pPr>
        <w:spacing w:after="0" w:line="73" w:lineRule="exact"/>
        <w:rPr>
          <w:sz w:val="20"/>
          <w:szCs w:val="20"/>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Consists of employee stock-based compensation expense.</w:t>
      </w:r>
    </w:p>
    <w:p>
      <w:pPr>
        <w:spacing w:after="0" w:line="90"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6"/>
          <w:szCs w:val="16"/>
          <w:color w:val="auto"/>
        </w:rPr>
      </w:pPr>
      <w:r>
        <w:rPr>
          <w:rFonts w:ascii="Arial" w:cs="Arial" w:eastAsia="Arial" w:hAnsi="Arial"/>
          <w:sz w:val="16"/>
          <w:szCs w:val="16"/>
          <w:color w:val="auto"/>
        </w:rPr>
        <w:t>Consists of reversal of remaining payroll related tax liabilities initially recorded in prior years in connection with the stock option backdating.</w:t>
      </w:r>
    </w:p>
    <w:p>
      <w:pPr>
        <w:spacing w:after="0" w:line="113" w:lineRule="exact"/>
        <w:rPr>
          <w:rFonts w:ascii="Arial" w:cs="Arial" w:eastAsia="Arial" w:hAnsi="Arial"/>
          <w:sz w:val="16"/>
          <w:szCs w:val="16"/>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Consists of amortization and write-off of intangible assets.</w:t>
      </w:r>
    </w:p>
    <w:p>
      <w:pPr>
        <w:spacing w:after="0" w:line="90" w:lineRule="exact"/>
        <w:rPr>
          <w:rFonts w:ascii="Arial" w:cs="Arial" w:eastAsia="Arial" w:hAnsi="Arial"/>
          <w:sz w:val="18"/>
          <w:szCs w:val="18"/>
          <w:color w:val="auto"/>
        </w:rPr>
      </w:pPr>
    </w:p>
    <w:p>
      <w:pPr>
        <w:ind w:left="460" w:hanging="452"/>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Consists of</w:t>
      </w:r>
    </w:p>
    <w:p>
      <w:pPr>
        <w:spacing w:after="0" w:line="90" w:lineRule="exact"/>
        <w:rPr>
          <w:rFonts w:ascii="Arial" w:cs="Arial" w:eastAsia="Arial" w:hAnsi="Arial"/>
          <w:sz w:val="18"/>
          <w:szCs w:val="18"/>
          <w:color w:val="auto"/>
        </w:rPr>
      </w:pPr>
    </w:p>
    <w:p>
      <w:pPr>
        <w:ind w:left="460" w:right="4780"/>
        <w:spacing w:after="0" w:line="431" w:lineRule="auto"/>
        <w:rPr>
          <w:rFonts w:ascii="Arial" w:cs="Arial" w:eastAsia="Arial" w:hAnsi="Arial"/>
          <w:sz w:val="18"/>
          <w:szCs w:val="18"/>
          <w:color w:val="auto"/>
        </w:rPr>
      </w:pPr>
      <w:r>
        <w:rPr>
          <w:rFonts w:ascii="Arial" w:cs="Arial" w:eastAsia="Arial" w:hAnsi="Arial"/>
          <w:sz w:val="16"/>
          <w:szCs w:val="16"/>
          <w:color w:val="auto"/>
        </w:rPr>
        <w:t>For year ending January 31, 2009, severance and facilities related restructuring charges. For year ending February 2, 2008, severance related restructuring charges.</w:t>
      </w:r>
    </w:p>
    <w:p>
      <w:pPr>
        <w:spacing w:after="0" w:line="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15" w:name="page16"/>
    <w:bookmarkEnd w:id="15"/>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4160" w:type="dxa"/>
            <w:vAlign w:val="bottom"/>
          </w:tcPr>
          <w:p>
            <w:pPr>
              <w:spacing w:after="0"/>
              <w:rPr>
                <w:sz w:val="14"/>
                <w:szCs w:val="14"/>
                <w:color w:val="auto"/>
              </w:rPr>
            </w:pPr>
          </w:p>
        </w:tc>
        <w:tc>
          <w:tcPr>
            <w:tcW w:w="96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3"/>
              </w:rPr>
              <w:t>January 31,</w:t>
            </w:r>
          </w:p>
        </w:tc>
        <w:tc>
          <w:tcPr>
            <w:tcW w:w="120" w:type="dxa"/>
            <w:vAlign w:val="bottom"/>
          </w:tcPr>
          <w:p>
            <w:pPr>
              <w:spacing w:after="0"/>
              <w:rPr>
                <w:sz w:val="14"/>
                <w:szCs w:val="14"/>
                <w:color w:val="auto"/>
              </w:rPr>
            </w:pPr>
          </w:p>
        </w:tc>
        <w:tc>
          <w:tcPr>
            <w:tcW w:w="86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4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Current assets: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951,909</w:t>
            </w:r>
          </w:p>
        </w:tc>
        <w:tc>
          <w:tcPr>
            <w:tcW w:w="1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630,902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222,101</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332,020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310,654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419,494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w w:val="91"/>
              </w:rPr>
              <w:t>Prepaid expenses, deferred income taxes and other current assets</w:t>
            </w:r>
          </w:p>
        </w:tc>
        <w:tc>
          <w:tcPr>
            <w:tcW w:w="41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75,651</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121,325</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1,560,315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1,503,741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390,853</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416,241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40,541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2,284,164</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2,427,877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157,107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0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4,414,200</w:t>
            </w:r>
          </w:p>
        </w:tc>
        <w:tc>
          <w:tcPr>
            <w:tcW w:w="16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4,550,594</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00" w:type="dxa"/>
            <w:vAlign w:val="bottom"/>
          </w:tcPr>
          <w:p>
            <w:pPr>
              <w:spacing w:after="0" w:line="20" w:lineRule="exact"/>
              <w:rPr>
                <w:sz w:val="1"/>
                <w:szCs w:val="1"/>
                <w:color w:val="auto"/>
              </w:rPr>
            </w:pPr>
          </w:p>
        </w:tc>
        <w:tc>
          <w:tcPr>
            <w:tcW w:w="4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Current liabilities: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139,028</w:t>
            </w:r>
          </w:p>
        </w:tc>
        <w:tc>
          <w:tcPr>
            <w:tcW w:w="1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231,135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175,135</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241,062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35,803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39,132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Deferred income</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57,895</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69,420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530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409,648</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583,212</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Term loan obligations, long-term portion</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390,750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173,034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160,875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30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16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585,133</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1,139,075</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1,233</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4,372,265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4,100,659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ind w:left="420"/>
              <w:spacing w:after="0"/>
              <w:rPr>
                <w:sz w:val="20"/>
                <w:szCs w:val="20"/>
                <w:color w:val="auto"/>
              </w:rPr>
            </w:pPr>
            <w:r>
              <w:rPr>
                <w:rFonts w:ascii="Arial" w:cs="Arial" w:eastAsia="Arial" w:hAnsi="Arial"/>
                <w:sz w:val="18"/>
                <w:szCs w:val="18"/>
                <w:color w:val="auto"/>
              </w:rPr>
              <w:t>Accumulated other comprehensive income (loss)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(718)</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615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Accumulated deficit</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(543,713)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8"/>
              </w:rPr>
              <w:t>(690,955)</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30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16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3,829,067</w:t>
            </w:r>
          </w:p>
        </w:tc>
        <w:tc>
          <w:tcPr>
            <w:tcW w:w="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3,411,519</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4,414,200</w:t>
            </w:r>
          </w:p>
        </w:tc>
        <w:tc>
          <w:tcPr>
            <w:tcW w:w="1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4,550,594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00" w:type="dxa"/>
            <w:vAlign w:val="bottom"/>
          </w:tcPr>
          <w:p>
            <w:pPr>
              <w:spacing w:after="0" w:line="20" w:lineRule="exact"/>
              <w:rPr>
                <w:sz w:val="1"/>
                <w:szCs w:val="1"/>
                <w:color w:val="auto"/>
              </w:rPr>
            </w:pPr>
          </w:p>
        </w:tc>
        <w:tc>
          <w:tcPr>
            <w:tcW w:w="4160" w:type="dxa"/>
            <w:vAlign w:val="bottom"/>
            <w:vMerge w:val="restart"/>
          </w:tcPr>
          <w:p>
            <w:pPr>
              <w:jc w:val="right"/>
              <w:ind w:right="3632"/>
              <w:spacing w:after="0"/>
              <w:rPr>
                <w:sz w:val="20"/>
                <w:szCs w:val="20"/>
                <w:color w:val="auto"/>
              </w:rPr>
            </w:pPr>
            <w:r>
              <w:rPr>
                <w:rFonts w:ascii="Arial" w:cs="Arial" w:eastAsia="Arial" w:hAnsi="Arial"/>
                <w:sz w:val="18"/>
                <w:szCs w:val="18"/>
                <w:color w:val="auto"/>
              </w:rPr>
              <w:t>4</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300" w:type="dxa"/>
            <w:vAlign w:val="bottom"/>
          </w:tcPr>
          <w:p>
            <w:pPr>
              <w:spacing w:after="0"/>
              <w:rPr>
                <w:sz w:val="24"/>
                <w:szCs w:val="24"/>
                <w:color w:val="auto"/>
              </w:rPr>
            </w:pPr>
          </w:p>
        </w:tc>
        <w:tc>
          <w:tcPr>
            <w:tcW w:w="416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6" w:name="page17"/>
    <w:bookmarkEnd w:id="16"/>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90" w:lineRule="exact"/>
        <w:rPr>
          <w:sz w:val="20"/>
          <w:szCs w:val="20"/>
          <w:color w:val="auto"/>
        </w:rPr>
      </w:pPr>
    </w:p>
    <w:p>
      <w:pPr>
        <w:ind w:left="380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60" w:type="dxa"/>
            <w:vAlign w:val="bottom"/>
            <w:gridSpan w:val="6"/>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800" w:type="dxa"/>
            <w:vAlign w:val="bottom"/>
            <w:gridSpan w:val="4"/>
          </w:tcPr>
          <w:p>
            <w:pPr>
              <w:jc w:val="right"/>
              <w:ind w:right="60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2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60" w:type="dxa"/>
            <w:vAlign w:val="bottom"/>
            <w:tcBorders>
              <w:top w:val="single" w:sz="8" w:color="auto"/>
            </w:tcBorders>
            <w:gridSpan w:val="3"/>
          </w:tcPr>
          <w:p>
            <w:pPr>
              <w:jc w:val="right"/>
              <w:ind w:right="220"/>
              <w:spacing w:after="0" w:line="129" w:lineRule="exact"/>
              <w:rPr>
                <w:sz w:val="20"/>
                <w:szCs w:val="20"/>
                <w:color w:val="auto"/>
              </w:rPr>
            </w:pPr>
            <w:r>
              <w:rPr>
                <w:rFonts w:ascii="Arial" w:cs="Arial" w:eastAsia="Arial" w:hAnsi="Arial"/>
                <w:sz w:val="14"/>
                <w:szCs w:val="14"/>
                <w:b w:val="1"/>
                <w:bCs w:val="1"/>
                <w:color w:val="auto"/>
                <w:w w:val="93"/>
              </w:rPr>
              <w:t>January 31,</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February 2,</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0" w:type="dxa"/>
            <w:vAlign w:val="bottom"/>
            <w:tcBorders>
              <w:top w:val="single" w:sz="8" w:color="auto"/>
            </w:tcBorders>
            <w:gridSpan w:val="2"/>
          </w:tcPr>
          <w:p>
            <w:pPr>
              <w:jc w:val="right"/>
              <w:ind w:right="300"/>
              <w:spacing w:after="0" w:line="129" w:lineRule="exact"/>
              <w:rPr>
                <w:sz w:val="20"/>
                <w:szCs w:val="20"/>
                <w:color w:val="auto"/>
              </w:rPr>
            </w:pPr>
            <w:r>
              <w:rPr>
                <w:rFonts w:ascii="Arial" w:cs="Arial" w:eastAsia="Arial" w:hAnsi="Arial"/>
                <w:sz w:val="14"/>
                <w:szCs w:val="14"/>
                <w:b w:val="1"/>
                <w:bCs w:val="1"/>
                <w:color w:val="auto"/>
                <w:w w:val="88"/>
              </w:rPr>
              <w:t>January 31,</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0"/>
              </w:rPr>
              <w:t>February 2,</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113"/>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4"/>
                <w:szCs w:val="14"/>
                <w:color w:val="auto"/>
              </w:rPr>
            </w:pPr>
          </w:p>
        </w:tc>
        <w:tc>
          <w:tcPr>
            <w:tcW w:w="840" w:type="dxa"/>
            <w:vAlign w:val="bottom"/>
            <w:gridSpan w:val="2"/>
          </w:tcPr>
          <w:p>
            <w:pPr>
              <w:jc w:val="right"/>
              <w:ind w:right="137"/>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740" w:type="dxa"/>
            <w:vAlign w:val="bottom"/>
          </w:tcPr>
          <w:p>
            <w:pPr>
              <w:jc w:val="right"/>
              <w:ind w:right="153"/>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26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spacing w:after="0"/>
              <w:rPr>
                <w:sz w:val="20"/>
                <w:szCs w:val="20"/>
                <w:color w:val="auto"/>
              </w:rPr>
            </w:pPr>
            <w:r>
              <w:rPr>
                <w:rFonts w:ascii="Arial" w:cs="Arial" w:eastAsia="Arial" w:hAnsi="Arial"/>
                <w:sz w:val="18"/>
                <w:szCs w:val="18"/>
                <w:color w:val="auto"/>
              </w:rPr>
              <w:t>Net income (loss)</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(65,010)</w:t>
            </w:r>
          </w:p>
        </w:tc>
        <w:tc>
          <w:tcPr>
            <w:tcW w:w="220" w:type="dxa"/>
            <w:vAlign w:val="bottom"/>
            <w:gridSpan w:val="2"/>
          </w:tcPr>
          <w:p>
            <w:pPr>
              <w:ind w:left="1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1,293</w:t>
            </w:r>
          </w:p>
        </w:tc>
        <w:tc>
          <w:tcPr>
            <w:tcW w:w="180" w:type="dxa"/>
            <w:vAlign w:val="bottom"/>
          </w:tcPr>
          <w:p>
            <w:pPr>
              <w:spacing w:after="0"/>
              <w:rPr>
                <w:sz w:val="18"/>
                <w:szCs w:val="18"/>
                <w:color w:val="auto"/>
              </w:rPr>
            </w:pPr>
          </w:p>
        </w:tc>
        <w:tc>
          <w:tcPr>
            <w:tcW w:w="1120" w:type="dxa"/>
            <w:vAlign w:val="bottom"/>
            <w:gridSpan w:val="3"/>
          </w:tcPr>
          <w:p>
            <w:pPr>
              <w:jc w:val="right"/>
              <w:ind w:right="280"/>
              <w:spacing w:after="0"/>
              <w:rPr>
                <w:sz w:val="20"/>
                <w:szCs w:val="20"/>
                <w:color w:val="auto"/>
              </w:rPr>
            </w:pPr>
            <w:r>
              <w:rPr>
                <w:rFonts w:ascii="Arial" w:cs="Arial" w:eastAsia="Arial" w:hAnsi="Arial"/>
                <w:sz w:val="18"/>
                <w:szCs w:val="18"/>
                <w:color w:val="auto"/>
              </w:rPr>
              <w:t>$ 147,242</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w w:val="84"/>
              </w:rPr>
              <w:t>$ (114,427)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27,038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27,008</w:t>
            </w:r>
          </w:p>
        </w:tc>
        <w:tc>
          <w:tcPr>
            <w:tcW w:w="180" w:type="dxa"/>
            <w:vAlign w:val="bottom"/>
          </w:tcPr>
          <w:p>
            <w:pPr>
              <w:spacing w:after="0"/>
              <w:rPr>
                <w:sz w:val="18"/>
                <w:szCs w:val="18"/>
                <w:color w:val="auto"/>
              </w:rPr>
            </w:pPr>
          </w:p>
        </w:tc>
        <w:tc>
          <w:tcPr>
            <w:tcW w:w="1120" w:type="dxa"/>
            <w:vAlign w:val="bottom"/>
            <w:gridSpan w:val="3"/>
          </w:tcPr>
          <w:p>
            <w:pPr>
              <w:jc w:val="right"/>
              <w:ind w:right="280"/>
              <w:spacing w:after="0"/>
              <w:rPr>
                <w:sz w:val="20"/>
                <w:szCs w:val="20"/>
                <w:color w:val="auto"/>
              </w:rPr>
            </w:pPr>
            <w:r>
              <w:rPr>
                <w:rFonts w:ascii="Arial" w:cs="Arial" w:eastAsia="Arial" w:hAnsi="Arial"/>
                <w:sz w:val="18"/>
                <w:szCs w:val="18"/>
                <w:color w:val="auto"/>
              </w:rPr>
              <w:t>112,824</w:t>
            </w:r>
          </w:p>
        </w:tc>
        <w:tc>
          <w:tcPr>
            <w:tcW w:w="740" w:type="dxa"/>
            <w:vAlign w:val="bottom"/>
          </w:tcPr>
          <w:p>
            <w:pPr>
              <w:jc w:val="right"/>
              <w:spacing w:after="0"/>
              <w:rPr>
                <w:sz w:val="20"/>
                <w:szCs w:val="20"/>
                <w:color w:val="auto"/>
              </w:rPr>
            </w:pPr>
            <w:r>
              <w:rPr>
                <w:rFonts w:ascii="Arial" w:cs="Arial" w:eastAsia="Arial" w:hAnsi="Arial"/>
                <w:sz w:val="18"/>
                <w:szCs w:val="18"/>
                <w:color w:val="auto"/>
              </w:rPr>
              <w:t>105,812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44,701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69,960</w:t>
            </w:r>
          </w:p>
        </w:tc>
        <w:tc>
          <w:tcPr>
            <w:tcW w:w="1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177,132</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230,980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48,274</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43,810</w:t>
            </w:r>
          </w:p>
        </w:tc>
        <w:tc>
          <w:tcPr>
            <w:tcW w:w="180" w:type="dxa"/>
            <w:vAlign w:val="bottom"/>
          </w:tcPr>
          <w:p>
            <w:pPr>
              <w:spacing w:after="0"/>
              <w:rPr>
                <w:sz w:val="18"/>
                <w:szCs w:val="18"/>
                <w:color w:val="auto"/>
              </w:rPr>
            </w:pPr>
          </w:p>
        </w:tc>
        <w:tc>
          <w:tcPr>
            <w:tcW w:w="1120" w:type="dxa"/>
            <w:vAlign w:val="bottom"/>
            <w:gridSpan w:val="3"/>
          </w:tcPr>
          <w:p>
            <w:pPr>
              <w:jc w:val="right"/>
              <w:ind w:right="280"/>
              <w:spacing w:after="0"/>
              <w:rPr>
                <w:sz w:val="20"/>
                <w:szCs w:val="20"/>
                <w:color w:val="auto"/>
              </w:rPr>
            </w:pPr>
            <w:r>
              <w:rPr>
                <w:rFonts w:ascii="Arial" w:cs="Arial" w:eastAsia="Arial" w:hAnsi="Arial"/>
                <w:sz w:val="18"/>
                <w:szCs w:val="18"/>
                <w:color w:val="auto"/>
              </w:rPr>
              <w:t>153,323</w:t>
            </w:r>
          </w:p>
        </w:tc>
        <w:tc>
          <w:tcPr>
            <w:tcW w:w="740" w:type="dxa"/>
            <w:vAlign w:val="bottom"/>
          </w:tcPr>
          <w:p>
            <w:pPr>
              <w:jc w:val="right"/>
              <w:spacing w:after="0"/>
              <w:rPr>
                <w:sz w:val="20"/>
                <w:szCs w:val="20"/>
                <w:color w:val="auto"/>
              </w:rPr>
            </w:pPr>
            <w:r>
              <w:rPr>
                <w:rFonts w:ascii="Arial" w:cs="Arial" w:eastAsia="Arial" w:hAnsi="Arial"/>
                <w:sz w:val="18"/>
                <w:szCs w:val="18"/>
                <w:color w:val="auto"/>
              </w:rPr>
              <w:t>155,734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Gain (loss) from disposal of assets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(1,196)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(5,348)</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(15,359)</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(109,262)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Termination of supply contract</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2"/>
              </w:rPr>
              <w:t>(22,069)</w:t>
            </w:r>
          </w:p>
        </w:tc>
        <w:tc>
          <w:tcPr>
            <w:tcW w:w="1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(22,069)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Interest expense related to supply contract</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1,165</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5,833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tax (provision) benefit</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(17,467)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2"/>
              </w:rPr>
              <w:t>(13,783)</w:t>
            </w:r>
          </w:p>
        </w:tc>
        <w:tc>
          <w:tcPr>
            <w:tcW w:w="1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(17,467)</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(13,783)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w:t>
            </w:r>
          </w:p>
        </w:tc>
        <w:tc>
          <w:tcPr>
            <w:tcW w:w="180" w:type="dxa"/>
            <w:vAlign w:val="bottom"/>
          </w:tcPr>
          <w:p>
            <w:pPr>
              <w:spacing w:after="0"/>
              <w:rPr>
                <w:sz w:val="18"/>
                <w:szCs w:val="18"/>
                <w:color w:val="auto"/>
              </w:rPr>
            </w:pP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(365)</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w w:val="91"/>
              </w:rPr>
              <w:t>Changes in assets and liabilities, net of assets acquired and liabilities assumed in acquisitions: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860"/>
              <w:spacing w:after="0"/>
              <w:rPr>
                <w:sz w:val="20"/>
                <w:szCs w:val="20"/>
                <w:color w:val="auto"/>
              </w:rPr>
            </w:pPr>
            <w:r>
              <w:rPr>
                <w:rFonts w:ascii="Arial" w:cs="Arial" w:eastAsia="Arial" w:hAnsi="Arial"/>
                <w:sz w:val="18"/>
                <w:szCs w:val="18"/>
                <w:color w:val="auto"/>
              </w:rPr>
              <w:t>Restricted cash</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(24,500)</w:t>
            </w: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175,735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55,169</w:t>
            </w:r>
          </w:p>
        </w:tc>
        <w:tc>
          <w:tcPr>
            <w:tcW w:w="1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109,919</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31,088</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(43,441)</w:t>
            </w:r>
          </w:p>
        </w:tc>
        <w:tc>
          <w:tcPr>
            <w:tcW w:w="1120" w:type="dxa"/>
            <w:vAlign w:val="bottom"/>
            <w:gridSpan w:val="3"/>
          </w:tcPr>
          <w:p>
            <w:pPr>
              <w:jc w:val="right"/>
              <w:ind w:right="280"/>
              <w:spacing w:after="0"/>
              <w:rPr>
                <w:sz w:val="20"/>
                <w:szCs w:val="20"/>
                <w:color w:val="auto"/>
              </w:rPr>
            </w:pPr>
            <w:r>
              <w:rPr>
                <w:rFonts w:ascii="Arial" w:cs="Arial" w:eastAsia="Arial" w:hAnsi="Arial"/>
                <w:sz w:val="18"/>
                <w:szCs w:val="18"/>
                <w:color w:val="auto"/>
              </w:rPr>
              <w:t>126,938</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(202,275)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1,629</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8,798</w:t>
            </w:r>
          </w:p>
        </w:tc>
        <w:tc>
          <w:tcPr>
            <w:tcW w:w="1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63,476</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108,321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(82,791)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22,920</w:t>
            </w:r>
          </w:p>
        </w:tc>
        <w:tc>
          <w:tcPr>
            <w:tcW w:w="180" w:type="dxa"/>
            <w:vAlign w:val="bottom"/>
          </w:tcPr>
          <w:p>
            <w:pPr>
              <w:spacing w:after="0"/>
              <w:rPr>
                <w:sz w:val="18"/>
                <w:szCs w:val="18"/>
                <w:color w:val="auto"/>
              </w:rPr>
            </w:pP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(88,795)</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(8,187)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(13,016)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17,134</w:t>
            </w:r>
          </w:p>
        </w:tc>
        <w:tc>
          <w:tcPr>
            <w:tcW w:w="1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(36,709)</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10,880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(44,615)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(1,645)</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(26,956)</w:t>
            </w:r>
          </w:p>
        </w:tc>
        <w:tc>
          <w:tcPr>
            <w:tcW w:w="740" w:type="dxa"/>
            <w:vAlign w:val="bottom"/>
          </w:tcPr>
          <w:p>
            <w:pPr>
              <w:jc w:val="right"/>
              <w:spacing w:after="0"/>
              <w:rPr>
                <w:sz w:val="20"/>
                <w:szCs w:val="20"/>
                <w:color w:val="auto"/>
              </w:rPr>
            </w:pPr>
            <w:r>
              <w:rPr>
                <w:rFonts w:ascii="Arial" w:cs="Arial" w:eastAsia="Arial" w:hAnsi="Arial"/>
                <w:sz w:val="18"/>
                <w:szCs w:val="18"/>
                <w:color w:val="auto"/>
              </w:rPr>
              <w:t>8,852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Income taxes payable</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11,607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6,037</w:t>
            </w:r>
          </w:p>
        </w:tc>
        <w:tc>
          <w:tcPr>
            <w:tcW w:w="1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11,507</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28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2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(6,825)</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(6,872)</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(11,525)</w:t>
            </w:r>
          </w:p>
        </w:tc>
        <w:tc>
          <w:tcPr>
            <w:tcW w:w="740" w:type="dxa"/>
            <w:vAlign w:val="bottom"/>
          </w:tcPr>
          <w:p>
            <w:pPr>
              <w:jc w:val="right"/>
              <w:spacing w:after="0"/>
              <w:rPr>
                <w:sz w:val="20"/>
                <w:szCs w:val="20"/>
                <w:color w:val="auto"/>
              </w:rPr>
            </w:pPr>
            <w:r>
              <w:rPr>
                <w:rFonts w:ascii="Arial" w:cs="Arial" w:eastAsia="Arial" w:hAnsi="Arial"/>
                <w:sz w:val="18"/>
                <w:szCs w:val="18"/>
                <w:color w:val="auto"/>
              </w:rPr>
              <w:t>22,961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26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109,143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163,458</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680,685</w:t>
            </w:r>
          </w:p>
        </w:tc>
        <w:tc>
          <w:tcPr>
            <w:tcW w:w="280" w:type="dxa"/>
            <w:vAlign w:val="bottom"/>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177,352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in acquisitions, net</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(5,287)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2"/>
              </w:rPr>
              <w:t>(12,846)</w:t>
            </w:r>
          </w:p>
        </w:tc>
        <w:tc>
          <w:tcPr>
            <w:tcW w:w="1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(5,287)</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(19,987)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(96,979)</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(10,172)</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(263,209)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short-term and long-term investments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110,390</w:t>
            </w:r>
          </w:p>
        </w:tc>
        <w:tc>
          <w:tcPr>
            <w:tcW w:w="1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29,181</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230,906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Acquisition costs</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(132)</w:t>
            </w:r>
          </w:p>
        </w:tc>
        <w:tc>
          <w:tcPr>
            <w:tcW w:w="120" w:type="dxa"/>
            <w:vAlign w:val="bottom"/>
          </w:tcPr>
          <w:p>
            <w:pPr>
              <w:spacing w:after="0"/>
              <w:rPr>
                <w:sz w:val="18"/>
                <w:szCs w:val="18"/>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(1,340)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(3,650)</w:t>
            </w:r>
          </w:p>
        </w:tc>
        <w:tc>
          <w:tcPr>
            <w:tcW w:w="1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(5,200)</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(23,175)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(13,931)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(32,327)</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(73,243)</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(113,462)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sale of assets under construction</w:t>
            </w:r>
          </w:p>
        </w:tc>
        <w:tc>
          <w:tcPr>
            <w:tcW w:w="2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5,122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80" w:type="dxa"/>
            <w:vAlign w:val="bottom"/>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2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(21,768)</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(35,544)</w:t>
            </w:r>
          </w:p>
        </w:tc>
        <w:tc>
          <w:tcPr>
            <w:tcW w:w="1120" w:type="dxa"/>
            <w:vAlign w:val="bottom"/>
            <w:gridSpan w:val="3"/>
          </w:tcPr>
          <w:p>
            <w:pPr>
              <w:jc w:val="right"/>
              <w:ind w:right="220"/>
              <w:spacing w:after="0"/>
              <w:rPr>
                <w:sz w:val="20"/>
                <w:szCs w:val="20"/>
                <w:color w:val="auto"/>
              </w:rPr>
            </w:pPr>
            <w:r>
              <w:rPr>
                <w:rFonts w:ascii="Arial" w:cs="Arial" w:eastAsia="Arial" w:hAnsi="Arial"/>
                <w:sz w:val="18"/>
                <w:szCs w:val="18"/>
                <w:color w:val="auto"/>
              </w:rPr>
              <w:t>(64,721)</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(185,145)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12,192</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33,614</w:t>
            </w:r>
          </w:p>
        </w:tc>
        <w:tc>
          <w:tcPr>
            <w:tcW w:w="180" w:type="dxa"/>
            <w:vAlign w:val="bottom"/>
          </w:tcPr>
          <w:p>
            <w:pPr>
              <w:spacing w:after="0"/>
              <w:rPr>
                <w:sz w:val="18"/>
                <w:szCs w:val="18"/>
                <w:color w:val="auto"/>
              </w:rPr>
            </w:pPr>
          </w:p>
        </w:tc>
        <w:tc>
          <w:tcPr>
            <w:tcW w:w="1120" w:type="dxa"/>
            <w:vAlign w:val="bottom"/>
            <w:gridSpan w:val="3"/>
          </w:tcPr>
          <w:p>
            <w:pPr>
              <w:jc w:val="right"/>
              <w:ind w:right="280"/>
              <w:spacing w:after="0"/>
              <w:rPr>
                <w:sz w:val="20"/>
                <w:szCs w:val="20"/>
                <w:color w:val="auto"/>
              </w:rPr>
            </w:pPr>
            <w:r>
              <w:rPr>
                <w:rFonts w:ascii="Arial" w:cs="Arial" w:eastAsia="Arial" w:hAnsi="Arial"/>
                <w:sz w:val="18"/>
                <w:szCs w:val="18"/>
                <w:color w:val="auto"/>
              </w:rPr>
              <w:t>92,645</w:t>
            </w:r>
          </w:p>
        </w:tc>
        <w:tc>
          <w:tcPr>
            <w:tcW w:w="740" w:type="dxa"/>
            <w:vAlign w:val="bottom"/>
          </w:tcPr>
          <w:p>
            <w:pPr>
              <w:jc w:val="right"/>
              <w:spacing w:after="0"/>
              <w:rPr>
                <w:sz w:val="20"/>
                <w:szCs w:val="20"/>
                <w:color w:val="auto"/>
              </w:rPr>
            </w:pPr>
            <w:r>
              <w:rPr>
                <w:rFonts w:ascii="Arial" w:cs="Arial" w:eastAsia="Arial" w:hAnsi="Arial"/>
                <w:sz w:val="18"/>
                <w:szCs w:val="18"/>
                <w:color w:val="auto"/>
              </w:rPr>
              <w:t>65,903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debt obligations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(192,174)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(1,159)</w:t>
            </w:r>
          </w:p>
        </w:tc>
        <w:tc>
          <w:tcPr>
            <w:tcW w:w="1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(397,213)</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(10,748)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(22)</w:t>
            </w:r>
          </w:p>
        </w:tc>
        <w:tc>
          <w:tcPr>
            <w:tcW w:w="1120" w:type="dxa"/>
            <w:vAlign w:val="bottom"/>
            <w:gridSpan w:val="3"/>
          </w:tcPr>
          <w:p>
            <w:pPr>
              <w:jc w:val="right"/>
              <w:ind w:right="280"/>
              <w:spacing w:after="0"/>
              <w:rPr>
                <w:sz w:val="20"/>
                <w:szCs w:val="20"/>
                <w:color w:val="auto"/>
              </w:rPr>
            </w:pPr>
            <w:r>
              <w:rPr>
                <w:rFonts w:ascii="Arial" w:cs="Arial" w:eastAsia="Arial" w:hAnsi="Arial"/>
                <w:sz w:val="18"/>
                <w:szCs w:val="18"/>
                <w:color w:val="auto"/>
              </w:rPr>
              <w:t>365</w:t>
            </w:r>
          </w:p>
        </w:tc>
        <w:tc>
          <w:tcPr>
            <w:tcW w:w="740" w:type="dxa"/>
            <w:vAlign w:val="bottom"/>
          </w:tcPr>
          <w:p>
            <w:pPr>
              <w:jc w:val="right"/>
              <w:spacing w:after="0"/>
              <w:rPr>
                <w:sz w:val="20"/>
                <w:szCs w:val="20"/>
                <w:color w:val="auto"/>
              </w:rPr>
            </w:pPr>
            <w:r>
              <w:rPr>
                <w:rFonts w:ascii="Arial" w:cs="Arial" w:eastAsia="Arial" w:hAnsi="Arial"/>
                <w:sz w:val="18"/>
                <w:szCs w:val="18"/>
                <w:color w:val="auto"/>
              </w:rPr>
              <w:t>278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8"/>
              </w:rPr>
              <w:t>(179,973)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32,433</w:t>
            </w:r>
          </w:p>
        </w:tc>
        <w:tc>
          <w:tcPr>
            <w:tcW w:w="18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(304,203)</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55,433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30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2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7300" w:type="dxa"/>
            <w:vAlign w:val="bottom"/>
            <w:gridSpan w:val="2"/>
            <w:vMerge w:val="continue"/>
          </w:tcPr>
          <w:p>
            <w:pPr>
              <w:spacing w:after="0"/>
              <w:rPr>
                <w:sz w:val="20"/>
                <w:szCs w:val="20"/>
                <w:color w:val="auto"/>
              </w:rPr>
            </w:pPr>
          </w:p>
        </w:tc>
        <w:tc>
          <w:tcPr>
            <w:tcW w:w="2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(92,598)</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160,347</w:t>
            </w:r>
          </w:p>
        </w:tc>
        <w:tc>
          <w:tcPr>
            <w:tcW w:w="180" w:type="dxa"/>
            <w:vAlign w:val="bottom"/>
          </w:tcPr>
          <w:p>
            <w:pPr>
              <w:spacing w:after="0"/>
              <w:rPr>
                <w:sz w:val="20"/>
                <w:szCs w:val="20"/>
                <w:color w:val="auto"/>
              </w:rPr>
            </w:pPr>
          </w:p>
        </w:tc>
        <w:tc>
          <w:tcPr>
            <w:tcW w:w="1120" w:type="dxa"/>
            <w:vAlign w:val="bottom"/>
            <w:gridSpan w:val="3"/>
          </w:tcPr>
          <w:p>
            <w:pPr>
              <w:jc w:val="right"/>
              <w:ind w:right="280"/>
              <w:spacing w:after="0"/>
              <w:rPr>
                <w:sz w:val="20"/>
                <w:szCs w:val="20"/>
                <w:color w:val="auto"/>
              </w:rPr>
            </w:pPr>
            <w:r>
              <w:rPr>
                <w:rFonts w:ascii="Arial" w:cs="Arial" w:eastAsia="Arial" w:hAnsi="Arial"/>
                <w:sz w:val="18"/>
                <w:szCs w:val="18"/>
                <w:color w:val="auto"/>
              </w:rPr>
              <w:t>311,761</w:t>
            </w:r>
          </w:p>
        </w:tc>
        <w:tc>
          <w:tcPr>
            <w:tcW w:w="740" w:type="dxa"/>
            <w:vAlign w:val="bottom"/>
          </w:tcPr>
          <w:p>
            <w:pPr>
              <w:jc w:val="right"/>
              <w:spacing w:after="0"/>
              <w:rPr>
                <w:sz w:val="20"/>
                <w:szCs w:val="20"/>
                <w:color w:val="auto"/>
              </w:rPr>
            </w:pPr>
            <w:r>
              <w:rPr>
                <w:rFonts w:ascii="Arial" w:cs="Arial" w:eastAsia="Arial" w:hAnsi="Arial"/>
                <w:sz w:val="18"/>
                <w:szCs w:val="18"/>
                <w:color w:val="auto"/>
              </w:rPr>
              <w:t>47,640</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2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26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1,020,007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455,301</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615,648</w:t>
            </w:r>
          </w:p>
        </w:tc>
        <w:tc>
          <w:tcPr>
            <w:tcW w:w="28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568,008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30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3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927,409</w:t>
            </w:r>
          </w:p>
        </w:tc>
        <w:tc>
          <w:tcPr>
            <w:tcW w:w="160" w:type="dxa"/>
            <w:vAlign w:val="bottom"/>
          </w:tcPr>
          <w:p>
            <w:pPr>
              <w:spacing w:after="0"/>
              <w:rPr>
                <w:sz w:val="19"/>
                <w:szCs w:val="19"/>
                <w:color w:val="auto"/>
              </w:rPr>
            </w:pPr>
          </w:p>
        </w:tc>
        <w:tc>
          <w:tcPr>
            <w:tcW w:w="220" w:type="dxa"/>
            <w:vAlign w:val="bottom"/>
            <w:gridSpan w:val="2"/>
          </w:tcPr>
          <w:p>
            <w:pPr>
              <w:ind w:left="1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615,648</w:t>
            </w:r>
          </w:p>
        </w:tc>
        <w:tc>
          <w:tcPr>
            <w:tcW w:w="180" w:type="dxa"/>
            <w:vAlign w:val="bottom"/>
          </w:tcPr>
          <w:p>
            <w:pPr>
              <w:spacing w:after="0"/>
              <w:rPr>
                <w:sz w:val="19"/>
                <w:szCs w:val="19"/>
                <w:color w:val="auto"/>
              </w:rPr>
            </w:pPr>
          </w:p>
        </w:tc>
        <w:tc>
          <w:tcPr>
            <w:tcW w:w="1120" w:type="dxa"/>
            <w:vAlign w:val="bottom"/>
            <w:gridSpan w:val="3"/>
          </w:tcPr>
          <w:p>
            <w:pPr>
              <w:jc w:val="right"/>
              <w:ind w:right="280"/>
              <w:spacing w:after="0"/>
              <w:rPr>
                <w:sz w:val="20"/>
                <w:szCs w:val="20"/>
                <w:color w:val="auto"/>
              </w:rPr>
            </w:pPr>
            <w:r>
              <w:rPr>
                <w:rFonts w:ascii="Arial" w:cs="Arial" w:eastAsia="Arial" w:hAnsi="Arial"/>
                <w:sz w:val="18"/>
                <w:szCs w:val="18"/>
                <w:color w:val="auto"/>
              </w:rPr>
              <w:t>$ 927,409</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$ 615,648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7300" w:type="dxa"/>
            <w:vAlign w:val="bottom"/>
            <w:gridSpan w:val="2"/>
            <w:vMerge w:val="restart"/>
          </w:tcPr>
          <w:p>
            <w:pPr>
              <w:jc w:val="right"/>
              <w:ind w:right="1452"/>
              <w:spacing w:after="0"/>
              <w:rPr>
                <w:sz w:val="20"/>
                <w:szCs w:val="20"/>
                <w:color w:val="auto"/>
              </w:rPr>
            </w:pPr>
            <w:r>
              <w:rPr>
                <w:rFonts w:ascii="Arial" w:cs="Arial" w:eastAsia="Arial" w:hAnsi="Arial"/>
                <w:sz w:val="18"/>
                <w:szCs w:val="18"/>
                <w:color w:val="auto"/>
              </w:rPr>
              <w:t>5</w:t>
            </w:r>
          </w:p>
        </w:tc>
        <w:tc>
          <w:tcPr>
            <w:tcW w:w="2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300" w:type="dxa"/>
            <w:vAlign w:val="bottom"/>
            <w:gridSpan w:val="2"/>
            <w:vMerge w:val="continue"/>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1)"/>
      <w:numFmt w:val="lowerLetter"/>
      <w:start w:val="4"/>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2019-12-10T17:13:08Z</dcterms:created>
  <dcterms:modified xsi:type="dcterms:W3CDTF">2019-12-10T17:13:08Z</dcterms:modified>
</cp:coreProperties>
</file>