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7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317"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13G</w:t>
      </w:r>
    </w:p>
    <w:p>
      <w:pPr>
        <w:spacing w:after="0" w:line="200" w:lineRule="exact"/>
        <w:rPr>
          <w:sz w:val="24"/>
          <w:szCs w:val="24"/>
          <w:color w:val="auto"/>
        </w:rPr>
      </w:pPr>
    </w:p>
    <w:p>
      <w:pPr>
        <w:spacing w:after="0" w:line="229"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(Amendment No. 5)*</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9"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8"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Issuer)</w:t>
      </w:r>
    </w:p>
    <w:p>
      <w:pPr>
        <w:spacing w:after="0" w:line="200" w:lineRule="exact"/>
        <w:rPr>
          <w:sz w:val="24"/>
          <w:szCs w:val="24"/>
          <w:color w:val="auto"/>
        </w:rPr>
      </w:pPr>
    </w:p>
    <w:p>
      <w:pPr>
        <w:spacing w:after="0" w:line="20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1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2183130</wp:posOffset>
            </wp:positionH>
            <wp:positionV relativeFrom="paragraph">
              <wp:posOffset>14605</wp:posOffset>
            </wp:positionV>
            <wp:extent cx="28987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1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December 31, 2008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357"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00" w:lineRule="exact"/>
        <w:rPr>
          <w:rFonts w:ascii="MS PGothic" w:cs="MS PGothic" w:eastAsia="MS PGothic" w:hAnsi="MS PGothic"/>
          <w:sz w:val="18"/>
          <w:szCs w:val="18"/>
          <w:color w:val="auto"/>
        </w:rPr>
      </w:pPr>
    </w:p>
    <w:p>
      <w:pPr>
        <w:spacing w:after="0" w:line="214"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79" w:lineRule="exact"/>
        <w:rPr>
          <w:sz w:val="24"/>
          <w:szCs w:val="24"/>
          <w:color w:val="auto"/>
        </w:rPr>
      </w:pPr>
    </w:p>
    <w:p>
      <w:pPr>
        <w:spacing w:after="0" w:line="275" w:lineRule="auto"/>
        <w:rPr>
          <w:sz w:val="20"/>
          <w:szCs w:val="20"/>
          <w:color w:val="auto"/>
        </w:rPr>
      </w:pPr>
      <w:r>
        <w:rPr>
          <w:rFonts w:ascii="Arial" w:cs="Arial" w:eastAsia="Arial" w:hAnsi="Arial"/>
          <w:sz w:val="18"/>
          <w:szCs w:val="18"/>
          <w:b w:val="1"/>
          <w:bCs w:val="1"/>
          <w:color w:val="auto"/>
        </w:rPr>
        <w:t>Persons who respond to the collection of information contained in this form are not required to respond unless the form displays a currently valid OMB control number.</w:t>
      </w:r>
    </w:p>
    <w:p>
      <w:pPr>
        <w:spacing w:after="0" w:line="112"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Page 1 of 5</w:t>
      </w:r>
    </w:p>
    <w:p>
      <w:pPr>
        <w:sectPr>
          <w:pgSz w:w="11900" w:h="16838" w:orient="portrait"/>
          <w:cols w:equalWidth="0" w:num="1">
            <w:col w:w="11340"/>
          </w:cols>
          <w:pgMar w:left="240" w:top="273" w:right="31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53975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380" w:hanging="284"/>
        <w:spacing w:after="0"/>
        <w:tabs>
          <w:tab w:leader="none" w:pos="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Names of Reporting Persons.</w:t>
      </w:r>
    </w:p>
    <w:p>
      <w:pPr>
        <w:spacing w:after="0" w:line="15" w:lineRule="exact"/>
        <w:rPr>
          <w:rFonts w:ascii="Arial" w:cs="Arial" w:eastAsia="Arial" w:hAnsi="Arial"/>
          <w:sz w:val="18"/>
          <w:szCs w:val="18"/>
          <w:color w:val="auto"/>
        </w:rPr>
      </w:pPr>
    </w:p>
    <w:p>
      <w:pPr>
        <w:ind w:left="380"/>
        <w:spacing w:after="0"/>
        <w:rPr>
          <w:rFonts w:ascii="Arial" w:cs="Arial" w:eastAsia="Arial" w:hAnsi="Arial"/>
          <w:sz w:val="18"/>
          <w:szCs w:val="18"/>
          <w:color w:val="auto"/>
        </w:rPr>
      </w:pPr>
      <w:r>
        <w:rPr>
          <w:rFonts w:ascii="Arial" w:cs="Arial" w:eastAsia="Arial" w:hAnsi="Arial"/>
          <w:sz w:val="18"/>
          <w:szCs w:val="18"/>
          <w:color w:val="auto"/>
        </w:rPr>
        <w:t>I.R.S. Identification Nos. of above persons (entities only).</w:t>
      </w:r>
    </w:p>
    <w:p>
      <w:pPr>
        <w:spacing w:after="0" w:line="233" w:lineRule="exact"/>
        <w:rPr>
          <w:sz w:val="20"/>
          <w:szCs w:val="20"/>
          <w:color w:val="auto"/>
        </w:rPr>
      </w:pPr>
    </w:p>
    <w:p>
      <w:pPr>
        <w:ind w:left="380"/>
        <w:spacing w:after="0"/>
        <w:rPr>
          <w:sz w:val="20"/>
          <w:szCs w:val="20"/>
          <w:color w:val="auto"/>
        </w:rPr>
      </w:pPr>
      <w:r>
        <w:rPr>
          <w:rFonts w:ascii="Arial" w:cs="Arial" w:eastAsia="Arial" w:hAnsi="Arial"/>
          <w:sz w:val="22"/>
          <w:szCs w:val="22"/>
          <w:color w:val="auto"/>
        </w:rPr>
        <w:t>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5"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4"/>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16"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4"/>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22" w:lineRule="exact"/>
        <w:rPr>
          <w:rFonts w:ascii="Arial" w:cs="Arial" w:eastAsia="Arial" w:hAnsi="Arial"/>
          <w:sz w:val="18"/>
          <w:szCs w:val="18"/>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79" w:lineRule="exact"/>
        <w:rPr>
          <w:rFonts w:ascii="Arial" w:cs="Arial" w:eastAsia="Arial" w:hAnsi="Arial"/>
          <w:sz w:val="18"/>
          <w:szCs w:val="18"/>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-442595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-133985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0"/>
          <w:szCs w:val="20"/>
          <w:color w:val="auto"/>
        </w:rPr>
      </w:pPr>
    </w:p>
    <w:p>
      <w:pPr>
        <w:ind w:left="380"/>
        <w:spacing w:after="0"/>
        <w:rPr>
          <w:sz w:val="20"/>
          <w:szCs w:val="20"/>
          <w:color w:val="auto"/>
        </w:rPr>
      </w:pPr>
      <w:r>
        <w:rPr>
          <w:rFonts w:ascii="Arial" w:cs="Arial" w:eastAsia="Arial" w:hAnsi="Arial"/>
          <w:sz w:val="22"/>
          <w:szCs w:val="22"/>
          <w:color w:val="auto"/>
        </w:rPr>
        <w:t>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ind w:left="1660" w:hanging="308"/>
        <w:spacing w:after="0"/>
        <w:tabs>
          <w:tab w:leader="none" w:pos="1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Sole Voting Power</w:t>
      </w:r>
    </w:p>
    <w:p>
      <w:pPr>
        <w:spacing w:after="0" w:line="199" w:lineRule="exact"/>
        <w:rPr>
          <w:sz w:val="20"/>
          <w:szCs w:val="20"/>
          <w:color w:val="auto"/>
        </w:rPr>
      </w:pPr>
    </w:p>
    <w:tbl>
      <w:tblPr>
        <w:tblLayout w:type="fixed"/>
        <w:tblInd w:w="100" w:type="dxa"/>
        <w:tblCellMar>
          <w:top w:w="0" w:type="dxa"/>
          <w:left w:w="0" w:type="dxa"/>
          <w:bottom w:w="0" w:type="dxa"/>
          <w:right w:w="0" w:type="dxa"/>
        </w:tblCellMar>
      </w:tblPr>
      <w:tr>
        <w:trPr>
          <w:trHeight w:val="278"/>
        </w:trPr>
        <w:tc>
          <w:tcPr>
            <w:tcW w:w="1060" w:type="dxa"/>
            <w:vAlign w:val="bottom"/>
          </w:tcPr>
          <w:p>
            <w:pPr>
              <w:jc w:val="center"/>
              <w:ind w:right="92"/>
              <w:spacing w:after="0"/>
              <w:rPr>
                <w:sz w:val="20"/>
                <w:szCs w:val="20"/>
                <w:color w:val="auto"/>
              </w:rPr>
            </w:pPr>
            <w:r>
              <w:rPr>
                <w:rFonts w:ascii="Arial" w:cs="Arial" w:eastAsia="Arial" w:hAnsi="Arial"/>
                <w:sz w:val="18"/>
                <w:szCs w:val="18"/>
                <w:color w:val="auto"/>
                <w:w w:val="90"/>
              </w:rPr>
              <w:t>Number of</w:t>
            </w:r>
          </w:p>
        </w:tc>
        <w:tc>
          <w:tcPr>
            <w:tcW w:w="380" w:type="dxa"/>
            <w:vAlign w:val="bottom"/>
            <w:tcBorders>
              <w:bottom w:val="single" w:sz="8" w:color="auto"/>
            </w:tcBorders>
          </w:tcPr>
          <w:p>
            <w:pPr>
              <w:spacing w:after="0"/>
              <w:rPr>
                <w:sz w:val="24"/>
                <w:szCs w:val="24"/>
                <w:color w:val="auto"/>
              </w:rPr>
            </w:pPr>
          </w:p>
        </w:tc>
        <w:tc>
          <w:tcPr>
            <w:tcW w:w="9880" w:type="dxa"/>
            <w:vAlign w:val="bottom"/>
            <w:tcBorders>
              <w:bottom w:val="single" w:sz="8" w:color="auto"/>
            </w:tcBorders>
          </w:tcPr>
          <w:p>
            <w:pPr>
              <w:ind w:left="40"/>
              <w:spacing w:after="0"/>
              <w:rPr>
                <w:sz w:val="20"/>
                <w:szCs w:val="20"/>
                <w:color w:val="auto"/>
              </w:rPr>
            </w:pPr>
            <w:r>
              <w:rPr>
                <w:rFonts w:ascii="Arial" w:cs="Arial" w:eastAsia="Arial" w:hAnsi="Arial"/>
                <w:sz w:val="22"/>
                <w:szCs w:val="22"/>
                <w:color w:val="auto"/>
              </w:rPr>
              <w:t>2,820,000 shares*</w:t>
            </w:r>
          </w:p>
        </w:tc>
        <w:tc>
          <w:tcPr>
            <w:tcW w:w="0" w:type="dxa"/>
            <w:vAlign w:val="bottom"/>
          </w:tcPr>
          <w:p>
            <w:pPr>
              <w:spacing w:after="0"/>
              <w:rPr>
                <w:sz w:val="1"/>
                <w:szCs w:val="1"/>
                <w:color w:val="auto"/>
              </w:rPr>
            </w:pPr>
          </w:p>
        </w:tc>
      </w:tr>
      <w:tr>
        <w:trPr>
          <w:trHeight w:val="228"/>
        </w:trPr>
        <w:tc>
          <w:tcPr>
            <w:tcW w:w="1060" w:type="dxa"/>
            <w:vAlign w:val="bottom"/>
          </w:tcPr>
          <w:p>
            <w:pPr>
              <w:jc w:val="center"/>
              <w:ind w:right="92"/>
              <w:spacing w:after="0"/>
              <w:rPr>
                <w:sz w:val="20"/>
                <w:szCs w:val="20"/>
                <w:color w:val="auto"/>
              </w:rPr>
            </w:pPr>
            <w:r>
              <w:rPr>
                <w:rFonts w:ascii="Arial" w:cs="Arial" w:eastAsia="Arial" w:hAnsi="Arial"/>
                <w:sz w:val="18"/>
                <w:szCs w:val="18"/>
                <w:color w:val="auto"/>
                <w:w w:val="84"/>
              </w:rPr>
              <w:t>Shares</w:t>
            </w:r>
          </w:p>
        </w:tc>
        <w:tc>
          <w:tcPr>
            <w:tcW w:w="380" w:type="dxa"/>
            <w:vAlign w:val="bottom"/>
          </w:tcPr>
          <w:p>
            <w:pPr>
              <w:jc w:val="right"/>
              <w:spacing w:after="0"/>
              <w:rPr>
                <w:sz w:val="20"/>
                <w:szCs w:val="20"/>
                <w:color w:val="auto"/>
              </w:rPr>
            </w:pPr>
            <w:r>
              <w:rPr>
                <w:rFonts w:ascii="Arial" w:cs="Arial" w:eastAsia="Arial" w:hAnsi="Arial"/>
                <w:sz w:val="18"/>
                <w:szCs w:val="18"/>
                <w:color w:val="auto"/>
              </w:rPr>
              <w:t>6.</w:t>
            </w:r>
          </w:p>
        </w:tc>
        <w:tc>
          <w:tcPr>
            <w:tcW w:w="9880" w:type="dxa"/>
            <w:vAlign w:val="bottom"/>
          </w:tcPr>
          <w:p>
            <w:pPr>
              <w:ind w:left="12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60" w:type="dxa"/>
            <w:vAlign w:val="bottom"/>
          </w:tcPr>
          <w:p>
            <w:pPr>
              <w:jc w:val="center"/>
              <w:ind w:right="112"/>
              <w:spacing w:after="0"/>
              <w:rPr>
                <w:sz w:val="20"/>
                <w:szCs w:val="20"/>
                <w:color w:val="auto"/>
              </w:rPr>
            </w:pPr>
            <w:r>
              <w:rPr>
                <w:rFonts w:ascii="Arial" w:cs="Arial" w:eastAsia="Arial" w:hAnsi="Arial"/>
                <w:sz w:val="18"/>
                <w:szCs w:val="18"/>
                <w:color w:val="auto"/>
                <w:w w:val="94"/>
              </w:rPr>
              <w:t>Beneficially</w:t>
            </w:r>
          </w:p>
        </w:tc>
        <w:tc>
          <w:tcPr>
            <w:tcW w:w="380" w:type="dxa"/>
            <w:vAlign w:val="bottom"/>
          </w:tcPr>
          <w:p>
            <w:pPr>
              <w:spacing w:after="0"/>
              <w:rPr>
                <w:sz w:val="18"/>
                <w:szCs w:val="18"/>
                <w:color w:val="auto"/>
              </w:rPr>
            </w:pPr>
          </w:p>
        </w:tc>
        <w:tc>
          <w:tcPr>
            <w:tcW w:w="9880" w:type="dxa"/>
            <w:vAlign w:val="bottom"/>
            <w:vMerge w:val="restart"/>
          </w:tcPr>
          <w:p>
            <w:pPr>
              <w:ind w:left="100"/>
              <w:spacing w:after="0"/>
              <w:rPr>
                <w:sz w:val="20"/>
                <w:szCs w:val="20"/>
                <w:color w:val="auto"/>
              </w:rPr>
            </w:pPr>
            <w:r>
              <w:rPr>
                <w:rFonts w:ascii="Arial" w:cs="Arial" w:eastAsia="Arial" w:hAnsi="Arial"/>
                <w:sz w:val="22"/>
                <w:szCs w:val="22"/>
                <w:color w:val="auto"/>
              </w:rPr>
              <w:t>38,709,300 shares*</w:t>
            </w:r>
          </w:p>
        </w:tc>
        <w:tc>
          <w:tcPr>
            <w:tcW w:w="0" w:type="dxa"/>
            <w:vAlign w:val="bottom"/>
          </w:tcPr>
          <w:p>
            <w:pPr>
              <w:spacing w:after="0"/>
              <w:rPr>
                <w:sz w:val="1"/>
                <w:szCs w:val="1"/>
                <w:color w:val="auto"/>
              </w:rPr>
            </w:pPr>
          </w:p>
        </w:tc>
      </w:tr>
      <w:tr>
        <w:trPr>
          <w:trHeight w:val="222"/>
        </w:trPr>
        <w:tc>
          <w:tcPr>
            <w:tcW w:w="1060" w:type="dxa"/>
            <w:vAlign w:val="bottom"/>
          </w:tcPr>
          <w:p>
            <w:pPr>
              <w:jc w:val="center"/>
              <w:ind w:right="92"/>
              <w:spacing w:after="0"/>
              <w:rPr>
                <w:sz w:val="20"/>
                <w:szCs w:val="20"/>
                <w:color w:val="auto"/>
              </w:rPr>
            </w:pPr>
            <w:r>
              <w:rPr>
                <w:rFonts w:ascii="Arial" w:cs="Arial" w:eastAsia="Arial" w:hAnsi="Arial"/>
                <w:sz w:val="18"/>
                <w:szCs w:val="18"/>
                <w:color w:val="auto"/>
                <w:w w:val="88"/>
              </w:rPr>
              <w:t>Owned by</w:t>
            </w:r>
          </w:p>
        </w:tc>
        <w:tc>
          <w:tcPr>
            <w:tcW w:w="380" w:type="dxa"/>
            <w:vAlign w:val="bottom"/>
            <w:tcBorders>
              <w:bottom w:val="single" w:sz="8" w:color="auto"/>
            </w:tcBorders>
          </w:tcPr>
          <w:p>
            <w:pPr>
              <w:spacing w:after="0"/>
              <w:rPr>
                <w:sz w:val="19"/>
                <w:szCs w:val="19"/>
                <w:color w:val="auto"/>
              </w:rPr>
            </w:pPr>
          </w:p>
        </w:tc>
        <w:tc>
          <w:tcPr>
            <w:tcW w:w="988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1060" w:type="dxa"/>
            <w:vAlign w:val="bottom"/>
          </w:tcPr>
          <w:p>
            <w:pPr>
              <w:jc w:val="center"/>
              <w:ind w:right="92"/>
              <w:spacing w:after="0" w:line="190" w:lineRule="exact"/>
              <w:rPr>
                <w:sz w:val="20"/>
                <w:szCs w:val="20"/>
                <w:color w:val="auto"/>
              </w:rPr>
            </w:pPr>
            <w:r>
              <w:rPr>
                <w:rFonts w:ascii="Arial" w:cs="Arial" w:eastAsia="Arial" w:hAnsi="Arial"/>
                <w:sz w:val="18"/>
                <w:szCs w:val="18"/>
                <w:color w:val="auto"/>
                <w:w w:val="87"/>
              </w:rPr>
              <w:t>Each</w:t>
            </w:r>
          </w:p>
        </w:tc>
        <w:tc>
          <w:tcPr>
            <w:tcW w:w="38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9880" w:type="dxa"/>
            <w:vAlign w:val="bottom"/>
          </w:tcPr>
          <w:p>
            <w:pPr>
              <w:ind w:left="12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60" w:type="dxa"/>
            <w:vAlign w:val="bottom"/>
          </w:tcPr>
          <w:p>
            <w:pPr>
              <w:jc w:val="center"/>
              <w:ind w:right="112"/>
              <w:spacing w:after="0"/>
              <w:rPr>
                <w:sz w:val="20"/>
                <w:szCs w:val="20"/>
                <w:color w:val="auto"/>
              </w:rPr>
            </w:pPr>
            <w:r>
              <w:rPr>
                <w:rFonts w:ascii="Arial" w:cs="Arial" w:eastAsia="Arial" w:hAnsi="Arial"/>
                <w:sz w:val="18"/>
                <w:szCs w:val="18"/>
                <w:color w:val="auto"/>
                <w:w w:val="89"/>
              </w:rPr>
              <w:t>Reporting</w:t>
            </w:r>
          </w:p>
        </w:tc>
        <w:tc>
          <w:tcPr>
            <w:tcW w:w="380" w:type="dxa"/>
            <w:vAlign w:val="bottom"/>
          </w:tcPr>
          <w:p>
            <w:pPr>
              <w:spacing w:after="0"/>
              <w:rPr>
                <w:sz w:val="18"/>
                <w:szCs w:val="18"/>
                <w:color w:val="auto"/>
              </w:rPr>
            </w:pPr>
          </w:p>
        </w:tc>
        <w:tc>
          <w:tcPr>
            <w:tcW w:w="9880" w:type="dxa"/>
            <w:vAlign w:val="bottom"/>
            <w:vMerge w:val="restart"/>
          </w:tcPr>
          <w:p>
            <w:pPr>
              <w:ind w:left="40"/>
              <w:spacing w:after="0"/>
              <w:rPr>
                <w:sz w:val="20"/>
                <w:szCs w:val="20"/>
                <w:color w:val="auto"/>
              </w:rPr>
            </w:pPr>
            <w:r>
              <w:rPr>
                <w:rFonts w:ascii="Arial" w:cs="Arial" w:eastAsia="Arial" w:hAnsi="Arial"/>
                <w:sz w:val="22"/>
                <w:szCs w:val="22"/>
                <w:color w:val="auto"/>
              </w:rPr>
              <w:t>2,820,000 shares*</w:t>
            </w:r>
          </w:p>
        </w:tc>
        <w:tc>
          <w:tcPr>
            <w:tcW w:w="0" w:type="dxa"/>
            <w:vAlign w:val="bottom"/>
          </w:tcPr>
          <w:p>
            <w:pPr>
              <w:spacing w:after="0"/>
              <w:rPr>
                <w:sz w:val="1"/>
                <w:szCs w:val="1"/>
                <w:color w:val="auto"/>
              </w:rPr>
            </w:pPr>
          </w:p>
        </w:tc>
      </w:tr>
      <w:tr>
        <w:trPr>
          <w:trHeight w:val="216"/>
        </w:trPr>
        <w:tc>
          <w:tcPr>
            <w:tcW w:w="1060" w:type="dxa"/>
            <w:vAlign w:val="bottom"/>
          </w:tcPr>
          <w:p>
            <w:pPr>
              <w:jc w:val="center"/>
              <w:ind w:right="92"/>
              <w:spacing w:after="0"/>
              <w:rPr>
                <w:sz w:val="20"/>
                <w:szCs w:val="20"/>
                <w:color w:val="auto"/>
              </w:rPr>
            </w:pPr>
            <w:r>
              <w:rPr>
                <w:rFonts w:ascii="Arial" w:cs="Arial" w:eastAsia="Arial" w:hAnsi="Arial"/>
                <w:sz w:val="18"/>
                <w:szCs w:val="18"/>
                <w:color w:val="auto"/>
                <w:w w:val="84"/>
              </w:rPr>
              <w:t>Person</w:t>
            </w:r>
          </w:p>
        </w:tc>
        <w:tc>
          <w:tcPr>
            <w:tcW w:w="380" w:type="dxa"/>
            <w:vAlign w:val="bottom"/>
          </w:tcPr>
          <w:p>
            <w:pPr>
              <w:spacing w:after="0"/>
              <w:rPr>
                <w:sz w:val="18"/>
                <w:szCs w:val="18"/>
                <w:color w:val="auto"/>
              </w:rPr>
            </w:pPr>
          </w:p>
        </w:tc>
        <w:tc>
          <w:tcPr>
            <w:tcW w:w="988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1060" w:type="dxa"/>
            <w:vAlign w:val="bottom"/>
            <w:vMerge w:val="restart"/>
          </w:tcPr>
          <w:p>
            <w:pPr>
              <w:jc w:val="center"/>
              <w:ind w:right="92"/>
              <w:spacing w:after="0"/>
              <w:rPr>
                <w:sz w:val="20"/>
                <w:szCs w:val="20"/>
                <w:color w:val="auto"/>
              </w:rPr>
            </w:pPr>
            <w:r>
              <w:rPr>
                <w:rFonts w:ascii="Arial" w:cs="Arial" w:eastAsia="Arial" w:hAnsi="Arial"/>
                <w:sz w:val="18"/>
                <w:szCs w:val="18"/>
                <w:color w:val="auto"/>
                <w:w w:val="99"/>
              </w:rPr>
              <w:t>With</w:t>
            </w:r>
          </w:p>
        </w:tc>
        <w:tc>
          <w:tcPr>
            <w:tcW w:w="380" w:type="dxa"/>
            <w:vAlign w:val="bottom"/>
            <w:tcBorders>
              <w:bottom w:val="single" w:sz="8" w:color="auto"/>
            </w:tcBorders>
          </w:tcPr>
          <w:p>
            <w:pPr>
              <w:spacing w:after="0"/>
              <w:rPr>
                <w:sz w:val="4"/>
                <w:szCs w:val="4"/>
                <w:color w:val="auto"/>
              </w:rPr>
            </w:pPr>
          </w:p>
        </w:tc>
        <w:tc>
          <w:tcPr>
            <w:tcW w:w="988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1060" w:type="dxa"/>
            <w:vAlign w:val="bottom"/>
            <w:vMerge w:val="continue"/>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c>
          <w:tcPr>
            <w:tcW w:w="9880" w:type="dxa"/>
            <w:vAlign w:val="bottom"/>
          </w:tcPr>
          <w:p>
            <w:pPr>
              <w:ind w:left="12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bl>
    <w:p>
      <w:pPr>
        <w:spacing w:after="0" w:line="175" w:lineRule="exact"/>
        <w:rPr>
          <w:sz w:val="20"/>
          <w:szCs w:val="20"/>
          <w:color w:val="auto"/>
        </w:rPr>
      </w:pPr>
    </w:p>
    <w:p>
      <w:pPr>
        <w:ind w:left="1580"/>
        <w:spacing w:after="0"/>
        <w:rPr>
          <w:sz w:val="20"/>
          <w:szCs w:val="20"/>
          <w:color w:val="auto"/>
        </w:rPr>
      </w:pPr>
      <w:r>
        <w:rPr>
          <w:rFonts w:ascii="Arial" w:cs="Arial" w:eastAsia="Arial" w:hAnsi="Arial"/>
          <w:sz w:val="22"/>
          <w:szCs w:val="22"/>
          <w:color w:val="auto"/>
        </w:rPr>
        <w:t>38,709,300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ind w:left="100"/>
        <w:spacing w:after="0"/>
        <w:tabs>
          <w:tab w:leader="none" w:pos="360" w:val="left"/>
        </w:tabs>
        <w:rPr>
          <w:sz w:val="20"/>
          <w:szCs w:val="20"/>
          <w:color w:val="auto"/>
        </w:rPr>
      </w:pPr>
      <w:r>
        <w:rPr>
          <w:rFonts w:ascii="Arial" w:cs="Arial" w:eastAsia="Arial" w:hAnsi="Arial"/>
          <w:sz w:val="18"/>
          <w:szCs w:val="18"/>
          <w:color w:val="auto"/>
        </w:rPr>
        <w:t>9.</w:t>
      </w:r>
      <w:r>
        <w:rPr>
          <w:sz w:val="20"/>
          <w:szCs w:val="20"/>
          <w:color w:val="auto"/>
        </w:rPr>
        <w:tab/>
      </w:r>
      <w:r>
        <w:rPr>
          <w:rFonts w:ascii="Arial" w:cs="Arial" w:eastAsia="Arial" w:hAnsi="Arial"/>
          <w:sz w:val="16"/>
          <w:szCs w:val="16"/>
          <w:color w:val="auto"/>
        </w:rPr>
        <w:t>Aggregate Amount Beneficially Owned by Each Reporting Person</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41,529,300 shares*</w:t>
      </w:r>
    </w:p>
    <w:p>
      <w:pPr>
        <w:spacing w:after="0" w:line="22" w:lineRule="exact"/>
        <w:rPr>
          <w:sz w:val="20"/>
          <w:szCs w:val="20"/>
          <w:color w:val="auto"/>
        </w:rPr>
      </w:pPr>
    </w:p>
    <w:p>
      <w:pPr>
        <w:spacing w:after="0" w:line="207" w:lineRule="exact"/>
        <w:tabs>
          <w:tab w:leader="none" w:pos="360" w:val="left"/>
          <w:tab w:leader="none" w:pos="11240" w:val="left"/>
        </w:tabs>
        <w:rPr>
          <w:sz w:val="20"/>
          <w:szCs w:val="20"/>
          <w:color w:val="auto"/>
        </w:rPr>
      </w:pPr>
      <w:r>
        <w:rPr>
          <w:rFonts w:ascii="Arial" w:cs="Arial" w:eastAsia="Arial" w:hAnsi="Arial"/>
          <w:sz w:val="18"/>
          <w:szCs w:val="18"/>
          <w:color w:val="auto"/>
        </w:rPr>
        <w:t>10.</w:t>
        <w:tab/>
        <w:t>Check if the Aggregate Amount in Row (9) Excludes Certain Shares (See Instructions)</w:t>
      </w:r>
      <w:r>
        <w:rPr>
          <w:sz w:val="20"/>
          <w:szCs w:val="20"/>
          <w:color w:val="auto"/>
        </w:rPr>
        <w:tab/>
      </w: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-128270</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248285</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6"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5"/>
          <w:szCs w:val="15"/>
          <w:color w:val="auto"/>
        </w:rPr>
        <w:t>Percent of Class Represented by Amount in Row (9)</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5"/>
          <w:szCs w:val="15"/>
          <w:color w:val="auto"/>
        </w:rPr>
        <w:t>Type of Reporting Person (See Instructions)</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3" w:lineRule="exact"/>
        <w:rPr>
          <w:sz w:val="20"/>
          <w:szCs w:val="20"/>
          <w:color w:val="auto"/>
        </w:rPr>
      </w:pPr>
    </w:p>
    <w:p>
      <w:pPr>
        <w:ind w:left="220" w:right="120" w:hanging="212"/>
        <w:spacing w:after="0" w:line="259" w:lineRule="auto"/>
        <w:tabs>
          <w:tab w:leader="none" w:pos="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amounts reported consist of 38,709,300 shares held by the Sutardja Chuk Revocable Family Trust and 2,820,000 shares deemed to be beneficially owned pursuant to stock options exercisable on March 1, 2009. 2,000,000 of the shares held by Sutardja Chuk Revocable Family Trust are held in an account that could be deemed a margin account.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20"/>
          </w:cols>
          <w:pgMar w:left="240" w:top="280"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1.</w:t>
      </w:r>
    </w:p>
    <w:p>
      <w:pPr>
        <w:spacing w:after="0" w:line="96" w:lineRule="exact"/>
        <w:rPr>
          <w:sz w:val="20"/>
          <w:szCs w:val="20"/>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90" w:lineRule="exact"/>
        <w:rPr>
          <w:rFonts w:ascii="Arial" w:cs="Arial" w:eastAsia="Arial" w:hAnsi="Arial"/>
          <w:sz w:val="18"/>
          <w:szCs w:val="18"/>
          <w:color w:val="auto"/>
        </w:rPr>
      </w:pPr>
    </w:p>
    <w:p>
      <w:pPr>
        <w:ind w:left="900" w:right="7160"/>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900" w:right="8180"/>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96" w:lineRule="exact"/>
        <w:rPr>
          <w:sz w:val="20"/>
          <w:szCs w:val="20"/>
          <w:color w:val="auto"/>
        </w:rPr>
      </w:pPr>
    </w:p>
    <w:p>
      <w:pPr>
        <w:ind w:left="900" w:right="7820" w:hanging="446"/>
        <w:spacing w:after="0" w:line="338" w:lineRule="auto"/>
        <w:tabs>
          <w:tab w:leader="none" w:pos="897" w:val="left"/>
        </w:tabs>
        <w:numPr>
          <w:ilvl w:val="0"/>
          <w:numId w:val="8"/>
        </w:numPr>
        <w:rPr>
          <w:rFonts w:ascii="Arial" w:cs="Arial" w:eastAsia="Arial" w:hAnsi="Arial"/>
          <w:sz w:val="16"/>
          <w:szCs w:val="16"/>
          <w:color w:val="auto"/>
        </w:rPr>
      </w:pPr>
      <w:r>
        <w:rPr>
          <w:rFonts w:ascii="Arial" w:cs="Arial" w:eastAsia="Arial" w:hAnsi="Arial"/>
          <w:sz w:val="16"/>
          <w:szCs w:val="16"/>
          <w:color w:val="auto"/>
        </w:rPr>
        <w:t>Name of Person Filing Dr. Pantas Sutardja</w:t>
      </w:r>
    </w:p>
    <w:p>
      <w:pPr>
        <w:spacing w:after="0" w:line="1" w:lineRule="exact"/>
        <w:rPr>
          <w:rFonts w:ascii="Arial" w:cs="Arial" w:eastAsia="Arial" w:hAnsi="Arial"/>
          <w:sz w:val="16"/>
          <w:szCs w:val="16"/>
          <w:color w:val="auto"/>
        </w:rPr>
      </w:pP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83"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900" w:right="7780"/>
        <w:spacing w:after="0" w:line="352"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ind w:left="900" w:right="8480" w:hanging="446"/>
        <w:spacing w:after="0" w:line="361" w:lineRule="auto"/>
        <w:tabs>
          <w:tab w:leader="none" w:pos="897" w:val="left"/>
        </w:tabs>
        <w:numPr>
          <w:ilvl w:val="0"/>
          <w:numId w:val="8"/>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900" w:hanging="446"/>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83"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90" w:lineRule="exact"/>
        <w:rPr>
          <w:rFonts w:ascii="Arial" w:cs="Arial" w:eastAsia="Arial" w:hAnsi="Arial"/>
          <w:sz w:val="18"/>
          <w:szCs w:val="18"/>
          <w:color w:val="auto"/>
        </w:rPr>
      </w:pPr>
    </w:p>
    <w:p>
      <w:pPr>
        <w:ind w:left="900" w:right="8300" w:hanging="446"/>
        <w:spacing w:after="0" w:line="437" w:lineRule="auto"/>
        <w:tabs>
          <w:tab w:leader="none" w:pos="897" w:val="left"/>
        </w:tabs>
        <w:numPr>
          <w:ilvl w:val="0"/>
          <w:numId w:val="8"/>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2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If this statement is filed pursuant to §§240.13d-1(b) or 240.13d-2(b) or (c), check whether the person filing is a:</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Ownership</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Provide the following information regarding the aggregate number and percentage of the class of securities of the issuer identified in Item 1.</w:t>
      </w:r>
    </w:p>
    <w:p>
      <w:pPr>
        <w:spacing w:after="0" w:line="125" w:lineRule="exact"/>
        <w:rPr>
          <w:sz w:val="20"/>
          <w:szCs w:val="20"/>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41,529,300 shares.*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6.7%</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90" w:lineRule="exact"/>
        <w:rPr>
          <w:rFonts w:ascii="Arial" w:cs="Arial" w:eastAsia="Arial" w:hAnsi="Arial"/>
          <w:sz w:val="18"/>
          <w:szCs w:val="18"/>
          <w:color w:val="auto"/>
        </w:rPr>
      </w:pPr>
    </w:p>
    <w:p>
      <w:pPr>
        <w:ind w:left="1420" w:right="6100" w:hanging="507"/>
        <w:spacing w:after="0" w:line="362" w:lineRule="auto"/>
        <w:tabs>
          <w:tab w:leader="none" w:pos="1472" w:val="left"/>
        </w:tabs>
        <w:numPr>
          <w:ilvl w:val="1"/>
          <w:numId w:val="9"/>
        </w:numPr>
        <w:rPr>
          <w:rFonts w:ascii="Arial" w:cs="Arial" w:eastAsia="Arial" w:hAnsi="Arial"/>
          <w:sz w:val="18"/>
          <w:szCs w:val="18"/>
          <w:color w:val="auto"/>
        </w:rPr>
      </w:pPr>
      <w:r>
        <w:rPr>
          <w:rFonts w:ascii="Arial" w:cs="Arial" w:eastAsia="Arial" w:hAnsi="Arial"/>
          <w:sz w:val="18"/>
          <w:szCs w:val="18"/>
          <w:color w:val="auto"/>
        </w:rPr>
        <w:t>Sole power to vote or to direct the vote 2,820,000 shares*</w:t>
      </w:r>
    </w:p>
    <w:p>
      <w:pPr>
        <w:spacing w:after="0" w:line="37"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320"/>
          </w:cols>
          <w:pgMar w:left="240" w:top="274" w:right="1339" w:bottom="1440" w:gutter="0" w:footer="0" w:header="0"/>
        </w:sectPr>
      </w:pPr>
    </w:p>
    <w:bookmarkStart w:id="3" w:name="page4"/>
    <w:bookmarkEnd w:id="3"/>
    <w:p>
      <w:pPr>
        <w:ind w:left="1420" w:right="6800" w:hanging="507"/>
        <w:spacing w:after="0" w:line="344" w:lineRule="auto"/>
        <w:tabs>
          <w:tab w:leader="none" w:pos="1472" w:val="left"/>
        </w:tabs>
        <w:numPr>
          <w:ilvl w:val="1"/>
          <w:numId w:val="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Shared power to vote or to direct the vote 38,709,300 shares*</w:t>
      </w:r>
    </w:p>
    <w:p>
      <w:pPr>
        <w:ind w:left="1420" w:right="6100" w:hanging="507"/>
        <w:spacing w:after="0" w:line="344" w:lineRule="auto"/>
        <w:tabs>
          <w:tab w:leader="none" w:pos="1472" w:val="left"/>
        </w:tabs>
        <w:numPr>
          <w:ilvl w:val="1"/>
          <w:numId w:val="10"/>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2,820,000 shares*</w:t>
      </w:r>
    </w:p>
    <w:p>
      <w:pPr>
        <w:ind w:left="1420" w:right="5920" w:hanging="507"/>
        <w:spacing w:after="0" w:line="344" w:lineRule="auto"/>
        <w:tabs>
          <w:tab w:leader="none" w:pos="1472" w:val="left"/>
        </w:tabs>
        <w:numPr>
          <w:ilvl w:val="1"/>
          <w:numId w:val="10"/>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38,709,300 shares*</w:t>
      </w:r>
    </w:p>
    <w:p>
      <w:pPr>
        <w:ind w:left="220" w:right="120" w:hanging="216"/>
        <w:spacing w:after="0" w:line="259" w:lineRule="auto"/>
        <w:rPr>
          <w:rFonts w:ascii="Arial" w:cs="Arial" w:eastAsia="Arial" w:hAnsi="Arial"/>
          <w:sz w:val="18"/>
          <w:szCs w:val="18"/>
          <w:color w:val="auto"/>
        </w:rPr>
      </w:pPr>
      <w:r>
        <w:rPr>
          <w:rFonts w:ascii="Arial" w:cs="Arial" w:eastAsia="Arial" w:hAnsi="Arial"/>
          <w:sz w:val="18"/>
          <w:szCs w:val="18"/>
          <w:color w:val="auto"/>
        </w:rPr>
        <w:t>* The amounts reported consist of 38,709,300 held by the Sutardja Chuk Revocable Family Trust and 2,820,000 shares deemed to be beneficially owned pursuant to stock options exercisable on March 1, 2009. 2,000,000 of the shares held by Sutardja Chuk Revocable Family Trust are held in an account that could be deemed a margin account.</w:t>
      </w:r>
    </w:p>
    <w:p>
      <w:pPr>
        <w:spacing w:after="0" w:line="25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color w:val="auto"/>
        </w:rPr>
        <w:t>Ownership of Five Percent or Less of a Class</w:t>
      </w:r>
    </w:p>
    <w:p>
      <w:pPr>
        <w:spacing w:after="0" w:line="96" w:lineRule="exact"/>
        <w:rPr>
          <w:sz w:val="20"/>
          <w:szCs w:val="20"/>
          <w:color w:val="auto"/>
        </w:rPr>
      </w:pPr>
    </w:p>
    <w:p>
      <w:pPr>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Ownership of More than Five Percent on Behalf of Another Person</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color w:val="auto"/>
        </w:rPr>
        <w:t>Identification and Classification of the Subsidiary Which Acquired the Security Being Reported on By the Parent Holding Company</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color w:val="auto"/>
        </w:rPr>
        <w:t>Identification and Classification of Members of the Group</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color w:val="auto"/>
        </w:rPr>
        <w:t>Notice of Dissolution of Group</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200"/>
          </w:cols>
          <w:pgMar w:left="240" w:top="280" w:right="459"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13, 2009</w:t>
      </w:r>
    </w:p>
    <w:p>
      <w:pPr>
        <w:spacing w:after="0" w:line="1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19"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 Dr. 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Dr. Pantas Sutardja</w:t>
      </w:r>
    </w:p>
    <w:p>
      <w:pPr>
        <w:spacing w:after="0" w:line="1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Name/Title</w:t>
      </w:r>
    </w:p>
    <w:p>
      <w:pPr>
        <w:spacing w:after="0" w:line="15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lvl w:ilvl="1">
      <w:lvlJc w:val="left"/>
      <w:lvlText w:val="☒"/>
      <w:numFmt w:val="bullet"/>
      <w:start w:val="1"/>
    </w:lvl>
  </w:abstractNum>
  <w:abstractNum w:abstractNumId="2">
    <w:nsid w:val="2EB141F2"/>
    <w:multiLevelType w:val="hybridMultilevel"/>
    <w:lvl w:ilvl="0">
      <w:lvlJc w:val="left"/>
      <w:lvlText w:val="%1."/>
      <w:numFmt w:val="decimal"/>
      <w:start w:val="1"/>
    </w:lvl>
  </w:abstractNum>
  <w:abstractNum w:abstractNumId="3">
    <w:nsid w:val="41B71EFB"/>
    <w:multiLevelType w:val="hybridMultilevel"/>
    <w:lvl w:ilvl="0">
      <w:lvlJc w:val="left"/>
      <w:lvlText w:val="%1."/>
      <w:numFmt w:val="decimal"/>
      <w:start w:val="2"/>
    </w:lvl>
    <w:lvl w:ilvl="1">
      <w:lvlJc w:val="left"/>
      <w:lvlText w:val="(%2)"/>
      <w:numFmt w:val="lowerLetter"/>
      <w:start w:val="1"/>
    </w:lvl>
  </w:abstractNum>
  <w:abstractNum w:abstractNumId="4">
    <w:nsid w:val="79E2A9E3"/>
    <w:multiLevelType w:val="hybridMultilevel"/>
    <w:lvl w:ilvl="0">
      <w:lvlJc w:val="left"/>
      <w:lvlText w:val="%1."/>
      <w:numFmt w:val="decimal"/>
      <w:start w:val="5"/>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1)"/>
      <w:numFmt w:val="lowerLetter"/>
      <w:start w:val="1"/>
    </w:lvl>
  </w:abstractNum>
  <w:abstractNum w:abstractNumId="7">
    <w:nsid w:val="5BD062C2"/>
    <w:multiLevelType w:val="hybridMultilevel"/>
    <w:lvl w:ilvl="0">
      <w:lvlJc w:val="left"/>
      <w:lvlText w:val="(%1)"/>
      <w:numFmt w:val="lowerLetter"/>
      <w:start w:val="1"/>
    </w:lvl>
  </w:abstractNum>
  <w:abstractNum w:abstractNumId="8">
    <w:nsid w:val="12200854"/>
    <w:multiLevelType w:val="hybridMultilevel"/>
    <w:lvl w:ilvl="0">
      <w:lvlJc w:val="left"/>
      <w:lvlText w:val="(%1)"/>
      <w:numFmt w:val="lowerLetter"/>
      <w:start w:val="1"/>
    </w:lvl>
    <w:lvl w:ilvl="1">
      <w:lvlJc w:val="left"/>
      <w:lvlText w:val="(%2)"/>
      <w:numFmt w:val="lowerLetter"/>
      <w:start w:val="9"/>
    </w:lvl>
  </w:abstractNum>
  <w:abstractNum w:abstractNumId="9">
    <w:nsid w:val="4DB127F8"/>
    <w:multiLevelType w:val="hybridMultilevel"/>
    <w:lvl w:ilvl="0">
      <w:lvlJc w:val="left"/>
      <w:lvlText w:val="*"/>
      <w:numFmt w:val="bullet"/>
      <w:start w:val="1"/>
    </w:lvl>
    <w:lvl w:ilvl="1">
      <w:lvlJc w:val="left"/>
      <w:lvlText w:val="(%2)"/>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2019-12-10T17:13:09Z</dcterms:created>
  <dcterms:modified xsi:type="dcterms:W3CDTF">2019-12-10T17:13:09Z</dcterms:modified>
</cp:coreProperties>
</file>