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7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317" w:lineRule="exact"/>
        <w:rPr>
          <w:sz w:val="24"/>
          <w:szCs w:val="24"/>
          <w:color w:val="auto"/>
        </w:rPr>
      </w:pPr>
    </w:p>
    <w:p>
      <w:pPr>
        <w:jc w:val="center"/>
        <w:ind w:right="-79"/>
        <w:spacing w:after="0"/>
        <w:rPr>
          <w:sz w:val="20"/>
          <w:szCs w:val="20"/>
          <w:color w:val="auto"/>
        </w:rPr>
      </w:pPr>
      <w:r>
        <w:rPr>
          <w:rFonts w:ascii="Arial" w:cs="Arial" w:eastAsia="Arial" w:hAnsi="Arial"/>
          <w:sz w:val="32"/>
          <w:szCs w:val="32"/>
          <w:b w:val="1"/>
          <w:bCs w:val="1"/>
          <w:color w:val="auto"/>
        </w:rPr>
        <w:t>SCHEDULE 13G</w:t>
      </w:r>
    </w:p>
    <w:p>
      <w:pPr>
        <w:spacing w:after="0" w:line="200" w:lineRule="exact"/>
        <w:rPr>
          <w:sz w:val="24"/>
          <w:szCs w:val="24"/>
          <w:color w:val="auto"/>
        </w:rPr>
      </w:pPr>
    </w:p>
    <w:p>
      <w:pPr>
        <w:spacing w:after="0" w:line="229"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(Amendment No. 5)*</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9"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8"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(Name of Issuer)</w:t>
      </w:r>
    </w:p>
    <w:p>
      <w:pPr>
        <w:spacing w:after="0" w:line="200" w:lineRule="exact"/>
        <w:rPr>
          <w:sz w:val="24"/>
          <w:szCs w:val="24"/>
          <w:color w:val="auto"/>
        </w:rPr>
      </w:pPr>
    </w:p>
    <w:p>
      <w:pPr>
        <w:spacing w:after="0" w:line="20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(Title of Class of Securities)</w:t>
      </w:r>
    </w:p>
    <w:p>
      <w:pPr>
        <w:spacing w:after="0" w:line="200" w:lineRule="exact"/>
        <w:rPr>
          <w:sz w:val="24"/>
          <w:szCs w:val="24"/>
          <w:color w:val="auto"/>
        </w:rPr>
      </w:pPr>
    </w:p>
    <w:p>
      <w:pPr>
        <w:spacing w:after="0" w:line="21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G 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2183130</wp:posOffset>
            </wp:positionH>
            <wp:positionV relativeFrom="paragraph">
              <wp:posOffset>14605</wp:posOffset>
            </wp:positionV>
            <wp:extent cx="28987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(CUSIP Number)</w:t>
      </w:r>
    </w:p>
    <w:p>
      <w:pPr>
        <w:spacing w:after="0" w:line="200" w:lineRule="exact"/>
        <w:rPr>
          <w:sz w:val="24"/>
          <w:szCs w:val="24"/>
          <w:color w:val="auto"/>
        </w:rPr>
      </w:pPr>
    </w:p>
    <w:p>
      <w:pPr>
        <w:spacing w:after="0" w:line="218"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December 31, 2008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357"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00" w:lineRule="exact"/>
        <w:rPr>
          <w:rFonts w:ascii="MS PGothic" w:cs="MS PGothic" w:eastAsia="MS PGothic" w:hAnsi="MS PGothic"/>
          <w:sz w:val="18"/>
          <w:szCs w:val="18"/>
          <w:color w:val="auto"/>
        </w:rPr>
      </w:pPr>
    </w:p>
    <w:p>
      <w:pPr>
        <w:spacing w:after="0" w:line="214"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79" w:lineRule="exact"/>
        <w:rPr>
          <w:sz w:val="24"/>
          <w:szCs w:val="24"/>
          <w:color w:val="auto"/>
        </w:rPr>
      </w:pPr>
    </w:p>
    <w:p>
      <w:pPr>
        <w:spacing w:after="0" w:line="275" w:lineRule="auto"/>
        <w:rPr>
          <w:sz w:val="20"/>
          <w:szCs w:val="20"/>
          <w:color w:val="auto"/>
        </w:rPr>
      </w:pPr>
      <w:r>
        <w:rPr>
          <w:rFonts w:ascii="Arial" w:cs="Arial" w:eastAsia="Arial" w:hAnsi="Arial"/>
          <w:sz w:val="18"/>
          <w:szCs w:val="18"/>
          <w:b w:val="1"/>
          <w:bCs w:val="1"/>
          <w:color w:val="auto"/>
        </w:rPr>
        <w:t>Persons who respond to the collection of information contained in this form are not required to respond unless the form displays a currently valid OMB control number.</w:t>
      </w:r>
    </w:p>
    <w:p>
      <w:pPr>
        <w:spacing w:after="0" w:line="112" w:lineRule="exact"/>
        <w:rPr>
          <w:sz w:val="24"/>
          <w:szCs w:val="24"/>
          <w:color w:val="auto"/>
        </w:rPr>
      </w:pPr>
    </w:p>
    <w:p>
      <w:pPr>
        <w:jc w:val="center"/>
        <w:ind w:right="-79"/>
        <w:spacing w:after="0"/>
        <w:rPr>
          <w:sz w:val="20"/>
          <w:szCs w:val="20"/>
          <w:color w:val="auto"/>
        </w:rPr>
      </w:pPr>
      <w:r>
        <w:rPr>
          <w:rFonts w:ascii="Arial" w:cs="Arial" w:eastAsia="Arial" w:hAnsi="Arial"/>
          <w:sz w:val="18"/>
          <w:szCs w:val="18"/>
          <w:color w:val="auto"/>
        </w:rPr>
        <w:t>Page 1 of 6</w:t>
      </w:r>
    </w:p>
    <w:p>
      <w:pPr>
        <w:sectPr>
          <w:pgSz w:w="11900" w:h="16838" w:orient="portrait"/>
          <w:cols w:equalWidth="0" w:num="1">
            <w:col w:w="11340"/>
          </w:cols>
          <w:pgMar w:left="240" w:top="273" w:right="31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53975</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380" w:hanging="284"/>
        <w:spacing w:after="0"/>
        <w:tabs>
          <w:tab w:leader="none" w:pos="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Names of Reporting Persons.</w:t>
      </w:r>
    </w:p>
    <w:p>
      <w:pPr>
        <w:spacing w:after="0" w:line="15" w:lineRule="exact"/>
        <w:rPr>
          <w:rFonts w:ascii="Arial" w:cs="Arial" w:eastAsia="Arial" w:hAnsi="Arial"/>
          <w:sz w:val="18"/>
          <w:szCs w:val="18"/>
          <w:color w:val="auto"/>
        </w:rPr>
      </w:pPr>
    </w:p>
    <w:p>
      <w:pPr>
        <w:ind w:left="380"/>
        <w:spacing w:after="0"/>
        <w:rPr>
          <w:rFonts w:ascii="Arial" w:cs="Arial" w:eastAsia="Arial" w:hAnsi="Arial"/>
          <w:sz w:val="18"/>
          <w:szCs w:val="18"/>
          <w:color w:val="auto"/>
        </w:rPr>
      </w:pPr>
      <w:r>
        <w:rPr>
          <w:rFonts w:ascii="Arial" w:cs="Arial" w:eastAsia="Arial" w:hAnsi="Arial"/>
          <w:sz w:val="18"/>
          <w:szCs w:val="18"/>
          <w:color w:val="auto"/>
        </w:rPr>
        <w:t>I.R.S. Identification Nos. of above persons (entities only).</w:t>
      </w:r>
    </w:p>
    <w:p>
      <w:pPr>
        <w:spacing w:after="0" w:line="233" w:lineRule="exact"/>
        <w:rPr>
          <w:sz w:val="20"/>
          <w:szCs w:val="20"/>
          <w:color w:val="auto"/>
        </w:rPr>
      </w:pPr>
    </w:p>
    <w:p>
      <w:pPr>
        <w:ind w:left="380"/>
        <w:spacing w:after="0"/>
        <w:rPr>
          <w:sz w:val="20"/>
          <w:szCs w:val="20"/>
          <w:color w:val="auto"/>
        </w:rPr>
      </w:pPr>
      <w:r>
        <w:rPr>
          <w:rFonts w:ascii="Arial" w:cs="Arial" w:eastAsia="Arial" w:hAnsi="Arial"/>
          <w:sz w:val="22"/>
          <w:szCs w:val="22"/>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5"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4"/>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16"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4"/>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22" w:lineRule="exact"/>
        <w:rPr>
          <w:rFonts w:ascii="Arial" w:cs="Arial" w:eastAsia="Arial" w:hAnsi="Arial"/>
          <w:sz w:val="18"/>
          <w:szCs w:val="18"/>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79" w:lineRule="exact"/>
        <w:rPr>
          <w:rFonts w:ascii="Arial" w:cs="Arial" w:eastAsia="Arial" w:hAnsi="Arial"/>
          <w:sz w:val="18"/>
          <w:szCs w:val="18"/>
          <w:color w:val="auto"/>
        </w:rPr>
      </w:pPr>
    </w:p>
    <w:p>
      <w:pPr>
        <w:ind w:left="380" w:hanging="284"/>
        <w:spacing w:after="0"/>
        <w:tabs>
          <w:tab w:leader="none" w:pos="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-442595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-133985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0"/>
          <w:szCs w:val="20"/>
          <w:color w:val="auto"/>
        </w:rPr>
      </w:pPr>
    </w:p>
    <w:p>
      <w:pPr>
        <w:ind w:left="380"/>
        <w:spacing w:after="0"/>
        <w:rPr>
          <w:sz w:val="20"/>
          <w:szCs w:val="20"/>
          <w:color w:val="auto"/>
        </w:rPr>
      </w:pPr>
      <w:r>
        <w:rPr>
          <w:rFonts w:ascii="Arial" w:cs="Arial" w:eastAsia="Arial" w:hAnsi="Arial"/>
          <w:sz w:val="22"/>
          <w:szCs w:val="22"/>
          <w:color w:val="auto"/>
        </w:rPr>
        <w:t>United States</w:t>
      </w:r>
    </w:p>
    <w:p>
      <w:pPr>
        <w:spacing w:after="0" w:line="2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160" w:type="dxa"/>
            <w:vAlign w:val="bottom"/>
            <w:tcBorders>
              <w:top w:val="single" w:sz="8" w:color="auto"/>
            </w:tcBorders>
          </w:tcPr>
          <w:p>
            <w:pPr>
              <w:spacing w:after="0"/>
              <w:rPr>
                <w:sz w:val="19"/>
                <w:szCs w:val="19"/>
                <w:color w:val="auto"/>
              </w:rPr>
            </w:pPr>
          </w:p>
        </w:tc>
        <w:tc>
          <w:tcPr>
            <w:tcW w:w="4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9860" w:type="dxa"/>
            <w:vAlign w:val="bottom"/>
            <w:tcBorders>
              <w:top w:val="single" w:sz="8" w:color="auto"/>
            </w:tcBorders>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0"/>
        </w:trPr>
        <w:tc>
          <w:tcPr>
            <w:tcW w:w="1160" w:type="dxa"/>
            <w:vAlign w:val="bottom"/>
          </w:tcPr>
          <w:p>
            <w:pPr>
              <w:jc w:val="center"/>
              <w:spacing w:after="0"/>
              <w:rPr>
                <w:sz w:val="20"/>
                <w:szCs w:val="20"/>
                <w:color w:val="auto"/>
              </w:rPr>
            </w:pPr>
            <w:r>
              <w:rPr>
                <w:rFonts w:ascii="Arial" w:cs="Arial" w:eastAsia="Arial" w:hAnsi="Arial"/>
                <w:sz w:val="18"/>
                <w:szCs w:val="18"/>
                <w:color w:val="auto"/>
                <w:w w:val="90"/>
              </w:rPr>
              <w:t>Number of</w:t>
            </w:r>
          </w:p>
        </w:tc>
        <w:tc>
          <w:tcPr>
            <w:tcW w:w="400" w:type="dxa"/>
            <w:vAlign w:val="bottom"/>
            <w:tcBorders>
              <w:bottom w:val="single" w:sz="8" w:color="auto"/>
            </w:tcBorders>
          </w:tcPr>
          <w:p>
            <w:pPr>
              <w:spacing w:after="0"/>
              <w:rPr>
                <w:sz w:val="24"/>
                <w:szCs w:val="24"/>
                <w:color w:val="auto"/>
              </w:rPr>
            </w:pPr>
          </w:p>
        </w:tc>
        <w:tc>
          <w:tcPr>
            <w:tcW w:w="98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1160" w:type="dxa"/>
            <w:vAlign w:val="bottom"/>
          </w:tcPr>
          <w:p>
            <w:pPr>
              <w:jc w:val="center"/>
              <w:spacing w:after="0"/>
              <w:rPr>
                <w:sz w:val="20"/>
                <w:szCs w:val="20"/>
                <w:color w:val="auto"/>
              </w:rPr>
            </w:pPr>
            <w:r>
              <w:rPr>
                <w:rFonts w:ascii="Arial" w:cs="Arial" w:eastAsia="Arial" w:hAnsi="Arial"/>
                <w:sz w:val="18"/>
                <w:szCs w:val="18"/>
                <w:color w:val="auto"/>
                <w:w w:val="84"/>
              </w:rPr>
              <w:t>Shares</w:t>
            </w:r>
          </w:p>
        </w:tc>
        <w:tc>
          <w:tcPr>
            <w:tcW w:w="400" w:type="dxa"/>
            <w:vAlign w:val="bottom"/>
          </w:tcPr>
          <w:p>
            <w:pPr>
              <w:jc w:val="right"/>
              <w:spacing w:after="0"/>
              <w:rPr>
                <w:sz w:val="20"/>
                <w:szCs w:val="20"/>
                <w:color w:val="auto"/>
              </w:rPr>
            </w:pPr>
            <w:r>
              <w:rPr>
                <w:rFonts w:ascii="Arial" w:cs="Arial" w:eastAsia="Arial" w:hAnsi="Arial"/>
                <w:sz w:val="18"/>
                <w:szCs w:val="18"/>
                <w:color w:val="auto"/>
              </w:rPr>
              <w:t>6.</w:t>
            </w:r>
          </w:p>
        </w:tc>
        <w:tc>
          <w:tcPr>
            <w:tcW w:w="986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160" w:type="dxa"/>
            <w:vAlign w:val="bottom"/>
          </w:tcPr>
          <w:p>
            <w:pPr>
              <w:jc w:val="center"/>
              <w:ind w:right="12"/>
              <w:spacing w:after="0"/>
              <w:rPr>
                <w:sz w:val="20"/>
                <w:szCs w:val="20"/>
                <w:color w:val="auto"/>
              </w:rPr>
            </w:pPr>
            <w:r>
              <w:rPr>
                <w:rFonts w:ascii="Arial" w:cs="Arial" w:eastAsia="Arial" w:hAnsi="Arial"/>
                <w:sz w:val="18"/>
                <w:szCs w:val="18"/>
                <w:color w:val="auto"/>
                <w:w w:val="94"/>
              </w:rPr>
              <w:t>Beneficially</w:t>
            </w:r>
          </w:p>
        </w:tc>
        <w:tc>
          <w:tcPr>
            <w:tcW w:w="400" w:type="dxa"/>
            <w:vAlign w:val="bottom"/>
          </w:tcPr>
          <w:p>
            <w:pPr>
              <w:spacing w:after="0"/>
              <w:rPr>
                <w:sz w:val="18"/>
                <w:szCs w:val="18"/>
                <w:color w:val="auto"/>
              </w:rPr>
            </w:pPr>
          </w:p>
        </w:tc>
        <w:tc>
          <w:tcPr>
            <w:tcW w:w="9860" w:type="dxa"/>
            <w:vAlign w:val="bottom"/>
            <w:vMerge w:val="restart"/>
          </w:tcPr>
          <w:p>
            <w:pPr>
              <w:ind w:left="80"/>
              <w:spacing w:after="0"/>
              <w:rPr>
                <w:sz w:val="20"/>
                <w:szCs w:val="20"/>
                <w:color w:val="auto"/>
              </w:rPr>
            </w:pPr>
            <w:r>
              <w:rPr>
                <w:rFonts w:ascii="Arial" w:cs="Arial" w:eastAsia="Arial" w:hAnsi="Arial"/>
                <w:sz w:val="22"/>
                <w:szCs w:val="22"/>
                <w:color w:val="auto"/>
              </w:rPr>
              <w:t>66,903,343 shares*</w:t>
            </w:r>
          </w:p>
        </w:tc>
        <w:tc>
          <w:tcPr>
            <w:tcW w:w="0" w:type="dxa"/>
            <w:vAlign w:val="bottom"/>
          </w:tcPr>
          <w:p>
            <w:pPr>
              <w:spacing w:after="0"/>
              <w:rPr>
                <w:sz w:val="1"/>
                <w:szCs w:val="1"/>
                <w:color w:val="auto"/>
              </w:rPr>
            </w:pPr>
          </w:p>
        </w:tc>
      </w:tr>
      <w:tr>
        <w:trPr>
          <w:trHeight w:val="222"/>
        </w:trPr>
        <w:tc>
          <w:tcPr>
            <w:tcW w:w="1160" w:type="dxa"/>
            <w:vAlign w:val="bottom"/>
          </w:tcPr>
          <w:p>
            <w:pPr>
              <w:jc w:val="center"/>
              <w:spacing w:after="0"/>
              <w:rPr>
                <w:sz w:val="20"/>
                <w:szCs w:val="20"/>
                <w:color w:val="auto"/>
              </w:rPr>
            </w:pPr>
            <w:r>
              <w:rPr>
                <w:rFonts w:ascii="Arial" w:cs="Arial" w:eastAsia="Arial" w:hAnsi="Arial"/>
                <w:sz w:val="18"/>
                <w:szCs w:val="18"/>
                <w:color w:val="auto"/>
                <w:w w:val="88"/>
              </w:rPr>
              <w:t>Owned by</w:t>
            </w:r>
          </w:p>
        </w:tc>
        <w:tc>
          <w:tcPr>
            <w:tcW w:w="400" w:type="dxa"/>
            <w:vAlign w:val="bottom"/>
            <w:tcBorders>
              <w:bottom w:val="single" w:sz="8" w:color="auto"/>
            </w:tcBorders>
          </w:tcPr>
          <w:p>
            <w:pPr>
              <w:spacing w:after="0"/>
              <w:rPr>
                <w:sz w:val="19"/>
                <w:szCs w:val="19"/>
                <w:color w:val="auto"/>
              </w:rPr>
            </w:pPr>
          </w:p>
        </w:tc>
        <w:tc>
          <w:tcPr>
            <w:tcW w:w="986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1160" w:type="dxa"/>
            <w:vAlign w:val="bottom"/>
          </w:tcPr>
          <w:p>
            <w:pPr>
              <w:jc w:val="center"/>
              <w:spacing w:after="0" w:line="190" w:lineRule="exact"/>
              <w:rPr>
                <w:sz w:val="20"/>
                <w:szCs w:val="20"/>
                <w:color w:val="auto"/>
              </w:rPr>
            </w:pPr>
            <w:r>
              <w:rPr>
                <w:rFonts w:ascii="Arial" w:cs="Arial" w:eastAsia="Arial" w:hAnsi="Arial"/>
                <w:sz w:val="18"/>
                <w:szCs w:val="18"/>
                <w:color w:val="auto"/>
                <w:w w:val="87"/>
              </w:rPr>
              <w:t>Each</w:t>
            </w:r>
          </w:p>
        </w:tc>
        <w:tc>
          <w:tcPr>
            <w:tcW w:w="40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986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60" w:type="dxa"/>
            <w:vAlign w:val="bottom"/>
          </w:tcPr>
          <w:p>
            <w:pPr>
              <w:jc w:val="center"/>
              <w:ind w:right="12"/>
              <w:spacing w:after="0"/>
              <w:rPr>
                <w:sz w:val="20"/>
                <w:szCs w:val="20"/>
                <w:color w:val="auto"/>
              </w:rPr>
            </w:pPr>
            <w:r>
              <w:rPr>
                <w:rFonts w:ascii="Arial" w:cs="Arial" w:eastAsia="Arial" w:hAnsi="Arial"/>
                <w:sz w:val="18"/>
                <w:szCs w:val="18"/>
                <w:color w:val="auto"/>
                <w:w w:val="89"/>
              </w:rPr>
              <w:t>Reporting</w:t>
            </w:r>
          </w:p>
        </w:tc>
        <w:tc>
          <w:tcPr>
            <w:tcW w:w="400" w:type="dxa"/>
            <w:vAlign w:val="bottom"/>
          </w:tcPr>
          <w:p>
            <w:pPr>
              <w:spacing w:after="0"/>
              <w:rPr>
                <w:sz w:val="18"/>
                <w:szCs w:val="18"/>
                <w:color w:val="auto"/>
              </w:rPr>
            </w:pPr>
          </w:p>
        </w:tc>
        <w:tc>
          <w:tcPr>
            <w:tcW w:w="9860" w:type="dxa"/>
            <w:vAlign w:val="bottom"/>
            <w:vMerge w:val="restart"/>
          </w:tcPr>
          <w:p>
            <w:pPr>
              <w:ind w:left="8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1160" w:type="dxa"/>
            <w:vAlign w:val="bottom"/>
          </w:tcPr>
          <w:p>
            <w:pPr>
              <w:jc w:val="center"/>
              <w:spacing w:after="0"/>
              <w:rPr>
                <w:sz w:val="20"/>
                <w:szCs w:val="20"/>
                <w:color w:val="auto"/>
              </w:rPr>
            </w:pPr>
            <w:r>
              <w:rPr>
                <w:rFonts w:ascii="Arial" w:cs="Arial" w:eastAsia="Arial" w:hAnsi="Arial"/>
                <w:sz w:val="18"/>
                <w:szCs w:val="18"/>
                <w:color w:val="auto"/>
                <w:w w:val="84"/>
              </w:rPr>
              <w:t>Person</w:t>
            </w:r>
          </w:p>
        </w:tc>
        <w:tc>
          <w:tcPr>
            <w:tcW w:w="400" w:type="dxa"/>
            <w:vAlign w:val="bottom"/>
          </w:tcPr>
          <w:p>
            <w:pPr>
              <w:spacing w:after="0"/>
              <w:rPr>
                <w:sz w:val="18"/>
                <w:szCs w:val="18"/>
                <w:color w:val="auto"/>
              </w:rPr>
            </w:pPr>
          </w:p>
        </w:tc>
        <w:tc>
          <w:tcPr>
            <w:tcW w:w="98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1160" w:type="dxa"/>
            <w:vAlign w:val="bottom"/>
            <w:vMerge w:val="restart"/>
          </w:tcPr>
          <w:p>
            <w:pPr>
              <w:jc w:val="center"/>
              <w:spacing w:after="0"/>
              <w:rPr>
                <w:sz w:val="20"/>
                <w:szCs w:val="20"/>
                <w:color w:val="auto"/>
              </w:rPr>
            </w:pPr>
            <w:r>
              <w:rPr>
                <w:rFonts w:ascii="Arial" w:cs="Arial" w:eastAsia="Arial" w:hAnsi="Arial"/>
                <w:sz w:val="18"/>
                <w:szCs w:val="18"/>
                <w:color w:val="auto"/>
                <w:w w:val="99"/>
              </w:rPr>
              <w:t>With</w:t>
            </w:r>
          </w:p>
        </w:tc>
        <w:tc>
          <w:tcPr>
            <w:tcW w:w="400" w:type="dxa"/>
            <w:vAlign w:val="bottom"/>
            <w:tcBorders>
              <w:bottom w:val="single" w:sz="8" w:color="auto"/>
            </w:tcBorders>
          </w:tcPr>
          <w:p>
            <w:pPr>
              <w:spacing w:after="0"/>
              <w:rPr>
                <w:sz w:val="4"/>
                <w:szCs w:val="4"/>
                <w:color w:val="auto"/>
              </w:rPr>
            </w:pPr>
          </w:p>
        </w:tc>
        <w:tc>
          <w:tcPr>
            <w:tcW w:w="98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8.</w:t>
            </w:r>
          </w:p>
        </w:tc>
        <w:tc>
          <w:tcPr>
            <w:tcW w:w="98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bl>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2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440" w:type="dxa"/>
            <w:vAlign w:val="bottom"/>
            <w:tcBorders>
              <w:bottom w:val="single" w:sz="8" w:color="auto"/>
            </w:tcBorders>
          </w:tcPr>
          <w:p>
            <w:pPr>
              <w:ind w:left="1340"/>
              <w:spacing w:after="0"/>
              <w:rPr>
                <w:sz w:val="20"/>
                <w:szCs w:val="20"/>
                <w:color w:val="auto"/>
              </w:rPr>
            </w:pPr>
            <w:r>
              <w:rPr>
                <w:rFonts w:ascii="Arial" w:cs="Arial" w:eastAsia="Arial" w:hAnsi="Arial"/>
                <w:sz w:val="22"/>
                <w:szCs w:val="22"/>
                <w:color w:val="auto"/>
              </w:rPr>
              <w:t>66,903,343 shares*</w:t>
            </w:r>
          </w:p>
        </w:tc>
        <w:tc>
          <w:tcPr>
            <w:tcW w:w="26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8440" w:type="dxa"/>
            <w:vAlign w:val="bottom"/>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6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32"/>
        </w:trPr>
        <w:tc>
          <w:tcPr>
            <w:tcW w:w="2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44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66,903,343 shares*</w:t>
            </w:r>
          </w:p>
        </w:tc>
        <w:tc>
          <w:tcPr>
            <w:tcW w:w="26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w w:val="71"/>
              </w:rPr>
              <w:t>10.</w:t>
            </w:r>
          </w:p>
        </w:tc>
        <w:tc>
          <w:tcPr>
            <w:tcW w:w="8440" w:type="dxa"/>
            <w:vAlign w:val="bottom"/>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2680" w:type="dxa"/>
            <w:vAlign w:val="bottom"/>
            <w:vMerge w:val="restart"/>
          </w:tcPr>
          <w:p>
            <w:pPr>
              <w:ind w:left="2240"/>
              <w:spacing w:after="0" w:line="221" w:lineRule="exact"/>
              <w:rPr>
                <w:sz w:val="20"/>
                <w:szCs w:val="20"/>
                <w:color w:val="auto"/>
              </w:rPr>
            </w:pPr>
            <w:r>
              <w:rPr>
                <w:rFonts w:ascii="MS PGothic" w:cs="MS PGothic" w:eastAsia="MS PGothic" w:hAnsi="MS PGothic"/>
                <w:sz w:val="22"/>
                <w:szCs w:val="22"/>
                <w:color w:val="auto"/>
              </w:rPr>
              <w: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440" w:type="dxa"/>
            <w:vAlign w:val="bottom"/>
          </w:tcPr>
          <w:p>
            <w:pPr>
              <w:spacing w:after="0"/>
              <w:rPr>
                <w:sz w:val="11"/>
                <w:szCs w:val="11"/>
                <w:color w:val="auto"/>
              </w:rPr>
            </w:pPr>
          </w:p>
        </w:tc>
        <w:tc>
          <w:tcPr>
            <w:tcW w:w="26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141605</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8"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5"/>
          <w:szCs w:val="15"/>
          <w:color w:val="auto"/>
        </w:rPr>
        <w:t>Percent of Class Represented by Amount in Row (9)</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5"/>
          <w:szCs w:val="15"/>
          <w:color w:val="auto"/>
        </w:rPr>
        <w:t>Type of Reporting Person (See Instructions)</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3" w:lineRule="exact"/>
        <w:rPr>
          <w:sz w:val="20"/>
          <w:szCs w:val="20"/>
          <w:color w:val="auto"/>
        </w:rPr>
      </w:pPr>
    </w:p>
    <w:p>
      <w:pPr>
        <w:ind w:left="220" w:hanging="212"/>
        <w:spacing w:after="0" w:line="255" w:lineRule="auto"/>
        <w:tabs>
          <w:tab w:leader="none" w:pos="220" w:val="left"/>
        </w:tabs>
        <w:numPr>
          <w:ilvl w:val="0"/>
          <w:numId w:val="5"/>
        </w:numPr>
        <w:rPr>
          <w:rFonts w:ascii="Arial" w:cs="Arial" w:eastAsia="Arial" w:hAnsi="Arial"/>
          <w:sz w:val="18"/>
          <w:szCs w:val="18"/>
          <w:color w:val="auto"/>
        </w:rPr>
      </w:pPr>
      <w:r>
        <w:rPr>
          <w:rFonts w:ascii="Arial" w:cs="Arial" w:eastAsia="Arial" w:hAnsi="Arial"/>
          <w:sz w:val="18"/>
          <w:szCs w:val="18"/>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and (ii) 1,672,692 shares issuable pursuant to stock options exercisable on March 1, 2009, held by Dr. Sehat Sutardja.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20"/>
          </w:cols>
          <w:pgMar w:left="240" w:top="280"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53975</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70" w:lineRule="exact"/>
        <w:rPr>
          <w:sz w:val="20"/>
          <w:szCs w:val="20"/>
          <w:color w:val="auto"/>
        </w:rPr>
      </w:pPr>
    </w:p>
    <w:p>
      <w:pPr>
        <w:ind w:left="380" w:hanging="284"/>
        <w:spacing w:after="0"/>
        <w:tabs>
          <w:tab w:leader="none" w:pos="380" w:val="left"/>
        </w:tabs>
        <w:numPr>
          <w:ilvl w:val="0"/>
          <w:numId w:val="6"/>
        </w:numPr>
        <w:rPr>
          <w:rFonts w:ascii="Arial" w:cs="Arial" w:eastAsia="Arial" w:hAnsi="Arial"/>
          <w:sz w:val="18"/>
          <w:szCs w:val="18"/>
          <w:color w:val="auto"/>
        </w:rPr>
      </w:pPr>
      <w:r>
        <w:rPr>
          <w:rFonts w:ascii="Arial" w:cs="Arial" w:eastAsia="Arial" w:hAnsi="Arial"/>
          <w:sz w:val="18"/>
          <w:szCs w:val="18"/>
          <w:color w:val="auto"/>
        </w:rPr>
        <w:t>Names of Reporting Persons.</w:t>
      </w:r>
    </w:p>
    <w:p>
      <w:pPr>
        <w:spacing w:after="0" w:line="15" w:lineRule="exact"/>
        <w:rPr>
          <w:rFonts w:ascii="Arial" w:cs="Arial" w:eastAsia="Arial" w:hAnsi="Arial"/>
          <w:sz w:val="18"/>
          <w:szCs w:val="18"/>
          <w:color w:val="auto"/>
        </w:rPr>
      </w:pPr>
    </w:p>
    <w:p>
      <w:pPr>
        <w:ind w:left="380"/>
        <w:spacing w:after="0"/>
        <w:rPr>
          <w:rFonts w:ascii="Arial" w:cs="Arial" w:eastAsia="Arial" w:hAnsi="Arial"/>
          <w:sz w:val="18"/>
          <w:szCs w:val="18"/>
          <w:color w:val="auto"/>
        </w:rPr>
      </w:pPr>
      <w:r>
        <w:rPr>
          <w:rFonts w:ascii="Arial" w:cs="Arial" w:eastAsia="Arial" w:hAnsi="Arial"/>
          <w:sz w:val="18"/>
          <w:szCs w:val="18"/>
          <w:color w:val="auto"/>
        </w:rPr>
        <w:t>I.R.S. Identification Nos. of above persons (entities only).</w:t>
      </w:r>
    </w:p>
    <w:p>
      <w:pPr>
        <w:spacing w:after="0" w:line="233" w:lineRule="exact"/>
        <w:rPr>
          <w:sz w:val="20"/>
          <w:szCs w:val="20"/>
          <w:color w:val="auto"/>
        </w:rPr>
      </w:pPr>
    </w:p>
    <w:p>
      <w:pPr>
        <w:ind w:left="380"/>
        <w:spacing w:after="0"/>
        <w:rPr>
          <w:sz w:val="20"/>
          <w:szCs w:val="20"/>
          <w:color w:val="auto"/>
        </w:rPr>
      </w:pPr>
      <w:r>
        <w:rPr>
          <w:rFonts w:ascii="Arial" w:cs="Arial" w:eastAsia="Arial" w:hAnsi="Arial"/>
          <w:sz w:val="22"/>
          <w:szCs w:val="22"/>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ind w:left="380" w:hanging="284"/>
        <w:spacing w:after="0"/>
        <w:tabs>
          <w:tab w:leader="none" w:pos="3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15"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7"/>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16" w:lineRule="exact"/>
        <w:rPr>
          <w:rFonts w:ascii="Arial" w:cs="Arial" w:eastAsia="Arial" w:hAnsi="Arial"/>
          <w:sz w:val="18"/>
          <w:szCs w:val="18"/>
          <w:color w:val="auto"/>
        </w:rPr>
      </w:pPr>
    </w:p>
    <w:p>
      <w:pPr>
        <w:ind w:left="660" w:hanging="287"/>
        <w:spacing w:after="0" w:line="207" w:lineRule="exact"/>
        <w:tabs>
          <w:tab w:leader="none" w:pos="660" w:val="left"/>
        </w:tabs>
        <w:numPr>
          <w:ilvl w:val="1"/>
          <w:numId w:val="7"/>
        </w:numPr>
        <w:rPr>
          <w:rFonts w:ascii="Arial" w:cs="Arial" w:eastAsia="Arial" w:hAnsi="Arial"/>
          <w:sz w:val="18"/>
          <w:szCs w:val="18"/>
          <w:color w:val="auto"/>
        </w:rPr>
      </w:pPr>
      <w:r>
        <w:rPr>
          <w:rFonts w:ascii="MS PGothic" w:cs="MS PGothic" w:eastAsia="MS PGothic" w:hAnsi="MS PGothic"/>
          <w:sz w:val="18"/>
          <w:szCs w:val="18"/>
          <w:color w:val="auto"/>
        </w:rPr>
        <w:t>☐</w:t>
      </w:r>
    </w:p>
    <w:p>
      <w:pPr>
        <w:spacing w:after="0" w:line="22" w:lineRule="exact"/>
        <w:rPr>
          <w:rFonts w:ascii="Arial" w:cs="Arial" w:eastAsia="Arial" w:hAnsi="Arial"/>
          <w:sz w:val="18"/>
          <w:szCs w:val="18"/>
          <w:color w:val="auto"/>
        </w:rPr>
      </w:pPr>
    </w:p>
    <w:p>
      <w:pPr>
        <w:ind w:left="380" w:hanging="284"/>
        <w:spacing w:after="0"/>
        <w:tabs>
          <w:tab w:leader="none" w:pos="38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79" w:lineRule="exact"/>
        <w:rPr>
          <w:rFonts w:ascii="Arial" w:cs="Arial" w:eastAsia="Arial" w:hAnsi="Arial"/>
          <w:sz w:val="18"/>
          <w:szCs w:val="18"/>
          <w:color w:val="auto"/>
        </w:rPr>
      </w:pPr>
    </w:p>
    <w:p>
      <w:pPr>
        <w:ind w:left="380" w:hanging="284"/>
        <w:spacing w:after="0"/>
        <w:tabs>
          <w:tab w:leader="none" w:pos="380" w:val="left"/>
        </w:tabs>
        <w:numPr>
          <w:ilvl w:val="0"/>
          <w:numId w:val="7"/>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-442595</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-133985</wp:posOffset>
            </wp:positionV>
            <wp:extent cx="724662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9" w:lineRule="exact"/>
        <w:rPr>
          <w:sz w:val="20"/>
          <w:szCs w:val="20"/>
          <w:color w:val="auto"/>
        </w:rPr>
      </w:pPr>
    </w:p>
    <w:p>
      <w:pPr>
        <w:ind w:left="380"/>
        <w:spacing w:after="0"/>
        <w:rPr>
          <w:sz w:val="20"/>
          <w:szCs w:val="20"/>
          <w:color w:val="auto"/>
        </w:rPr>
      </w:pPr>
      <w:r>
        <w:rPr>
          <w:rFonts w:ascii="Arial" w:cs="Arial" w:eastAsia="Arial" w:hAnsi="Arial"/>
          <w:sz w:val="22"/>
          <w:szCs w:val="22"/>
          <w:color w:val="auto"/>
        </w:rPr>
        <w:t>United States</w:t>
      </w:r>
    </w:p>
    <w:p>
      <w:pPr>
        <w:spacing w:after="0" w:line="2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160" w:type="dxa"/>
            <w:vAlign w:val="bottom"/>
            <w:tcBorders>
              <w:top w:val="single" w:sz="8" w:color="auto"/>
            </w:tcBorders>
          </w:tcPr>
          <w:p>
            <w:pPr>
              <w:spacing w:after="0"/>
              <w:rPr>
                <w:sz w:val="19"/>
                <w:szCs w:val="19"/>
                <w:color w:val="auto"/>
              </w:rPr>
            </w:pPr>
          </w:p>
        </w:tc>
        <w:tc>
          <w:tcPr>
            <w:tcW w:w="4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9860" w:type="dxa"/>
            <w:vAlign w:val="bottom"/>
            <w:tcBorders>
              <w:top w:val="single" w:sz="8" w:color="auto"/>
            </w:tcBorders>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0"/>
        </w:trPr>
        <w:tc>
          <w:tcPr>
            <w:tcW w:w="1160" w:type="dxa"/>
            <w:vAlign w:val="bottom"/>
          </w:tcPr>
          <w:p>
            <w:pPr>
              <w:jc w:val="center"/>
              <w:spacing w:after="0"/>
              <w:rPr>
                <w:sz w:val="20"/>
                <w:szCs w:val="20"/>
                <w:color w:val="auto"/>
              </w:rPr>
            </w:pPr>
            <w:r>
              <w:rPr>
                <w:rFonts w:ascii="Arial" w:cs="Arial" w:eastAsia="Arial" w:hAnsi="Arial"/>
                <w:sz w:val="18"/>
                <w:szCs w:val="18"/>
                <w:color w:val="auto"/>
                <w:w w:val="90"/>
              </w:rPr>
              <w:t>Number of</w:t>
            </w:r>
          </w:p>
        </w:tc>
        <w:tc>
          <w:tcPr>
            <w:tcW w:w="400" w:type="dxa"/>
            <w:vAlign w:val="bottom"/>
            <w:tcBorders>
              <w:bottom w:val="single" w:sz="8" w:color="auto"/>
            </w:tcBorders>
          </w:tcPr>
          <w:p>
            <w:pPr>
              <w:spacing w:after="0"/>
              <w:rPr>
                <w:sz w:val="24"/>
                <w:szCs w:val="24"/>
                <w:color w:val="auto"/>
              </w:rPr>
            </w:pPr>
          </w:p>
        </w:tc>
        <w:tc>
          <w:tcPr>
            <w:tcW w:w="986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28"/>
        </w:trPr>
        <w:tc>
          <w:tcPr>
            <w:tcW w:w="1160" w:type="dxa"/>
            <w:vAlign w:val="bottom"/>
          </w:tcPr>
          <w:p>
            <w:pPr>
              <w:jc w:val="center"/>
              <w:spacing w:after="0"/>
              <w:rPr>
                <w:sz w:val="20"/>
                <w:szCs w:val="20"/>
                <w:color w:val="auto"/>
              </w:rPr>
            </w:pPr>
            <w:r>
              <w:rPr>
                <w:rFonts w:ascii="Arial" w:cs="Arial" w:eastAsia="Arial" w:hAnsi="Arial"/>
                <w:sz w:val="18"/>
                <w:szCs w:val="18"/>
                <w:color w:val="auto"/>
                <w:w w:val="84"/>
              </w:rPr>
              <w:t>Shares</w:t>
            </w:r>
          </w:p>
        </w:tc>
        <w:tc>
          <w:tcPr>
            <w:tcW w:w="400" w:type="dxa"/>
            <w:vAlign w:val="bottom"/>
          </w:tcPr>
          <w:p>
            <w:pPr>
              <w:jc w:val="right"/>
              <w:spacing w:after="0"/>
              <w:rPr>
                <w:sz w:val="20"/>
                <w:szCs w:val="20"/>
                <w:color w:val="auto"/>
              </w:rPr>
            </w:pPr>
            <w:r>
              <w:rPr>
                <w:rFonts w:ascii="Arial" w:cs="Arial" w:eastAsia="Arial" w:hAnsi="Arial"/>
                <w:sz w:val="18"/>
                <w:szCs w:val="18"/>
                <w:color w:val="auto"/>
              </w:rPr>
              <w:t>6.</w:t>
            </w:r>
          </w:p>
        </w:tc>
        <w:tc>
          <w:tcPr>
            <w:tcW w:w="986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160" w:type="dxa"/>
            <w:vAlign w:val="bottom"/>
          </w:tcPr>
          <w:p>
            <w:pPr>
              <w:jc w:val="center"/>
              <w:ind w:right="12"/>
              <w:spacing w:after="0"/>
              <w:rPr>
                <w:sz w:val="20"/>
                <w:szCs w:val="20"/>
                <w:color w:val="auto"/>
              </w:rPr>
            </w:pPr>
            <w:r>
              <w:rPr>
                <w:rFonts w:ascii="Arial" w:cs="Arial" w:eastAsia="Arial" w:hAnsi="Arial"/>
                <w:sz w:val="18"/>
                <w:szCs w:val="18"/>
                <w:color w:val="auto"/>
                <w:w w:val="94"/>
              </w:rPr>
              <w:t>Beneficially</w:t>
            </w:r>
          </w:p>
        </w:tc>
        <w:tc>
          <w:tcPr>
            <w:tcW w:w="400" w:type="dxa"/>
            <w:vAlign w:val="bottom"/>
          </w:tcPr>
          <w:p>
            <w:pPr>
              <w:spacing w:after="0"/>
              <w:rPr>
                <w:sz w:val="18"/>
                <w:szCs w:val="18"/>
                <w:color w:val="auto"/>
              </w:rPr>
            </w:pPr>
          </w:p>
        </w:tc>
        <w:tc>
          <w:tcPr>
            <w:tcW w:w="9860" w:type="dxa"/>
            <w:vAlign w:val="bottom"/>
            <w:vMerge w:val="restart"/>
          </w:tcPr>
          <w:p>
            <w:pPr>
              <w:ind w:left="80"/>
              <w:spacing w:after="0"/>
              <w:rPr>
                <w:sz w:val="20"/>
                <w:szCs w:val="20"/>
                <w:color w:val="auto"/>
              </w:rPr>
            </w:pPr>
            <w:r>
              <w:rPr>
                <w:rFonts w:ascii="Arial" w:cs="Arial" w:eastAsia="Arial" w:hAnsi="Arial"/>
                <w:sz w:val="22"/>
                <w:szCs w:val="22"/>
                <w:color w:val="auto"/>
              </w:rPr>
              <w:t>66,903,343 shares*</w:t>
            </w:r>
          </w:p>
        </w:tc>
        <w:tc>
          <w:tcPr>
            <w:tcW w:w="0" w:type="dxa"/>
            <w:vAlign w:val="bottom"/>
          </w:tcPr>
          <w:p>
            <w:pPr>
              <w:spacing w:after="0"/>
              <w:rPr>
                <w:sz w:val="1"/>
                <w:szCs w:val="1"/>
                <w:color w:val="auto"/>
              </w:rPr>
            </w:pPr>
          </w:p>
        </w:tc>
      </w:tr>
      <w:tr>
        <w:trPr>
          <w:trHeight w:val="222"/>
        </w:trPr>
        <w:tc>
          <w:tcPr>
            <w:tcW w:w="1160" w:type="dxa"/>
            <w:vAlign w:val="bottom"/>
          </w:tcPr>
          <w:p>
            <w:pPr>
              <w:jc w:val="center"/>
              <w:spacing w:after="0"/>
              <w:rPr>
                <w:sz w:val="20"/>
                <w:szCs w:val="20"/>
                <w:color w:val="auto"/>
              </w:rPr>
            </w:pPr>
            <w:r>
              <w:rPr>
                <w:rFonts w:ascii="Arial" w:cs="Arial" w:eastAsia="Arial" w:hAnsi="Arial"/>
                <w:sz w:val="18"/>
                <w:szCs w:val="18"/>
                <w:color w:val="auto"/>
                <w:w w:val="88"/>
              </w:rPr>
              <w:t>Owned by</w:t>
            </w:r>
          </w:p>
        </w:tc>
        <w:tc>
          <w:tcPr>
            <w:tcW w:w="400" w:type="dxa"/>
            <w:vAlign w:val="bottom"/>
            <w:tcBorders>
              <w:bottom w:val="single" w:sz="8" w:color="auto"/>
            </w:tcBorders>
          </w:tcPr>
          <w:p>
            <w:pPr>
              <w:spacing w:after="0"/>
              <w:rPr>
                <w:sz w:val="19"/>
                <w:szCs w:val="19"/>
                <w:color w:val="auto"/>
              </w:rPr>
            </w:pPr>
          </w:p>
        </w:tc>
        <w:tc>
          <w:tcPr>
            <w:tcW w:w="986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1160" w:type="dxa"/>
            <w:vAlign w:val="bottom"/>
          </w:tcPr>
          <w:p>
            <w:pPr>
              <w:jc w:val="center"/>
              <w:spacing w:after="0" w:line="190" w:lineRule="exact"/>
              <w:rPr>
                <w:sz w:val="20"/>
                <w:szCs w:val="20"/>
                <w:color w:val="auto"/>
              </w:rPr>
            </w:pPr>
            <w:r>
              <w:rPr>
                <w:rFonts w:ascii="Arial" w:cs="Arial" w:eastAsia="Arial" w:hAnsi="Arial"/>
                <w:sz w:val="18"/>
                <w:szCs w:val="18"/>
                <w:color w:val="auto"/>
                <w:w w:val="87"/>
              </w:rPr>
              <w:t>Each</w:t>
            </w:r>
          </w:p>
        </w:tc>
        <w:tc>
          <w:tcPr>
            <w:tcW w:w="40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986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160" w:type="dxa"/>
            <w:vAlign w:val="bottom"/>
          </w:tcPr>
          <w:p>
            <w:pPr>
              <w:jc w:val="center"/>
              <w:ind w:right="12"/>
              <w:spacing w:after="0"/>
              <w:rPr>
                <w:sz w:val="20"/>
                <w:szCs w:val="20"/>
                <w:color w:val="auto"/>
              </w:rPr>
            </w:pPr>
            <w:r>
              <w:rPr>
                <w:rFonts w:ascii="Arial" w:cs="Arial" w:eastAsia="Arial" w:hAnsi="Arial"/>
                <w:sz w:val="18"/>
                <w:szCs w:val="18"/>
                <w:color w:val="auto"/>
                <w:w w:val="89"/>
              </w:rPr>
              <w:t>Reporting</w:t>
            </w:r>
          </w:p>
        </w:tc>
        <w:tc>
          <w:tcPr>
            <w:tcW w:w="400" w:type="dxa"/>
            <w:vAlign w:val="bottom"/>
          </w:tcPr>
          <w:p>
            <w:pPr>
              <w:spacing w:after="0"/>
              <w:rPr>
                <w:sz w:val="18"/>
                <w:szCs w:val="18"/>
                <w:color w:val="auto"/>
              </w:rPr>
            </w:pPr>
          </w:p>
        </w:tc>
        <w:tc>
          <w:tcPr>
            <w:tcW w:w="9860" w:type="dxa"/>
            <w:vAlign w:val="bottom"/>
            <w:vMerge w:val="restart"/>
          </w:tcPr>
          <w:p>
            <w:pPr>
              <w:ind w:left="80"/>
              <w:spacing w:after="0"/>
              <w:rPr>
                <w:sz w:val="20"/>
                <w:szCs w:val="20"/>
                <w:color w:val="auto"/>
              </w:rPr>
            </w:pPr>
            <w:r>
              <w:rPr>
                <w:rFonts w:ascii="Arial" w:cs="Arial" w:eastAsia="Arial" w:hAnsi="Arial"/>
                <w:sz w:val="22"/>
                <w:szCs w:val="22"/>
                <w:color w:val="auto"/>
              </w:rPr>
              <w:t>0 shares</w:t>
            </w:r>
          </w:p>
        </w:tc>
        <w:tc>
          <w:tcPr>
            <w:tcW w:w="0" w:type="dxa"/>
            <w:vAlign w:val="bottom"/>
          </w:tcPr>
          <w:p>
            <w:pPr>
              <w:spacing w:after="0"/>
              <w:rPr>
                <w:sz w:val="1"/>
                <w:szCs w:val="1"/>
                <w:color w:val="auto"/>
              </w:rPr>
            </w:pPr>
          </w:p>
        </w:tc>
      </w:tr>
      <w:tr>
        <w:trPr>
          <w:trHeight w:val="216"/>
        </w:trPr>
        <w:tc>
          <w:tcPr>
            <w:tcW w:w="1160" w:type="dxa"/>
            <w:vAlign w:val="bottom"/>
          </w:tcPr>
          <w:p>
            <w:pPr>
              <w:jc w:val="center"/>
              <w:spacing w:after="0"/>
              <w:rPr>
                <w:sz w:val="20"/>
                <w:szCs w:val="20"/>
                <w:color w:val="auto"/>
              </w:rPr>
            </w:pPr>
            <w:r>
              <w:rPr>
                <w:rFonts w:ascii="Arial" w:cs="Arial" w:eastAsia="Arial" w:hAnsi="Arial"/>
                <w:sz w:val="18"/>
                <w:szCs w:val="18"/>
                <w:color w:val="auto"/>
                <w:w w:val="84"/>
              </w:rPr>
              <w:t>Person</w:t>
            </w:r>
          </w:p>
        </w:tc>
        <w:tc>
          <w:tcPr>
            <w:tcW w:w="400" w:type="dxa"/>
            <w:vAlign w:val="bottom"/>
          </w:tcPr>
          <w:p>
            <w:pPr>
              <w:spacing w:after="0"/>
              <w:rPr>
                <w:sz w:val="18"/>
                <w:szCs w:val="18"/>
                <w:color w:val="auto"/>
              </w:rPr>
            </w:pPr>
          </w:p>
        </w:tc>
        <w:tc>
          <w:tcPr>
            <w:tcW w:w="98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1160" w:type="dxa"/>
            <w:vAlign w:val="bottom"/>
            <w:vMerge w:val="restart"/>
          </w:tcPr>
          <w:p>
            <w:pPr>
              <w:jc w:val="center"/>
              <w:spacing w:after="0"/>
              <w:rPr>
                <w:sz w:val="20"/>
                <w:szCs w:val="20"/>
                <w:color w:val="auto"/>
              </w:rPr>
            </w:pPr>
            <w:r>
              <w:rPr>
                <w:rFonts w:ascii="Arial" w:cs="Arial" w:eastAsia="Arial" w:hAnsi="Arial"/>
                <w:sz w:val="18"/>
                <w:szCs w:val="18"/>
                <w:color w:val="auto"/>
                <w:w w:val="99"/>
              </w:rPr>
              <w:t>With</w:t>
            </w:r>
          </w:p>
        </w:tc>
        <w:tc>
          <w:tcPr>
            <w:tcW w:w="400" w:type="dxa"/>
            <w:vAlign w:val="bottom"/>
            <w:tcBorders>
              <w:bottom w:val="single" w:sz="8" w:color="auto"/>
            </w:tcBorders>
          </w:tcPr>
          <w:p>
            <w:pPr>
              <w:spacing w:after="0"/>
              <w:rPr>
                <w:sz w:val="4"/>
                <w:szCs w:val="4"/>
                <w:color w:val="auto"/>
              </w:rPr>
            </w:pPr>
          </w:p>
        </w:tc>
        <w:tc>
          <w:tcPr>
            <w:tcW w:w="98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1160" w:type="dxa"/>
            <w:vAlign w:val="bottom"/>
            <w:vMerge w:val="continue"/>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8.</w:t>
            </w:r>
          </w:p>
        </w:tc>
        <w:tc>
          <w:tcPr>
            <w:tcW w:w="98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bl>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2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440" w:type="dxa"/>
            <w:vAlign w:val="bottom"/>
            <w:tcBorders>
              <w:bottom w:val="single" w:sz="8" w:color="auto"/>
            </w:tcBorders>
          </w:tcPr>
          <w:p>
            <w:pPr>
              <w:ind w:left="1340"/>
              <w:spacing w:after="0"/>
              <w:rPr>
                <w:sz w:val="20"/>
                <w:szCs w:val="20"/>
                <w:color w:val="auto"/>
              </w:rPr>
            </w:pPr>
            <w:r>
              <w:rPr>
                <w:rFonts w:ascii="Arial" w:cs="Arial" w:eastAsia="Arial" w:hAnsi="Arial"/>
                <w:sz w:val="22"/>
                <w:szCs w:val="22"/>
                <w:color w:val="auto"/>
              </w:rPr>
              <w:t>66,903,343 shares*</w:t>
            </w:r>
          </w:p>
        </w:tc>
        <w:tc>
          <w:tcPr>
            <w:tcW w:w="26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8440" w:type="dxa"/>
            <w:vAlign w:val="bottom"/>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6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32"/>
        </w:trPr>
        <w:tc>
          <w:tcPr>
            <w:tcW w:w="2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440" w:type="dxa"/>
            <w:vAlign w:val="bottom"/>
            <w:tcBorders>
              <w:bottom w:val="single" w:sz="8" w:color="auto"/>
            </w:tcBorders>
          </w:tcPr>
          <w:p>
            <w:pPr>
              <w:ind w:left="80"/>
              <w:spacing w:after="0"/>
              <w:rPr>
                <w:sz w:val="20"/>
                <w:szCs w:val="20"/>
                <w:color w:val="auto"/>
              </w:rPr>
            </w:pPr>
            <w:r>
              <w:rPr>
                <w:rFonts w:ascii="Arial" w:cs="Arial" w:eastAsia="Arial" w:hAnsi="Arial"/>
                <w:sz w:val="22"/>
                <w:szCs w:val="22"/>
                <w:color w:val="auto"/>
              </w:rPr>
              <w:t>66,903,343 shares*</w:t>
            </w:r>
          </w:p>
        </w:tc>
        <w:tc>
          <w:tcPr>
            <w:tcW w:w="26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w w:val="71"/>
              </w:rPr>
              <w:t>10.</w:t>
            </w:r>
          </w:p>
        </w:tc>
        <w:tc>
          <w:tcPr>
            <w:tcW w:w="8440" w:type="dxa"/>
            <w:vAlign w:val="bottom"/>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2680" w:type="dxa"/>
            <w:vAlign w:val="bottom"/>
            <w:vMerge w:val="restart"/>
          </w:tcPr>
          <w:p>
            <w:pPr>
              <w:ind w:left="2240"/>
              <w:spacing w:after="0" w:line="221" w:lineRule="exact"/>
              <w:rPr>
                <w:sz w:val="20"/>
                <w:szCs w:val="20"/>
                <w:color w:val="auto"/>
              </w:rPr>
            </w:pPr>
            <w:r>
              <w:rPr>
                <w:rFonts w:ascii="MS PGothic" w:cs="MS PGothic" w:eastAsia="MS PGothic" w:hAnsi="MS PGothic"/>
                <w:sz w:val="22"/>
                <w:szCs w:val="22"/>
                <w:color w:val="auto"/>
              </w:rPr>
              <w: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440" w:type="dxa"/>
            <w:vAlign w:val="bottom"/>
          </w:tcPr>
          <w:p>
            <w:pPr>
              <w:spacing w:after="0"/>
              <w:rPr>
                <w:sz w:val="11"/>
                <w:szCs w:val="11"/>
                <w:color w:val="auto"/>
              </w:rPr>
            </w:pPr>
          </w:p>
        </w:tc>
        <w:tc>
          <w:tcPr>
            <w:tcW w:w="26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141605</wp:posOffset>
            </wp:positionV>
            <wp:extent cx="724662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8"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5"/>
          <w:szCs w:val="15"/>
          <w:color w:val="auto"/>
        </w:rPr>
        <w:t>Percent of Class Represented by Amount in Row (9)</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0" w:lineRule="exact"/>
        <w:rPr>
          <w:sz w:val="20"/>
          <w:szCs w:val="20"/>
          <w:color w:val="auto"/>
        </w:rPr>
      </w:pPr>
    </w:p>
    <w:p>
      <w:pPr>
        <w:spacing w:after="0"/>
        <w:tabs>
          <w:tab w:leader="none" w:pos="36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5"/>
          <w:szCs w:val="15"/>
          <w:color w:val="auto"/>
        </w:rPr>
        <w:t>Type of Reporting Person (See Instructions)</w:t>
      </w:r>
    </w:p>
    <w:p>
      <w:pPr>
        <w:spacing w:after="0" w:line="280" w:lineRule="exact"/>
        <w:rPr>
          <w:sz w:val="20"/>
          <w:szCs w:val="20"/>
          <w:color w:val="auto"/>
        </w:rPr>
      </w:pPr>
    </w:p>
    <w:p>
      <w:pPr>
        <w:ind w:left="380"/>
        <w:spacing w:after="0"/>
        <w:rPr>
          <w:sz w:val="20"/>
          <w:szCs w:val="20"/>
          <w:color w:val="auto"/>
        </w:rPr>
      </w:pPr>
      <w:r>
        <w:rPr>
          <w:rFonts w:ascii="Arial" w:cs="Arial" w:eastAsia="Arial" w:hAnsi="Arial"/>
          <w:sz w:val="22"/>
          <w:szCs w:val="22"/>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15875</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13" w:lineRule="exact"/>
        <w:rPr>
          <w:sz w:val="20"/>
          <w:szCs w:val="20"/>
          <w:color w:val="auto"/>
        </w:rPr>
      </w:pPr>
    </w:p>
    <w:p>
      <w:pPr>
        <w:ind w:left="220" w:right="100" w:hanging="212"/>
        <w:spacing w:after="0" w:line="255" w:lineRule="auto"/>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and (ii) 1,672,692 shares issuable pursuant to stock options exercisable on March 1, 2009, held by Dr. Sehat Sutardja.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20"/>
          </w:cols>
          <w:pgMar w:left="240" w:top="280" w:right="23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1.</w:t>
      </w:r>
    </w:p>
    <w:p>
      <w:pPr>
        <w:spacing w:after="0" w:line="96" w:lineRule="exact"/>
        <w:rPr>
          <w:sz w:val="20"/>
          <w:szCs w:val="20"/>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Name of Issuer</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Technology Group Ltd.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90" w:lineRule="exact"/>
        <w:rPr>
          <w:rFonts w:ascii="Arial" w:cs="Arial" w:eastAsia="Arial" w:hAnsi="Arial"/>
          <w:sz w:val="18"/>
          <w:szCs w:val="18"/>
          <w:color w:val="auto"/>
        </w:rPr>
      </w:pPr>
    </w:p>
    <w:p>
      <w:pPr>
        <w:ind w:left="900" w:right="7059"/>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900" w:right="807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w:t>
      </w:r>
    </w:p>
    <w:p>
      <w:pPr>
        <w:spacing w:after="0" w:line="96" w:lineRule="exact"/>
        <w:rPr>
          <w:sz w:val="20"/>
          <w:szCs w:val="20"/>
          <w:color w:val="auto"/>
        </w:rPr>
      </w:pPr>
    </w:p>
    <w:p>
      <w:pPr>
        <w:ind w:left="900" w:right="7719" w:hanging="446"/>
        <w:spacing w:after="0" w:line="387" w:lineRule="auto"/>
        <w:tabs>
          <w:tab w:leader="none" w:pos="897" w:val="left"/>
        </w:tabs>
        <w:numPr>
          <w:ilvl w:val="0"/>
          <w:numId w:val="10"/>
        </w:numPr>
        <w:rPr>
          <w:rFonts w:ascii="Arial" w:cs="Arial" w:eastAsia="Arial" w:hAnsi="Arial"/>
          <w:sz w:val="16"/>
          <w:szCs w:val="16"/>
          <w:color w:val="auto"/>
        </w:rPr>
      </w:pPr>
      <w:r>
        <w:rPr>
          <w:rFonts w:ascii="Arial" w:cs="Arial" w:eastAsia="Arial" w:hAnsi="Arial"/>
          <w:sz w:val="16"/>
          <w:szCs w:val="16"/>
          <w:color w:val="auto"/>
        </w:rPr>
        <w:t>Name of Person Filing Dr. Sehat Sutardja</w:t>
      </w: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900" w:right="7679"/>
        <w:spacing w:after="0" w:line="352"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ind w:left="900" w:right="8379" w:hanging="446"/>
        <w:spacing w:after="0" w:line="413" w:lineRule="auto"/>
        <w:tabs>
          <w:tab w:leader="none" w:pos="897" w:val="left"/>
        </w:tabs>
        <w:numPr>
          <w:ilvl w:val="0"/>
          <w:numId w:val="10"/>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900" w:hanging="446"/>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90" w:lineRule="exact"/>
        <w:rPr>
          <w:rFonts w:ascii="Arial" w:cs="Arial" w:eastAsia="Arial" w:hAnsi="Arial"/>
          <w:sz w:val="18"/>
          <w:szCs w:val="18"/>
          <w:color w:val="auto"/>
        </w:rPr>
      </w:pPr>
    </w:p>
    <w:p>
      <w:pPr>
        <w:ind w:left="900" w:right="8199" w:hanging="446"/>
        <w:spacing w:after="0" w:line="387" w:lineRule="auto"/>
        <w:tabs>
          <w:tab w:leader="none" w:pos="897" w:val="left"/>
        </w:tabs>
        <w:numPr>
          <w:ilvl w:val="0"/>
          <w:numId w:val="10"/>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 w:lineRule="exact"/>
        <w:rPr>
          <w:sz w:val="20"/>
          <w:szCs w:val="20"/>
          <w:color w:val="auto"/>
        </w:rPr>
      </w:pPr>
    </w:p>
    <w:p>
      <w:pPr>
        <w:ind w:left="900" w:right="7719" w:hanging="446"/>
        <w:spacing w:after="0" w:line="344" w:lineRule="auto"/>
        <w:tabs>
          <w:tab w:leader="none" w:pos="897" w:val="left"/>
        </w:tabs>
        <w:numPr>
          <w:ilvl w:val="0"/>
          <w:numId w:val="11"/>
        </w:numPr>
        <w:rPr>
          <w:rFonts w:ascii="Arial" w:cs="Arial" w:eastAsia="Arial" w:hAnsi="Arial"/>
          <w:sz w:val="18"/>
          <w:szCs w:val="18"/>
          <w:color w:val="auto"/>
        </w:rPr>
      </w:pPr>
      <w:r>
        <w:rPr>
          <w:rFonts w:ascii="Arial" w:cs="Arial" w:eastAsia="Arial" w:hAnsi="Arial"/>
          <w:sz w:val="18"/>
          <w:szCs w:val="18"/>
          <w:color w:val="auto"/>
        </w:rPr>
        <w:t>Name of Person Filing Weili Dai</w:t>
      </w: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900" w:right="7679"/>
        <w:spacing w:after="0" w:line="352"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ind w:left="900" w:right="8379" w:hanging="446"/>
        <w:spacing w:after="0" w:line="413" w:lineRule="auto"/>
        <w:tabs>
          <w:tab w:leader="none" w:pos="897" w:val="left"/>
        </w:tabs>
        <w:numPr>
          <w:ilvl w:val="0"/>
          <w:numId w:val="11"/>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900" w:hanging="446"/>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90" w:lineRule="exact"/>
        <w:rPr>
          <w:rFonts w:ascii="Arial" w:cs="Arial" w:eastAsia="Arial" w:hAnsi="Arial"/>
          <w:sz w:val="18"/>
          <w:szCs w:val="18"/>
          <w:color w:val="auto"/>
        </w:rPr>
      </w:pPr>
    </w:p>
    <w:p>
      <w:pPr>
        <w:ind w:left="900" w:right="8199" w:hanging="446"/>
        <w:spacing w:after="0" w:line="437" w:lineRule="auto"/>
        <w:tabs>
          <w:tab w:leader="none" w:pos="897" w:val="left"/>
        </w:tabs>
        <w:numPr>
          <w:ilvl w:val="0"/>
          <w:numId w:val="11"/>
        </w:numPr>
        <w:rPr>
          <w:rFonts w:ascii="Arial" w:cs="Arial" w:eastAsia="Arial" w:hAnsi="Arial"/>
          <w:sz w:val="16"/>
          <w:szCs w:val="16"/>
          <w:color w:val="auto"/>
        </w:rPr>
      </w:pPr>
      <w:r>
        <w:rPr>
          <w:rFonts w:ascii="Arial" w:cs="Arial" w:eastAsia="Arial" w:hAnsi="Arial"/>
          <w:sz w:val="16"/>
          <w:szCs w:val="16"/>
          <w:color w:val="auto"/>
        </w:rPr>
        <w:t>CUSIP Number G 5876H105</w:t>
      </w:r>
    </w:p>
    <w:p>
      <w:pPr>
        <w:spacing w:after="0" w:line="12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color w:val="auto"/>
        </w:rPr>
        <w:t>If this statement is filed pursuant to §§240.13d-1(b) or 240.13d-2(b) or (c), check whether the person filing is a:</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74" w:right="1440" w:bottom="1440" w:gutter="0" w:footer="0" w:header="0"/>
        </w:sectPr>
      </w:pPr>
    </w:p>
    <w:bookmarkStart w:id="4" w:name="page5"/>
    <w:bookmarkEnd w:id="4"/>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4.</w:t>
      </w:r>
      <w:r>
        <w:rPr>
          <w:sz w:val="20"/>
          <w:szCs w:val="20"/>
          <w:color w:val="auto"/>
        </w:rPr>
        <w:tab/>
      </w:r>
      <w:r>
        <w:rPr>
          <w:rFonts w:ascii="Arial" w:cs="Arial" w:eastAsia="Arial" w:hAnsi="Arial"/>
          <w:sz w:val="15"/>
          <w:szCs w:val="15"/>
          <w:b w:val="1"/>
          <w:bCs w:val="1"/>
          <w:color w:val="auto"/>
        </w:rPr>
        <w:t>Ownership</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90" w:lineRule="exact"/>
        <w:rPr>
          <w:sz w:val="20"/>
          <w:szCs w:val="20"/>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66,903,343 shares**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90" w:lineRule="exact"/>
        <w:rPr>
          <w:rFonts w:ascii="Arial" w:cs="Arial" w:eastAsia="Arial" w:hAnsi="Arial"/>
          <w:sz w:val="18"/>
          <w:szCs w:val="18"/>
          <w:color w:val="auto"/>
        </w:rPr>
      </w:pPr>
    </w:p>
    <w:p>
      <w:pPr>
        <w:ind w:left="900"/>
        <w:spacing w:after="0"/>
        <w:rPr>
          <w:rFonts w:ascii="Arial" w:cs="Arial" w:eastAsia="Arial" w:hAnsi="Arial"/>
          <w:sz w:val="18"/>
          <w:szCs w:val="18"/>
          <w:color w:val="auto"/>
        </w:rPr>
      </w:pPr>
      <w:r>
        <w:rPr>
          <w:rFonts w:ascii="Arial" w:cs="Arial" w:eastAsia="Arial" w:hAnsi="Arial"/>
          <w:sz w:val="18"/>
          <w:szCs w:val="18"/>
          <w:color w:val="auto"/>
        </w:rPr>
        <w:t>10.8%</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90" w:lineRule="exact"/>
        <w:rPr>
          <w:rFonts w:ascii="Arial" w:cs="Arial" w:eastAsia="Arial" w:hAnsi="Arial"/>
          <w:sz w:val="18"/>
          <w:szCs w:val="18"/>
          <w:color w:val="auto"/>
        </w:rPr>
      </w:pPr>
    </w:p>
    <w:p>
      <w:pPr>
        <w:ind w:left="1420" w:right="7000" w:hanging="507"/>
        <w:spacing w:after="0" w:line="344" w:lineRule="auto"/>
        <w:tabs>
          <w:tab w:leader="none" w:pos="1472" w:val="left"/>
        </w:tabs>
        <w:numPr>
          <w:ilvl w:val="2"/>
          <w:numId w:val="12"/>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ind w:left="1420" w:right="6820" w:hanging="507"/>
        <w:spacing w:after="0" w:line="344" w:lineRule="auto"/>
        <w:tabs>
          <w:tab w:leader="none" w:pos="1472" w:val="left"/>
        </w:tabs>
        <w:numPr>
          <w:ilvl w:val="2"/>
          <w:numId w:val="12"/>
        </w:numPr>
        <w:rPr>
          <w:rFonts w:ascii="Arial" w:cs="Arial" w:eastAsia="Arial" w:hAnsi="Arial"/>
          <w:sz w:val="18"/>
          <w:szCs w:val="18"/>
          <w:color w:val="auto"/>
        </w:rPr>
      </w:pPr>
      <w:r>
        <w:rPr>
          <w:rFonts w:ascii="Arial" w:cs="Arial" w:eastAsia="Arial" w:hAnsi="Arial"/>
          <w:sz w:val="18"/>
          <w:szCs w:val="18"/>
          <w:color w:val="auto"/>
        </w:rPr>
        <w:t>Shared power to vote or to direct the vote 66,903,343 shares*</w:t>
      </w:r>
    </w:p>
    <w:p>
      <w:pPr>
        <w:ind w:left="1420" w:right="6120" w:hanging="507"/>
        <w:spacing w:after="0" w:line="344" w:lineRule="auto"/>
        <w:tabs>
          <w:tab w:leader="none" w:pos="1472" w:val="left"/>
        </w:tabs>
        <w:numPr>
          <w:ilvl w:val="2"/>
          <w:numId w:val="12"/>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ind w:left="1420" w:right="5940" w:hanging="507"/>
        <w:spacing w:after="0" w:line="344" w:lineRule="auto"/>
        <w:tabs>
          <w:tab w:leader="none" w:pos="1472" w:val="left"/>
        </w:tabs>
        <w:numPr>
          <w:ilvl w:val="2"/>
          <w:numId w:val="12"/>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66,903,343 shares*</w:t>
      </w:r>
    </w:p>
    <w:p>
      <w:pPr>
        <w:ind w:left="460" w:right="380" w:hanging="446"/>
        <w:spacing w:after="0" w:line="268" w:lineRule="auto"/>
        <w:rPr>
          <w:rFonts w:ascii="Arial" w:cs="Arial" w:eastAsia="Arial" w:hAnsi="Arial"/>
          <w:sz w:val="18"/>
          <w:szCs w:val="18"/>
          <w:color w:val="auto"/>
        </w:rPr>
      </w:pPr>
      <w:r>
        <w:rPr>
          <w:rFonts w:ascii="Arial" w:cs="Arial" w:eastAsia="Arial" w:hAnsi="Arial"/>
          <w:sz w:val="18"/>
          <w:szCs w:val="18"/>
          <w:color w:val="auto"/>
        </w:rPr>
        <w:t>*Dr.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50" w:lineRule="exact"/>
        <w:rPr>
          <w:rFonts w:ascii="Arial" w:cs="Arial" w:eastAsia="Arial" w:hAnsi="Arial"/>
          <w:sz w:val="18"/>
          <w:szCs w:val="18"/>
          <w:color w:val="auto"/>
        </w:rPr>
      </w:pPr>
    </w:p>
    <w:p>
      <w:pPr>
        <w:ind w:left="460" w:hanging="452"/>
        <w:spacing w:after="0" w:line="305" w:lineRule="auto"/>
        <w:tabs>
          <w:tab w:leader="none" w:pos="460" w:val="left"/>
        </w:tabs>
        <w:numPr>
          <w:ilvl w:val="0"/>
          <w:numId w:val="13"/>
        </w:numPr>
        <w:rPr>
          <w:rFonts w:ascii="Arial" w:cs="Arial" w:eastAsia="Arial" w:hAnsi="Arial"/>
          <w:sz w:val="15"/>
          <w:szCs w:val="15"/>
          <w:color w:val="auto"/>
        </w:rPr>
      </w:pPr>
      <w:r>
        <w:rPr>
          <w:rFonts w:ascii="Arial" w:cs="Arial" w:eastAsia="Arial" w:hAnsi="Arial"/>
          <w:sz w:val="15"/>
          <w:szCs w:val="15"/>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 and</w:t>
      </w:r>
    </w:p>
    <w:p>
      <w:pPr>
        <w:ind w:left="720" w:hanging="266"/>
        <w:spacing w:after="0"/>
        <w:tabs>
          <w:tab w:leader="none" w:pos="720" w:val="left"/>
        </w:tabs>
        <w:numPr>
          <w:ilvl w:val="1"/>
          <w:numId w:val="13"/>
        </w:numPr>
        <w:rPr>
          <w:rFonts w:ascii="Arial" w:cs="Arial" w:eastAsia="Arial" w:hAnsi="Arial"/>
          <w:sz w:val="18"/>
          <w:szCs w:val="18"/>
          <w:color w:val="auto"/>
        </w:rPr>
      </w:pPr>
      <w:r>
        <w:rPr>
          <w:rFonts w:ascii="Arial" w:cs="Arial" w:eastAsia="Arial" w:hAnsi="Arial"/>
          <w:sz w:val="18"/>
          <w:szCs w:val="18"/>
          <w:color w:val="auto"/>
        </w:rPr>
        <w:t>1,672,692 shares issuable pursuant to stock options exercisable on or March 1, 2009, held by Dr. Sehat Sutardja.</w:t>
      </w:r>
    </w:p>
    <w:p>
      <w:pPr>
        <w:spacing w:after="0" w:line="280"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color w:val="auto"/>
        </w:rPr>
        <w:t>Ownership of Five Percent or Less of a Class</w:t>
      </w:r>
    </w:p>
    <w:p>
      <w:pPr>
        <w:spacing w:after="0" w:line="96" w:lineRule="exact"/>
        <w:rPr>
          <w:sz w:val="20"/>
          <w:szCs w:val="20"/>
          <w:color w:val="auto"/>
        </w:rPr>
      </w:pPr>
    </w:p>
    <w:p>
      <w:pPr>
        <w:ind w:right="2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253"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color w:val="auto"/>
        </w:rPr>
        <w:t>Ownership of More than Five Percent on Behalf of Another Person</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color w:val="auto"/>
        </w:rPr>
        <w:t>Identification and Classification of the Subsidiary Which Acquired the Security Being Reported on By the Parent Holding Company</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color w:val="auto"/>
        </w:rPr>
        <w:t>Identification and Classification of Members of the Group</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color w:val="auto"/>
        </w:rPr>
        <w:t>Notice of Dissolution of Group</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87"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6"/>
          <w:szCs w:val="16"/>
          <w:b w:val="1"/>
          <w:bCs w:val="1"/>
          <w:color w:val="auto"/>
        </w:rPr>
        <w:t>Certification</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1220"/>
          </w:cols>
          <w:pgMar w:left="240" w:top="274" w:right="439" w:bottom="1440" w:gutter="0" w:footer="0" w:header="0"/>
        </w:sectPr>
      </w:pPr>
    </w:p>
    <w:bookmarkStart w:id="5" w:name="page6"/>
    <w:bookmarkEnd w:id="5"/>
    <w:p>
      <w:pPr>
        <w:ind w:left="5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Signatures</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February 13, 2009</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Name/Title</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February 13, 2009</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Date</w:t>
      </w:r>
    </w:p>
    <w:p>
      <w:pPr>
        <w:spacing w:after="0" w:line="21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Weili Dai</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Name/Title</w:t>
      </w:r>
    </w:p>
    <w:p>
      <w:pPr>
        <w:spacing w:after="0" w:line="15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0780"/>
          </w:cols>
          <w:pgMar w:left="240" w:top="274" w:right="879" w:bottom="1440" w:gutter="0" w:footer="0" w:header="0"/>
        </w:sectPr>
      </w:pPr>
    </w:p>
    <w:bookmarkStart w:id="6" w:name="page7"/>
    <w:bookmarkEnd w:id="6"/>
    <w:p>
      <w:pPr>
        <w:jc w:val="right"/>
        <w:ind w:right="39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p>
      <w:pPr>
        <w:spacing w:after="0"/>
        <w:tabs>
          <w:tab w:leader="none" w:pos="980" w:val="left"/>
        </w:tabs>
        <w:rPr>
          <w:sz w:val="20"/>
          <w:szCs w:val="20"/>
          <w:color w:val="auto"/>
        </w:rPr>
      </w:pPr>
      <w:r>
        <w:rPr>
          <w:rFonts w:ascii="Arial" w:cs="Arial" w:eastAsia="Arial" w:hAnsi="Arial"/>
          <w:sz w:val="14"/>
          <w:szCs w:val="14"/>
          <w:b w:val="1"/>
          <w:bCs w:val="1"/>
          <w:u w:val="single" w:color="auto"/>
          <w:color w:val="auto"/>
        </w:rPr>
        <w:t>Exhibit</w:t>
      </w:r>
      <w:r>
        <w:rPr>
          <w:sz w:val="20"/>
          <w:szCs w:val="20"/>
          <w:color w:val="auto"/>
        </w:rPr>
        <w:tab/>
      </w: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635635</wp:posOffset>
            </wp:positionH>
            <wp:positionV relativeFrom="paragraph">
              <wp:posOffset>8890</wp:posOffset>
            </wp:positionV>
            <wp:extent cx="660336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603365" cy="8890"/>
                    </a:xfrm>
                    <a:prstGeom prst="rect">
                      <a:avLst/>
                    </a:prstGeom>
                    <a:noFill/>
                  </pic:spPr>
                </pic:pic>
              </a:graphicData>
            </a:graphic>
          </wp:anchor>
        </w:drawing>
      </w:r>
    </w:p>
    <w:p>
      <w:pPr>
        <w:spacing w:after="0" w:line="107" w:lineRule="exact"/>
        <w:rPr>
          <w:sz w:val="20"/>
          <w:szCs w:val="20"/>
          <w:color w:val="auto"/>
        </w:rPr>
      </w:pPr>
    </w:p>
    <w:p>
      <w:pPr>
        <w:ind w:left="60"/>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Agreement of Joint Filing dated as of February 13, 2009.</w:t>
      </w:r>
    </w:p>
    <w:p>
      <w:pPr>
        <w:sectPr>
          <w:pgSz w:w="11900" w:h="16838" w:orient="portrait"/>
          <w:cols w:equalWidth="0" w:num="1">
            <w:col w:w="10199"/>
          </w:cols>
          <w:pgMar w:left="260" w:top="274"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171"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13, 2009.</w:t>
      </w:r>
    </w:p>
    <w:p>
      <w:pPr>
        <w:spacing w:after="0" w:line="212" w:lineRule="exact"/>
        <w:rPr>
          <w:sz w:val="20"/>
          <w:szCs w:val="20"/>
          <w:color w:val="auto"/>
        </w:rPr>
      </w:pPr>
    </w:p>
    <w:tbl>
      <w:tblPr>
        <w:tblLayout w:type="fixed"/>
        <w:tblInd w:w="6860" w:type="dxa"/>
        <w:tblCellMar>
          <w:top w:w="0" w:type="dxa"/>
          <w:left w:w="0" w:type="dxa"/>
          <w:bottom w:w="0" w:type="dxa"/>
          <w:right w:w="0" w:type="dxa"/>
        </w:tblCellMar>
      </w:tblPr>
      <w:tr>
        <w:trPr>
          <w:trHeight w:val="223"/>
        </w:trPr>
        <w:tc>
          <w:tcPr>
            <w:tcW w:w="220" w:type="dxa"/>
            <w:vAlign w:val="bottom"/>
          </w:tcPr>
          <w:p>
            <w:pPr>
              <w:spacing w:after="0"/>
              <w:rPr>
                <w:sz w:val="20"/>
                <w:szCs w:val="20"/>
                <w:color w:val="auto"/>
              </w:rPr>
            </w:pPr>
            <w:r>
              <w:rPr>
                <w:rFonts w:ascii="Arial" w:cs="Arial" w:eastAsia="Arial" w:hAnsi="Arial"/>
                <w:sz w:val="18"/>
                <w:szCs w:val="18"/>
                <w:color w:val="auto"/>
                <w:w w:val="94"/>
              </w:rPr>
              <w:t>By</w:t>
            </w:r>
          </w:p>
        </w:tc>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Weili Dai</w:t>
            </w:r>
          </w:p>
        </w:tc>
      </w:tr>
      <w:tr>
        <w:trPr>
          <w:trHeight w:val="217"/>
        </w:trPr>
        <w:tc>
          <w:tcPr>
            <w:tcW w:w="220" w:type="dxa"/>
            <w:vAlign w:val="bottom"/>
          </w:tcPr>
          <w:p>
            <w:pPr>
              <w:spacing w:after="0"/>
              <w:rPr>
                <w:sz w:val="18"/>
                <w:szCs w:val="18"/>
                <w:color w:val="auto"/>
              </w:rPr>
            </w:pPr>
          </w:p>
        </w:tc>
        <w:tc>
          <w:tcPr>
            <w:tcW w:w="4340" w:type="dxa"/>
            <w:vAlign w:val="bottom"/>
          </w:tcPr>
          <w:p>
            <w:pPr>
              <w:jc w:val="center"/>
              <w:spacing w:after="0"/>
              <w:rPr>
                <w:sz w:val="20"/>
                <w:szCs w:val="20"/>
                <w:color w:val="auto"/>
              </w:rPr>
            </w:pPr>
            <w:r>
              <w:rPr>
                <w:rFonts w:ascii="Arial" w:cs="Arial" w:eastAsia="Arial" w:hAnsi="Arial"/>
                <w:sz w:val="18"/>
                <w:szCs w:val="18"/>
                <w:color w:val="auto"/>
                <w:w w:val="95"/>
              </w:rPr>
              <w:t>Weili Dai</w:t>
            </w:r>
          </w:p>
        </w:tc>
      </w:tr>
      <w:tr>
        <w:trPr>
          <w:trHeight w:val="425"/>
        </w:trPr>
        <w:tc>
          <w:tcPr>
            <w:tcW w:w="220" w:type="dxa"/>
            <w:vAlign w:val="bottom"/>
          </w:tcPr>
          <w:p>
            <w:pPr>
              <w:spacing w:after="0"/>
              <w:rPr>
                <w:sz w:val="20"/>
                <w:szCs w:val="20"/>
                <w:color w:val="auto"/>
              </w:rPr>
            </w:pPr>
            <w:r>
              <w:rPr>
                <w:rFonts w:ascii="Arial" w:cs="Arial" w:eastAsia="Arial" w:hAnsi="Arial"/>
                <w:sz w:val="18"/>
                <w:szCs w:val="18"/>
                <w:color w:val="auto"/>
                <w:w w:val="94"/>
              </w:rPr>
              <w:t>By</w:t>
            </w:r>
          </w:p>
        </w:tc>
        <w:tc>
          <w:tcPr>
            <w:tcW w:w="4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5"/>
              </w:rPr>
              <w:t>/s/ Dr. Sehat Sutardja</w:t>
            </w:r>
          </w:p>
        </w:tc>
      </w:tr>
      <w:tr>
        <w:trPr>
          <w:trHeight w:val="217"/>
        </w:trPr>
        <w:tc>
          <w:tcPr>
            <w:tcW w:w="220" w:type="dxa"/>
            <w:vAlign w:val="bottom"/>
          </w:tcPr>
          <w:p>
            <w:pPr>
              <w:spacing w:after="0"/>
              <w:rPr>
                <w:sz w:val="18"/>
                <w:szCs w:val="18"/>
                <w:color w:val="auto"/>
              </w:rPr>
            </w:pPr>
          </w:p>
        </w:tc>
        <w:tc>
          <w:tcPr>
            <w:tcW w:w="4340" w:type="dxa"/>
            <w:vAlign w:val="bottom"/>
          </w:tcPr>
          <w:p>
            <w:pPr>
              <w:jc w:val="center"/>
              <w:spacing w:after="0"/>
              <w:rPr>
                <w:sz w:val="20"/>
                <w:szCs w:val="20"/>
                <w:color w:val="auto"/>
              </w:rPr>
            </w:pPr>
            <w:r>
              <w:rPr>
                <w:rFonts w:ascii="Arial" w:cs="Arial" w:eastAsia="Arial" w:hAnsi="Arial"/>
                <w:sz w:val="18"/>
                <w:szCs w:val="18"/>
                <w:color w:val="auto"/>
                <w:w w:val="86"/>
              </w:rPr>
              <w:t>Dr. Sehat Sutardja</w:t>
            </w:r>
          </w:p>
        </w:tc>
      </w:tr>
    </w:tbl>
    <w:p>
      <w:pPr>
        <w:spacing w:after="0" w:line="1" w:lineRule="exact"/>
        <w:rPr>
          <w:sz w:val="20"/>
          <w:szCs w:val="20"/>
          <w:color w:val="auto"/>
        </w:rPr>
      </w:pP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B71EFB"/>
    <w:multiLevelType w:val="hybridMultilevel"/>
    <w:lvl w:ilvl="0">
      <w:lvlJc w:val="left"/>
      <w:lvlText w:val="☐"/>
      <w:numFmt w:val="bullet"/>
      <w:start w:val="1"/>
    </w:lvl>
  </w:abstractNum>
  <w:abstractNum w:abstractNumId="1">
    <w:nsid w:val="79E2A9E3"/>
    <w:multiLevelType w:val="hybridMultilevel"/>
    <w:lvl w:ilvl="0">
      <w:lvlJc w:val="left"/>
      <w:lvlText w:val="*"/>
      <w:numFmt w:val="bullet"/>
      <w:start w:val="1"/>
    </w:lvl>
    <w:lvl w:ilvl="1">
      <w:lvlJc w:val="left"/>
      <w:lvlText w:val="☒"/>
      <w:numFmt w:val="bullet"/>
      <w:start w:val="1"/>
    </w:lvl>
  </w:abstractNum>
  <w:abstractNum w:abstractNumId="2">
    <w:nsid w:val="7545E146"/>
    <w:multiLevelType w:val="hybridMultilevel"/>
    <w:lvl w:ilvl="0">
      <w:lvlJc w:val="left"/>
      <w:lvlText w:val="%1."/>
      <w:numFmt w:val="decimal"/>
      <w:start w:val="1"/>
    </w:lvl>
  </w:abstractNum>
  <w:abstractNum w:abstractNumId="3">
    <w:nsid w:val="515F007C"/>
    <w:multiLevelType w:val="hybridMultilevel"/>
    <w:lvl w:ilvl="0">
      <w:lvlJc w:val="left"/>
      <w:lvlText w:val="%1."/>
      <w:numFmt w:val="decimal"/>
      <w:start w:val="2"/>
    </w:lvl>
    <w:lvl w:ilvl="1">
      <w:lvlJc w:val="left"/>
      <w:lvlText w:val="(%2)"/>
      <w:numFmt w:val="lowerLetter"/>
      <w:start w:val="1"/>
    </w:lvl>
  </w:abstractNum>
  <w:abstractNum w:abstractNumId="4">
    <w:nsid w:val="5BD062C2"/>
    <w:multiLevelType w:val="hybridMultilevel"/>
    <w:lvl w:ilvl="0">
      <w:lvlJc w:val="left"/>
      <w:lvlText w:val="*"/>
      <w:numFmt w:val="bullet"/>
      <w:start w:val="1"/>
    </w:lvl>
  </w:abstractNum>
  <w:abstractNum w:abstractNumId="5">
    <w:nsid w:val="12200854"/>
    <w:multiLevelType w:val="hybridMultilevel"/>
    <w:lvl w:ilvl="0">
      <w:lvlJc w:val="left"/>
      <w:lvlText w:val="%1."/>
      <w:numFmt w:val="decimal"/>
      <w:start w:val="1"/>
    </w:lvl>
  </w:abstractNum>
  <w:abstractNum w:abstractNumId="6">
    <w:nsid w:val="4DB127F8"/>
    <w:multiLevelType w:val="hybridMultilevel"/>
    <w:lvl w:ilvl="0">
      <w:lvlJc w:val="left"/>
      <w:lvlText w:val="%1."/>
      <w:numFmt w:val="decimal"/>
      <w:start w:val="2"/>
    </w:lvl>
    <w:lvl w:ilvl="1">
      <w:lvlJc w:val="left"/>
      <w:lvlText w:val="(%2)"/>
      <w:numFmt w:val="lowerLetter"/>
      <w:start w:val="1"/>
    </w:lvl>
  </w:abstractNum>
  <w:abstractNum w:abstractNumId="7">
    <w:nsid w:val="216231B"/>
    <w:multiLevelType w:val="hybridMultilevel"/>
    <w:lvl w:ilvl="0">
      <w:lvlJc w:val="left"/>
      <w:lvlText w:val="*"/>
      <w:numFmt w:val="bullet"/>
      <w:start w:val="1"/>
    </w:lvl>
  </w:abstractNum>
  <w:abstractNum w:abstractNumId="8">
    <w:nsid w:val="1F16E9E8"/>
    <w:multiLevelType w:val="hybridMultilevel"/>
    <w:lvl w:ilvl="0">
      <w:lvlJc w:val="left"/>
      <w:lvlText w:val="(%1)"/>
      <w:numFmt w:val="lowerLetter"/>
      <w:start w:val="1"/>
    </w:lvl>
  </w:abstractNum>
  <w:abstractNum w:abstractNumId="9">
    <w:nsid w:val="1190CDE7"/>
    <w:multiLevelType w:val="hybridMultilevel"/>
    <w:lvl w:ilvl="0">
      <w:lvlJc w:val="left"/>
      <w:lvlText w:val="(%1)"/>
      <w:numFmt w:val="lowerLetter"/>
      <w:start w:val="1"/>
    </w:lvl>
  </w:abstractNum>
  <w:abstractNum w:abstractNumId="10">
    <w:nsid w:val="66EF438D"/>
    <w:multiLevelType w:val="hybridMultilevel"/>
    <w:lvl w:ilvl="0">
      <w:lvlJc w:val="left"/>
      <w:lvlText w:val="(%1)"/>
      <w:numFmt w:val="lowerLetter"/>
      <w:start w:val="1"/>
    </w:lvl>
  </w:abstractNum>
  <w:abstractNum w:abstractNumId="11">
    <w:nsid w:val="140E0F76"/>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abstractNum w:abstractNumId="12">
    <w:nsid w:val="3352255A"/>
    <w:multiLevelType w:val="hybridMultilevel"/>
    <w:lvl w:ilvl="0">
      <w:lvlJc w:val="left"/>
      <w:lvlText w:val="**"/>
      <w:numFmt w:val="bullet"/>
      <w:start w:val="1"/>
    </w:lvl>
    <w:lvl w:ilvl="1">
      <w:lvlJc w:val="left"/>
      <w:lvlText w:val="(%2)"/>
      <w:numFmt w:val="lowerLetter"/>
      <w:start w:val="35"/>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2019-12-10T17:11:19Z</dcterms:created>
  <dcterms:modified xsi:type="dcterms:W3CDTF">2019-12-10T17:11:19Z</dcterms:modified>
</cp:coreProperties>
</file>