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24"/>
          <w:szCs w:val="24"/>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172"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7" w:lineRule="exact"/>
        <w:rPr>
          <w:sz w:val="24"/>
          <w:szCs w:val="24"/>
          <w:color w:val="auto"/>
        </w:rPr>
      </w:pPr>
    </w:p>
    <w:p>
      <w:pPr>
        <w:jc w:val="center"/>
        <w:ind w:right="-319"/>
        <w:spacing w:after="0"/>
        <w:rPr>
          <w:sz w:val="20"/>
          <w:szCs w:val="20"/>
          <w:color w:val="auto"/>
        </w:rPr>
      </w:pPr>
      <w:r>
        <w:rPr>
          <w:rFonts w:ascii="Arial" w:cs="Arial" w:eastAsia="Arial" w:hAnsi="Arial"/>
          <w:sz w:val="18"/>
          <w:szCs w:val="18"/>
          <w:color w:val="auto"/>
        </w:rPr>
        <w:t>Date of Report (Date of earliest event reported): May 28, 2009</w:t>
      </w:r>
    </w:p>
    <w:p>
      <w:pPr>
        <w:spacing w:after="0" w:line="136"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ectPr>
          <w:pgSz w:w="11900" w:h="16838" w:orient="portrait"/>
          <w:cols w:equalWidth="0" w:num="1">
            <w:col w:w="11100"/>
          </w:cols>
          <w:pgMar w:left="240" w:top="597" w:right="559" w:bottom="1440" w:gutter="0" w:footer="0" w:header="0"/>
        </w:sectPr>
      </w:pPr>
    </w:p>
    <w:p>
      <w:pPr>
        <w:spacing w:after="0" w:line="175"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597"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597"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ectPr>
          <w:pgSz w:w="11900" w:h="16838" w:orient="portrait"/>
          <w:cols w:equalWidth="0" w:num="1">
            <w:col w:w="11100"/>
          </w:cols>
          <w:pgMar w:left="240" w:top="597" w:right="559" w:bottom="1440" w:gutter="0" w:footer="0" w:header="0"/>
          <w:type w:val="continuous"/>
        </w:sectPr>
      </w:pPr>
    </w:p>
    <w:p>
      <w:pPr>
        <w:spacing w:after="0" w:line="166"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242570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276860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597"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On May 28, 2009, Marvell Technology Group Ltd. (“Marvell”) issued a press release regarding its financial results for its first fiscal quarter ended May 2, 2009. A copy of the press release is furnished herewith as Exhibit 99.1 and is incorporated by reference herein.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measures exclude the effect of stock-based compensation, amortization and write-offs of acquired intangible assets, restructuring costs and certain one-time benefits.</w:t>
      </w:r>
    </w:p>
    <w:p>
      <w:pPr>
        <w:spacing w:after="0" w:line="11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hanging="446"/>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200" w:hanging="446"/>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900" w:right="40" w:hanging="446"/>
        <w:spacing w:after="0" w:line="370" w:lineRule="auto"/>
        <w:tabs>
          <w:tab w:leader="none" w:pos="900" w:val="left"/>
        </w:tabs>
        <w:numPr>
          <w:ilvl w:val="0"/>
          <w:numId w:val="3"/>
        </w:numPr>
        <w:rPr>
          <w:rFonts w:ascii="Arial" w:cs="Arial" w:eastAsia="Arial" w:hAnsi="Arial"/>
          <w:sz w:val="15"/>
          <w:szCs w:val="15"/>
          <w:color w:val="auto"/>
        </w:rPr>
      </w:pPr>
      <w:r>
        <w:rPr>
          <w:rFonts w:ascii="Arial" w:cs="Arial" w:eastAsia="Arial" w:hAnsi="Arial"/>
          <w:sz w:val="15"/>
          <w:szCs w:val="15"/>
          <w:i w:val="1"/>
          <w:iCs w:val="1"/>
          <w:color w:val="auto"/>
        </w:rPr>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right="120" w:hanging="446"/>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hanging="446"/>
        <w:spacing w:after="0" w:line="291"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For example, in</w:t>
      </w:r>
      <w:r>
        <w:rPr>
          <w:rFonts w:ascii="Arial" w:cs="Arial" w:eastAsia="Arial" w:hAnsi="Arial"/>
          <w:sz w:val="16"/>
          <w:szCs w:val="16"/>
          <w:i w:val="1"/>
          <w:iCs w:val="1"/>
          <w:color w:val="auto"/>
        </w:rPr>
        <w:t xml:space="preserve"> </w:t>
      </w:r>
      <w:r>
        <w:rPr>
          <w:rFonts w:ascii="Arial" w:cs="Arial" w:eastAsia="Arial" w:hAnsi="Arial"/>
          <w:sz w:val="16"/>
          <w:szCs w:val="16"/>
          <w:color w:val="auto"/>
        </w:rPr>
        <w:t>the fourth quarter ended January 31, 2009, Marvell reversed the remaining payroll related tax liabilities initially recorded in prior years in connection with Marvell’s restatement related to its historic stock option granting practices. Marvell excluded this benefit as it related to the true-up of charges taken in previous periods and was not directly related to the period of benefit. For the first quarter ended May 2, 2009, as part of Marvell’s restructuring plan that was previously announced, Marvell’s financial results were adversely impacted associated with the ramp-down of the test operations in Malaysia. This impact is directly related to the restructuring actions, which Marvell excluded from its non-GAAP results.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446"/>
        <w:spacing w:after="0" w:line="290"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SFAS 123R compensation costs expected to be incurred in future periods but not yet recognized in the financial statements. The expected compensation costs are treated as proceeds assumed to be used to repurchase shares under the GAAP treasury stock method. GAAP weighted average shares outstanding (diluted) also includes the dilutive/antidilutive effects of common stock options and restricted stock. Since Marvell’s non-GAAP net income does not reflect the effects of these compensation costs, management believes these amounts should not be applied to the repurchase of shares in calculating non-GAAP net income per share.</w:t>
      </w:r>
    </w:p>
    <w:p>
      <w:pPr>
        <w:spacing w:after="0" w:line="118" w:lineRule="exact"/>
        <w:rPr>
          <w:sz w:val="20"/>
          <w:szCs w:val="20"/>
          <w:color w:val="auto"/>
        </w:rPr>
      </w:pPr>
    </w:p>
    <w:p>
      <w:pPr>
        <w:ind w:right="360" w:firstLine="456"/>
        <w:spacing w:after="0" w:line="254" w:lineRule="auto"/>
        <w:rPr>
          <w:sz w:val="20"/>
          <w:szCs w:val="20"/>
          <w:color w:val="auto"/>
        </w:rPr>
      </w:pPr>
      <w:r>
        <w:rPr>
          <w:rFonts w:ascii="Arial" w:cs="Arial" w:eastAsia="Arial" w:hAnsi="Arial"/>
          <w:sz w:val="18"/>
          <w:szCs w:val="18"/>
          <w:color w:val="auto"/>
        </w:rPr>
        <w:t>Non-GAAP financial measures should be considered supplemental to, and not as a substitute for, or superior to, financial measures calculated in accordance with GAAP. Non-GAAP financial measures have limitations in that they do not reflect all of the costs/benefits associated with the operations of Marvell’s business as determined in accordance with GAAP. As a result, you should not consider these measures in isolation or as a substitute for analysis of Marvell’s results as reported under GAAP. Marvell expects to continue to incur certain expenses or benefits similar to the non-GAAP adjustments described above, and exclusion of these items from Marvell’s non-GAAP net income should not be construed as an inference that these costs/benefits are unusual, infrequent or non-recurring.</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28, 2009.</w:t>
      </w:r>
    </w:p>
    <w:p>
      <w:pPr>
        <w:spacing w:after="0" w:line="158"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4" w:right="1440"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28,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10795</wp:posOffset>
            </wp:positionV>
            <wp:extent cx="271843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6"/>
          <w:szCs w:val="16"/>
          <w:i w:val="1"/>
          <w:iCs w:val="1"/>
          <w:color w:val="auto"/>
        </w:rPr>
        <w:t>Chief Financial Officer, Interim Chief Operating Officer</w:t>
      </w:r>
    </w:p>
    <w:p>
      <w:pPr>
        <w:spacing w:after="0" w:line="32"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and Secretary</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INDEX</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Exhibit No.</w:t>
            </w:r>
          </w:p>
        </w:tc>
        <w:tc>
          <w:tcPr>
            <w:tcW w:w="760" w:type="dxa"/>
            <w:vAlign w:val="bottom"/>
          </w:tcPr>
          <w:p>
            <w:pPr>
              <w:spacing w:after="0"/>
              <w:rPr>
                <w:sz w:val="15"/>
                <w:szCs w:val="15"/>
                <w:color w:val="auto"/>
              </w:rPr>
            </w:pPr>
          </w:p>
        </w:tc>
        <w:tc>
          <w:tcPr>
            <w:tcW w:w="99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6"/>
        </w:trPr>
        <w:tc>
          <w:tcPr>
            <w:tcW w:w="720" w:type="dxa"/>
            <w:vAlign w:val="bottom"/>
          </w:tcPr>
          <w:p>
            <w:pPr>
              <w:jc w:val="right"/>
              <w:ind w:right="122"/>
              <w:spacing w:after="0"/>
              <w:rPr>
                <w:sz w:val="20"/>
                <w:szCs w:val="20"/>
                <w:color w:val="auto"/>
              </w:rPr>
            </w:pPr>
            <w:r>
              <w:rPr>
                <w:rFonts w:ascii="Arial" w:cs="Arial" w:eastAsia="Arial" w:hAnsi="Arial"/>
                <w:sz w:val="18"/>
                <w:szCs w:val="18"/>
                <w:color w:val="auto"/>
              </w:rPr>
              <w:t>99.1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Press Release dated May 28, 2009.</w:t>
            </w:r>
          </w:p>
        </w:tc>
      </w:tr>
    </w:tbl>
    <w:p>
      <w:pPr>
        <w:spacing w:after="0" w:line="1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4" w:right="239"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28"/>
        </w:trPr>
        <w:tc>
          <w:tcPr>
            <w:tcW w:w="1580" w:type="dxa"/>
            <w:vAlign w:val="bottom"/>
          </w:tcPr>
          <w:p>
            <w:pPr>
              <w:spacing w:after="0"/>
              <w:rPr>
                <w:sz w:val="19"/>
                <w:szCs w:val="19"/>
                <w:color w:val="auto"/>
              </w:rPr>
            </w:pPr>
          </w:p>
        </w:tc>
        <w:tc>
          <w:tcPr>
            <w:tcW w:w="700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540" w:type="dxa"/>
            <w:vAlign w:val="bottom"/>
          </w:tcPr>
          <w:p>
            <w:pPr>
              <w:ind w:left="640"/>
              <w:spacing w:after="0"/>
              <w:rPr>
                <w:sz w:val="20"/>
                <w:szCs w:val="20"/>
                <w:color w:val="auto"/>
              </w:rPr>
            </w:pPr>
            <w:r>
              <w:rPr>
                <w:rFonts w:ascii="Arial" w:cs="Arial" w:eastAsia="Arial" w:hAnsi="Arial"/>
                <w:sz w:val="18"/>
                <w:szCs w:val="18"/>
                <w:b w:val="1"/>
                <w:bCs w:val="1"/>
                <w:color w:val="auto"/>
                <w:w w:val="87"/>
              </w:rPr>
              <w:t>Exhibit 99.1</w:t>
            </w:r>
          </w:p>
        </w:tc>
      </w:tr>
      <w:tr>
        <w:trPr>
          <w:trHeight w:val="412"/>
        </w:trPr>
        <w:tc>
          <w:tcPr>
            <w:tcW w:w="858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24"/>
                <w:szCs w:val="24"/>
                <w:color w:val="auto"/>
              </w:rPr>
            </w:pPr>
          </w:p>
        </w:tc>
        <w:tc>
          <w:tcPr>
            <w:tcW w:w="1540" w:type="dxa"/>
            <w:vAlign w:val="bottom"/>
          </w:tcPr>
          <w:p>
            <w:pPr>
              <w:spacing w:after="0"/>
              <w:rPr>
                <w:sz w:val="24"/>
                <w:szCs w:val="24"/>
                <w:color w:val="auto"/>
              </w:rPr>
            </w:pPr>
          </w:p>
        </w:tc>
      </w:tr>
      <w:tr>
        <w:trPr>
          <w:trHeight w:val="216"/>
        </w:trPr>
        <w:tc>
          <w:tcPr>
            <w:tcW w:w="858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284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858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2840" w:type="dxa"/>
            <w:vAlign w:val="bottom"/>
            <w:gridSpan w:val="2"/>
          </w:tcPr>
          <w:p>
            <w:pPr>
              <w:spacing w:after="0"/>
              <w:rPr>
                <w:sz w:val="20"/>
                <w:szCs w:val="20"/>
                <w:color w:val="auto"/>
              </w:rPr>
            </w:pPr>
            <w:r>
              <w:rPr>
                <w:rFonts w:ascii="Arial" w:cs="Arial" w:eastAsia="Arial" w:hAnsi="Arial"/>
                <w:sz w:val="18"/>
                <w:szCs w:val="18"/>
                <w:color w:val="auto"/>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700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408-222-2815</w:t>
            </w:r>
          </w:p>
        </w:tc>
        <w:tc>
          <w:tcPr>
            <w:tcW w:w="1540" w:type="dxa"/>
            <w:vAlign w:val="bottom"/>
          </w:tcPr>
          <w:p>
            <w:pPr>
              <w:spacing w:after="0"/>
              <w:rPr>
                <w:sz w:val="18"/>
                <w:szCs w:val="18"/>
                <w:color w:val="auto"/>
              </w:rPr>
            </w:pPr>
          </w:p>
        </w:tc>
      </w:tr>
      <w:tr>
        <w:trPr>
          <w:trHeight w:val="184"/>
        </w:trPr>
        <w:tc>
          <w:tcPr>
            <w:tcW w:w="858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284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700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r>
    </w:tbl>
    <w:p>
      <w:pPr>
        <w:spacing w:after="0" w:line="256" w:lineRule="exact"/>
        <w:rPr>
          <w:sz w:val="20"/>
          <w:szCs w:val="20"/>
          <w:color w:val="auto"/>
        </w:rPr>
      </w:pPr>
    </w:p>
    <w:p>
      <w:pPr>
        <w:ind w:left="3580"/>
        <w:spacing w:after="0"/>
        <w:rPr>
          <w:sz w:val="20"/>
          <w:szCs w:val="20"/>
          <w:color w:val="auto"/>
        </w:rPr>
      </w:pPr>
      <w:r>
        <w:rPr>
          <w:rFonts w:ascii="Arial" w:cs="Arial" w:eastAsia="Arial" w:hAnsi="Arial"/>
          <w:sz w:val="18"/>
          <w:szCs w:val="18"/>
          <w:b w:val="1"/>
          <w:bCs w:val="1"/>
          <w:color w:val="auto"/>
        </w:rPr>
        <w:t>Marvell Technology Reports Fiscal First Quarter Results</w:t>
      </w:r>
    </w:p>
    <w:p>
      <w:pPr>
        <w:spacing w:after="0" w:line="177" w:lineRule="exact"/>
        <w:rPr>
          <w:sz w:val="20"/>
          <w:szCs w:val="20"/>
          <w:color w:val="auto"/>
        </w:rPr>
      </w:pPr>
    </w:p>
    <w:p>
      <w:pPr>
        <w:ind w:left="3840"/>
        <w:spacing w:after="0"/>
        <w:rPr>
          <w:sz w:val="20"/>
          <w:szCs w:val="20"/>
          <w:color w:val="auto"/>
        </w:rPr>
      </w:pPr>
      <w:r>
        <w:rPr>
          <w:rFonts w:ascii="Arial" w:cs="Arial" w:eastAsia="Arial" w:hAnsi="Arial"/>
          <w:sz w:val="18"/>
          <w:szCs w:val="18"/>
          <w:b w:val="1"/>
          <w:bCs w:val="1"/>
          <w:i w:val="1"/>
          <w:iCs w:val="1"/>
          <w:color w:val="auto"/>
        </w:rPr>
        <w:t>Revenue: $521.4 Million, Up 2 Percent Sequentially</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$131.8 Million, 25 Percent of Revenues</w:t>
      </w:r>
    </w:p>
    <w:p>
      <w:pPr>
        <w:spacing w:after="0" w:line="159" w:lineRule="exact"/>
        <w:rPr>
          <w:sz w:val="20"/>
          <w:szCs w:val="20"/>
          <w:color w:val="auto"/>
        </w:rPr>
      </w:pPr>
    </w:p>
    <w:p>
      <w:pPr>
        <w:ind w:right="400"/>
        <w:spacing w:after="0" w:line="275" w:lineRule="auto"/>
        <w:rPr>
          <w:sz w:val="20"/>
          <w:szCs w:val="20"/>
          <w:color w:val="auto"/>
        </w:rPr>
      </w:pPr>
      <w:r>
        <w:rPr>
          <w:rFonts w:ascii="Arial" w:cs="Arial" w:eastAsia="Arial" w:hAnsi="Arial"/>
          <w:sz w:val="18"/>
          <w:szCs w:val="18"/>
          <w:b w:val="1"/>
          <w:bCs w:val="1"/>
          <w:color w:val="auto"/>
        </w:rPr>
        <w:t xml:space="preserve">Santa Clara, California (May 28, 2009) </w:t>
      </w:r>
      <w:r>
        <w:rPr>
          <w:rFonts w:ascii="Arial" w:cs="Arial" w:eastAsia="Arial" w:hAnsi="Arial"/>
          <w:sz w:val="18"/>
          <w:szCs w:val="18"/>
          <w:color w:val="auto"/>
        </w:rPr>
        <w:t>— Marvell Technology Group Ltd. (NASDAQ: MRVL), a world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the first quarter of fiscal 2010, ended May 2, 2009.</w:t>
      </w:r>
    </w:p>
    <w:p>
      <w:pPr>
        <w:spacing w:after="0" w:line="126"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Net revenue for the first quarter of fiscal 2010 was $521.4 million, a 2 percent sequential increase from $512.9 million in the fourth quarter of fiscal 2009, ended January 31, 2009 and a 35 percent decrease from $804.1 million in the first quarter of fiscal 2009, ended May 3, 2008.</w:t>
      </w:r>
    </w:p>
    <w:p>
      <w:pPr>
        <w:spacing w:after="0" w:line="132" w:lineRule="exact"/>
        <w:rPr>
          <w:sz w:val="20"/>
          <w:szCs w:val="20"/>
          <w:color w:val="auto"/>
        </w:rPr>
      </w:pPr>
    </w:p>
    <w:p>
      <w:pPr>
        <w:ind w:right="140"/>
        <w:spacing w:after="0" w:line="332" w:lineRule="auto"/>
        <w:rPr>
          <w:sz w:val="20"/>
          <w:szCs w:val="20"/>
          <w:color w:val="auto"/>
        </w:rPr>
      </w:pPr>
      <w:r>
        <w:rPr>
          <w:rFonts w:ascii="Arial" w:cs="Arial" w:eastAsia="Arial" w:hAnsi="Arial"/>
          <w:sz w:val="16"/>
          <w:szCs w:val="16"/>
          <w:color w:val="auto"/>
        </w:rPr>
        <w:t>GAAP net loss was $39.5 million, or $0.06 per share (diluted), for the first quarter of fiscal 2010, as compared to a GAAP net loss of $65.0 million, or $0.11 per share (diluted), for the fourth quarter of fiscal 2009. For the first quarter of fiscal 2009 GAAP net income was $69.9 million, or $0.11 per share (diluted).</w:t>
      </w:r>
    </w:p>
    <w:p>
      <w:pPr>
        <w:spacing w:after="0" w:line="8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Non-GAAP net income was $31.9 million, or $0.05 per share (diluted), for the first quarter of fiscal 2010, a decrease of 2 percent from non-GAAP net income of $32.4 million, or $0.05 per share (diluted), for the fourth quarter of fiscal 2009, and a 79 percent decrease compared with non-GAAP net income of $150.4 million, or $0.24 per share (diluted), for the first quarter of fiscal 2009.</w:t>
      </w:r>
    </w:p>
    <w:p>
      <w:pPr>
        <w:spacing w:after="0" w:line="140"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“We are pleased with the sequential improvement in revenue during our first fiscal quarter of 2010,” said Dr. Sehat Sutardja, Marvell Chairman and Chief Executive Officer. “We also delivered improved profitability and cash flow during the first quarter, a positive reflection of the actions we undertook in recent quarters to control costs and expenses as well as tightly managing our working capital. We are continuing to monitor the changing economic environment and will manage our business accordingly. However, recent trends indicate an improvement in near term order patterns.”</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7" w:name="page8"/>
    <w:bookmarkEnd w:id="7"/>
    <w:p>
      <w:pPr>
        <w:ind w:right="60"/>
        <w:spacing w:after="0" w:line="29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reports net income (loss), basic and diluted net income (loss) per share in accordance with U.S. generally accepted accounting principles (GAAP) and on a non-GAAP basis as outlined below. Reconciliations of GAAP net income (loss) to non-GAAP net income for the three months ended May 2, 2009, January 31, 2009 and May 3, 2008, respectively,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13"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GAAP gross margin for the first quarter of fiscal 2010 was 50.6 percent, compared to 50.7 percent for the fourth quarter of fiscal 2009 and 51.6 percent for the first quarter of fiscal 2009. GAAP gross margin for the first quarter of fiscal 2010 included costs of $1.0 million associated with the ramp-down of the test operations in Malaysia.</w:t>
      </w:r>
    </w:p>
    <w:p>
      <w:pPr>
        <w:spacing w:after="0" w:line="140"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Non-GAAP gross margin for the first quarter of fiscal 2010 increased to 51.6 percent, compared to 51.3 percent for the fourth quarter of fiscal 2009 and 52.0 percent for the first quarter of fiscal 2009.</w:t>
      </w:r>
    </w:p>
    <w:p>
      <w:pPr>
        <w:spacing w:after="0" w:line="132"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Shares used to compute GAAP net loss per diluted share, for the first quarter of fiscal 2010 were 619 million shares, compared with 615 million shares in the fourth quarter of fiscal 2009 and 624 million shares in the first quarter of fiscal 2009. Shares used to compute non-GAAP net income per diluted share for the first quarter of fiscal 2010 were 637 million shares, compared with 629 million shares for the fourth quarter of fiscal 2009 and 624 million shares for the first quarter of fiscal 2009.</w:t>
      </w:r>
    </w:p>
    <w:p>
      <w:pPr>
        <w:spacing w:after="0" w:line="143" w:lineRule="exact"/>
        <w:rPr>
          <w:sz w:val="20"/>
          <w:szCs w:val="20"/>
          <w:color w:val="auto"/>
        </w:rPr>
      </w:pPr>
    </w:p>
    <w:p>
      <w:pPr>
        <w:jc w:val="both"/>
        <w:spacing w:after="0" w:line="256" w:lineRule="auto"/>
        <w:rPr>
          <w:sz w:val="20"/>
          <w:szCs w:val="20"/>
          <w:color w:val="auto"/>
        </w:rPr>
      </w:pPr>
      <w:r>
        <w:rPr>
          <w:rFonts w:ascii="Arial" w:cs="Arial" w:eastAsia="Arial" w:hAnsi="Arial"/>
          <w:sz w:val="18"/>
          <w:szCs w:val="18"/>
          <w:color w:val="auto"/>
        </w:rPr>
        <w:t>Cash flow from operations for the first quarter of fiscal 2010 was $144.5 million, up 32 percent sequentially from $109.1 million reported in the fourth quarter of fiscal 2009 and up 11 percent from $130.2 million in the first quarter of fiscal 2009. Free cash flow, defined as cash flow from operations less capital expenditures and purchases of IP licenses, was $131.8 million, up 42 percent sequentially from $92.7 million in the fourth quarter of fiscal 2009 and up 32 percent from $99.7 million in the first quarter of fiscal 2009.</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Conference Call</w:t>
      </w:r>
    </w:p>
    <w:p>
      <w:pPr>
        <w:spacing w:after="0" w:line="9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 xml:space="preserve">Marvell will be conducting a conference call on May 28, 2009 at 1:45 p.m. PDT to discuss results for the first quarter ended May 2, 2009. Interested parties may dial-in to the conference call at </w:t>
      </w:r>
      <w:r>
        <w:rPr>
          <w:rFonts w:ascii="Arial" w:cs="Arial" w:eastAsia="Arial" w:hAnsi="Arial"/>
          <w:sz w:val="18"/>
          <w:szCs w:val="18"/>
          <w:b w:val="1"/>
          <w:bCs w:val="1"/>
          <w:color w:val="auto"/>
        </w:rPr>
        <w:t>1-866-272-9941, pass-code 21507569</w:t>
      </w:r>
      <w:r>
        <w:rPr>
          <w:rFonts w:ascii="Arial" w:cs="Arial" w:eastAsia="Arial" w:hAnsi="Arial"/>
          <w:sz w:val="18"/>
          <w:szCs w:val="18"/>
          <w:color w:val="auto"/>
        </w:rPr>
        <w:t xml:space="preserve">. The call is being webcast by ThomsonReuters and can be accessed at Marvell’s website under the Investor Events section of the Investor Relations page at </w:t>
      </w:r>
      <w:r>
        <w:rPr>
          <w:rFonts w:ascii="Arial" w:cs="Arial" w:eastAsia="Arial" w:hAnsi="Arial"/>
          <w:sz w:val="18"/>
          <w:szCs w:val="18"/>
          <w:u w:val="single" w:color="auto"/>
          <w:color w:val="auto"/>
        </w:rPr>
        <w:t>http://www.marvell.com/investors/events.jsp</w:t>
      </w:r>
      <w:r>
        <w:rPr>
          <w:rFonts w:ascii="Arial" w:cs="Arial" w:eastAsia="Arial" w:hAnsi="Arial"/>
          <w:sz w:val="18"/>
          <w:szCs w:val="18"/>
          <w:color w:val="auto"/>
        </w:rPr>
        <w:t>. Replay on the internet will be available following the call until June 28, 2009.</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0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0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40"/>
          </w:cols>
          <w:pgMar w:left="240" w:top="274" w:right="31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3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Forward-Looking Statements</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Company’s expectations about managing our business; the Company’s expectations about near term order patterns; and statements concerning the Company’s use of non-GAAP gross margin,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uncertainty in the worldwide economic environment; successful execution of the Company’s restructuring plan and other risks detailed in Marvell’s SEC filings. When Marvell files its Form 10-Q for the first quarter of fiscal year 2010,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for the year end January 31, 2009 and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right"/>
              <w:ind w:right="2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3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60" w:type="dxa"/>
            <w:vAlign w:val="bottom"/>
            <w:gridSpan w:val="2"/>
          </w:tcPr>
          <w:p>
            <w:pPr>
              <w:jc w:val="center"/>
              <w:ind w:right="312"/>
              <w:spacing w:after="0" w:line="129" w:lineRule="exact"/>
              <w:rPr>
                <w:sz w:val="20"/>
                <w:szCs w:val="20"/>
                <w:color w:val="auto"/>
              </w:rPr>
            </w:pPr>
            <w:r>
              <w:rPr>
                <w:rFonts w:ascii="Arial" w:cs="Arial" w:eastAsia="Arial" w:hAnsi="Arial"/>
                <w:sz w:val="14"/>
                <w:szCs w:val="14"/>
                <w:b w:val="1"/>
                <w:bCs w:val="1"/>
                <w:color w:val="auto"/>
                <w:w w:val="93"/>
              </w:rPr>
              <w:t>May 2,</w:t>
            </w:r>
          </w:p>
        </w:tc>
        <w:tc>
          <w:tcPr>
            <w:tcW w:w="9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00" w:type="dxa"/>
            <w:vAlign w:val="bottom"/>
          </w:tcPr>
          <w:p>
            <w:pPr>
              <w:spacing w:after="0"/>
              <w:rPr>
                <w:sz w:val="11"/>
                <w:szCs w:val="11"/>
                <w:color w:val="auto"/>
              </w:rPr>
            </w:pPr>
          </w:p>
        </w:tc>
        <w:tc>
          <w:tcPr>
            <w:tcW w:w="580" w:type="dxa"/>
            <w:vAlign w:val="bottom"/>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3,</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37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86"/>
              </w:rPr>
              <w:t>521,434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512,867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804,075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3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12"/>
              <w:spacing w:after="0"/>
              <w:rPr>
                <w:sz w:val="20"/>
                <w:szCs w:val="20"/>
                <w:color w:val="auto"/>
              </w:rPr>
            </w:pPr>
            <w:r>
              <w:rPr>
                <w:rFonts w:ascii="Arial" w:cs="Arial" w:eastAsia="Arial" w:hAnsi="Arial"/>
                <w:sz w:val="18"/>
                <w:szCs w:val="18"/>
                <w:color w:val="auto"/>
                <w:w w:val="86"/>
              </w:rPr>
              <w:t>257,630</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252,732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388,842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86"/>
              </w:rPr>
              <w:t>263,804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260,135</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415,233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3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86"/>
              </w:rPr>
              <w:t>200,249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207,579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238,475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3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12"/>
              <w:spacing w:after="0"/>
              <w:rPr>
                <w:sz w:val="20"/>
                <w:szCs w:val="20"/>
                <w:color w:val="auto"/>
              </w:rPr>
            </w:pPr>
            <w:r>
              <w:rPr>
                <w:rFonts w:ascii="Arial" w:cs="Arial" w:eastAsia="Arial" w:hAnsi="Arial"/>
                <w:sz w:val="18"/>
                <w:szCs w:val="18"/>
                <w:color w:val="auto"/>
              </w:rPr>
              <w:t>32,646</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31,893</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46,088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29,496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31,979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3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12"/>
              <w:spacing w:after="0"/>
              <w:rPr>
                <w:sz w:val="20"/>
                <w:szCs w:val="20"/>
                <w:color w:val="auto"/>
              </w:rPr>
            </w:pPr>
            <w:r>
              <w:rPr>
                <w:rFonts w:ascii="Arial" w:cs="Arial" w:eastAsia="Arial" w:hAnsi="Arial"/>
                <w:sz w:val="18"/>
                <w:szCs w:val="18"/>
                <w:color w:val="auto"/>
              </w:rPr>
              <w:t>30,356</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48,274</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35,247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8,336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9,689</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vMerge w:val="restart"/>
          </w:tcPr>
          <w:p>
            <w:pPr>
              <w:ind w:left="860"/>
              <w:spacing w:after="0"/>
              <w:rPr>
                <w:sz w:val="20"/>
                <w:szCs w:val="20"/>
                <w:color w:val="auto"/>
              </w:rPr>
            </w:pPr>
            <w:r>
              <w:rPr>
                <w:rFonts w:ascii="Arial" w:cs="Arial" w:eastAsia="Arial" w:hAnsi="Arial"/>
                <w:sz w:val="18"/>
                <w:szCs w:val="18"/>
                <w:color w:val="auto"/>
              </w:rPr>
              <w:t>Total operating expenses</w:t>
            </w:r>
          </w:p>
        </w:tc>
        <w:tc>
          <w:tcPr>
            <w:tcW w:w="37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vMerge w:val="continue"/>
          </w:tcPr>
          <w:p>
            <w:pPr>
              <w:spacing w:after="0"/>
              <w:rPr>
                <w:sz w:val="19"/>
                <w:szCs w:val="19"/>
                <w:color w:val="auto"/>
              </w:rPr>
            </w:pPr>
          </w:p>
        </w:tc>
        <w:tc>
          <w:tcPr>
            <w:tcW w:w="3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212"/>
              <w:spacing w:after="0"/>
              <w:rPr>
                <w:sz w:val="20"/>
                <w:szCs w:val="20"/>
                <w:color w:val="auto"/>
              </w:rPr>
            </w:pPr>
            <w:r>
              <w:rPr>
                <w:rFonts w:ascii="Arial" w:cs="Arial" w:eastAsia="Arial" w:hAnsi="Arial"/>
                <w:sz w:val="18"/>
                <w:szCs w:val="18"/>
                <w:color w:val="auto"/>
                <w:w w:val="86"/>
              </w:rPr>
              <w:t>301,083</w:t>
            </w:r>
          </w:p>
        </w:tc>
        <w:tc>
          <w:tcPr>
            <w:tcW w:w="100" w:type="dxa"/>
            <w:vAlign w:val="bottom"/>
          </w:tcPr>
          <w:p>
            <w:pPr>
              <w:spacing w:after="0"/>
              <w:rPr>
                <w:sz w:val="19"/>
                <w:szCs w:val="19"/>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329,414</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332,761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w w:val="92"/>
              </w:rPr>
              <w:t>(37,279)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5"/>
              </w:rPr>
              <w:t>(69,279)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82,472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3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52"/>
              <w:spacing w:after="0"/>
              <w:rPr>
                <w:sz w:val="20"/>
                <w:szCs w:val="20"/>
                <w:color w:val="auto"/>
              </w:rPr>
            </w:pPr>
            <w:r>
              <w:rPr>
                <w:rFonts w:ascii="Arial" w:cs="Arial" w:eastAsia="Arial" w:hAnsi="Arial"/>
                <w:sz w:val="18"/>
                <w:szCs w:val="18"/>
                <w:color w:val="auto"/>
              </w:rPr>
              <w:t>(160)</w:t>
            </w:r>
          </w:p>
        </w:tc>
        <w:tc>
          <w:tcPr>
            <w:tcW w:w="10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(440)</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(4,692)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w w:val="92"/>
              </w:rPr>
              <w:t>(37,439)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5"/>
              </w:rPr>
              <w:t>(69,719)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77,780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3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12"/>
              <w:spacing w:after="0"/>
              <w:rPr>
                <w:sz w:val="20"/>
                <w:szCs w:val="20"/>
                <w:color w:val="auto"/>
              </w:rPr>
            </w:pPr>
            <w:r>
              <w:rPr>
                <w:rFonts w:ascii="Arial" w:cs="Arial" w:eastAsia="Arial" w:hAnsi="Arial"/>
                <w:sz w:val="18"/>
                <w:szCs w:val="18"/>
                <w:color w:val="auto"/>
              </w:rPr>
              <w:t>2,018</w:t>
            </w:r>
          </w:p>
        </w:tc>
        <w:tc>
          <w:tcPr>
            <w:tcW w:w="10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(4,709)</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7,841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7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w w:val="92"/>
              </w:rPr>
              <w:t>(39,457)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5"/>
              </w:rPr>
              <w:t>(65,010)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69,939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Basic net income (loss) per share</w:t>
            </w:r>
          </w:p>
        </w:tc>
        <w:tc>
          <w:tcPr>
            <w:tcW w:w="3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3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152"/>
              <w:spacing w:after="0"/>
              <w:rPr>
                <w:sz w:val="20"/>
                <w:szCs w:val="20"/>
                <w:color w:val="auto"/>
              </w:rPr>
            </w:pPr>
            <w:r>
              <w:rPr>
                <w:rFonts w:ascii="Arial" w:cs="Arial" w:eastAsia="Arial" w:hAnsi="Arial"/>
                <w:sz w:val="18"/>
                <w:szCs w:val="18"/>
                <w:color w:val="auto"/>
              </w:rPr>
              <w:t>(0.06)</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(0.11)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3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(0.06)</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Shares used in computing basic earnings per share</w:t>
            </w:r>
          </w:p>
        </w:tc>
        <w:tc>
          <w:tcPr>
            <w:tcW w:w="37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020" w:type="dxa"/>
            <w:vAlign w:val="bottom"/>
            <w:gridSpan w:val="2"/>
            <w:vMerge w:val="continue"/>
          </w:tcPr>
          <w:p>
            <w:pPr>
              <w:spacing w:after="0"/>
              <w:rPr>
                <w:sz w:val="18"/>
                <w:szCs w:val="18"/>
                <w:color w:val="auto"/>
              </w:rPr>
            </w:pPr>
          </w:p>
        </w:tc>
        <w:tc>
          <w:tcPr>
            <w:tcW w:w="3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12"/>
              <w:spacing w:after="0"/>
              <w:rPr>
                <w:sz w:val="20"/>
                <w:szCs w:val="20"/>
                <w:color w:val="auto"/>
              </w:rPr>
            </w:pPr>
            <w:r>
              <w:rPr>
                <w:rFonts w:ascii="Arial" w:cs="Arial" w:eastAsia="Arial" w:hAnsi="Arial"/>
                <w:sz w:val="18"/>
                <w:szCs w:val="18"/>
                <w:color w:val="auto"/>
                <w:w w:val="86"/>
              </w:rPr>
              <w:t>618,677</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614,960</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601,222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diluted earnings per share</w:t>
            </w:r>
          </w:p>
        </w:tc>
        <w:tc>
          <w:tcPr>
            <w:tcW w:w="3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86"/>
              </w:rPr>
              <w:t>618,677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614,960</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624,351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3720" w:type="dxa"/>
            <w:vAlign w:val="bottom"/>
          </w:tcPr>
          <w:p>
            <w:pPr>
              <w:jc w:val="right"/>
              <w:ind w:right="289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171" w:lineRule="exact"/>
        <w:rPr>
          <w:sz w:val="20"/>
          <w:szCs w:val="20"/>
          <w:color w:val="auto"/>
        </w:rPr>
      </w:pPr>
    </w:p>
    <w:p>
      <w:pPr>
        <w:ind w:left="4120"/>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171" w:lineRule="exact"/>
        <w:rPr>
          <w:sz w:val="20"/>
          <w:szCs w:val="20"/>
          <w:color w:val="auto"/>
        </w:rPr>
      </w:pPr>
    </w:p>
    <w:p>
      <w:pPr>
        <w:ind w:left="5260"/>
        <w:spacing w:after="0"/>
        <w:rPr>
          <w:sz w:val="20"/>
          <w:szCs w:val="20"/>
          <w:color w:val="auto"/>
        </w:rPr>
      </w:pPr>
      <w:r>
        <w:rPr>
          <w:rFonts w:ascii="Arial" w:cs="Arial" w:eastAsia="Arial" w:hAnsi="Arial"/>
          <w:sz w:val="18"/>
          <w:szCs w:val="18"/>
          <w:b w:val="1"/>
          <w:bCs w:val="1"/>
          <w:color w:val="auto"/>
        </w:rPr>
        <w:t>(Unaudited)</w:t>
      </w:r>
    </w:p>
    <w:p>
      <w:pPr>
        <w:spacing w:after="0" w:line="171" w:lineRule="exact"/>
        <w:rPr>
          <w:sz w:val="20"/>
          <w:szCs w:val="20"/>
          <w:color w:val="auto"/>
        </w:rPr>
      </w:pPr>
    </w:p>
    <w:p>
      <w:pPr>
        <w:ind w:left="4160"/>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Reconciliation of GAAP net income (loss) to non-GAAP net income: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440" w:type="dxa"/>
            <w:vAlign w:val="bottom"/>
            <w:tcBorders>
              <w:bottom w:val="single" w:sz="8" w:color="auto"/>
            </w:tcBorders>
            <w:gridSpan w:val="4"/>
          </w:tcPr>
          <w:p>
            <w:pPr>
              <w:jc w:val="right"/>
              <w:ind w:right="20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40" w:type="dxa"/>
            <w:vAlign w:val="bottom"/>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98"/>
              </w:rPr>
              <w:t>May 2,</w:t>
            </w:r>
          </w:p>
        </w:tc>
        <w:tc>
          <w:tcPr>
            <w:tcW w:w="280" w:type="dxa"/>
            <w:vAlign w:val="bottom"/>
          </w:tcPr>
          <w:p>
            <w:pPr>
              <w:spacing w:after="0"/>
              <w:rPr>
                <w:sz w:val="11"/>
                <w:szCs w:val="11"/>
                <w:color w:val="auto"/>
              </w:rPr>
            </w:pPr>
          </w:p>
        </w:tc>
        <w:tc>
          <w:tcPr>
            <w:tcW w:w="116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January 31,</w:t>
            </w:r>
          </w:p>
        </w:tc>
        <w:tc>
          <w:tcPr>
            <w:tcW w:w="100" w:type="dxa"/>
            <w:vAlign w:val="bottom"/>
          </w:tcPr>
          <w:p>
            <w:pPr>
              <w:spacing w:after="0"/>
              <w:rPr>
                <w:sz w:val="11"/>
                <w:szCs w:val="11"/>
                <w:color w:val="auto"/>
              </w:rPr>
            </w:pPr>
          </w:p>
        </w:tc>
        <w:tc>
          <w:tcPr>
            <w:tcW w:w="580" w:type="dxa"/>
            <w:vAlign w:val="bottom"/>
          </w:tcPr>
          <w:p>
            <w:pPr>
              <w:jc w:val="right"/>
              <w:ind w:right="53"/>
              <w:spacing w:after="0" w:line="129" w:lineRule="exact"/>
              <w:rPr>
                <w:sz w:val="20"/>
                <w:szCs w:val="20"/>
                <w:color w:val="auto"/>
              </w:rPr>
            </w:pPr>
            <w:r>
              <w:rPr>
                <w:rFonts w:ascii="Arial" w:cs="Arial" w:eastAsia="Arial" w:hAnsi="Arial"/>
                <w:sz w:val="14"/>
                <w:szCs w:val="14"/>
                <w:b w:val="1"/>
                <w:bCs w:val="1"/>
                <w:color w:val="auto"/>
                <w:w w:val="98"/>
              </w:rPr>
              <w:t>May 3,</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2008</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(39,457)</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2"/>
              </w:rPr>
              <w:t>(65,010)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69,939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31,648</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44,701</w:t>
            </w: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45,226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30,356</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48,274</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35,247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spacing w:after="0"/>
              <w:rPr>
                <w:sz w:val="20"/>
                <w:szCs w:val="20"/>
                <w:color w:val="auto"/>
              </w:rPr>
            </w:pPr>
            <w:r>
              <w:rPr>
                <w:rFonts w:ascii="Arial" w:cs="Arial" w:eastAsia="Arial" w:hAnsi="Arial"/>
                <w:sz w:val="18"/>
                <w:szCs w:val="18"/>
                <w:color w:val="auto"/>
              </w:rPr>
              <w:t>Restructuring</w:t>
            </w: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8,336</w:t>
            </w:r>
          </w:p>
        </w:tc>
        <w:tc>
          <w:tcPr>
            <w:tcW w:w="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9,689</w:t>
            </w:r>
          </w:p>
        </w:tc>
        <w:tc>
          <w:tcPr>
            <w:tcW w:w="100" w:type="dxa"/>
            <w:vAlign w:val="bottom"/>
          </w:tcPr>
          <w:p>
            <w:pPr>
              <w:spacing w:after="0"/>
              <w:rPr>
                <w:sz w:val="18"/>
                <w:szCs w:val="18"/>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(5,292)</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832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31,873</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32,362</w:t>
            </w:r>
          </w:p>
        </w:tc>
        <w:tc>
          <w:tcPr>
            <w:tcW w:w="4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150,412</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618,677</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86"/>
              </w:rPr>
              <w:t>614,960</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624,351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Non-GAAP adjustment</w:t>
            </w: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8"/>
              </w:rPr>
              <w:t>17,928</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14,032</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636,605</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628,992</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624,442</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32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(loss) per share</w:t>
            </w: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3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tcPr>
          <w:p>
            <w:pPr>
              <w:jc w:val="right"/>
              <w:ind w:right="120"/>
              <w:spacing w:after="0"/>
              <w:rPr>
                <w:sz w:val="20"/>
                <w:szCs w:val="20"/>
                <w:color w:val="auto"/>
              </w:rPr>
            </w:pPr>
            <w:r>
              <w:rPr>
                <w:rFonts w:ascii="Arial" w:cs="Arial" w:eastAsia="Arial" w:hAnsi="Arial"/>
                <w:sz w:val="18"/>
                <w:szCs w:val="18"/>
                <w:color w:val="auto"/>
              </w:rPr>
              <w:t>(0.06)</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(0.11)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0.05</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32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3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2"/>
              </w:rPr>
              <w:t>263,804</w:t>
            </w:r>
          </w:p>
        </w:tc>
        <w:tc>
          <w:tcPr>
            <w:tcW w:w="18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w w:val="86"/>
              </w:rPr>
              <w:t>260,135</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415,233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4,116</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3,021</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3,073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268,910</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263,156</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418,306</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32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 as a % of revenue</w:t>
            </w: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32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50.6%</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50.7%</w:t>
            </w:r>
          </w:p>
        </w:tc>
        <w:tc>
          <w:tcPr>
            <w:tcW w:w="10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51.6%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0.8%</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0.6%</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740" w:type="dxa"/>
            <w:vAlign w:val="bottom"/>
            <w:gridSpan w:val="2"/>
          </w:tcPr>
          <w:p>
            <w:pPr>
              <w:jc w:val="right"/>
              <w:ind w:right="20"/>
              <w:spacing w:after="0"/>
              <w:rPr>
                <w:sz w:val="20"/>
                <w:szCs w:val="20"/>
                <w:color w:val="auto"/>
              </w:rPr>
            </w:pPr>
            <w:r>
              <w:rPr>
                <w:rFonts w:ascii="Arial" w:cs="Arial" w:eastAsia="Arial" w:hAnsi="Arial"/>
                <w:sz w:val="18"/>
                <w:szCs w:val="18"/>
                <w:color w:val="auto"/>
              </w:rPr>
              <w:t>0.2%</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4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8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51.6%</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51.3%</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52.0%</w:t>
            </w:r>
          </w:p>
        </w:tc>
        <w:tc>
          <w:tcPr>
            <w:tcW w:w="0" w:type="dxa"/>
            <w:vAlign w:val="bottom"/>
          </w:tcPr>
          <w:p>
            <w:pPr>
              <w:spacing w:after="0"/>
              <w:rPr>
                <w:sz w:val="1"/>
                <w:szCs w:val="1"/>
                <w:color w:val="auto"/>
              </w:rPr>
            </w:pPr>
          </w:p>
        </w:tc>
      </w:tr>
      <w:tr>
        <w:trPr>
          <w:trHeight w:val="20"/>
        </w:trPr>
        <w:tc>
          <w:tcPr>
            <w:tcW w:w="832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3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2"/>
              </w:rPr>
              <w:t>200,249</w:t>
            </w:r>
          </w:p>
        </w:tc>
        <w:tc>
          <w:tcPr>
            <w:tcW w:w="18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w w:val="86"/>
              </w:rPr>
              <w:t>207,579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238,475</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9"/>
              </w:rPr>
              <w:t>(21,737)</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2"/>
              </w:rPr>
              <w:t>(33,358)</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(29,932)</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3,652</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178,512</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177,873</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208,543</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32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3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32,646</w:t>
            </w:r>
          </w:p>
        </w:tc>
        <w:tc>
          <w:tcPr>
            <w:tcW w:w="18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31,893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46,088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(3,711)</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(4,677)</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(7,348)</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1,323</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28,935</w:t>
            </w:r>
          </w:p>
        </w:tc>
        <w:tc>
          <w:tcPr>
            <w:tcW w:w="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28,539</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38,740</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32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32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29,496</w:t>
            </w:r>
          </w:p>
        </w:tc>
        <w:tc>
          <w:tcPr>
            <w:tcW w:w="18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31,979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12,951</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(2,084)</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(3,645)</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(4,837)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300" w:type="dxa"/>
            <w:vAlign w:val="bottom"/>
          </w:tcPr>
          <w:p>
            <w:pPr>
              <w:ind w:left="4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(a)</w:t>
            </w:r>
          </w:p>
        </w:tc>
        <w:tc>
          <w:tcPr>
            <w:tcW w:w="10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317</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27,412</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10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28,651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8,114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ind w:left="460" w:right="240" w:hanging="452"/>
        <w:spacing w:after="0" w:line="259"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For fiscal quarter ended May 2, 2009 consists of underutilization charges recorded in connection with the rampdown of the Malaysia test operations. For fiscal quarter ended January 31, 2009 charges consists of the reversal of the remaining payroll related tax liabilities initially recorded in prior years in connection with Marvell’s historic stock option granting practices.</w:t>
      </w:r>
    </w:p>
    <w:p>
      <w:pPr>
        <w:spacing w:after="0" w:line="59" w:lineRule="exact"/>
        <w:rPr>
          <w:rFonts w:ascii="Arial" w:cs="Arial" w:eastAsia="Arial" w:hAnsi="Arial"/>
          <w:sz w:val="18"/>
          <w:szCs w:val="18"/>
          <w:i w:val="1"/>
          <w:iCs w:val="1"/>
          <w:color w:val="auto"/>
        </w:rPr>
      </w:pPr>
    </w:p>
    <w:p>
      <w:pPr>
        <w:ind w:left="460" w:right="120" w:hanging="452"/>
        <w:spacing w:after="0" w:line="256"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method and also includes the dilutive/antidilutive effects of warrants, common stock options and restricted stock.</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320" w:type="dxa"/>
            <w:vAlign w:val="bottom"/>
          </w:tcPr>
          <w:p>
            <w:pPr>
              <w:spacing w:after="0"/>
              <w:rPr>
                <w:sz w:val="14"/>
                <w:szCs w:val="14"/>
                <w:color w:val="auto"/>
              </w:rPr>
            </w:pPr>
          </w:p>
        </w:tc>
        <w:tc>
          <w:tcPr>
            <w:tcW w:w="4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May 2,</w:t>
            </w:r>
          </w:p>
        </w:tc>
        <w:tc>
          <w:tcPr>
            <w:tcW w:w="120" w:type="dxa"/>
            <w:vAlign w:val="bottom"/>
          </w:tcPr>
          <w:p>
            <w:pPr>
              <w:spacing w:after="0"/>
              <w:rPr>
                <w:sz w:val="14"/>
                <w:szCs w:val="14"/>
                <w:color w:val="auto"/>
              </w:rPr>
            </w:pPr>
          </w:p>
        </w:tc>
        <w:tc>
          <w:tcPr>
            <w:tcW w:w="86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61"/>
        </w:trPr>
        <w:tc>
          <w:tcPr>
            <w:tcW w:w="5320" w:type="dxa"/>
            <w:vAlign w:val="bottom"/>
          </w:tcPr>
          <w:p>
            <w:pPr>
              <w:spacing w:after="0"/>
              <w:rPr>
                <w:sz w:val="14"/>
                <w:szCs w:val="14"/>
                <w:color w:val="auto"/>
              </w:rPr>
            </w:pPr>
          </w:p>
        </w:tc>
        <w:tc>
          <w:tcPr>
            <w:tcW w:w="4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Current assets: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cash equivalents, and short-term investments</w:t>
            </w:r>
          </w:p>
        </w:tc>
        <w:tc>
          <w:tcPr>
            <w:tcW w:w="4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1,083,705</w:t>
            </w:r>
          </w:p>
        </w:tc>
        <w:tc>
          <w:tcPr>
            <w:tcW w:w="1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951,909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Accounts receivable,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285,367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222,101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203,590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310,654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320" w:type="dxa"/>
            <w:vAlign w:val="bottom"/>
          </w:tcPr>
          <w:p>
            <w:pPr>
              <w:ind w:left="440"/>
              <w:spacing w:after="0"/>
              <w:rPr>
                <w:sz w:val="20"/>
                <w:szCs w:val="20"/>
                <w:color w:val="auto"/>
              </w:rPr>
            </w:pPr>
            <w:r>
              <w:rPr>
                <w:rFonts w:ascii="Arial" w:cs="Arial" w:eastAsia="Arial" w:hAnsi="Arial"/>
                <w:sz w:val="18"/>
                <w:szCs w:val="18"/>
                <w:color w:val="auto"/>
                <w:w w:val="91"/>
              </w:rPr>
              <w:t>Prepaid expenses, deferred income taxes and other current assets</w:t>
            </w:r>
          </w:p>
        </w:tc>
        <w:tc>
          <w:tcPr>
            <w:tcW w:w="41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67,038</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75,651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1,639,700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1,560,315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371,229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390,853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40,541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2,253,854</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2,284,164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136,773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32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4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4,441,211</w:t>
            </w:r>
          </w:p>
        </w:tc>
        <w:tc>
          <w:tcPr>
            <w:tcW w:w="16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4,414,200</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4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Current liabilities: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4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166,988</w:t>
            </w:r>
          </w:p>
        </w:tc>
        <w:tc>
          <w:tcPr>
            <w:tcW w:w="1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139,028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196,326</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175,135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Income taxes payable</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47,257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35,803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Deferred income</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47,800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57,895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3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4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460,195</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409,648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3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1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161,480</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173,034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623,656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585,133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320" w:type="dxa"/>
            <w:vAlign w:val="bottom"/>
          </w:tcPr>
          <w:p>
            <w:pPr>
              <w:spacing w:after="0"/>
              <w:rPr>
                <w:sz w:val="20"/>
                <w:szCs w:val="20"/>
                <w:color w:val="auto"/>
              </w:rPr>
            </w:pPr>
            <w:r>
              <w:rPr>
                <w:rFonts w:ascii="Arial" w:cs="Arial" w:eastAsia="Arial" w:hAnsi="Arial"/>
                <w:sz w:val="18"/>
                <w:szCs w:val="18"/>
                <w:color w:val="auto"/>
              </w:rPr>
              <w:t>Shareholders’ equity:</w:t>
            </w:r>
          </w:p>
        </w:tc>
        <w:tc>
          <w:tcPr>
            <w:tcW w:w="4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Common stock</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1,238</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4,402,167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4,372,265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(2,680)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23"/>
        </w:trPr>
        <w:tc>
          <w:tcPr>
            <w:tcW w:w="5320" w:type="dxa"/>
            <w:vAlign w:val="bottom"/>
          </w:tcPr>
          <w:p>
            <w:pPr>
              <w:ind w:left="440"/>
              <w:spacing w:after="0"/>
              <w:rPr>
                <w:sz w:val="20"/>
                <w:szCs w:val="20"/>
                <w:color w:val="auto"/>
              </w:rPr>
            </w:pPr>
            <w:r>
              <w:rPr>
                <w:rFonts w:ascii="Arial" w:cs="Arial" w:eastAsia="Arial" w:hAnsi="Arial"/>
                <w:sz w:val="18"/>
                <w:szCs w:val="18"/>
                <w:color w:val="auto"/>
              </w:rPr>
              <w:t>Accumulated deficit</w:t>
            </w:r>
          </w:p>
        </w:tc>
        <w:tc>
          <w:tcPr>
            <w:tcW w:w="4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(583,170)</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w w:val="98"/>
              </w:rPr>
              <w:t>(543,713)</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416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3,817,555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3,829,067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32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4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4,441,211</w:t>
            </w:r>
          </w:p>
        </w:tc>
        <w:tc>
          <w:tcPr>
            <w:tcW w:w="16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4,414,200</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4160" w:type="dxa"/>
            <w:vAlign w:val="bottom"/>
            <w:vMerge w:val="restart"/>
          </w:tcPr>
          <w:p>
            <w:pPr>
              <w:jc w:val="right"/>
              <w:ind w:right="363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5320" w:type="dxa"/>
            <w:vAlign w:val="bottom"/>
          </w:tcPr>
          <w:p>
            <w:pPr>
              <w:spacing w:after="0"/>
              <w:rPr>
                <w:sz w:val="24"/>
                <w:szCs w:val="24"/>
                <w:color w:val="auto"/>
              </w:rPr>
            </w:pPr>
          </w:p>
        </w:tc>
        <w:tc>
          <w:tcPr>
            <w:tcW w:w="41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jc w:val="right"/>
              <w:ind w:right="140"/>
              <w:spacing w:after="0"/>
              <w:rPr>
                <w:sz w:val="20"/>
                <w:szCs w:val="20"/>
                <w:color w:val="auto"/>
              </w:rPr>
            </w:pPr>
            <w:r>
              <w:rPr>
                <w:rFonts w:ascii="Arial" w:cs="Arial" w:eastAsia="Arial" w:hAnsi="Arial"/>
                <w:sz w:val="14"/>
                <w:szCs w:val="14"/>
                <w:b w:val="1"/>
                <w:bCs w:val="1"/>
                <w:color w:val="auto"/>
                <w:w w:val="86"/>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0" w:type="dxa"/>
            <w:vAlign w:val="bottom"/>
            <w:gridSpan w:val="2"/>
          </w:tcPr>
          <w:p>
            <w:pPr>
              <w:jc w:val="right"/>
              <w:ind w:right="412"/>
              <w:spacing w:after="0" w:line="129" w:lineRule="exact"/>
              <w:rPr>
                <w:sz w:val="20"/>
                <w:szCs w:val="20"/>
                <w:color w:val="auto"/>
              </w:rPr>
            </w:pPr>
            <w:r>
              <w:rPr>
                <w:rFonts w:ascii="Arial" w:cs="Arial" w:eastAsia="Arial" w:hAnsi="Arial"/>
                <w:sz w:val="14"/>
                <w:szCs w:val="14"/>
                <w:b w:val="1"/>
                <w:bCs w:val="1"/>
                <w:color w:val="auto"/>
              </w:rPr>
              <w:t>May 2,</w:t>
            </w:r>
          </w:p>
        </w:tc>
        <w:tc>
          <w:tcPr>
            <w:tcW w:w="1080" w:type="dxa"/>
            <w:vAlign w:val="bottom"/>
            <w:gridSpan w:val="3"/>
          </w:tcPr>
          <w:p>
            <w:pPr>
              <w:jc w:val="right"/>
              <w:ind w:right="340"/>
              <w:spacing w:after="0" w:line="129" w:lineRule="exact"/>
              <w:rPr>
                <w:sz w:val="20"/>
                <w:szCs w:val="20"/>
                <w:color w:val="auto"/>
              </w:rPr>
            </w:pPr>
            <w:r>
              <w:rPr>
                <w:rFonts w:ascii="Arial" w:cs="Arial" w:eastAsia="Arial" w:hAnsi="Arial"/>
                <w:sz w:val="14"/>
                <w:szCs w:val="14"/>
                <w:b w:val="1"/>
                <w:bCs w:val="1"/>
                <w:color w:val="auto"/>
                <w:w w:val="93"/>
              </w:rPr>
              <w:t>January 31,</w:t>
            </w:r>
          </w:p>
        </w:tc>
        <w:tc>
          <w:tcPr>
            <w:tcW w:w="100" w:type="dxa"/>
            <w:vAlign w:val="bottom"/>
          </w:tcPr>
          <w:p>
            <w:pPr>
              <w:spacing w:after="0"/>
              <w:rPr>
                <w:sz w:val="11"/>
                <w:szCs w:val="11"/>
                <w:color w:val="auto"/>
              </w:rPr>
            </w:pPr>
          </w:p>
        </w:tc>
        <w:tc>
          <w:tcPr>
            <w:tcW w:w="580" w:type="dxa"/>
            <w:vAlign w:val="bottom"/>
          </w:tcPr>
          <w:p>
            <w:pPr>
              <w:jc w:val="right"/>
              <w:ind w:right="53"/>
              <w:spacing w:after="0" w:line="129" w:lineRule="exact"/>
              <w:rPr>
                <w:sz w:val="20"/>
                <w:szCs w:val="20"/>
                <w:color w:val="auto"/>
              </w:rPr>
            </w:pPr>
            <w:r>
              <w:rPr>
                <w:rFonts w:ascii="Arial" w:cs="Arial" w:eastAsia="Arial" w:hAnsi="Arial"/>
                <w:sz w:val="14"/>
                <w:szCs w:val="14"/>
                <w:b w:val="1"/>
                <w:bCs w:val="1"/>
                <w:color w:val="auto"/>
                <w:w w:val="98"/>
              </w:rPr>
              <w:t>May 3,</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rPr>
              <w:t>(39,457)</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(65,010)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69,939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25,375</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27,038</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28,618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31,648</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44,701</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45,226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30,356</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48,274</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35,247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(1,343)</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(1,196)</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Realized loss on derivative contract</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475</w:t>
            </w:r>
          </w:p>
        </w:tc>
        <w:tc>
          <w:tcPr>
            <w:tcW w:w="8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tax (provision) benefit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(17,467)</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rPr>
              <w:t>(29)</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(169)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 net of assets acquired and liabilities assumed in acquisitions: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tcPr>
          <w:p>
            <w:pPr>
              <w:spacing w:after="0"/>
              <w:rPr>
                <w:sz w:val="18"/>
                <w:szCs w:val="18"/>
                <w:color w:val="auto"/>
              </w:rPr>
            </w:pPr>
          </w:p>
        </w:tc>
        <w:tc>
          <w:tcPr>
            <w:tcW w:w="1000" w:type="dxa"/>
            <w:vAlign w:val="bottom"/>
            <w:gridSpan w:val="2"/>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(63,266)</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175,735</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(38,152)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106,281</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31,088</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55,918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14,330</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1,629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32,466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30,738</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(82,791)</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(63,076)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(9,020)</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(13,016)</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(18,807)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13,033</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(44,615)</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16,963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1,343</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11,607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4,065</w:t>
            </w: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(6,825)</w:t>
            </w:r>
          </w:p>
        </w:tc>
        <w:tc>
          <w:tcPr>
            <w:tcW w:w="10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(9,753)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144,529</w:t>
            </w:r>
          </w:p>
        </w:tc>
        <w:tc>
          <w:tcPr>
            <w:tcW w:w="2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109,143</w:t>
            </w:r>
          </w:p>
        </w:tc>
        <w:tc>
          <w:tcPr>
            <w:tcW w:w="2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130,193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in acquisitions, net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(5,287)</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1000" w:type="dxa"/>
            <w:vAlign w:val="bottom"/>
            <w:gridSpan w:val="2"/>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(10,126)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short-term and long-term investments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rPr>
              <w:t>(9,300)</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(2,550)</w:t>
            </w:r>
          </w:p>
        </w:tc>
        <w:tc>
          <w:tcPr>
            <w:tcW w:w="100" w:type="dxa"/>
            <w:vAlign w:val="bottom"/>
          </w:tcPr>
          <w:p>
            <w:pPr>
              <w:spacing w:after="0"/>
              <w:rPr>
                <w:sz w:val="18"/>
                <w:szCs w:val="18"/>
                <w:color w:val="auto"/>
              </w:rPr>
            </w:pP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(3,414)</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(13,931)</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(30,522)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50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85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rPr>
              <w:t>(12,714)</w:t>
            </w:r>
          </w:p>
        </w:tc>
        <w:tc>
          <w:tcPr>
            <w:tcW w:w="8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(21,768)</w:t>
            </w:r>
          </w:p>
        </w:tc>
        <w:tc>
          <w:tcPr>
            <w:tcW w:w="10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(16,855)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385</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12,192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17,054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(433)</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(192,174)</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(2,125)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w:t>
            </w:r>
          </w:p>
        </w:tc>
        <w:tc>
          <w:tcPr>
            <w:tcW w:w="2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(19)</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(179,973)</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15,098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52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8520" w:type="dxa"/>
            <w:vAlign w:val="bottom"/>
            <w:gridSpan w:val="2"/>
            <w:vMerge w:val="continue"/>
          </w:tcPr>
          <w:p>
            <w:pPr>
              <w:spacing w:after="0"/>
              <w:rPr>
                <w:sz w:val="20"/>
                <w:szCs w:val="20"/>
                <w:color w:val="auto"/>
              </w:rPr>
            </w:pPr>
          </w:p>
        </w:tc>
        <w:tc>
          <w:tcPr>
            <w:tcW w:w="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131,796</w:t>
            </w:r>
          </w:p>
        </w:tc>
        <w:tc>
          <w:tcPr>
            <w:tcW w:w="2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(92,598)</w:t>
            </w:r>
          </w:p>
        </w:tc>
        <w:tc>
          <w:tcPr>
            <w:tcW w:w="1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128,436</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28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1,020,007</w:t>
            </w:r>
          </w:p>
        </w:tc>
        <w:tc>
          <w:tcPr>
            <w:tcW w:w="28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615,648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85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w w:val="87"/>
              </w:rPr>
              <w:t>1,059,205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927,409</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744,084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8520" w:type="dxa"/>
            <w:vAlign w:val="bottom"/>
            <w:gridSpan w:val="2"/>
            <w:vMerge w:val="restart"/>
          </w:tcPr>
          <w:p>
            <w:pPr>
              <w:jc w:val="right"/>
              <w:ind w:right="2672"/>
              <w:spacing w:after="0"/>
              <w:rPr>
                <w:sz w:val="20"/>
                <w:szCs w:val="20"/>
                <w:color w:val="auto"/>
              </w:rPr>
            </w:pPr>
            <w:r>
              <w:rPr>
                <w:rFonts w:ascii="Arial" w:cs="Arial" w:eastAsia="Arial" w:hAnsi="Arial"/>
                <w:sz w:val="18"/>
                <w:szCs w:val="18"/>
                <w:color w:val="auto"/>
              </w:rPr>
              <w:t>9</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852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2019-12-10T17:01:47Z</dcterms:created>
  <dcterms:modified xsi:type="dcterms:W3CDTF">2019-12-10T17:01:47Z</dcterms:modified>
</cp:coreProperties>
</file>