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24"/>
          <w:szCs w:val="24"/>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172"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47" w:lineRule="exact"/>
        <w:rPr>
          <w:sz w:val="24"/>
          <w:szCs w:val="24"/>
          <w:color w:val="auto"/>
        </w:rPr>
      </w:pPr>
    </w:p>
    <w:p>
      <w:pPr>
        <w:jc w:val="center"/>
        <w:ind w:right="-319"/>
        <w:spacing w:after="0"/>
        <w:rPr>
          <w:sz w:val="20"/>
          <w:szCs w:val="20"/>
          <w:color w:val="auto"/>
        </w:rPr>
      </w:pPr>
      <w:r>
        <w:rPr>
          <w:rFonts w:ascii="Arial" w:cs="Arial" w:eastAsia="Arial" w:hAnsi="Arial"/>
          <w:sz w:val="18"/>
          <w:szCs w:val="18"/>
          <w:color w:val="auto"/>
        </w:rPr>
        <w:t>Date of Report (Date of earliest event reported): June 9, 2009</w:t>
      </w:r>
    </w:p>
    <w:p>
      <w:pPr>
        <w:spacing w:after="0" w:line="136"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49" w:lineRule="exact"/>
        <w:rPr>
          <w:sz w:val="24"/>
          <w:szCs w:val="24"/>
          <w:color w:val="auto"/>
        </w:rPr>
      </w:pPr>
    </w:p>
    <w:p>
      <w:pPr>
        <w:jc w:val="center"/>
        <w:ind w:right="-319"/>
        <w:spacing w:after="0"/>
        <w:rPr>
          <w:sz w:val="20"/>
          <w:szCs w:val="20"/>
          <w:color w:val="auto"/>
        </w:rPr>
      </w:pPr>
      <w:r>
        <w:rPr>
          <w:rFonts w:ascii="Arial" w:cs="Arial" w:eastAsia="Arial" w:hAnsi="Arial"/>
          <w:sz w:val="14"/>
          <w:szCs w:val="14"/>
          <w:b w:val="1"/>
          <w:bCs w:val="1"/>
          <w:color w:val="auto"/>
        </w:rPr>
        <w:t>(Exact name of registrant as specified in its charter)</w:t>
      </w:r>
    </w:p>
    <w:p>
      <w:pPr>
        <w:sectPr>
          <w:pgSz w:w="11900" w:h="16838" w:orient="portrait"/>
          <w:cols w:equalWidth="0" w:num="1">
            <w:col w:w="11100"/>
          </w:cols>
          <w:pgMar w:left="240" w:top="597" w:right="559" w:bottom="1440" w:gutter="0" w:footer="0" w:header="0"/>
        </w:sectPr>
      </w:pPr>
    </w:p>
    <w:p>
      <w:pPr>
        <w:spacing w:after="0" w:line="175"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155"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597"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57" w:lineRule="exact"/>
        <w:rPr>
          <w:sz w:val="24"/>
          <w:szCs w:val="24"/>
          <w:color w:val="auto"/>
        </w:rPr>
      </w:pPr>
    </w:p>
    <w:p>
      <w:pPr>
        <w:sectPr>
          <w:pgSz w:w="11900" w:h="16838" w:orient="portrait"/>
          <w:cols w:equalWidth="0" w:num="3">
            <w:col w:w="4740" w:space="720"/>
            <w:col w:w="2880" w:space="720"/>
            <w:col w:w="2040"/>
          </w:cols>
          <w:pgMar w:left="240" w:top="597"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ectPr>
          <w:pgSz w:w="11900" w:h="16838" w:orient="portrait"/>
          <w:cols w:equalWidth="0" w:num="1">
            <w:col w:w="11100"/>
          </w:cols>
          <w:pgMar w:left="240" w:top="597" w:right="559" w:bottom="1440" w:gutter="0" w:footer="0" w:header="0"/>
          <w:type w:val="continuous"/>
        </w:sectPr>
      </w:pPr>
    </w:p>
    <w:p>
      <w:pPr>
        <w:spacing w:after="0" w:line="166"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11"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242570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276860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597" w:right="55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7940"/>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The information in this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Marvell issued a press release on June 9, 2009, which is furnished herewith as Exhibit 99.1 and is incorporated by reference herein. As noted below, Marvell Technology Group Ltd. (“Marvell”) entered into an agreement to resolve a shareholder class action lawsuit filed on August 16, 2007 against Marvell and certain of its former and current officers and directors relating to Marvell’s historic stock option granting practices. The settlement provides for a payment by Marvell to the class of $72 million. As stated below, the settlement is subject to Court approval.</w:t>
      </w:r>
    </w:p>
    <w:p>
      <w:pPr>
        <w:spacing w:after="0" w:line="113" w:lineRule="exact"/>
        <w:rPr>
          <w:sz w:val="20"/>
          <w:szCs w:val="20"/>
          <w:color w:val="auto"/>
        </w:rPr>
      </w:pPr>
    </w:p>
    <w:p>
      <w:pPr>
        <w:jc w:val="both"/>
        <w:ind w:right="280" w:firstLine="456"/>
        <w:spacing w:after="0" w:line="294" w:lineRule="auto"/>
        <w:rPr>
          <w:sz w:val="20"/>
          <w:szCs w:val="20"/>
          <w:color w:val="auto"/>
        </w:rPr>
      </w:pPr>
      <w:r>
        <w:rPr>
          <w:rFonts w:ascii="Arial" w:cs="Arial" w:eastAsia="Arial" w:hAnsi="Arial"/>
          <w:sz w:val="16"/>
          <w:szCs w:val="16"/>
          <w:color w:val="auto"/>
        </w:rPr>
        <w:t>The agreement was entered into after the first quarter of fiscal 2010, ended May 2, 2009. However, since the litigation existed during the first quarter of fiscal 2010, results for the first quarter have been updated from what was previously reported on May 28, 2009 to adjust for this settlement. The impact of the settlement, recorded as general and administrative expense, changes the GAAP net loss to $111.5 million, or $0.18 per share (diluted), which is a decrease of $0.12 per share (diluted) compared to what was previously reported. Marvell does not typically include one-time litigation settlements when it reports its non-GAAP results, and as a result this expense will not impact Marvell’s non-GAAP results of operations previously reported.</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5"/>
          <w:szCs w:val="15"/>
          <w:b w:val="1"/>
          <w:bCs w:val="1"/>
          <w:color w:val="auto"/>
        </w:rPr>
        <w:t>Other Events.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On June 9, 2009, Marvell entered into an agreement to resolve a shareholder class action lawsuit filed on August 16, 2007 against Marvell and certain of its former and current officers and directors relating to Marvell’s historic stock option granting practices. The settlement provides for a payment by Marvell to the class of $72 million. This class action settlement is subject to preliminary and then, following notice to class members, final approval by the United States District Court for the Northern District of California. Final approval of this settlement and the settlement of the shareholder derivative lawsuit announced previously would mark the end of all shareholder litigation involving Marvell related to its historic stock option granting practices.</w:t>
      </w:r>
    </w:p>
    <w:p>
      <w:pPr>
        <w:spacing w:after="0" w:line="23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ind w:left="920"/>
        <w:spacing w:after="0"/>
        <w:tabs>
          <w:tab w:leader="none" w:pos="14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June 9, 2009.</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7940"/>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9, 2009</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6"/>
          <w:szCs w:val="16"/>
          <w:i w:val="1"/>
          <w:iCs w:val="1"/>
          <w:color w:val="auto"/>
        </w:rPr>
        <w:t>Chief Financial Officer, Interim Chief Operating Officer</w:t>
      </w:r>
    </w:p>
    <w:p>
      <w:pPr>
        <w:spacing w:after="0" w:line="32"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INDEX</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Exhibit No.</w:t>
            </w:r>
          </w:p>
        </w:tc>
        <w:tc>
          <w:tcPr>
            <w:tcW w:w="760" w:type="dxa"/>
            <w:vAlign w:val="bottom"/>
          </w:tcPr>
          <w:p>
            <w:pPr>
              <w:spacing w:after="0"/>
              <w:rPr>
                <w:sz w:val="15"/>
                <w:szCs w:val="15"/>
                <w:color w:val="auto"/>
              </w:rPr>
            </w:pPr>
          </w:p>
        </w:tc>
        <w:tc>
          <w:tcPr>
            <w:tcW w:w="99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6"/>
        </w:trPr>
        <w:tc>
          <w:tcPr>
            <w:tcW w:w="720" w:type="dxa"/>
            <w:vAlign w:val="bottom"/>
          </w:tcPr>
          <w:p>
            <w:pPr>
              <w:jc w:val="right"/>
              <w:ind w:right="122"/>
              <w:spacing w:after="0"/>
              <w:rPr>
                <w:sz w:val="20"/>
                <w:szCs w:val="20"/>
                <w:color w:val="auto"/>
              </w:rPr>
            </w:pPr>
            <w:r>
              <w:rPr>
                <w:rFonts w:ascii="Arial" w:cs="Arial" w:eastAsia="Arial" w:hAnsi="Arial"/>
                <w:sz w:val="18"/>
                <w:szCs w:val="18"/>
                <w:color w:val="auto"/>
              </w:rPr>
              <w:t>99.1</w:t>
            </w:r>
          </w:p>
        </w:tc>
        <w:tc>
          <w:tcPr>
            <w:tcW w:w="760" w:type="dxa"/>
            <w:vAlign w:val="bottom"/>
          </w:tcPr>
          <w:p>
            <w:pPr>
              <w:spacing w:after="0"/>
              <w:rPr>
                <w:sz w:val="24"/>
                <w:szCs w:val="24"/>
                <w:color w:val="auto"/>
              </w:rPr>
            </w:pPr>
          </w:p>
        </w:tc>
        <w:tc>
          <w:tcPr>
            <w:tcW w:w="9940" w:type="dxa"/>
            <w:vAlign w:val="bottom"/>
          </w:tcPr>
          <w:p>
            <w:pPr>
              <w:spacing w:after="0"/>
              <w:rPr>
                <w:sz w:val="20"/>
                <w:szCs w:val="20"/>
                <w:color w:val="auto"/>
              </w:rPr>
            </w:pPr>
            <w:r>
              <w:rPr>
                <w:rFonts w:ascii="Arial" w:cs="Arial" w:eastAsia="Arial" w:hAnsi="Arial"/>
                <w:sz w:val="18"/>
                <w:szCs w:val="18"/>
                <w:color w:val="auto"/>
              </w:rPr>
              <w:t>Press Release dated June 9, 2009.</w:t>
            </w:r>
          </w:p>
        </w:tc>
      </w:tr>
    </w:tbl>
    <w:p>
      <w:pPr>
        <w:sectPr>
          <w:pgSz w:w="11900" w:h="16838" w:orient="portrait"/>
          <w:cols w:equalWidth="0" w:num="1">
            <w:col w:w="11420"/>
          </w:cols>
          <w:pgMar w:left="240" w:top="274" w:right="239" w:bottom="1440" w:gutter="0" w:footer="0" w:header="0"/>
        </w:sectPr>
      </w:pPr>
    </w:p>
    <w:bookmarkStart w:id="4" w:name="page5"/>
    <w:bookmarkEnd w:id="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58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57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960" w:type="dxa"/>
            <w:vAlign w:val="bottom"/>
          </w:tcPr>
          <w:p>
            <w:pPr>
              <w:ind w:left="60"/>
              <w:spacing w:after="0"/>
              <w:rPr>
                <w:sz w:val="20"/>
                <w:szCs w:val="20"/>
                <w:color w:val="auto"/>
              </w:rPr>
            </w:pPr>
            <w:r>
              <w:rPr>
                <w:rFonts w:ascii="Arial" w:cs="Arial" w:eastAsia="Arial" w:hAnsi="Arial"/>
                <w:sz w:val="18"/>
                <w:szCs w:val="18"/>
                <w:b w:val="1"/>
                <w:bCs w:val="1"/>
                <w:color w:val="auto"/>
                <w:w w:val="87"/>
              </w:rPr>
              <w:t>Exhibit 99.1</w:t>
            </w:r>
          </w:p>
        </w:tc>
      </w:tr>
      <w:tr>
        <w:trPr>
          <w:trHeight w:val="412"/>
        </w:trPr>
        <w:tc>
          <w:tcPr>
            <w:tcW w:w="33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57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960" w:type="dxa"/>
            <w:vAlign w:val="bottom"/>
          </w:tcPr>
          <w:p>
            <w:pPr>
              <w:spacing w:after="0"/>
              <w:rPr>
                <w:sz w:val="24"/>
                <w:szCs w:val="24"/>
                <w:color w:val="auto"/>
              </w:rPr>
            </w:pP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5780" w:type="dxa"/>
            <w:vAlign w:val="bottom"/>
          </w:tcPr>
          <w:p>
            <w:pPr>
              <w:spacing w:after="0"/>
              <w:rPr>
                <w:sz w:val="18"/>
                <w:szCs w:val="18"/>
                <w:color w:val="auto"/>
              </w:rPr>
            </w:pPr>
          </w:p>
        </w:tc>
        <w:tc>
          <w:tcPr>
            <w:tcW w:w="228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33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780" w:type="dxa"/>
            <w:vAlign w:val="bottom"/>
          </w:tcPr>
          <w:p>
            <w:pPr>
              <w:spacing w:after="0"/>
              <w:rPr>
                <w:sz w:val="18"/>
                <w:szCs w:val="18"/>
                <w:color w:val="auto"/>
              </w:rPr>
            </w:pPr>
          </w:p>
        </w:tc>
        <w:tc>
          <w:tcPr>
            <w:tcW w:w="2280" w:type="dxa"/>
            <w:vAlign w:val="bottom"/>
            <w:gridSpan w:val="2"/>
          </w:tcPr>
          <w:p>
            <w:pPr>
              <w:spacing w:after="0"/>
              <w:rPr>
                <w:sz w:val="20"/>
                <w:szCs w:val="20"/>
                <w:color w:val="auto"/>
              </w:rPr>
            </w:pPr>
            <w:r>
              <w:rPr>
                <w:rFonts w:ascii="Arial" w:cs="Arial" w:eastAsia="Arial" w:hAnsi="Arial"/>
                <w:sz w:val="18"/>
                <w:szCs w:val="18"/>
                <w:color w:val="auto"/>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1780" w:type="dxa"/>
            <w:vAlign w:val="bottom"/>
          </w:tcPr>
          <w:p>
            <w:pPr>
              <w:spacing w:after="0"/>
              <w:rPr>
                <w:sz w:val="18"/>
                <w:szCs w:val="18"/>
                <w:color w:val="auto"/>
              </w:rPr>
            </w:pPr>
          </w:p>
        </w:tc>
        <w:tc>
          <w:tcPr>
            <w:tcW w:w="7100" w:type="dxa"/>
            <w:vAlign w:val="bottom"/>
            <w:gridSpan w:val="2"/>
          </w:tcPr>
          <w:p>
            <w:pPr>
              <w:ind w:left="5780"/>
              <w:spacing w:after="0"/>
              <w:rPr>
                <w:sz w:val="20"/>
                <w:szCs w:val="20"/>
                <w:color w:val="auto"/>
              </w:rPr>
            </w:pPr>
            <w:r>
              <w:rPr>
                <w:rFonts w:ascii="Arial" w:cs="Arial" w:eastAsia="Arial" w:hAnsi="Arial"/>
                <w:sz w:val="18"/>
                <w:szCs w:val="18"/>
                <w:color w:val="auto"/>
              </w:rPr>
              <w:t>408-222-2815</w:t>
            </w:r>
          </w:p>
        </w:tc>
        <w:tc>
          <w:tcPr>
            <w:tcW w:w="960" w:type="dxa"/>
            <w:vAlign w:val="bottom"/>
          </w:tcPr>
          <w:p>
            <w:pPr>
              <w:spacing w:after="0"/>
              <w:rPr>
                <w:sz w:val="18"/>
                <w:szCs w:val="18"/>
                <w:color w:val="auto"/>
              </w:rPr>
            </w:pPr>
          </w:p>
        </w:tc>
      </w:tr>
      <w:tr>
        <w:trPr>
          <w:trHeight w:val="184"/>
        </w:trPr>
        <w:tc>
          <w:tcPr>
            <w:tcW w:w="336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5780" w:type="dxa"/>
            <w:vAlign w:val="bottom"/>
          </w:tcPr>
          <w:p>
            <w:pPr>
              <w:spacing w:after="0"/>
              <w:rPr>
                <w:sz w:val="15"/>
                <w:szCs w:val="15"/>
                <w:color w:val="auto"/>
              </w:rPr>
            </w:pPr>
          </w:p>
        </w:tc>
        <w:tc>
          <w:tcPr>
            <w:tcW w:w="228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384"/>
        </w:trPr>
        <w:tc>
          <w:tcPr>
            <w:tcW w:w="1580" w:type="dxa"/>
            <w:vAlign w:val="bottom"/>
            <w:tcBorders>
              <w:top w:val="single" w:sz="8" w:color="auto"/>
            </w:tcBorders>
          </w:tcPr>
          <w:p>
            <w:pPr>
              <w:spacing w:after="0"/>
              <w:rPr>
                <w:sz w:val="24"/>
                <w:szCs w:val="24"/>
                <w:color w:val="auto"/>
              </w:rPr>
            </w:pPr>
          </w:p>
        </w:tc>
        <w:tc>
          <w:tcPr>
            <w:tcW w:w="1780" w:type="dxa"/>
            <w:vAlign w:val="bottom"/>
          </w:tcPr>
          <w:p>
            <w:pPr>
              <w:spacing w:after="0"/>
              <w:rPr>
                <w:sz w:val="24"/>
                <w:szCs w:val="24"/>
                <w:color w:val="auto"/>
              </w:rPr>
            </w:pPr>
          </w:p>
        </w:tc>
        <w:tc>
          <w:tcPr>
            <w:tcW w:w="5780" w:type="dxa"/>
            <w:vAlign w:val="bottom"/>
          </w:tcPr>
          <w:p>
            <w:pPr>
              <w:jc w:val="center"/>
              <w:ind w:right="972"/>
              <w:spacing w:after="0"/>
              <w:rPr>
                <w:sz w:val="20"/>
                <w:szCs w:val="20"/>
                <w:color w:val="auto"/>
              </w:rPr>
            </w:pPr>
            <w:r>
              <w:rPr>
                <w:rFonts w:ascii="Arial" w:cs="Arial" w:eastAsia="Arial" w:hAnsi="Arial"/>
                <w:sz w:val="18"/>
                <w:szCs w:val="18"/>
                <w:b w:val="1"/>
                <w:bCs w:val="1"/>
                <w:color w:val="auto"/>
                <w:w w:val="87"/>
              </w:rPr>
              <w:t>Marvell Technology Reaches Settlement</w:t>
            </w:r>
          </w:p>
        </w:tc>
        <w:tc>
          <w:tcPr>
            <w:tcW w:w="1320" w:type="dxa"/>
            <w:vAlign w:val="bottom"/>
            <w:tcBorders>
              <w:top w:val="single" w:sz="8" w:color="auto"/>
            </w:tcBorders>
          </w:tcPr>
          <w:p>
            <w:pPr>
              <w:spacing w:after="0"/>
              <w:rPr>
                <w:sz w:val="24"/>
                <w:szCs w:val="24"/>
                <w:color w:val="auto"/>
              </w:rPr>
            </w:pPr>
          </w:p>
        </w:tc>
        <w:tc>
          <w:tcPr>
            <w:tcW w:w="960" w:type="dxa"/>
            <w:vAlign w:val="bottom"/>
          </w:tcPr>
          <w:p>
            <w:pPr>
              <w:spacing w:after="0"/>
              <w:rPr>
                <w:sz w:val="24"/>
                <w:szCs w:val="24"/>
                <w:color w:val="auto"/>
              </w:rPr>
            </w:pPr>
          </w:p>
        </w:tc>
      </w:tr>
      <w:tr>
        <w:trPr>
          <w:trHeight w:val="228"/>
        </w:trPr>
        <w:tc>
          <w:tcPr>
            <w:tcW w:w="158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8060" w:type="dxa"/>
            <w:vAlign w:val="bottom"/>
            <w:gridSpan w:val="3"/>
          </w:tcPr>
          <w:p>
            <w:pPr>
              <w:jc w:val="center"/>
              <w:ind w:right="3272"/>
              <w:spacing w:after="0"/>
              <w:rPr>
                <w:sz w:val="20"/>
                <w:szCs w:val="20"/>
                <w:color w:val="auto"/>
              </w:rPr>
            </w:pPr>
            <w:r>
              <w:rPr>
                <w:rFonts w:ascii="Arial" w:cs="Arial" w:eastAsia="Arial" w:hAnsi="Arial"/>
                <w:sz w:val="18"/>
                <w:szCs w:val="18"/>
                <w:b w:val="1"/>
                <w:bCs w:val="1"/>
                <w:color w:val="auto"/>
                <w:w w:val="87"/>
              </w:rPr>
              <w:t>in Shareholder Class Action Lawsuit</w:t>
            </w:r>
          </w:p>
        </w:tc>
      </w:tr>
    </w:tbl>
    <w:p>
      <w:pPr>
        <w:spacing w:after="0" w:line="150" w:lineRule="exact"/>
        <w:rPr>
          <w:sz w:val="20"/>
          <w:szCs w:val="20"/>
          <w:color w:val="auto"/>
        </w:rPr>
      </w:pPr>
    </w:p>
    <w:p>
      <w:pPr>
        <w:ind w:right="20"/>
        <w:spacing w:after="0" w:line="258" w:lineRule="auto"/>
        <w:rPr>
          <w:sz w:val="20"/>
          <w:szCs w:val="20"/>
          <w:color w:val="auto"/>
        </w:rPr>
      </w:pPr>
      <w:r>
        <w:rPr>
          <w:rFonts w:ascii="Arial" w:cs="Arial" w:eastAsia="Arial" w:hAnsi="Arial"/>
          <w:sz w:val="18"/>
          <w:szCs w:val="18"/>
          <w:b w:val="1"/>
          <w:bCs w:val="1"/>
          <w:color w:val="auto"/>
        </w:rPr>
        <w:t xml:space="preserve">Santa Clara, California (June 9, 2009) </w:t>
      </w:r>
      <w:r>
        <w:rPr>
          <w:rFonts w:ascii="Arial" w:cs="Arial" w:eastAsia="Arial" w:hAnsi="Arial"/>
          <w:sz w:val="18"/>
          <w:szCs w:val="18"/>
          <w:color w:val="auto"/>
        </w:rPr>
        <w:t>— Marvell Technology Group Ltd. (NASDAQ: MRVL), a world leader in storage, communications and consumer</w:t>
      </w:r>
      <w:r>
        <w:rPr>
          <w:rFonts w:ascii="Arial" w:cs="Arial" w:eastAsia="Arial" w:hAnsi="Arial"/>
          <w:sz w:val="18"/>
          <w:szCs w:val="18"/>
          <w:b w:val="1"/>
          <w:bCs w:val="1"/>
          <w:color w:val="auto"/>
        </w:rPr>
        <w:t xml:space="preserve"> </w:t>
      </w:r>
      <w:r>
        <w:rPr>
          <w:rFonts w:ascii="Arial" w:cs="Arial" w:eastAsia="Arial" w:hAnsi="Arial"/>
          <w:sz w:val="18"/>
          <w:szCs w:val="18"/>
          <w:color w:val="auto"/>
        </w:rPr>
        <w:t>silicon solutions, today announced that it had entered into an agreement to resolve a shareholder class action lawsuit filed on August 16, 2007 against Marvell and certain of its former and current officers and directors relating to Marvell’s historic stock option granting practices. The settlement provides for a payment by Marvell to the class of $72 million.</w:t>
      </w:r>
    </w:p>
    <w:p>
      <w:pPr>
        <w:spacing w:after="0" w:line="142"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The agreement was entered into after the end of the first quarter of fiscal 2010, ended May 2, 2009. However, since the litigation existed during the first quarter of fiscal 2010, results for the first quarter have been updated from what was previously reported on May 28, 2009 to adjust for this settlement. The impact of the settlement, recorded as general and administrative expense changes the GAAP net loss to $111.5 million, or $0.18 per share (diluted), which is a decrease of $0.12 per share (diluted) compared to what was previously reported. Marvell does not typically include one-time litigation settlements when it reports its non-GAAP results, and as a result this expense will not impact Marvell’s non-GAAP results of operations previously reported. Included with this release are updated financial tables.</w:t>
      </w:r>
    </w:p>
    <w:p>
      <w:pPr>
        <w:spacing w:after="0" w:line="144"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This class action settlement is subject to preliminary and then, following notice to class members, final approval by the United States District Court for the Northern District of California. Final approval of this settlement and the settlement of the shareholder derivative lawsuit announced previously would mark the end of all shareholder litigation involving Marvell related to its historic stock option granting practices.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 xml:space="preserve">Marvell Technology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visit </w:t>
      </w:r>
      <w:r>
        <w:rPr>
          <w:rFonts w:ascii="Arial" w:cs="Arial" w:eastAsia="Arial" w:hAnsi="Arial"/>
          <w:sz w:val="18"/>
          <w:szCs w:val="18"/>
          <w:u w:val="single" w:color="auto"/>
          <w:color w:val="auto"/>
        </w:rPr>
        <w:t>www.marvell.com</w:t>
      </w:r>
    </w:p>
    <w:p>
      <w:pPr>
        <w:sectPr>
          <w:pgSz w:w="11900" w:h="16838" w:orient="portrait"/>
          <w:cols w:equalWidth="0" w:num="1">
            <w:col w:w="11420"/>
          </w:cols>
          <w:pgMar w:left="240" w:top="125"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36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920" w:type="dxa"/>
            <w:vAlign w:val="bottom"/>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93"/>
              </w:rPr>
              <w:t>May 2,</w:t>
            </w:r>
          </w:p>
        </w:tc>
        <w:tc>
          <w:tcPr>
            <w:tcW w:w="98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31,</w:t>
            </w:r>
          </w:p>
        </w:tc>
        <w:tc>
          <w:tcPr>
            <w:tcW w:w="100" w:type="dxa"/>
            <w:vAlign w:val="bottom"/>
          </w:tcPr>
          <w:p>
            <w:pPr>
              <w:spacing w:after="0"/>
              <w:rPr>
                <w:sz w:val="11"/>
                <w:szCs w:val="11"/>
                <w:color w:val="auto"/>
              </w:rPr>
            </w:pPr>
          </w:p>
        </w:tc>
        <w:tc>
          <w:tcPr>
            <w:tcW w:w="580" w:type="dxa"/>
            <w:vAlign w:val="bottom"/>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521,434</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512,867</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804,075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257,630</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252,732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388,842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6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263,804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260,135</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415,233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200,249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207,579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238,475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32,646</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31,893</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46,088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101,496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31,979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30,356</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48,274</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8,336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9,689</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vMerge w:val="restart"/>
          </w:tcPr>
          <w:p>
            <w:pPr>
              <w:ind w:left="860"/>
              <w:spacing w:after="0"/>
              <w:rPr>
                <w:sz w:val="20"/>
                <w:szCs w:val="20"/>
                <w:color w:val="auto"/>
              </w:rPr>
            </w:pPr>
            <w:r>
              <w:rPr>
                <w:rFonts w:ascii="Arial" w:cs="Arial" w:eastAsia="Arial" w:hAnsi="Arial"/>
                <w:sz w:val="18"/>
                <w:szCs w:val="18"/>
                <w:color w:val="auto"/>
              </w:rPr>
              <w:t>Total operating expenses</w:t>
            </w:r>
          </w:p>
        </w:tc>
        <w:tc>
          <w:tcPr>
            <w:tcW w:w="36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vMerge w:val="continue"/>
          </w:tcPr>
          <w:p>
            <w:pPr>
              <w:spacing w:after="0"/>
              <w:rPr>
                <w:sz w:val="19"/>
                <w:szCs w:val="19"/>
                <w:color w:val="auto"/>
              </w:rPr>
            </w:pPr>
          </w:p>
        </w:tc>
        <w:tc>
          <w:tcPr>
            <w:tcW w:w="36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373,083</w:t>
            </w:r>
          </w:p>
        </w:tc>
        <w:tc>
          <w:tcPr>
            <w:tcW w:w="100" w:type="dxa"/>
            <w:vAlign w:val="bottom"/>
          </w:tcPr>
          <w:p>
            <w:pPr>
              <w:spacing w:after="0"/>
              <w:rPr>
                <w:sz w:val="19"/>
                <w:szCs w:val="19"/>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329,414</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332,761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6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(109,279)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(69,279)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82,472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Interest and other income (expense), net</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(160)</w:t>
            </w:r>
          </w:p>
        </w:tc>
        <w:tc>
          <w:tcPr>
            <w:tcW w:w="10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(440)</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(4,692)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6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(109,439)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(69,719)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77,780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2,018</w:t>
            </w:r>
          </w:p>
        </w:tc>
        <w:tc>
          <w:tcPr>
            <w:tcW w:w="10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(4,709)</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7,841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6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3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88"/>
              </w:rPr>
              <w:t>(111,457)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5"/>
              </w:rPr>
              <w:t>(65,010)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Basic net income (loss) per share</w:t>
            </w:r>
          </w:p>
        </w:tc>
        <w:tc>
          <w:tcPr>
            <w:tcW w:w="3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3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(0.18)</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(0.11)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(loss) per share</w:t>
            </w:r>
          </w:p>
        </w:tc>
        <w:tc>
          <w:tcPr>
            <w:tcW w:w="3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Shares used in computing basic earnings per share</w:t>
            </w:r>
          </w:p>
        </w:tc>
        <w:tc>
          <w:tcPr>
            <w:tcW w:w="36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5020" w:type="dxa"/>
            <w:vAlign w:val="bottom"/>
            <w:gridSpan w:val="2"/>
            <w:vMerge w:val="continue"/>
          </w:tcPr>
          <w:p>
            <w:pPr>
              <w:spacing w:after="0"/>
              <w:rPr>
                <w:sz w:val="18"/>
                <w:szCs w:val="18"/>
                <w:color w:val="auto"/>
              </w:rPr>
            </w:pPr>
          </w:p>
        </w:tc>
        <w:tc>
          <w:tcPr>
            <w:tcW w:w="36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618,677</w:t>
            </w: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w w:val="89"/>
              </w:rPr>
              <w:t>614,960</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601,222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diluted earnings per share</w:t>
            </w:r>
          </w:p>
        </w:tc>
        <w:tc>
          <w:tcPr>
            <w:tcW w:w="36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618,677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9"/>
              </w:rPr>
              <w:t>614,960</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624,351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3680" w:type="dxa"/>
            <w:vAlign w:val="bottom"/>
          </w:tcPr>
          <w:p>
            <w:pPr>
              <w:jc w:val="right"/>
              <w:ind w:right="2852"/>
              <w:spacing w:after="0"/>
              <w:rPr>
                <w:sz w:val="20"/>
                <w:szCs w:val="20"/>
                <w:color w:val="auto"/>
              </w:rPr>
            </w:pPr>
            <w:r>
              <w:rPr>
                <w:rFonts w:ascii="Arial" w:cs="Arial" w:eastAsia="Arial" w:hAnsi="Arial"/>
                <w:sz w:val="18"/>
                <w:szCs w:val="18"/>
                <w:color w:val="auto"/>
              </w:rPr>
              <w:t>2</w:t>
            </w:r>
          </w:p>
        </w:tc>
        <w:tc>
          <w:tcPr>
            <w:tcW w:w="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2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4"/>
                <w:szCs w:val="14"/>
                <w:color w:val="auto"/>
              </w:rPr>
            </w:pPr>
          </w:p>
        </w:tc>
        <w:tc>
          <w:tcPr>
            <w:tcW w:w="86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w w:val="93"/>
              </w:rPr>
              <w:t>January 31,</w:t>
            </w:r>
          </w:p>
        </w:tc>
        <w:tc>
          <w:tcPr>
            <w:tcW w:w="0" w:type="dxa"/>
            <w:vAlign w:val="bottom"/>
          </w:tcPr>
          <w:p>
            <w:pPr>
              <w:spacing w:after="0"/>
              <w:rPr>
                <w:sz w:val="1"/>
                <w:szCs w:val="1"/>
                <w:color w:val="auto"/>
              </w:rPr>
            </w:pPr>
          </w:p>
        </w:tc>
      </w:tr>
      <w:tr>
        <w:trPr>
          <w:trHeight w:val="161"/>
        </w:trPr>
        <w:tc>
          <w:tcPr>
            <w:tcW w:w="5320" w:type="dxa"/>
            <w:vAlign w:val="bottom"/>
          </w:tcPr>
          <w:p>
            <w:pPr>
              <w:spacing w:after="0"/>
              <w:rPr>
                <w:sz w:val="14"/>
                <w:szCs w:val="14"/>
                <w:color w:val="auto"/>
              </w:rPr>
            </w:pPr>
          </w:p>
        </w:tc>
        <w:tc>
          <w:tcPr>
            <w:tcW w:w="4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assets: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cash equivalents, and short-term investments</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1,083,705</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951,909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Accounts receivable,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285,367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222,101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203,590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310,654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w w:val="91"/>
              </w:rPr>
              <w:t>Prepaid expenses, deferred income taxes and other current assets</w:t>
            </w:r>
          </w:p>
        </w:tc>
        <w:tc>
          <w:tcPr>
            <w:tcW w:w="4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67,038</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75,651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1,639,700</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1,560,315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371,229</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390,853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40,541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2,253,854</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2,284,164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136,773</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138,327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2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4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4,441,211</w:t>
            </w:r>
          </w:p>
        </w:tc>
        <w:tc>
          <w:tcPr>
            <w:tcW w:w="16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1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53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spacing w:after="0"/>
              <w:rPr>
                <w:sz w:val="20"/>
                <w:szCs w:val="20"/>
                <w:color w:val="auto"/>
              </w:rPr>
            </w:pPr>
            <w:r>
              <w:rPr>
                <w:rFonts w:ascii="Arial" w:cs="Arial" w:eastAsia="Arial" w:hAnsi="Arial"/>
                <w:sz w:val="18"/>
                <w:szCs w:val="18"/>
                <w:color w:val="auto"/>
              </w:rPr>
              <w:t>Current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4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166,988</w:t>
            </w:r>
          </w:p>
        </w:tc>
        <w:tc>
          <w:tcPr>
            <w:tcW w:w="16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139,028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268,326</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175,135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Income taxes payable</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47,257</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35,803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Deferred income</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47,800</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57,895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1,824</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532,195</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409,648</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3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1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161,480</w:t>
            </w: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173,034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41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695,656</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585,133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320" w:type="dxa"/>
            <w:vAlign w:val="bottom"/>
          </w:tcPr>
          <w:p>
            <w:pPr>
              <w:spacing w:after="0"/>
              <w:rPr>
                <w:sz w:val="20"/>
                <w:szCs w:val="20"/>
                <w:color w:val="auto"/>
              </w:rPr>
            </w:pPr>
            <w:r>
              <w:rPr>
                <w:rFonts w:ascii="Arial" w:cs="Arial" w:eastAsia="Arial" w:hAnsi="Arial"/>
                <w:sz w:val="18"/>
                <w:szCs w:val="18"/>
                <w:color w:val="auto"/>
              </w:rPr>
              <w:t>Shareholders’ equity:</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stock</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1,238</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4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4,402,167</w:t>
            </w: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4,372,265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4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(2,680)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(718)</w:t>
            </w:r>
          </w:p>
        </w:tc>
        <w:tc>
          <w:tcPr>
            <w:tcW w:w="0" w:type="dxa"/>
            <w:vAlign w:val="bottom"/>
          </w:tcPr>
          <w:p>
            <w:pPr>
              <w:spacing w:after="0"/>
              <w:rPr>
                <w:sz w:val="1"/>
                <w:szCs w:val="1"/>
                <w:color w:val="auto"/>
              </w:rPr>
            </w:pPr>
          </w:p>
        </w:tc>
      </w:tr>
      <w:tr>
        <w:trPr>
          <w:trHeight w:val="223"/>
        </w:trPr>
        <w:tc>
          <w:tcPr>
            <w:tcW w:w="5320" w:type="dxa"/>
            <w:vAlign w:val="bottom"/>
          </w:tcPr>
          <w:p>
            <w:pPr>
              <w:ind w:left="440"/>
              <w:spacing w:after="0"/>
              <w:rPr>
                <w:sz w:val="20"/>
                <w:szCs w:val="20"/>
                <w:color w:val="auto"/>
              </w:rPr>
            </w:pPr>
            <w:r>
              <w:rPr>
                <w:rFonts w:ascii="Arial" w:cs="Arial" w:eastAsia="Arial" w:hAnsi="Arial"/>
                <w:sz w:val="18"/>
                <w:szCs w:val="18"/>
                <w:color w:val="auto"/>
              </w:rPr>
              <w:t>Accumulated deficit</w:t>
            </w:r>
          </w:p>
        </w:tc>
        <w:tc>
          <w:tcPr>
            <w:tcW w:w="4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8"/>
              </w:rPr>
              <w:t>(655,170)</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w w:val="98"/>
              </w:rPr>
              <w:t>(543,713)</w:t>
            </w:r>
          </w:p>
        </w:tc>
        <w:tc>
          <w:tcPr>
            <w:tcW w:w="0" w:type="dxa"/>
            <w:vAlign w:val="bottom"/>
          </w:tcPr>
          <w:p>
            <w:pPr>
              <w:spacing w:after="0"/>
              <w:rPr>
                <w:sz w:val="1"/>
                <w:szCs w:val="1"/>
                <w:color w:val="auto"/>
              </w:rPr>
            </w:pPr>
          </w:p>
        </w:tc>
      </w:tr>
      <w:tr>
        <w:trPr>
          <w:trHeight w:val="216"/>
        </w:trPr>
        <w:tc>
          <w:tcPr>
            <w:tcW w:w="53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416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3,745,555</w:t>
            </w:r>
          </w:p>
        </w:tc>
        <w:tc>
          <w:tcPr>
            <w:tcW w:w="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3,829,067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32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4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4,441,211</w:t>
            </w:r>
          </w:p>
        </w:tc>
        <w:tc>
          <w:tcPr>
            <w:tcW w:w="160" w:type="dxa"/>
            <w:vAlign w:val="bottom"/>
          </w:tcPr>
          <w:p>
            <w:pPr>
              <w:spacing w:after="0"/>
              <w:rPr>
                <w:sz w:val="19"/>
                <w:szCs w:val="19"/>
                <w:color w:val="auto"/>
              </w:rPr>
            </w:pPr>
          </w:p>
        </w:tc>
        <w:tc>
          <w:tcPr>
            <w:tcW w:w="2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4,414,200</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20" w:type="dxa"/>
            <w:vAlign w:val="bottom"/>
          </w:tcPr>
          <w:p>
            <w:pPr>
              <w:spacing w:after="0" w:line="20" w:lineRule="exact"/>
              <w:rPr>
                <w:sz w:val="1"/>
                <w:szCs w:val="1"/>
                <w:color w:val="auto"/>
              </w:rPr>
            </w:pPr>
          </w:p>
        </w:tc>
        <w:tc>
          <w:tcPr>
            <w:tcW w:w="4160" w:type="dxa"/>
            <w:vAlign w:val="bottom"/>
            <w:vMerge w:val="restart"/>
          </w:tcPr>
          <w:p>
            <w:pPr>
              <w:jc w:val="right"/>
              <w:ind w:right="3632"/>
              <w:spacing w:after="0"/>
              <w:rPr>
                <w:sz w:val="20"/>
                <w:szCs w:val="20"/>
                <w:color w:val="auto"/>
              </w:rPr>
            </w:pPr>
            <w:r>
              <w:rPr>
                <w:rFonts w:ascii="Arial" w:cs="Arial" w:eastAsia="Arial" w:hAnsi="Arial"/>
                <w:sz w:val="18"/>
                <w:szCs w:val="18"/>
                <w:color w:val="auto"/>
              </w:rPr>
              <w:t>3</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5320" w:type="dxa"/>
            <w:vAlign w:val="bottom"/>
          </w:tcPr>
          <w:p>
            <w:pPr>
              <w:spacing w:after="0"/>
              <w:rPr>
                <w:sz w:val="24"/>
                <w:szCs w:val="24"/>
                <w:color w:val="auto"/>
              </w:rPr>
            </w:pPr>
          </w:p>
        </w:tc>
        <w:tc>
          <w:tcPr>
            <w:tcW w:w="416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7940"/>
                    </a:xfrm>
                    <a:prstGeom prst="rect">
                      <a:avLst/>
                    </a:prstGeom>
                    <a:noFill/>
                  </pic:spPr>
                </pic:pic>
              </a:graphicData>
            </a:graphic>
          </wp:anchor>
        </w:drawing>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4"/>
          </w:tcPr>
          <w:p>
            <w:pPr>
              <w:jc w:val="right"/>
              <w:ind w:right="140"/>
              <w:spacing w:after="0"/>
              <w:rPr>
                <w:sz w:val="20"/>
                <w:szCs w:val="20"/>
                <w:color w:val="auto"/>
              </w:rPr>
            </w:pPr>
            <w:r>
              <w:rPr>
                <w:rFonts w:ascii="Arial" w:cs="Arial" w:eastAsia="Arial" w:hAnsi="Arial"/>
                <w:sz w:val="14"/>
                <w:szCs w:val="14"/>
                <w:b w:val="1"/>
                <w:bCs w:val="1"/>
                <w:color w:val="auto"/>
                <w:w w:val="86"/>
              </w:rPr>
              <w:t>Three Months Ended</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5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0" w:type="dxa"/>
            <w:vAlign w:val="bottom"/>
            <w:gridSpan w:val="2"/>
          </w:tcPr>
          <w:p>
            <w:pPr>
              <w:jc w:val="right"/>
              <w:ind w:right="412"/>
              <w:spacing w:after="0" w:line="129" w:lineRule="exact"/>
              <w:rPr>
                <w:sz w:val="20"/>
                <w:szCs w:val="20"/>
                <w:color w:val="auto"/>
              </w:rPr>
            </w:pPr>
            <w:r>
              <w:rPr>
                <w:rFonts w:ascii="Arial" w:cs="Arial" w:eastAsia="Arial" w:hAnsi="Arial"/>
                <w:sz w:val="14"/>
                <w:szCs w:val="14"/>
                <w:b w:val="1"/>
                <w:bCs w:val="1"/>
                <w:color w:val="auto"/>
              </w:rPr>
              <w:t>May 2,</w:t>
            </w:r>
          </w:p>
        </w:tc>
        <w:tc>
          <w:tcPr>
            <w:tcW w:w="1080" w:type="dxa"/>
            <w:vAlign w:val="bottom"/>
            <w:gridSpan w:val="3"/>
          </w:tcPr>
          <w:p>
            <w:pPr>
              <w:jc w:val="right"/>
              <w:ind w:right="340"/>
              <w:spacing w:after="0" w:line="129" w:lineRule="exact"/>
              <w:rPr>
                <w:sz w:val="20"/>
                <w:szCs w:val="20"/>
                <w:color w:val="auto"/>
              </w:rPr>
            </w:pPr>
            <w:r>
              <w:rPr>
                <w:rFonts w:ascii="Arial" w:cs="Arial" w:eastAsia="Arial" w:hAnsi="Arial"/>
                <w:sz w:val="14"/>
                <w:szCs w:val="14"/>
                <w:b w:val="1"/>
                <w:bCs w:val="1"/>
                <w:color w:val="auto"/>
                <w:w w:val="93"/>
              </w:rPr>
              <w:t>January 31,</w:t>
            </w:r>
          </w:p>
        </w:tc>
        <w:tc>
          <w:tcPr>
            <w:tcW w:w="100" w:type="dxa"/>
            <w:vAlign w:val="bottom"/>
          </w:tcPr>
          <w:p>
            <w:pPr>
              <w:spacing w:after="0"/>
              <w:rPr>
                <w:sz w:val="11"/>
                <w:szCs w:val="11"/>
                <w:color w:val="auto"/>
              </w:rPr>
            </w:pPr>
          </w:p>
        </w:tc>
        <w:tc>
          <w:tcPr>
            <w:tcW w:w="580" w:type="dxa"/>
            <w:vAlign w:val="bottom"/>
          </w:tcPr>
          <w:p>
            <w:pPr>
              <w:jc w:val="right"/>
              <w:ind w:right="53"/>
              <w:spacing w:after="0" w:line="129" w:lineRule="exact"/>
              <w:rPr>
                <w:sz w:val="20"/>
                <w:szCs w:val="20"/>
                <w:color w:val="auto"/>
              </w:rPr>
            </w:pPr>
            <w:r>
              <w:rPr>
                <w:rFonts w:ascii="Arial" w:cs="Arial" w:eastAsia="Arial" w:hAnsi="Arial"/>
                <w:sz w:val="14"/>
                <w:szCs w:val="14"/>
                <w:b w:val="1"/>
                <w:bCs w:val="1"/>
                <w:color w:val="auto"/>
                <w:w w:val="98"/>
              </w:rPr>
              <w:t>May 3,</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85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w w:val="98"/>
              </w:rPr>
              <w:t>(111,457)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(65,010)</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69,939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25,375</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27,038</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28,618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31,648</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44,701</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45,226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30,356</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48,274</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35,247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(1,343)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(1,196)</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Unrealized loss on derivative contract</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475</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tax (provision) benefit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(17,467)</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(29)</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(169)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 net of assets acquired and liabilities assumed in acquisitions: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tcPr>
          <w:p>
            <w:pPr>
              <w:spacing w:after="0"/>
              <w:rPr>
                <w:sz w:val="18"/>
                <w:szCs w:val="18"/>
                <w:color w:val="auto"/>
              </w:rPr>
            </w:pPr>
          </w:p>
        </w:tc>
        <w:tc>
          <w:tcPr>
            <w:tcW w:w="1000" w:type="dxa"/>
            <w:vAlign w:val="bottom"/>
            <w:gridSpan w:val="2"/>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(63,266)</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175,735</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(38,152)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106,281</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31,088</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55,918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14,330</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1,629</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32,466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30,738</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(82,791)</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(63,076)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62,980</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(13,016)</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(18,807)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13,033</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(44,615)</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16,963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1,343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11,607</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0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4,065</w:t>
            </w: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(6,825)</w:t>
            </w:r>
          </w:p>
        </w:tc>
        <w:tc>
          <w:tcPr>
            <w:tcW w:w="10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(9,753)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144,529</w:t>
            </w:r>
          </w:p>
        </w:tc>
        <w:tc>
          <w:tcPr>
            <w:tcW w:w="2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109,143</w:t>
            </w: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130,193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in acquisitions, net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(5,287)</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1000" w:type="dxa"/>
            <w:vAlign w:val="bottom"/>
            <w:gridSpan w:val="2"/>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(10,126)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short-term and long-term investments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23,793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(9,300)</w:t>
            </w:r>
          </w:p>
        </w:tc>
        <w:tc>
          <w:tcPr>
            <w:tcW w:w="8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(2,550)</w:t>
            </w:r>
          </w:p>
        </w:tc>
        <w:tc>
          <w:tcPr>
            <w:tcW w:w="100" w:type="dxa"/>
            <w:vAlign w:val="bottom"/>
          </w:tcPr>
          <w:p>
            <w:pPr>
              <w:spacing w:after="0"/>
              <w:rPr>
                <w:sz w:val="18"/>
                <w:szCs w:val="18"/>
                <w:color w:val="auto"/>
              </w:rPr>
            </w:pPr>
          </w:p>
        </w:tc>
        <w:tc>
          <w:tcPr>
            <w:tcW w:w="6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(3,414)</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(13,931)</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2"/>
              </w:rPr>
              <w:t>(30,522)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8500" w:type="dxa"/>
            <w:vAlign w:val="bottom"/>
            <w:vMerge w:val="restart"/>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85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000" w:type="dxa"/>
            <w:vAlign w:val="bottom"/>
            <w:gridSpan w:val="2"/>
          </w:tcPr>
          <w:p>
            <w:pPr>
              <w:jc w:val="right"/>
              <w:ind w:right="152"/>
              <w:spacing w:after="0"/>
              <w:rPr>
                <w:sz w:val="20"/>
                <w:szCs w:val="20"/>
                <w:color w:val="auto"/>
              </w:rPr>
            </w:pPr>
            <w:r>
              <w:rPr>
                <w:rFonts w:ascii="Arial" w:cs="Arial" w:eastAsia="Arial" w:hAnsi="Arial"/>
                <w:sz w:val="18"/>
                <w:szCs w:val="18"/>
                <w:color w:val="auto"/>
              </w:rPr>
              <w:t>(12,714)</w:t>
            </w:r>
          </w:p>
        </w:tc>
        <w:tc>
          <w:tcPr>
            <w:tcW w:w="80" w:type="dxa"/>
            <w:vAlign w:val="bottom"/>
          </w:tcPr>
          <w:p>
            <w:pPr>
              <w:spacing w:after="0"/>
              <w:rPr>
                <w:sz w:val="19"/>
                <w:szCs w:val="19"/>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(21,768)</w:t>
            </w:r>
          </w:p>
        </w:tc>
        <w:tc>
          <w:tcPr>
            <w:tcW w:w="100" w:type="dxa"/>
            <w:vAlign w:val="bottom"/>
          </w:tcPr>
          <w:p>
            <w:pPr>
              <w:spacing w:after="0"/>
              <w:rPr>
                <w:sz w:val="19"/>
                <w:szCs w:val="19"/>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w w:val="92"/>
              </w:rPr>
              <w:t>(16,855)</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tcPr>
          <w:p>
            <w:pPr>
              <w:spacing w:after="0"/>
              <w:rPr>
                <w:sz w:val="18"/>
                <w:szCs w:val="18"/>
                <w:color w:val="auto"/>
              </w:rPr>
            </w:pP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rPr>
              <w:t>385</w:t>
            </w:r>
          </w:p>
        </w:tc>
        <w:tc>
          <w:tcPr>
            <w:tcW w:w="80" w:type="dxa"/>
            <w:vAlign w:val="bottom"/>
          </w:tcPr>
          <w:p>
            <w:pPr>
              <w:spacing w:after="0"/>
              <w:rPr>
                <w:sz w:val="18"/>
                <w:szCs w:val="18"/>
                <w:color w:val="auto"/>
              </w:rPr>
            </w:pP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12,192</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17,054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debt obligations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(433)</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(192,174)</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(2,125)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5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2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w:t>
            </w:r>
          </w:p>
        </w:tc>
        <w:tc>
          <w:tcPr>
            <w:tcW w:w="2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52"/>
              <w:spacing w:after="0"/>
              <w:rPr>
                <w:sz w:val="20"/>
                <w:szCs w:val="20"/>
                <w:color w:val="auto"/>
              </w:rPr>
            </w:pPr>
            <w:r>
              <w:rPr>
                <w:rFonts w:ascii="Arial" w:cs="Arial" w:eastAsia="Arial" w:hAnsi="Arial"/>
                <w:sz w:val="18"/>
                <w:szCs w:val="18"/>
                <w:color w:val="auto"/>
              </w:rPr>
              <w:t>(19)</w:t>
            </w:r>
          </w:p>
        </w:tc>
        <w:tc>
          <w:tcPr>
            <w:tcW w:w="8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(179,973)</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15,098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852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8520" w:type="dxa"/>
            <w:vAlign w:val="bottom"/>
            <w:gridSpan w:val="2"/>
            <w:vMerge w:val="continue"/>
          </w:tcPr>
          <w:p>
            <w:pPr>
              <w:spacing w:after="0"/>
              <w:rPr>
                <w:sz w:val="20"/>
                <w:szCs w:val="20"/>
                <w:color w:val="auto"/>
              </w:rPr>
            </w:pP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131,796</w:t>
            </w:r>
          </w:p>
        </w:tc>
        <w:tc>
          <w:tcPr>
            <w:tcW w:w="2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(92,598)</w:t>
            </w:r>
          </w:p>
        </w:tc>
        <w:tc>
          <w:tcPr>
            <w:tcW w:w="100" w:type="dxa"/>
            <w:vAlign w:val="bottom"/>
          </w:tcPr>
          <w:p>
            <w:pPr>
              <w:spacing w:after="0"/>
              <w:rPr>
                <w:sz w:val="20"/>
                <w:szCs w:val="20"/>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128,436</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927,409</w:t>
            </w:r>
          </w:p>
        </w:tc>
        <w:tc>
          <w:tcPr>
            <w:tcW w:w="28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1,020,007</w:t>
            </w:r>
          </w:p>
        </w:tc>
        <w:tc>
          <w:tcPr>
            <w:tcW w:w="2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615,648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85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00" w:type="dxa"/>
            <w:vAlign w:val="bottom"/>
            <w:gridSpan w:val="2"/>
          </w:tcPr>
          <w:p>
            <w:pPr>
              <w:jc w:val="right"/>
              <w:ind w:right="212"/>
              <w:spacing w:after="0"/>
              <w:rPr>
                <w:sz w:val="20"/>
                <w:szCs w:val="20"/>
                <w:color w:val="auto"/>
              </w:rPr>
            </w:pPr>
            <w:r>
              <w:rPr>
                <w:rFonts w:ascii="Arial" w:cs="Arial" w:eastAsia="Arial" w:hAnsi="Arial"/>
                <w:sz w:val="18"/>
                <w:szCs w:val="18"/>
                <w:color w:val="auto"/>
                <w:w w:val="87"/>
              </w:rPr>
              <w:t>1,059,205</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80"/>
              <w:spacing w:after="0"/>
              <w:rPr>
                <w:sz w:val="20"/>
                <w:szCs w:val="20"/>
                <w:color w:val="auto"/>
              </w:rPr>
            </w:pPr>
            <w:r>
              <w:rPr>
                <w:rFonts w:ascii="Arial" w:cs="Arial" w:eastAsia="Arial" w:hAnsi="Arial"/>
                <w:sz w:val="18"/>
                <w:szCs w:val="18"/>
                <w:color w:val="auto"/>
              </w:rPr>
              <w:t>927,409</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744,084</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520" w:type="dxa"/>
            <w:vAlign w:val="bottom"/>
            <w:gridSpan w:val="2"/>
            <w:vMerge w:val="restart"/>
          </w:tcPr>
          <w:p>
            <w:pPr>
              <w:jc w:val="right"/>
              <w:ind w:right="2672"/>
              <w:spacing w:after="0"/>
              <w:rPr>
                <w:sz w:val="20"/>
                <w:szCs w:val="20"/>
                <w:color w:val="auto"/>
              </w:rPr>
            </w:pPr>
            <w:r>
              <w:rPr>
                <w:rFonts w:ascii="Arial" w:cs="Arial" w:eastAsia="Arial" w:hAnsi="Arial"/>
                <w:sz w:val="18"/>
                <w:szCs w:val="18"/>
                <w:color w:val="auto"/>
              </w:rPr>
              <w:t>4</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85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2019-12-10T16:20:23Z</dcterms:created>
  <dcterms:modified xsi:type="dcterms:W3CDTF">2019-12-10T16:20:23Z</dcterms:modified>
</cp:coreProperties>
</file>